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B1308" w14:textId="4F7A2398" w:rsidR="00DF5A71" w:rsidRPr="004D7F49" w:rsidRDefault="00703511" w:rsidP="008467D5">
      <w:pPr>
        <w:pBdr>
          <w:bottom w:val="single" w:sz="18" w:space="1" w:color="auto"/>
        </w:pBdr>
        <w:tabs>
          <w:tab w:val="left" w:pos="-1440"/>
          <w:tab w:val="left" w:pos="-720"/>
          <w:tab w:val="left" w:pos="1"/>
        </w:tabs>
        <w:jc w:val="both"/>
        <w:rPr>
          <w:rFonts w:ascii="Arial" w:hAnsi="Arial"/>
          <w:b/>
          <w:noProof/>
          <w:sz w:val="24"/>
          <w:lang w:val="en-GB"/>
        </w:rPr>
      </w:pPr>
      <w:r w:rsidRPr="004D7F49">
        <w:rPr>
          <w:rFonts w:ascii="Arial" w:hAnsi="Arial"/>
          <w:b/>
          <w:noProof/>
          <w:sz w:val="24"/>
        </w:rPr>
        <w:drawing>
          <wp:inline distT="0" distB="0" distL="0" distR="0" wp14:anchorId="0B8166D7" wp14:editId="7E52F47C">
            <wp:extent cx="2613804" cy="55124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175C272" w14:textId="0306B104" w:rsidR="00D75295" w:rsidRPr="004D7F49" w:rsidRDefault="00586C3F" w:rsidP="00263C98">
      <w:pPr>
        <w:pStyle w:val="ProductNumber"/>
        <w:outlineLvl w:val="0"/>
        <w:rPr>
          <w:lang w:val="en-GB"/>
        </w:rPr>
      </w:pPr>
      <w:r>
        <w:rPr>
          <w:lang w:val="en-GB"/>
        </w:rPr>
        <w:t>9B18M148</w:t>
      </w:r>
    </w:p>
    <w:p w14:paraId="6DB14D27" w14:textId="77777777" w:rsidR="00D75295" w:rsidRPr="004D7F49" w:rsidRDefault="00D75295" w:rsidP="00D75295">
      <w:pPr>
        <w:jc w:val="right"/>
        <w:rPr>
          <w:rFonts w:ascii="Arial" w:hAnsi="Arial"/>
          <w:b/>
          <w:sz w:val="28"/>
          <w:szCs w:val="28"/>
          <w:lang w:val="en-GB"/>
        </w:rPr>
      </w:pPr>
    </w:p>
    <w:p w14:paraId="45E9C4C8" w14:textId="77777777" w:rsidR="00013360" w:rsidRPr="004D7F49" w:rsidRDefault="00013360" w:rsidP="00D75295">
      <w:pPr>
        <w:jc w:val="right"/>
        <w:rPr>
          <w:rFonts w:ascii="Arial" w:hAnsi="Arial"/>
          <w:b/>
          <w:sz w:val="28"/>
          <w:szCs w:val="28"/>
          <w:lang w:val="en-GB"/>
        </w:rPr>
      </w:pPr>
    </w:p>
    <w:p w14:paraId="342F10FC" w14:textId="1199B220" w:rsidR="00013360" w:rsidRPr="004D7F49" w:rsidRDefault="00197A03" w:rsidP="00013360">
      <w:pPr>
        <w:pStyle w:val="CaseTitle"/>
        <w:spacing w:after="0" w:line="240" w:lineRule="auto"/>
        <w:rPr>
          <w:sz w:val="20"/>
          <w:szCs w:val="20"/>
          <w:lang w:val="en-GB"/>
        </w:rPr>
      </w:pPr>
      <w:r w:rsidRPr="004D7F49">
        <w:rPr>
          <w:rFonts w:eastAsia="Times New Roman"/>
          <w:szCs w:val="20"/>
          <w:lang w:val="en-GB"/>
        </w:rPr>
        <w:t>JAPAN’S MONETARY POLICY: ACCOMMODATING</w:t>
      </w:r>
      <w:r w:rsidR="00DF5A71" w:rsidRPr="004D7F49">
        <w:rPr>
          <w:rFonts w:eastAsia="Times New Roman"/>
          <w:szCs w:val="20"/>
          <w:lang w:val="en-GB"/>
        </w:rPr>
        <w:t xml:space="preserve"> INFLATION UNCONVENTIONALLY</w:t>
      </w:r>
      <w:r w:rsidR="0060402D" w:rsidRPr="004D7F49">
        <w:rPr>
          <w:rStyle w:val="EndnoteReference"/>
          <w:rFonts w:eastAsia="Times New Roman"/>
          <w:szCs w:val="20"/>
          <w:lang w:val="en-GB"/>
        </w:rPr>
        <w:endnoteReference w:id="1"/>
      </w:r>
    </w:p>
    <w:p w14:paraId="0CAB75B5" w14:textId="77777777" w:rsidR="00CA3976" w:rsidRPr="004D7F49" w:rsidRDefault="00CA3976" w:rsidP="00013360">
      <w:pPr>
        <w:pStyle w:val="CaseTitle"/>
        <w:spacing w:after="0" w:line="240" w:lineRule="auto"/>
        <w:rPr>
          <w:sz w:val="20"/>
          <w:szCs w:val="20"/>
          <w:lang w:val="en-GB"/>
        </w:rPr>
      </w:pPr>
    </w:p>
    <w:p w14:paraId="28CF5249" w14:textId="77777777" w:rsidR="00013360" w:rsidRPr="004D7F49" w:rsidRDefault="00013360" w:rsidP="00013360">
      <w:pPr>
        <w:pStyle w:val="CaseTitle"/>
        <w:spacing w:after="0" w:line="240" w:lineRule="auto"/>
        <w:rPr>
          <w:sz w:val="20"/>
          <w:szCs w:val="20"/>
          <w:lang w:val="en-GB"/>
        </w:rPr>
      </w:pPr>
    </w:p>
    <w:p w14:paraId="34947078" w14:textId="77777777" w:rsidR="00627C63" w:rsidRPr="004D7F49" w:rsidRDefault="00F40180" w:rsidP="00627C63">
      <w:pPr>
        <w:pStyle w:val="StyleCopyrightStatementAfter0ptBottomSinglesolidline1"/>
        <w:rPr>
          <w:lang w:val="en-GB"/>
        </w:rPr>
      </w:pPr>
      <w:hyperlink r:id="rId9" w:history="1">
        <w:r w:rsidR="00DF5A71" w:rsidRPr="004D7F49">
          <w:rPr>
            <w:rStyle w:val="Hyperlink"/>
            <w:color w:val="auto"/>
            <w:u w:val="none"/>
            <w:lang w:val="en-GB"/>
          </w:rPr>
          <w:t>Tulsi Jayakumar</w:t>
        </w:r>
      </w:hyperlink>
      <w:r w:rsidR="00DF5A71" w:rsidRPr="004D7F49">
        <w:rPr>
          <w:color w:val="auto"/>
          <w:lang w:val="en-GB"/>
        </w:rPr>
        <w:t xml:space="preserve"> </w:t>
      </w:r>
      <w:r w:rsidR="004B632F" w:rsidRPr="004D7F49">
        <w:rPr>
          <w:color w:val="auto"/>
          <w:lang w:val="en-GB"/>
        </w:rPr>
        <w:t>wrote thi</w:t>
      </w:r>
      <w:r w:rsidR="004B632F" w:rsidRPr="004D7F49">
        <w:rPr>
          <w:lang w:val="en-GB"/>
        </w:rPr>
        <w:t xml:space="preserve">s </w:t>
      </w:r>
      <w:r w:rsidR="00152682" w:rsidRPr="004D7F49">
        <w:rPr>
          <w:lang w:val="en-GB"/>
        </w:rPr>
        <w:t>case</w:t>
      </w:r>
      <w:r w:rsidR="004B632F" w:rsidRPr="004D7F49">
        <w:rPr>
          <w:lang w:val="en-GB"/>
        </w:rPr>
        <w:t xml:space="preserve"> </w:t>
      </w:r>
      <w:r w:rsidR="00152682" w:rsidRPr="004D7F49">
        <w:rPr>
          <w:lang w:val="en-GB"/>
        </w:rPr>
        <w:t>solely to provide material for class discussion. The</w:t>
      </w:r>
      <w:r w:rsidR="001C7777" w:rsidRPr="004D7F49">
        <w:rPr>
          <w:lang w:val="en-GB"/>
        </w:rPr>
        <w:t xml:space="preserve"> author</w:t>
      </w:r>
      <w:r w:rsidR="00DF5A71" w:rsidRPr="004D7F49">
        <w:rPr>
          <w:lang w:val="en-GB"/>
        </w:rPr>
        <w:t xml:space="preserve"> </w:t>
      </w:r>
      <w:r w:rsidR="00152682" w:rsidRPr="004D7F49">
        <w:rPr>
          <w:lang w:val="en-GB"/>
        </w:rPr>
        <w:t>do</w:t>
      </w:r>
      <w:r w:rsidR="00DF5A71" w:rsidRPr="004D7F49">
        <w:rPr>
          <w:lang w:val="en-GB"/>
        </w:rPr>
        <w:t>es</w:t>
      </w:r>
      <w:r w:rsidR="00152682" w:rsidRPr="004D7F49">
        <w:rPr>
          <w:lang w:val="en-GB"/>
        </w:rPr>
        <w:t xml:space="preserve"> not intend to illustrate either effective or ineffective handling of a managerial situation. The author may have disguised certain names and other identifying information to protect confidentiality.</w:t>
      </w:r>
    </w:p>
    <w:p w14:paraId="3DAB7D0B" w14:textId="77777777" w:rsidR="00751E0B" w:rsidRPr="004D7F49" w:rsidRDefault="00751E0B" w:rsidP="00751E0B">
      <w:pPr>
        <w:pStyle w:val="StyleCopyrightStatementAfter0ptBottomSinglesolidline1"/>
        <w:rPr>
          <w:lang w:val="en-GB"/>
        </w:rPr>
      </w:pPr>
    </w:p>
    <w:p w14:paraId="3370A308" w14:textId="77777777" w:rsidR="00703511" w:rsidRPr="004D7F49" w:rsidRDefault="00703511" w:rsidP="00A27D8A">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4D7F49">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D7F49">
          <w:rPr>
            <w:rFonts w:ascii="Arial" w:hAnsi="Arial"/>
            <w:i/>
            <w:iCs/>
            <w:color w:val="000000"/>
            <w:sz w:val="16"/>
            <w:lang w:val="en-GB"/>
          </w:rPr>
          <w:t>cases@ivey.ca</w:t>
        </w:r>
      </w:hyperlink>
      <w:r w:rsidRPr="004D7F49">
        <w:rPr>
          <w:rFonts w:ascii="Arial" w:hAnsi="Arial"/>
          <w:i/>
          <w:iCs/>
          <w:color w:val="000000"/>
          <w:sz w:val="16"/>
          <w:lang w:val="en-GB"/>
        </w:rPr>
        <w:t xml:space="preserve">; </w:t>
      </w:r>
      <w:hyperlink r:id="rId11" w:history="1">
        <w:r w:rsidRPr="004D7F49">
          <w:rPr>
            <w:rFonts w:ascii="Arial" w:hAnsi="Arial"/>
            <w:i/>
            <w:iCs/>
            <w:color w:val="000000"/>
            <w:sz w:val="16"/>
            <w:lang w:val="en-GB"/>
          </w:rPr>
          <w:t>www.iveycases.com</w:t>
        </w:r>
      </w:hyperlink>
      <w:r w:rsidRPr="004D7F49">
        <w:rPr>
          <w:rFonts w:ascii="Arial" w:hAnsi="Arial"/>
          <w:i/>
          <w:iCs/>
          <w:color w:val="000000"/>
          <w:sz w:val="16"/>
          <w:lang w:val="en-GB"/>
        </w:rPr>
        <w:t>.</w:t>
      </w:r>
    </w:p>
    <w:p w14:paraId="76E8D37A" w14:textId="70F97E77" w:rsidR="00DF5A71" w:rsidRPr="004D7F49" w:rsidRDefault="00DF5A71" w:rsidP="00751E0B">
      <w:pPr>
        <w:pStyle w:val="StyleCopyrightStatementAfter0ptBottomSinglesolidline1"/>
        <w:rPr>
          <w:lang w:val="en-GB"/>
        </w:rPr>
      </w:pPr>
    </w:p>
    <w:p w14:paraId="7EE07EFC" w14:textId="6FA7A163" w:rsidR="00751E0B" w:rsidRPr="004D7F49" w:rsidRDefault="00703511" w:rsidP="00263C98">
      <w:pPr>
        <w:pStyle w:val="StyleStyleCopyrightStatementAfter0ptBottomSinglesolid"/>
        <w:outlineLvl w:val="0"/>
        <w:rPr>
          <w:lang w:val="en-GB"/>
        </w:rPr>
      </w:pPr>
      <w:r w:rsidRPr="004D7F49">
        <w:rPr>
          <w:rFonts w:cs="Arial"/>
          <w:szCs w:val="16"/>
          <w:lang w:val="en-GB"/>
        </w:rPr>
        <w:t>Copyright © 2018, Ivey Business School Foundation</w:t>
      </w:r>
      <w:r w:rsidR="00A569EA" w:rsidRPr="004D7F49">
        <w:rPr>
          <w:rFonts w:cs="Arial"/>
          <w:szCs w:val="16"/>
          <w:lang w:val="en-GB"/>
        </w:rPr>
        <w:tab/>
      </w:r>
      <w:r w:rsidR="00751E0B" w:rsidRPr="004D7F49">
        <w:rPr>
          <w:lang w:val="en-GB"/>
        </w:rPr>
        <w:t xml:space="preserve">Version: </w:t>
      </w:r>
      <w:r w:rsidR="003D0BA1" w:rsidRPr="004D7F49">
        <w:rPr>
          <w:lang w:val="en-GB"/>
        </w:rPr>
        <w:t>20</w:t>
      </w:r>
      <w:r w:rsidR="00DF5A71" w:rsidRPr="004D7F49">
        <w:rPr>
          <w:lang w:val="en-GB"/>
        </w:rPr>
        <w:t>18</w:t>
      </w:r>
      <w:r w:rsidR="001C7777" w:rsidRPr="004D7F49">
        <w:rPr>
          <w:lang w:val="en-GB"/>
        </w:rPr>
        <w:t>-</w:t>
      </w:r>
      <w:r w:rsidR="00552077" w:rsidRPr="004D7F49">
        <w:rPr>
          <w:lang w:val="en-GB"/>
        </w:rPr>
        <w:t>0</w:t>
      </w:r>
      <w:r w:rsidR="00FA2BD1" w:rsidRPr="004D7F49">
        <w:rPr>
          <w:lang w:val="en-GB"/>
        </w:rPr>
        <w:t>9</w:t>
      </w:r>
      <w:r w:rsidR="00751E0B" w:rsidRPr="004D7F49">
        <w:rPr>
          <w:lang w:val="en-GB"/>
        </w:rPr>
        <w:t>-</w:t>
      </w:r>
      <w:r w:rsidR="00773C51">
        <w:rPr>
          <w:lang w:val="en-GB"/>
        </w:rPr>
        <w:t>28</w:t>
      </w:r>
    </w:p>
    <w:p w14:paraId="0574907F" w14:textId="77777777" w:rsidR="00751E0B" w:rsidRPr="0004607E" w:rsidRDefault="00751E0B" w:rsidP="00751E0B">
      <w:pPr>
        <w:pStyle w:val="StyleCopyrightStatementAfter0ptBottomSinglesolidline1"/>
        <w:rPr>
          <w:rFonts w:ascii="Times New Roman" w:hAnsi="Times New Roman"/>
          <w:sz w:val="20"/>
          <w:lang w:val="en-GB"/>
        </w:rPr>
      </w:pPr>
    </w:p>
    <w:p w14:paraId="63D810DB" w14:textId="77777777" w:rsidR="004B632F" w:rsidRPr="0004607E" w:rsidRDefault="004B632F" w:rsidP="004B632F">
      <w:pPr>
        <w:pStyle w:val="StyleCopyrightStatementAfter0ptBottomSinglesolidline1"/>
        <w:rPr>
          <w:rFonts w:ascii="Times New Roman" w:hAnsi="Times New Roman"/>
          <w:sz w:val="20"/>
          <w:lang w:val="en-GB"/>
        </w:rPr>
      </w:pPr>
    </w:p>
    <w:p w14:paraId="730B8EA7" w14:textId="7938AE37" w:rsidR="00DF5A71" w:rsidRPr="0004607E" w:rsidRDefault="00DF5A71" w:rsidP="00B05762">
      <w:pPr>
        <w:pStyle w:val="BodyTextMain"/>
        <w:rPr>
          <w:rFonts w:eastAsia="Calibri"/>
          <w:spacing w:val="-2"/>
          <w:kern w:val="22"/>
          <w:lang w:val="en-GB"/>
        </w:rPr>
      </w:pPr>
      <w:r w:rsidRPr="0004607E">
        <w:rPr>
          <w:rFonts w:eastAsia="Calibri"/>
          <w:spacing w:val="-2"/>
          <w:kern w:val="22"/>
          <w:lang w:val="en-GB"/>
        </w:rPr>
        <w:t xml:space="preserve">On January 22, 2018, the </w:t>
      </w:r>
      <w:r w:rsidR="00775841" w:rsidRPr="0004607E">
        <w:rPr>
          <w:rFonts w:eastAsia="Calibri"/>
          <w:spacing w:val="-2"/>
          <w:kern w:val="22"/>
          <w:lang w:val="en-GB"/>
        </w:rPr>
        <w:t>policy b</w:t>
      </w:r>
      <w:r w:rsidRPr="0004607E">
        <w:rPr>
          <w:rFonts w:eastAsia="Calibri"/>
          <w:spacing w:val="-2"/>
          <w:kern w:val="22"/>
          <w:lang w:val="en-GB"/>
        </w:rPr>
        <w:t>oard of the Bank of Japan</w:t>
      </w:r>
      <w:r w:rsidR="00763DFA" w:rsidRPr="0004607E">
        <w:rPr>
          <w:rFonts w:eastAsia="Calibri"/>
          <w:spacing w:val="-2"/>
          <w:kern w:val="22"/>
          <w:lang w:val="en-GB"/>
        </w:rPr>
        <w:t xml:space="preserve"> (BoJ)—</w:t>
      </w:r>
      <w:r w:rsidRPr="0004607E">
        <w:rPr>
          <w:rFonts w:eastAsia="Calibri"/>
          <w:spacing w:val="-2"/>
          <w:kern w:val="22"/>
          <w:lang w:val="en-GB"/>
        </w:rPr>
        <w:t>the highest decision-making body responsible for monetary and currency control in Japan</w:t>
      </w:r>
      <w:r w:rsidR="00763DFA" w:rsidRPr="0004607E">
        <w:rPr>
          <w:rFonts w:eastAsia="Calibri"/>
          <w:spacing w:val="-2"/>
          <w:kern w:val="22"/>
          <w:lang w:val="en-GB"/>
        </w:rPr>
        <w:t>—held a meeting to m</w:t>
      </w:r>
      <w:r w:rsidR="0050671F" w:rsidRPr="0004607E">
        <w:rPr>
          <w:rFonts w:eastAsia="Calibri"/>
          <w:spacing w:val="-2"/>
          <w:kern w:val="22"/>
          <w:lang w:val="en-GB"/>
        </w:rPr>
        <w:t>ake a decision on the monetary policy stance going forward</w:t>
      </w:r>
      <w:r w:rsidRPr="0004607E">
        <w:rPr>
          <w:rFonts w:eastAsia="Calibri"/>
          <w:spacing w:val="-2"/>
          <w:kern w:val="22"/>
          <w:lang w:val="en-GB"/>
        </w:rPr>
        <w:t>. J</w:t>
      </w:r>
      <w:r w:rsidR="00775841" w:rsidRPr="0004607E">
        <w:rPr>
          <w:rFonts w:eastAsia="Calibri"/>
          <w:spacing w:val="-2"/>
          <w:kern w:val="22"/>
          <w:lang w:val="en-GB"/>
        </w:rPr>
        <w:t>apan’s macroeconomic indicators—</w:t>
      </w:r>
      <w:r w:rsidRPr="0004607E">
        <w:rPr>
          <w:rFonts w:eastAsia="Calibri"/>
          <w:spacing w:val="-2"/>
          <w:kern w:val="22"/>
          <w:lang w:val="en-GB"/>
        </w:rPr>
        <w:t>growth, output gap, unemployment level</w:t>
      </w:r>
      <w:r w:rsidR="00775841" w:rsidRPr="0004607E">
        <w:rPr>
          <w:rFonts w:eastAsia="Calibri"/>
          <w:spacing w:val="-2"/>
          <w:kern w:val="22"/>
          <w:lang w:val="en-GB"/>
        </w:rPr>
        <w:t>,</w:t>
      </w:r>
      <w:r w:rsidR="00773C51" w:rsidRPr="0004607E">
        <w:rPr>
          <w:rFonts w:eastAsia="Calibri"/>
          <w:spacing w:val="-2"/>
          <w:kern w:val="22"/>
          <w:lang w:val="en-GB"/>
        </w:rPr>
        <w:t xml:space="preserve"> and the job-openings-to-</w:t>
      </w:r>
      <w:r w:rsidRPr="0004607E">
        <w:rPr>
          <w:rFonts w:eastAsia="Calibri"/>
          <w:spacing w:val="-2"/>
          <w:kern w:val="22"/>
          <w:lang w:val="en-GB"/>
        </w:rPr>
        <w:t>applications ratio</w:t>
      </w:r>
      <w:r w:rsidR="00775841" w:rsidRPr="0004607E">
        <w:rPr>
          <w:rFonts w:eastAsia="Calibri"/>
          <w:spacing w:val="-2"/>
          <w:kern w:val="22"/>
          <w:lang w:val="en-GB"/>
        </w:rPr>
        <w:t>—</w:t>
      </w:r>
      <w:r w:rsidR="009D76FC" w:rsidRPr="0004607E">
        <w:rPr>
          <w:rFonts w:eastAsia="Calibri"/>
          <w:spacing w:val="-2"/>
          <w:kern w:val="22"/>
          <w:lang w:val="en-GB"/>
        </w:rPr>
        <w:t xml:space="preserve">had </w:t>
      </w:r>
      <w:r w:rsidRPr="0004607E">
        <w:rPr>
          <w:rFonts w:eastAsia="Calibri"/>
          <w:spacing w:val="-2"/>
          <w:kern w:val="22"/>
          <w:lang w:val="en-GB"/>
        </w:rPr>
        <w:t>indicated improvement since 2012. These indicators suggested that Japan had managed to come out of two decades of stag</w:t>
      </w:r>
      <w:r w:rsidR="00433373" w:rsidRPr="0004607E">
        <w:rPr>
          <w:rFonts w:eastAsia="Calibri"/>
          <w:spacing w:val="-2"/>
          <w:kern w:val="22"/>
          <w:lang w:val="en-GB"/>
        </w:rPr>
        <w:t>nation</w:t>
      </w:r>
      <w:r w:rsidRPr="0004607E">
        <w:rPr>
          <w:rFonts w:eastAsia="Calibri"/>
          <w:spacing w:val="-2"/>
          <w:kern w:val="22"/>
          <w:lang w:val="en-GB"/>
        </w:rPr>
        <w:t>,</w:t>
      </w:r>
      <w:r w:rsidR="00433373" w:rsidRPr="0004607E">
        <w:rPr>
          <w:rFonts w:eastAsia="Calibri"/>
          <w:spacing w:val="-2"/>
          <w:kern w:val="22"/>
          <w:lang w:val="en-GB"/>
        </w:rPr>
        <w:t xml:space="preserve"> deflation,</w:t>
      </w:r>
      <w:r w:rsidRPr="0004607E">
        <w:rPr>
          <w:rFonts w:eastAsia="Calibri"/>
          <w:spacing w:val="-2"/>
          <w:kern w:val="22"/>
          <w:lang w:val="en-GB"/>
        </w:rPr>
        <w:t xml:space="preserve"> economic pessimism</w:t>
      </w:r>
      <w:r w:rsidR="00A64BFF" w:rsidRPr="0004607E">
        <w:rPr>
          <w:rFonts w:eastAsia="Calibri"/>
          <w:spacing w:val="-2"/>
          <w:kern w:val="22"/>
          <w:lang w:val="en-GB"/>
        </w:rPr>
        <w:t>,</w:t>
      </w:r>
      <w:r w:rsidRPr="0004607E">
        <w:rPr>
          <w:rFonts w:eastAsia="Calibri"/>
          <w:spacing w:val="-2"/>
          <w:kern w:val="22"/>
          <w:lang w:val="en-GB"/>
        </w:rPr>
        <w:t xml:space="preserve"> and i</w:t>
      </w:r>
      <w:r w:rsidR="00763DFA" w:rsidRPr="0004607E">
        <w:rPr>
          <w:rFonts w:eastAsia="Calibri"/>
          <w:spacing w:val="-2"/>
          <w:kern w:val="22"/>
          <w:lang w:val="en-GB"/>
        </w:rPr>
        <w:t xml:space="preserve">nsecurity, lasting </w:t>
      </w:r>
      <w:r w:rsidR="005575B6" w:rsidRPr="0004607E">
        <w:rPr>
          <w:rFonts w:eastAsia="Calibri"/>
          <w:spacing w:val="-2"/>
          <w:kern w:val="22"/>
          <w:lang w:val="en-GB"/>
        </w:rPr>
        <w:t>from</w:t>
      </w:r>
      <w:r w:rsidR="00763DFA" w:rsidRPr="0004607E">
        <w:rPr>
          <w:rFonts w:eastAsia="Calibri"/>
          <w:spacing w:val="-2"/>
          <w:kern w:val="22"/>
          <w:lang w:val="en-GB"/>
        </w:rPr>
        <w:t xml:space="preserve"> 1991</w:t>
      </w:r>
      <w:r w:rsidR="005575B6" w:rsidRPr="0004607E">
        <w:rPr>
          <w:rFonts w:eastAsia="Calibri"/>
          <w:spacing w:val="-2"/>
          <w:kern w:val="22"/>
          <w:lang w:val="en-GB"/>
        </w:rPr>
        <w:t xml:space="preserve"> to </w:t>
      </w:r>
      <w:r w:rsidR="00A64BFF" w:rsidRPr="0004607E">
        <w:rPr>
          <w:rFonts w:eastAsia="Calibri"/>
          <w:spacing w:val="-2"/>
          <w:kern w:val="22"/>
          <w:lang w:val="en-GB"/>
        </w:rPr>
        <w:t>2011</w:t>
      </w:r>
      <w:r w:rsidR="009D76FC" w:rsidRPr="0004607E">
        <w:rPr>
          <w:rFonts w:eastAsia="Calibri"/>
          <w:spacing w:val="-2"/>
          <w:kern w:val="22"/>
          <w:lang w:val="en-GB"/>
        </w:rPr>
        <w:t xml:space="preserve"> and</w:t>
      </w:r>
      <w:r w:rsidR="00A64BFF" w:rsidRPr="0004607E">
        <w:rPr>
          <w:rFonts w:eastAsia="Calibri"/>
          <w:spacing w:val="-2"/>
          <w:kern w:val="22"/>
          <w:lang w:val="en-GB"/>
        </w:rPr>
        <w:t xml:space="preserve"> known as the “lost decades</w:t>
      </w:r>
      <w:r w:rsidR="009D76FC" w:rsidRPr="0004607E">
        <w:rPr>
          <w:rFonts w:eastAsia="Calibri"/>
          <w:spacing w:val="-2"/>
          <w:kern w:val="22"/>
          <w:lang w:val="en-GB"/>
        </w:rPr>
        <w:t>.</w:t>
      </w:r>
      <w:r w:rsidR="00A64BFF" w:rsidRPr="0004607E">
        <w:rPr>
          <w:rFonts w:eastAsia="Calibri"/>
          <w:spacing w:val="-2"/>
          <w:kern w:val="22"/>
          <w:lang w:val="en-GB"/>
        </w:rPr>
        <w:t>”</w:t>
      </w:r>
      <w:r w:rsidRPr="0004607E">
        <w:rPr>
          <w:rFonts w:eastAsia="Calibri"/>
          <w:spacing w:val="-2"/>
          <w:kern w:val="22"/>
          <w:lang w:val="en-GB"/>
        </w:rPr>
        <w:t xml:space="preserve"> Yet, the chief concern </w:t>
      </w:r>
      <w:r w:rsidR="00773C51" w:rsidRPr="0004607E">
        <w:rPr>
          <w:rFonts w:eastAsia="Calibri"/>
          <w:spacing w:val="-2"/>
          <w:kern w:val="22"/>
          <w:lang w:val="en-GB"/>
        </w:rPr>
        <w:t xml:space="preserve">for the governor of the BoJ, Haruhiko Kuroda, </w:t>
      </w:r>
      <w:r w:rsidRPr="0004607E">
        <w:rPr>
          <w:rFonts w:eastAsia="Calibri"/>
          <w:spacing w:val="-2"/>
          <w:kern w:val="22"/>
          <w:lang w:val="en-GB"/>
        </w:rPr>
        <w:t xml:space="preserve">was Japan’s </w:t>
      </w:r>
      <w:r w:rsidR="000933CC" w:rsidRPr="0004607E">
        <w:rPr>
          <w:rFonts w:eastAsia="Calibri"/>
          <w:spacing w:val="-2"/>
          <w:kern w:val="22"/>
          <w:lang w:val="en-GB"/>
        </w:rPr>
        <w:t>headline-inflation</w:t>
      </w:r>
      <w:r w:rsidR="00773C51" w:rsidRPr="0004607E">
        <w:rPr>
          <w:rFonts w:eastAsia="Calibri"/>
          <w:spacing w:val="-2"/>
          <w:kern w:val="22"/>
          <w:lang w:val="en-GB"/>
        </w:rPr>
        <w:t xml:space="preserve"> rate. The headline-inflation rate</w:t>
      </w:r>
      <w:r w:rsidRPr="0004607E">
        <w:rPr>
          <w:rFonts w:eastAsia="Calibri"/>
          <w:spacing w:val="-2"/>
          <w:kern w:val="22"/>
          <w:lang w:val="en-GB"/>
        </w:rPr>
        <w:t xml:space="preserve"> stood at 0.6 per cent</w:t>
      </w:r>
      <w:r w:rsidR="00102656" w:rsidRPr="0004607E">
        <w:rPr>
          <w:rFonts w:eastAsia="Calibri"/>
          <w:spacing w:val="-2"/>
          <w:kern w:val="22"/>
          <w:lang w:val="en-GB"/>
        </w:rPr>
        <w:t xml:space="preserve">, </w:t>
      </w:r>
      <w:r w:rsidR="00897156" w:rsidRPr="0004607E">
        <w:rPr>
          <w:rFonts w:eastAsia="Calibri"/>
          <w:spacing w:val="-2"/>
          <w:kern w:val="22"/>
          <w:lang w:val="en-GB"/>
        </w:rPr>
        <w:t xml:space="preserve">considerably less than the </w:t>
      </w:r>
      <w:r w:rsidR="00A01249" w:rsidRPr="0004607E">
        <w:rPr>
          <w:rFonts w:eastAsia="Calibri"/>
          <w:spacing w:val="-2"/>
          <w:kern w:val="22"/>
          <w:lang w:val="en-GB"/>
        </w:rPr>
        <w:t>2 per cent</w:t>
      </w:r>
      <w:r w:rsidRPr="0004607E">
        <w:rPr>
          <w:rFonts w:eastAsia="Calibri"/>
          <w:spacing w:val="-2"/>
          <w:kern w:val="22"/>
          <w:lang w:val="en-GB"/>
        </w:rPr>
        <w:t xml:space="preserve"> target level set for it by the </w:t>
      </w:r>
      <w:r w:rsidR="00763DFA" w:rsidRPr="0004607E">
        <w:rPr>
          <w:rFonts w:eastAsia="Calibri"/>
          <w:spacing w:val="-2"/>
          <w:kern w:val="22"/>
          <w:lang w:val="en-GB"/>
        </w:rPr>
        <w:t xml:space="preserve">BoJ </w:t>
      </w:r>
      <w:r w:rsidR="00773C51" w:rsidRPr="0004607E">
        <w:rPr>
          <w:rFonts w:eastAsia="Calibri"/>
          <w:spacing w:val="-2"/>
          <w:kern w:val="22"/>
          <w:lang w:val="en-GB"/>
        </w:rPr>
        <w:t>in January 2013.</w:t>
      </w:r>
      <w:r w:rsidR="00773C51" w:rsidRPr="0004607E">
        <w:rPr>
          <w:rFonts w:eastAsia="Calibri"/>
          <w:spacing w:val="-2"/>
          <w:kern w:val="22"/>
          <w:vertAlign w:val="superscript"/>
          <w:lang w:val="en-GB"/>
        </w:rPr>
        <w:endnoteReference w:id="2"/>
      </w:r>
    </w:p>
    <w:p w14:paraId="1D6C887E" w14:textId="77777777" w:rsidR="00DF5A71" w:rsidRPr="0004607E" w:rsidRDefault="00DF5A71" w:rsidP="0004607E">
      <w:pPr>
        <w:pStyle w:val="BodyTextMain"/>
        <w:rPr>
          <w:rFonts w:eastAsia="Calibri"/>
        </w:rPr>
      </w:pPr>
    </w:p>
    <w:p w14:paraId="67BD0BEF" w14:textId="30034DBC" w:rsidR="00DF5A71" w:rsidRPr="004D7F49" w:rsidRDefault="00A64BFF" w:rsidP="00B05762">
      <w:pPr>
        <w:pStyle w:val="BodyTextMain"/>
        <w:rPr>
          <w:rFonts w:eastAsia="Calibri"/>
          <w:lang w:val="en-GB"/>
        </w:rPr>
      </w:pPr>
      <w:r w:rsidRPr="004D7F49">
        <w:rPr>
          <w:rFonts w:eastAsia="Calibri"/>
          <w:lang w:val="en-GB"/>
        </w:rPr>
        <w:t>Over the period 2012–</w:t>
      </w:r>
      <w:r w:rsidR="00DF5A71" w:rsidRPr="004D7F49">
        <w:rPr>
          <w:rFonts w:eastAsia="Calibri"/>
          <w:lang w:val="en-GB"/>
        </w:rPr>
        <w:t xml:space="preserve">2017, Japan’s monetary policy had emerged </w:t>
      </w:r>
      <w:r w:rsidR="007E20C9" w:rsidRPr="004D7F49">
        <w:rPr>
          <w:rFonts w:eastAsia="Calibri"/>
          <w:lang w:val="en-GB"/>
        </w:rPr>
        <w:t>as the chief pillar of P</w:t>
      </w:r>
      <w:r w:rsidR="00DF5A71" w:rsidRPr="004D7F49">
        <w:rPr>
          <w:rFonts w:eastAsia="Calibri"/>
          <w:lang w:val="en-GB"/>
        </w:rPr>
        <w:t>r</w:t>
      </w:r>
      <w:r w:rsidRPr="004D7F49">
        <w:rPr>
          <w:rFonts w:eastAsia="Calibri"/>
          <w:lang w:val="en-GB"/>
        </w:rPr>
        <w:t xml:space="preserve">ime </w:t>
      </w:r>
      <w:r w:rsidR="007E20C9" w:rsidRPr="004D7F49">
        <w:rPr>
          <w:rFonts w:eastAsia="Calibri"/>
          <w:lang w:val="en-GB"/>
        </w:rPr>
        <w:t>M</w:t>
      </w:r>
      <w:r w:rsidRPr="004D7F49">
        <w:rPr>
          <w:rFonts w:eastAsia="Calibri"/>
          <w:lang w:val="en-GB"/>
        </w:rPr>
        <w:t xml:space="preserve">inister Shinzo Abe’s plan, </w:t>
      </w:r>
      <w:r w:rsidR="00773C51">
        <w:rPr>
          <w:rFonts w:eastAsia="Calibri"/>
          <w:lang w:val="en-GB"/>
        </w:rPr>
        <w:t>deemed</w:t>
      </w:r>
      <w:r w:rsidR="00DF5A71" w:rsidRPr="004D7F49">
        <w:rPr>
          <w:rFonts w:eastAsia="Calibri"/>
          <w:lang w:val="en-GB"/>
        </w:rPr>
        <w:t xml:space="preserve"> </w:t>
      </w:r>
      <w:r w:rsidR="00DF5A11">
        <w:rPr>
          <w:rFonts w:eastAsia="Calibri"/>
          <w:lang w:val="en-GB"/>
        </w:rPr>
        <w:t>central</w:t>
      </w:r>
      <w:r w:rsidR="00DF5A11" w:rsidRPr="004D7F49">
        <w:rPr>
          <w:rFonts w:eastAsia="Calibri"/>
          <w:i/>
          <w:lang w:val="en-GB"/>
        </w:rPr>
        <w:t xml:space="preserve"> </w:t>
      </w:r>
      <w:r w:rsidR="00773C51">
        <w:rPr>
          <w:rFonts w:eastAsia="Calibri"/>
          <w:lang w:val="en-GB"/>
        </w:rPr>
        <w:t>to rekindling Japanese growth and</w:t>
      </w:r>
      <w:r w:rsidR="00DF5A71" w:rsidRPr="004D7F49">
        <w:rPr>
          <w:rFonts w:eastAsia="Calibri"/>
          <w:lang w:val="en-GB"/>
        </w:rPr>
        <w:t xml:space="preserve"> end</w:t>
      </w:r>
      <w:r w:rsidR="00773C51">
        <w:rPr>
          <w:rFonts w:eastAsia="Calibri"/>
          <w:lang w:val="en-GB"/>
        </w:rPr>
        <w:t>ing</w:t>
      </w:r>
      <w:r w:rsidR="00DF5A71" w:rsidRPr="004D7F49">
        <w:rPr>
          <w:rFonts w:eastAsia="Calibri"/>
          <w:lang w:val="en-GB"/>
        </w:rPr>
        <w:t xml:space="preserve"> deflation</w:t>
      </w:r>
      <w:r w:rsidR="00A01249">
        <w:rPr>
          <w:rFonts w:eastAsia="Calibri"/>
          <w:lang w:val="en-GB"/>
        </w:rPr>
        <w:t xml:space="preserve"> </w:t>
      </w:r>
      <w:r w:rsidR="00A01249" w:rsidRPr="004D7F49">
        <w:rPr>
          <w:rFonts w:eastAsia="Calibri"/>
          <w:lang w:val="en-GB"/>
        </w:rPr>
        <w:t>(see Exhibit 1)</w:t>
      </w:r>
      <w:r w:rsidR="00DF5A71" w:rsidRPr="004D7F49">
        <w:rPr>
          <w:rFonts w:eastAsia="Calibri"/>
          <w:lang w:val="en-GB"/>
        </w:rPr>
        <w:t xml:space="preserve">. </w:t>
      </w:r>
      <w:r w:rsidR="00482A87" w:rsidRPr="004D7F49">
        <w:rPr>
          <w:rFonts w:eastAsia="Calibri"/>
          <w:lang w:val="en-GB"/>
        </w:rPr>
        <w:t>T</w:t>
      </w:r>
      <w:r w:rsidR="00433373" w:rsidRPr="004D7F49">
        <w:rPr>
          <w:rFonts w:eastAsia="Calibri"/>
          <w:lang w:val="en-GB"/>
        </w:rPr>
        <w:t xml:space="preserve">he </w:t>
      </w:r>
      <w:r w:rsidR="00763DFA" w:rsidRPr="004D7F49">
        <w:rPr>
          <w:rFonts w:eastAsia="Calibri"/>
          <w:lang w:val="en-GB"/>
        </w:rPr>
        <w:t xml:space="preserve">BoJ </w:t>
      </w:r>
      <w:r w:rsidR="00433373" w:rsidRPr="004D7F49">
        <w:rPr>
          <w:rFonts w:eastAsia="Calibri"/>
          <w:lang w:val="en-GB"/>
        </w:rPr>
        <w:t>had been using various unconventional</w:t>
      </w:r>
      <w:r w:rsidR="005830AD" w:rsidRPr="004D7F49">
        <w:rPr>
          <w:rFonts w:eastAsia="Calibri"/>
          <w:lang w:val="en-GB"/>
        </w:rPr>
        <w:t xml:space="preserve"> </w:t>
      </w:r>
      <w:r w:rsidR="00DF5A71" w:rsidRPr="004D7F49">
        <w:rPr>
          <w:rFonts w:eastAsia="Calibri"/>
          <w:lang w:val="en-GB"/>
        </w:rPr>
        <w:t>monetary polic</w:t>
      </w:r>
      <w:r w:rsidR="00433373" w:rsidRPr="004D7F49">
        <w:rPr>
          <w:rFonts w:eastAsia="Calibri"/>
          <w:lang w:val="en-GB"/>
        </w:rPr>
        <w:t>ies</w:t>
      </w:r>
      <w:r w:rsidR="005830AD" w:rsidRPr="004D7F49">
        <w:rPr>
          <w:rFonts w:eastAsia="Calibri"/>
          <w:lang w:val="en-GB"/>
        </w:rPr>
        <w:t xml:space="preserve"> since 1999</w:t>
      </w:r>
      <w:r w:rsidR="00E11BE0" w:rsidRPr="004D7F49">
        <w:rPr>
          <w:rFonts w:eastAsia="Calibri"/>
          <w:lang w:val="en-GB"/>
        </w:rPr>
        <w:t>.</w:t>
      </w:r>
      <w:r w:rsidR="00C64D6B" w:rsidRPr="004D7F49">
        <w:rPr>
          <w:rFonts w:eastAsia="Calibri"/>
          <w:lang w:val="en-GB"/>
        </w:rPr>
        <w:t xml:space="preserve"> What necessitated such unconventional monetary policy measures?</w:t>
      </w:r>
      <w:r w:rsidR="00DF5A71" w:rsidRPr="004D7F49">
        <w:rPr>
          <w:rFonts w:eastAsia="Calibri"/>
          <w:lang w:val="en-GB"/>
        </w:rPr>
        <w:t xml:space="preserve"> </w:t>
      </w:r>
      <w:r w:rsidR="00546F51" w:rsidRPr="004D7F49">
        <w:rPr>
          <w:rFonts w:eastAsia="Calibri"/>
          <w:lang w:val="en-GB"/>
        </w:rPr>
        <w:t>How should business</w:t>
      </w:r>
      <w:r w:rsidR="00BB789F" w:rsidRPr="004D7F49">
        <w:rPr>
          <w:rFonts w:eastAsia="Calibri"/>
          <w:lang w:val="en-GB"/>
        </w:rPr>
        <w:t>es</w:t>
      </w:r>
      <w:r w:rsidR="00546F51" w:rsidRPr="004D7F49">
        <w:rPr>
          <w:rFonts w:eastAsia="Calibri"/>
          <w:lang w:val="en-GB"/>
        </w:rPr>
        <w:t xml:space="preserve"> view such unconventional </w:t>
      </w:r>
      <w:r w:rsidR="00471E80" w:rsidRPr="004D7F49">
        <w:rPr>
          <w:rFonts w:eastAsia="Calibri"/>
          <w:lang w:val="en-GB"/>
        </w:rPr>
        <w:t xml:space="preserve">accommodative </w:t>
      </w:r>
      <w:r w:rsidR="00546F51" w:rsidRPr="004D7F49">
        <w:rPr>
          <w:rFonts w:eastAsia="Calibri"/>
          <w:lang w:val="en-GB"/>
        </w:rPr>
        <w:t xml:space="preserve">monetary policies? </w:t>
      </w:r>
      <w:r w:rsidR="00DA7910" w:rsidRPr="004D7F49">
        <w:rPr>
          <w:rFonts w:eastAsia="Calibri"/>
          <w:lang w:val="en-GB"/>
        </w:rPr>
        <w:t>C</w:t>
      </w:r>
      <w:r w:rsidR="00E11BE0" w:rsidRPr="004D7F49">
        <w:rPr>
          <w:rFonts w:eastAsia="Calibri"/>
          <w:lang w:val="en-GB"/>
        </w:rPr>
        <w:t>ould a policy of accommodation</w:t>
      </w:r>
      <w:r w:rsidR="00DA7910" w:rsidRPr="004D7F49">
        <w:rPr>
          <w:rFonts w:eastAsia="Calibri"/>
          <w:lang w:val="en-GB"/>
        </w:rPr>
        <w:t xml:space="preserve"> stimulate investment in the economy</w:t>
      </w:r>
      <w:r w:rsidR="00203B0C" w:rsidRPr="004D7F49">
        <w:rPr>
          <w:rFonts w:eastAsia="Calibri"/>
          <w:lang w:val="en-GB"/>
        </w:rPr>
        <w:t xml:space="preserve"> and</w:t>
      </w:r>
      <w:r w:rsidR="00131CCC" w:rsidRPr="004D7F49">
        <w:rPr>
          <w:rFonts w:eastAsia="Calibri"/>
          <w:lang w:val="en-GB"/>
        </w:rPr>
        <w:t xml:space="preserve"> lead to</w:t>
      </w:r>
      <w:r w:rsidR="00203B0C" w:rsidRPr="004D7F49">
        <w:rPr>
          <w:rFonts w:eastAsia="Calibri"/>
          <w:lang w:val="en-GB"/>
        </w:rPr>
        <w:t xml:space="preserve"> recovery</w:t>
      </w:r>
      <w:r w:rsidR="009D76FC" w:rsidRPr="004D7F49">
        <w:rPr>
          <w:rFonts w:eastAsia="Calibri"/>
          <w:lang w:val="en-GB"/>
        </w:rPr>
        <w:t>,</w:t>
      </w:r>
      <w:r w:rsidR="00C64D6B" w:rsidRPr="004D7F49">
        <w:rPr>
          <w:rFonts w:eastAsia="Calibri"/>
          <w:lang w:val="en-GB"/>
        </w:rPr>
        <w:t xml:space="preserve"> or</w:t>
      </w:r>
      <w:r w:rsidR="00DA7910" w:rsidRPr="004D7F49">
        <w:rPr>
          <w:rFonts w:eastAsia="Calibri"/>
          <w:lang w:val="en-GB"/>
        </w:rPr>
        <w:t xml:space="preserve"> </w:t>
      </w:r>
      <w:r w:rsidR="00C64D6B" w:rsidRPr="004D7F49">
        <w:rPr>
          <w:rFonts w:eastAsia="Calibri"/>
          <w:lang w:val="en-GB"/>
        </w:rPr>
        <w:t>were</w:t>
      </w:r>
      <w:r w:rsidR="00DA7910" w:rsidRPr="004D7F49">
        <w:rPr>
          <w:rFonts w:eastAsia="Calibri"/>
          <w:lang w:val="en-GB"/>
        </w:rPr>
        <w:t xml:space="preserve"> the</w:t>
      </w:r>
      <w:r w:rsidR="00C64D6B" w:rsidRPr="004D7F49">
        <w:rPr>
          <w:rFonts w:eastAsia="Calibri"/>
          <w:lang w:val="en-GB"/>
        </w:rPr>
        <w:t>re</w:t>
      </w:r>
      <w:r w:rsidR="00471E80" w:rsidRPr="004D7F49">
        <w:rPr>
          <w:rFonts w:eastAsia="Calibri"/>
          <w:lang w:val="en-GB"/>
        </w:rPr>
        <w:t xml:space="preserve"> concerns with</w:t>
      </w:r>
      <w:r w:rsidR="00C64D6B" w:rsidRPr="004D7F49">
        <w:rPr>
          <w:rFonts w:eastAsia="Calibri"/>
          <w:lang w:val="en-GB"/>
        </w:rPr>
        <w:t xml:space="preserve"> </w:t>
      </w:r>
      <w:r w:rsidR="00DA7910" w:rsidRPr="004D7F49">
        <w:rPr>
          <w:rFonts w:eastAsia="Calibri"/>
          <w:lang w:val="en-GB"/>
        </w:rPr>
        <w:t>a continu</w:t>
      </w:r>
      <w:r w:rsidR="00203B0C" w:rsidRPr="004D7F49">
        <w:rPr>
          <w:rFonts w:eastAsia="Calibri"/>
          <w:lang w:val="en-GB"/>
        </w:rPr>
        <w:t>ed monetary stimulus</w:t>
      </w:r>
      <w:r w:rsidR="00DA7910" w:rsidRPr="004D7F49">
        <w:rPr>
          <w:rFonts w:eastAsia="Calibri"/>
          <w:lang w:val="en-GB"/>
        </w:rPr>
        <w:t xml:space="preserve">? </w:t>
      </w:r>
    </w:p>
    <w:p w14:paraId="279E27BB" w14:textId="045560FE" w:rsidR="00B05762" w:rsidRPr="0004607E" w:rsidRDefault="00B05762" w:rsidP="0004607E">
      <w:pPr>
        <w:pStyle w:val="BodyTextMain"/>
        <w:rPr>
          <w:rFonts w:eastAsia="Calibri"/>
        </w:rPr>
      </w:pPr>
    </w:p>
    <w:p w14:paraId="5E35D496" w14:textId="77777777" w:rsidR="00050EC9" w:rsidRPr="0004607E" w:rsidRDefault="00050EC9" w:rsidP="0004607E">
      <w:pPr>
        <w:pStyle w:val="BodyTextMain"/>
        <w:rPr>
          <w:rFonts w:eastAsia="Calibri"/>
        </w:rPr>
      </w:pPr>
    </w:p>
    <w:p w14:paraId="7966F4F7" w14:textId="065DF969" w:rsidR="00DF5A71" w:rsidRPr="004D7F49" w:rsidRDefault="00DF5A71" w:rsidP="00263C98">
      <w:pPr>
        <w:pStyle w:val="Casehead1"/>
        <w:outlineLvl w:val="0"/>
        <w:rPr>
          <w:rFonts w:eastAsia="Calibri"/>
          <w:lang w:val="en-GB"/>
        </w:rPr>
      </w:pPr>
      <w:r w:rsidRPr="004D7F49">
        <w:rPr>
          <w:rFonts w:eastAsia="Calibri"/>
          <w:lang w:val="en-GB"/>
        </w:rPr>
        <w:t>UNCONVENTIONAL MONETARY POLICY MEASURES</w:t>
      </w:r>
    </w:p>
    <w:p w14:paraId="7DD0A53B" w14:textId="77777777" w:rsidR="00DF5A71" w:rsidRPr="0004607E" w:rsidRDefault="00DF5A71" w:rsidP="0004607E">
      <w:pPr>
        <w:pStyle w:val="BodyTextMain"/>
        <w:rPr>
          <w:rFonts w:eastAsia="Calibri"/>
        </w:rPr>
      </w:pPr>
    </w:p>
    <w:p w14:paraId="485FD23A" w14:textId="0A5F1F3F" w:rsidR="00DF5A71" w:rsidRPr="004D7F49" w:rsidRDefault="00DF5A71" w:rsidP="00B05762">
      <w:pPr>
        <w:pStyle w:val="BodyTextMain"/>
        <w:rPr>
          <w:rFonts w:eastAsia="Calibri"/>
          <w:lang w:val="en-GB"/>
        </w:rPr>
      </w:pPr>
      <w:r w:rsidRPr="004D7F49">
        <w:rPr>
          <w:rFonts w:eastAsia="Calibri"/>
          <w:lang w:val="en-GB"/>
        </w:rPr>
        <w:t>Theoretically, all other things being equal, an economy would experience recession and deflation when the real interest rates in the economy exceeded the natural rate of interest (</w:t>
      </w:r>
      <w:r w:rsidR="00773C51">
        <w:rPr>
          <w:rFonts w:eastAsia="Calibri"/>
          <w:lang w:val="en-GB"/>
        </w:rPr>
        <w:t xml:space="preserve">or when natural rates declined). </w:t>
      </w:r>
      <w:r w:rsidR="00773C51" w:rsidRPr="00773C51">
        <w:rPr>
          <w:rFonts w:eastAsia="Calibri"/>
          <w:lang w:val="en-GB"/>
        </w:rPr>
        <w:t>Conversely, output and prices increased when the real interest rate gap turned negative.</w:t>
      </w:r>
      <w:r w:rsidR="00050EC9" w:rsidRPr="004D7F49">
        <w:rPr>
          <w:rFonts w:eastAsia="Calibri"/>
          <w:lang w:val="en-GB"/>
        </w:rPr>
        <w:t xml:space="preserve"> The natural rate of interest was the rate consistent with real </w:t>
      </w:r>
      <w:r w:rsidR="009D76FC" w:rsidRPr="004D7F49">
        <w:rPr>
          <w:rFonts w:eastAsia="Calibri"/>
          <w:lang w:val="en-GB"/>
        </w:rPr>
        <w:t>g</w:t>
      </w:r>
      <w:r w:rsidR="00E3664C" w:rsidRPr="004D7F49">
        <w:rPr>
          <w:rFonts w:eastAsia="Calibri"/>
          <w:lang w:val="en-GB"/>
        </w:rPr>
        <w:t xml:space="preserve">ross </w:t>
      </w:r>
      <w:r w:rsidR="009D76FC" w:rsidRPr="004D7F49">
        <w:rPr>
          <w:rFonts w:eastAsia="Calibri"/>
          <w:lang w:val="en-GB"/>
        </w:rPr>
        <w:t>d</w:t>
      </w:r>
      <w:r w:rsidR="00E3664C" w:rsidRPr="004D7F49">
        <w:rPr>
          <w:rFonts w:eastAsia="Calibri"/>
          <w:lang w:val="en-GB"/>
        </w:rPr>
        <w:t xml:space="preserve">omestic </w:t>
      </w:r>
      <w:r w:rsidR="009D76FC" w:rsidRPr="004D7F49">
        <w:rPr>
          <w:rFonts w:eastAsia="Calibri"/>
          <w:lang w:val="en-GB"/>
        </w:rPr>
        <w:t>p</w:t>
      </w:r>
      <w:r w:rsidR="00E3664C" w:rsidRPr="004D7F49">
        <w:rPr>
          <w:rFonts w:eastAsia="Calibri"/>
          <w:lang w:val="en-GB"/>
        </w:rPr>
        <w:t>roduct (</w:t>
      </w:r>
      <w:r w:rsidR="00050EC9" w:rsidRPr="004D7F49">
        <w:rPr>
          <w:rFonts w:eastAsia="Calibri"/>
          <w:lang w:val="en-GB"/>
        </w:rPr>
        <w:t>GDP</w:t>
      </w:r>
      <w:r w:rsidR="00E3664C" w:rsidRPr="004D7F49">
        <w:rPr>
          <w:rFonts w:eastAsia="Calibri"/>
          <w:lang w:val="en-GB"/>
        </w:rPr>
        <w:t>)</w:t>
      </w:r>
      <w:r w:rsidR="00050EC9" w:rsidRPr="004D7F49">
        <w:rPr>
          <w:rFonts w:eastAsia="Calibri"/>
          <w:lang w:val="en-GB"/>
        </w:rPr>
        <w:t xml:space="preserve"> growing at its trend (potential) rate with stable inflation and</w:t>
      </w:r>
      <w:r w:rsidR="009D76FC" w:rsidRPr="004D7F49">
        <w:rPr>
          <w:rFonts w:eastAsia="Calibri"/>
          <w:lang w:val="en-GB"/>
        </w:rPr>
        <w:t>,</w:t>
      </w:r>
      <w:r w:rsidR="00050EC9" w:rsidRPr="004D7F49">
        <w:rPr>
          <w:rFonts w:eastAsia="Calibri"/>
          <w:lang w:val="en-GB"/>
        </w:rPr>
        <w:t xml:space="preserve"> hence</w:t>
      </w:r>
      <w:r w:rsidR="009D76FC" w:rsidRPr="004D7F49">
        <w:rPr>
          <w:rFonts w:eastAsia="Calibri"/>
          <w:lang w:val="en-GB"/>
        </w:rPr>
        <w:t>,</w:t>
      </w:r>
      <w:r w:rsidR="00050EC9" w:rsidRPr="004D7F49">
        <w:rPr>
          <w:rFonts w:eastAsia="Calibri"/>
          <w:lang w:val="en-GB"/>
        </w:rPr>
        <w:t xml:space="preserve"> the rate at which the central bank would maintain a neutral monetary policy stance (i.e.</w:t>
      </w:r>
      <w:r w:rsidR="009D76FC" w:rsidRPr="004D7F49">
        <w:rPr>
          <w:rFonts w:eastAsia="Calibri"/>
          <w:lang w:val="en-GB"/>
        </w:rPr>
        <w:t>,</w:t>
      </w:r>
      <w:r w:rsidR="00050EC9" w:rsidRPr="004D7F49">
        <w:rPr>
          <w:rFonts w:eastAsia="Calibri"/>
          <w:lang w:val="en-GB"/>
        </w:rPr>
        <w:t xml:space="preserve"> neither loose nor tight).</w:t>
      </w:r>
      <w:r w:rsidRPr="004D7F49">
        <w:rPr>
          <w:rFonts w:eastAsia="Calibri"/>
          <w:lang w:val="en-GB"/>
        </w:rPr>
        <w:t xml:space="preserve"> The expected</w:t>
      </w:r>
      <w:r w:rsidR="00773C51">
        <w:rPr>
          <w:rFonts w:eastAsia="Calibri"/>
          <w:lang w:val="en-GB"/>
        </w:rPr>
        <w:t>,</w:t>
      </w:r>
      <w:r w:rsidRPr="004D7F49">
        <w:rPr>
          <w:rFonts w:eastAsia="Calibri"/>
          <w:lang w:val="en-GB"/>
        </w:rPr>
        <w:t xml:space="preserve"> futur</w:t>
      </w:r>
      <w:r w:rsidR="00773C51">
        <w:rPr>
          <w:rFonts w:eastAsia="Calibri"/>
          <w:lang w:val="en-GB"/>
        </w:rPr>
        <w:t>e-</w:t>
      </w:r>
      <w:r w:rsidRPr="004D7F49">
        <w:rPr>
          <w:rFonts w:eastAsia="Calibri"/>
          <w:lang w:val="en-GB"/>
        </w:rPr>
        <w:t xml:space="preserve">short-term real interest rates were one way of assessing such </w:t>
      </w:r>
      <w:r w:rsidR="00102656" w:rsidRPr="004D7F49">
        <w:rPr>
          <w:rFonts w:eastAsia="Calibri"/>
          <w:lang w:val="en-GB"/>
        </w:rPr>
        <w:t xml:space="preserve">a </w:t>
      </w:r>
      <w:r w:rsidRPr="004D7F49">
        <w:rPr>
          <w:rFonts w:eastAsia="Calibri"/>
          <w:lang w:val="en-GB"/>
        </w:rPr>
        <w:t>natural interest rate.</w:t>
      </w:r>
      <w:r w:rsidRPr="004D7F49">
        <w:rPr>
          <w:rFonts w:eastAsia="Calibri"/>
          <w:vertAlign w:val="superscript"/>
          <w:lang w:val="en-GB"/>
        </w:rPr>
        <w:endnoteReference w:id="3"/>
      </w:r>
      <w:r w:rsidRPr="004D7F49">
        <w:rPr>
          <w:rFonts w:eastAsia="Calibri"/>
          <w:lang w:val="en-GB"/>
        </w:rPr>
        <w:t xml:space="preserve"> Thus, any accommodative monetary policy, regardless of whether it was conducted through conventional or unconventional policy means, meant that the central bank sought to drive the real interest rate below the natural rate of interest.</w:t>
      </w:r>
      <w:r w:rsidRPr="004D7F49">
        <w:rPr>
          <w:rFonts w:eastAsia="Calibri"/>
          <w:vertAlign w:val="superscript"/>
          <w:lang w:val="en-GB"/>
        </w:rPr>
        <w:endnoteReference w:id="4"/>
      </w:r>
      <w:r w:rsidRPr="004D7F49">
        <w:rPr>
          <w:rFonts w:eastAsia="Calibri"/>
          <w:lang w:val="en-GB"/>
        </w:rPr>
        <w:t xml:space="preserve"> </w:t>
      </w:r>
    </w:p>
    <w:p w14:paraId="1F10D669" w14:textId="77777777" w:rsidR="00DF5A71" w:rsidRPr="0004607E" w:rsidRDefault="00DF5A71" w:rsidP="0004607E">
      <w:pPr>
        <w:pStyle w:val="BodyTextMain"/>
        <w:rPr>
          <w:rFonts w:eastAsia="Calibri"/>
        </w:rPr>
      </w:pPr>
    </w:p>
    <w:p w14:paraId="41D8B035" w14:textId="7D8B1E89" w:rsidR="00DF5A71" w:rsidRPr="004D7F49" w:rsidRDefault="00DF5A71" w:rsidP="00B05762">
      <w:pPr>
        <w:pStyle w:val="BodyTextMain"/>
        <w:rPr>
          <w:rFonts w:eastAsia="Calibri"/>
          <w:lang w:val="en-GB"/>
        </w:rPr>
      </w:pPr>
      <w:r w:rsidRPr="004D7F49">
        <w:rPr>
          <w:rFonts w:eastAsia="Calibri"/>
          <w:lang w:val="en-GB"/>
        </w:rPr>
        <w:t>Central banks traditionally used either price</w:t>
      </w:r>
      <w:r w:rsidR="00ED38D0" w:rsidRPr="004D7F49">
        <w:rPr>
          <w:rFonts w:eastAsia="Calibri"/>
          <w:lang w:val="en-GB"/>
        </w:rPr>
        <w:t xml:space="preserve"> </w:t>
      </w:r>
      <w:r w:rsidR="00050EC9" w:rsidRPr="004D7F49">
        <w:rPr>
          <w:rFonts w:eastAsia="Calibri"/>
          <w:lang w:val="en-GB"/>
        </w:rPr>
        <w:t xml:space="preserve">instruments (interest rates) </w:t>
      </w:r>
      <w:r w:rsidRPr="004D7F49">
        <w:rPr>
          <w:rFonts w:eastAsia="Calibri"/>
          <w:lang w:val="en-GB"/>
        </w:rPr>
        <w:t>or quantity instruments</w:t>
      </w:r>
      <w:r w:rsidR="00A15497" w:rsidRPr="004D7F49">
        <w:rPr>
          <w:rFonts w:eastAsia="Calibri"/>
          <w:lang w:val="en-GB"/>
        </w:rPr>
        <w:t>,</w:t>
      </w:r>
      <w:r w:rsidR="0042254F" w:rsidRPr="004D7F49">
        <w:rPr>
          <w:rFonts w:eastAsia="Calibri"/>
          <w:lang w:val="en-GB"/>
        </w:rPr>
        <w:t xml:space="preserve"> such as the monetary base or other monetary aggregates</w:t>
      </w:r>
      <w:r w:rsidR="00A15497" w:rsidRPr="004D7F49">
        <w:rPr>
          <w:rFonts w:eastAsia="Calibri"/>
          <w:lang w:val="en-GB"/>
        </w:rPr>
        <w:t>,</w:t>
      </w:r>
      <w:r w:rsidRPr="004D7F49">
        <w:rPr>
          <w:rFonts w:eastAsia="Calibri"/>
          <w:lang w:val="en-GB"/>
        </w:rPr>
        <w:t xml:space="preserve"> to effect monetary policies.</w:t>
      </w:r>
      <w:r w:rsidRPr="004D7F49">
        <w:rPr>
          <w:rFonts w:eastAsia="Calibri"/>
          <w:vertAlign w:val="superscript"/>
          <w:lang w:val="en-GB"/>
        </w:rPr>
        <w:endnoteReference w:id="5"/>
      </w:r>
      <w:r w:rsidRPr="004D7F49">
        <w:rPr>
          <w:rFonts w:eastAsia="Calibri"/>
          <w:lang w:val="en-GB"/>
        </w:rPr>
        <w:t xml:space="preserve"> </w:t>
      </w:r>
      <w:r w:rsidR="0042254F" w:rsidRPr="004D7F49">
        <w:rPr>
          <w:rFonts w:eastAsia="Calibri"/>
          <w:lang w:val="en-GB"/>
        </w:rPr>
        <w:t>C</w:t>
      </w:r>
      <w:r w:rsidRPr="004D7F49">
        <w:rPr>
          <w:rFonts w:eastAsia="Calibri"/>
          <w:lang w:val="en-GB"/>
        </w:rPr>
        <w:t xml:space="preserve">onventional monetary policy </w:t>
      </w:r>
      <w:r w:rsidRPr="004D7F49">
        <w:rPr>
          <w:rFonts w:eastAsia="Calibri"/>
          <w:lang w:val="en-GB"/>
        </w:rPr>
        <w:lastRenderedPageBreak/>
        <w:t>measures followed by most central banks during normal times</w:t>
      </w:r>
      <w:r w:rsidR="00A15497" w:rsidRPr="004D7F49">
        <w:rPr>
          <w:rFonts w:eastAsia="Calibri"/>
          <w:lang w:val="en-GB"/>
        </w:rPr>
        <w:t xml:space="preserve"> were </w:t>
      </w:r>
      <w:r w:rsidRPr="004D7F49">
        <w:rPr>
          <w:rFonts w:eastAsia="Calibri"/>
          <w:lang w:val="en-GB"/>
        </w:rPr>
        <w:t xml:space="preserve">to first set targets for policy rates (typically, interest rates in the overnight </w:t>
      </w:r>
      <w:bookmarkStart w:id="0" w:name="_Hlk525458351"/>
      <w:r w:rsidRPr="004D7F49">
        <w:rPr>
          <w:rFonts w:eastAsia="Calibri"/>
          <w:lang w:val="en-GB"/>
        </w:rPr>
        <w:t xml:space="preserve">interbank </w:t>
      </w:r>
      <w:r w:rsidR="00CE4FDC">
        <w:rPr>
          <w:rFonts w:eastAsia="Calibri"/>
          <w:lang w:val="en-GB"/>
        </w:rPr>
        <w:t>call-money</w:t>
      </w:r>
      <w:r w:rsidRPr="004D7F49">
        <w:rPr>
          <w:rFonts w:eastAsia="Calibri"/>
          <w:lang w:val="en-GB"/>
        </w:rPr>
        <w:t xml:space="preserve"> markets</w:t>
      </w:r>
      <w:bookmarkEnd w:id="0"/>
      <w:r w:rsidRPr="004D7F49">
        <w:rPr>
          <w:rFonts w:eastAsia="Calibri"/>
          <w:lang w:val="en-GB"/>
        </w:rPr>
        <w:t xml:space="preserve">). </w:t>
      </w:r>
      <w:r w:rsidR="0042254F" w:rsidRPr="004D7F49">
        <w:rPr>
          <w:rFonts w:eastAsia="Calibri"/>
          <w:lang w:val="en-GB"/>
        </w:rPr>
        <w:t>C</w:t>
      </w:r>
      <w:r w:rsidRPr="004D7F49">
        <w:rPr>
          <w:rFonts w:eastAsia="Calibri"/>
          <w:lang w:val="en-GB"/>
        </w:rPr>
        <w:t xml:space="preserve">entral banks would then use </w:t>
      </w:r>
      <w:r w:rsidR="009D76FC" w:rsidRPr="004D7F49">
        <w:rPr>
          <w:rFonts w:eastAsia="Calibri"/>
          <w:lang w:val="en-GB"/>
        </w:rPr>
        <w:t>o</w:t>
      </w:r>
      <w:r w:rsidRPr="004D7F49">
        <w:rPr>
          <w:rFonts w:eastAsia="Calibri"/>
          <w:lang w:val="en-GB"/>
        </w:rPr>
        <w:t xml:space="preserve">pen </w:t>
      </w:r>
      <w:r w:rsidR="009D76FC" w:rsidRPr="004D7F49">
        <w:rPr>
          <w:rFonts w:eastAsia="Calibri"/>
          <w:lang w:val="en-GB"/>
        </w:rPr>
        <w:t>m</w:t>
      </w:r>
      <w:r w:rsidRPr="004D7F49">
        <w:rPr>
          <w:rFonts w:eastAsia="Calibri"/>
          <w:lang w:val="en-GB"/>
        </w:rPr>
        <w:t xml:space="preserve">arket </w:t>
      </w:r>
      <w:r w:rsidR="009D76FC" w:rsidRPr="004D7F49">
        <w:rPr>
          <w:rFonts w:eastAsia="Calibri"/>
          <w:lang w:val="en-GB"/>
        </w:rPr>
        <w:t>o</w:t>
      </w:r>
      <w:r w:rsidRPr="004D7F49">
        <w:rPr>
          <w:rFonts w:eastAsia="Calibri"/>
          <w:lang w:val="en-GB"/>
        </w:rPr>
        <w:t>perations (OMOs) to ensure that such targets were met. For instance, buying government securities through OMOs would increase the amount of money in the banking system and help in lowering interest rates in the economy towards the t</w:t>
      </w:r>
      <w:r w:rsidR="00367CAE">
        <w:rPr>
          <w:rFonts w:eastAsia="Calibri"/>
          <w:lang w:val="en-GB"/>
        </w:rPr>
        <w:t xml:space="preserve">arget policy rate. An inexpensive </w:t>
      </w:r>
      <w:r w:rsidRPr="004D7F49">
        <w:rPr>
          <w:rFonts w:eastAsia="Calibri"/>
          <w:lang w:val="en-GB"/>
        </w:rPr>
        <w:t xml:space="preserve">(easy) money policy, under conventional measures, meant lower target policy rates, and the reverse </w:t>
      </w:r>
      <w:r w:rsidR="00F04155" w:rsidRPr="004D7F49">
        <w:rPr>
          <w:rFonts w:eastAsia="Calibri"/>
          <w:lang w:val="en-GB"/>
        </w:rPr>
        <w:t xml:space="preserve">was true </w:t>
      </w:r>
      <w:r w:rsidRPr="004D7F49">
        <w:rPr>
          <w:rFonts w:eastAsia="Calibri"/>
          <w:lang w:val="en-GB"/>
        </w:rPr>
        <w:t>for tight money policies. Conventionally, central banks would not lend directly to the private sector or to the government</w:t>
      </w:r>
      <w:r w:rsidR="00F04155" w:rsidRPr="004D7F49">
        <w:rPr>
          <w:rFonts w:eastAsia="Calibri"/>
          <w:lang w:val="en-GB"/>
        </w:rPr>
        <w:t>,</w:t>
      </w:r>
      <w:r w:rsidRPr="004D7F49">
        <w:rPr>
          <w:rFonts w:eastAsia="Calibri"/>
          <w:lang w:val="en-GB"/>
        </w:rPr>
        <w:t xml:space="preserve"> nor would they undertake outright purchases of government bonds, corporate debt</w:t>
      </w:r>
      <w:r w:rsidR="00F04155" w:rsidRPr="004D7F49">
        <w:rPr>
          <w:rFonts w:eastAsia="Calibri"/>
          <w:lang w:val="en-GB"/>
        </w:rPr>
        <w:t>,</w:t>
      </w:r>
      <w:r w:rsidRPr="004D7F49">
        <w:rPr>
          <w:rFonts w:eastAsia="Calibri"/>
          <w:lang w:val="en-GB"/>
        </w:rPr>
        <w:t xml:space="preserve"> or other debt instruments in pursuance of monetary policy objectives.</w:t>
      </w:r>
      <w:r w:rsidRPr="004D7F49">
        <w:rPr>
          <w:rFonts w:eastAsia="Calibri"/>
          <w:vertAlign w:val="superscript"/>
          <w:lang w:val="en-GB"/>
        </w:rPr>
        <w:endnoteReference w:id="6"/>
      </w:r>
      <w:r w:rsidRPr="004D7F49">
        <w:rPr>
          <w:rFonts w:eastAsia="Calibri"/>
          <w:lang w:val="en-GB"/>
        </w:rPr>
        <w:t xml:space="preserve"> </w:t>
      </w:r>
    </w:p>
    <w:p w14:paraId="30ECB34D" w14:textId="77777777" w:rsidR="00DF5A71" w:rsidRPr="0004607E" w:rsidRDefault="00DF5A71" w:rsidP="0004607E">
      <w:pPr>
        <w:pStyle w:val="BodyTextMain"/>
        <w:rPr>
          <w:rFonts w:eastAsia="Calibri"/>
        </w:rPr>
      </w:pPr>
    </w:p>
    <w:p w14:paraId="03A766D8" w14:textId="3A868451" w:rsidR="00DF5A71" w:rsidRPr="004D7F49" w:rsidRDefault="00DF5A71" w:rsidP="00B05762">
      <w:pPr>
        <w:pStyle w:val="BodyTextMain"/>
        <w:rPr>
          <w:rFonts w:eastAsia="Calibri"/>
          <w:lang w:val="en-GB"/>
        </w:rPr>
      </w:pPr>
      <w:r w:rsidRPr="004D7F49">
        <w:rPr>
          <w:rFonts w:eastAsia="Calibri"/>
          <w:lang w:val="en-GB"/>
        </w:rPr>
        <w:t xml:space="preserve">However, during abnormal times, </w:t>
      </w:r>
      <w:r w:rsidR="00F04155" w:rsidRPr="004D7F49">
        <w:rPr>
          <w:rFonts w:eastAsia="Calibri"/>
          <w:lang w:val="en-GB"/>
        </w:rPr>
        <w:t xml:space="preserve">either </w:t>
      </w:r>
      <w:r w:rsidRPr="004D7F49">
        <w:rPr>
          <w:rFonts w:eastAsia="Calibri"/>
          <w:lang w:val="en-GB"/>
        </w:rPr>
        <w:t>when the nominal policy rates</w:t>
      </w:r>
      <w:r w:rsidRPr="004D7F49">
        <w:rPr>
          <w:rFonts w:eastAsia="Calibri"/>
          <w:vertAlign w:val="superscript"/>
          <w:lang w:val="en-GB"/>
        </w:rPr>
        <w:endnoteReference w:id="7"/>
      </w:r>
      <w:r w:rsidRPr="004D7F49">
        <w:rPr>
          <w:rFonts w:eastAsia="Calibri"/>
          <w:lang w:val="en-GB"/>
        </w:rPr>
        <w:t xml:space="preserve"> had already been brought down to zero (or near zero) or when the monetary transmission process had been severely impaired, such conventional measures could no longer be used to achieve monetary policy objectives. In such situations, central banks could use unconventional monetary policy measures</w:t>
      </w:r>
      <w:r w:rsidR="00F04155" w:rsidRPr="004D7F49">
        <w:rPr>
          <w:rFonts w:eastAsia="Calibri"/>
          <w:lang w:val="en-GB"/>
        </w:rPr>
        <w:t>,</w:t>
      </w:r>
      <w:r w:rsidRPr="004D7F49">
        <w:rPr>
          <w:rFonts w:eastAsia="Calibri"/>
          <w:lang w:val="en-GB"/>
        </w:rPr>
        <w:t xml:space="preserve"> defined as “policies that directly target[ed] the cost and availability of external finance to banks, households and non-financial companies</w:t>
      </w:r>
      <w:r w:rsidR="00F04155" w:rsidRPr="004D7F49">
        <w:rPr>
          <w:rFonts w:eastAsia="Calibri"/>
          <w:lang w:val="en-GB"/>
        </w:rPr>
        <w:t>,</w:t>
      </w:r>
      <w:r w:rsidRPr="004D7F49">
        <w:rPr>
          <w:rFonts w:eastAsia="Calibri"/>
          <w:lang w:val="en-GB"/>
        </w:rPr>
        <w:t>”</w:t>
      </w:r>
      <w:r w:rsidRPr="004D7F49">
        <w:rPr>
          <w:rFonts w:eastAsia="Calibri"/>
          <w:vertAlign w:val="superscript"/>
          <w:lang w:val="en-GB"/>
        </w:rPr>
        <w:endnoteReference w:id="8"/>
      </w:r>
      <w:r w:rsidR="001621F5" w:rsidRPr="004D7F49">
        <w:rPr>
          <w:rFonts w:eastAsia="Calibri"/>
          <w:lang w:val="en-GB"/>
        </w:rPr>
        <w:t xml:space="preserve"> </w:t>
      </w:r>
      <w:r w:rsidRPr="004D7F49">
        <w:rPr>
          <w:rFonts w:eastAsia="Calibri"/>
          <w:lang w:val="en-GB"/>
        </w:rPr>
        <w:t>to overcome the problem of the “</w:t>
      </w:r>
      <w:r w:rsidR="007B3A2A" w:rsidRPr="004D7F49">
        <w:rPr>
          <w:rFonts w:eastAsia="Calibri"/>
          <w:lang w:val="en-GB"/>
        </w:rPr>
        <w:t>z</w:t>
      </w:r>
      <w:r w:rsidRPr="004D7F49">
        <w:rPr>
          <w:rFonts w:eastAsia="Calibri"/>
          <w:lang w:val="en-GB"/>
        </w:rPr>
        <w:t xml:space="preserve">ero </w:t>
      </w:r>
      <w:r w:rsidR="007B3A2A" w:rsidRPr="004D7F49">
        <w:rPr>
          <w:rFonts w:eastAsia="Calibri"/>
          <w:lang w:val="en-GB"/>
        </w:rPr>
        <w:t>l</w:t>
      </w:r>
      <w:r w:rsidRPr="004D7F49">
        <w:rPr>
          <w:rFonts w:eastAsia="Calibri"/>
          <w:lang w:val="en-GB"/>
        </w:rPr>
        <w:t xml:space="preserve">ower </w:t>
      </w:r>
      <w:r w:rsidR="007B3A2A" w:rsidRPr="004D7F49">
        <w:rPr>
          <w:rFonts w:eastAsia="Calibri"/>
          <w:lang w:val="en-GB"/>
        </w:rPr>
        <w:t>b</w:t>
      </w:r>
      <w:r w:rsidRPr="004D7F49">
        <w:rPr>
          <w:rFonts w:eastAsia="Calibri"/>
          <w:lang w:val="en-GB"/>
        </w:rPr>
        <w:t>ound</w:t>
      </w:r>
      <w:r w:rsidR="007B3A2A" w:rsidRPr="004D7F49">
        <w:rPr>
          <w:rFonts w:eastAsia="Calibri"/>
          <w:lang w:val="en-GB"/>
        </w:rPr>
        <w:t xml:space="preserve">.” </w:t>
      </w:r>
      <w:r w:rsidRPr="004D7F49">
        <w:rPr>
          <w:rFonts w:eastAsia="Calibri"/>
          <w:lang w:val="en-GB"/>
        </w:rPr>
        <w:t xml:space="preserve">Such unconventional monetary policy measures to stimulate the economy could </w:t>
      </w:r>
      <w:r w:rsidR="00BE069F">
        <w:rPr>
          <w:rFonts w:eastAsia="Calibri"/>
          <w:lang w:val="en-GB"/>
        </w:rPr>
        <w:t>consist</w:t>
      </w:r>
      <w:r w:rsidRPr="004D7F49">
        <w:rPr>
          <w:rFonts w:eastAsia="Calibri"/>
          <w:lang w:val="en-GB"/>
        </w:rPr>
        <w:t xml:space="preserve"> of </w:t>
      </w:r>
      <w:r w:rsidR="00F04155" w:rsidRPr="004D7F49">
        <w:rPr>
          <w:rFonts w:eastAsia="Calibri"/>
          <w:lang w:val="en-GB"/>
        </w:rPr>
        <w:t>(1</w:t>
      </w:r>
      <w:r w:rsidRPr="004D7F49">
        <w:rPr>
          <w:rFonts w:eastAsia="Calibri"/>
          <w:lang w:val="en-GB"/>
        </w:rPr>
        <w:t xml:space="preserve">) </w:t>
      </w:r>
      <w:r w:rsidR="00F04155" w:rsidRPr="004D7F49">
        <w:rPr>
          <w:rFonts w:eastAsia="Calibri"/>
          <w:lang w:val="en-GB"/>
        </w:rPr>
        <w:t>f</w:t>
      </w:r>
      <w:r w:rsidRPr="004D7F49">
        <w:rPr>
          <w:rFonts w:eastAsia="Calibri"/>
          <w:lang w:val="en-GB"/>
        </w:rPr>
        <w:t xml:space="preserve">orward </w:t>
      </w:r>
      <w:r w:rsidR="00F04155" w:rsidRPr="004D7F49">
        <w:rPr>
          <w:rFonts w:eastAsia="Calibri"/>
          <w:lang w:val="en-GB"/>
        </w:rPr>
        <w:t>g</w:t>
      </w:r>
      <w:r w:rsidRPr="004D7F49">
        <w:rPr>
          <w:rFonts w:eastAsia="Calibri"/>
          <w:lang w:val="en-GB"/>
        </w:rPr>
        <w:t xml:space="preserve">uidance to </w:t>
      </w:r>
      <w:r w:rsidR="00BE069F">
        <w:rPr>
          <w:rFonts w:eastAsia="Calibri"/>
          <w:lang w:val="en-GB"/>
        </w:rPr>
        <w:t>medium-</w:t>
      </w:r>
      <w:r w:rsidRPr="004D7F49">
        <w:rPr>
          <w:rFonts w:eastAsia="Calibri"/>
          <w:lang w:val="en-GB"/>
        </w:rPr>
        <w:t xml:space="preserve"> and long-term inflation expectations, </w:t>
      </w:r>
      <w:r w:rsidR="007B3A2A" w:rsidRPr="004D7F49">
        <w:rPr>
          <w:rFonts w:eastAsia="Calibri"/>
          <w:lang w:val="en-GB"/>
        </w:rPr>
        <w:t xml:space="preserve">consisting </w:t>
      </w:r>
      <w:r w:rsidRPr="004D7F49">
        <w:rPr>
          <w:rFonts w:eastAsia="Calibri"/>
          <w:lang w:val="en-GB"/>
        </w:rPr>
        <w:t>of promising to continue with virtually zero (or very low) interest rates into the future</w:t>
      </w:r>
      <w:r w:rsidR="007B3A2A" w:rsidRPr="004D7F49">
        <w:rPr>
          <w:rFonts w:eastAsia="Calibri"/>
          <w:lang w:val="en-GB"/>
        </w:rPr>
        <w:t xml:space="preserve">; </w:t>
      </w:r>
      <w:r w:rsidR="00F04155" w:rsidRPr="004D7F49">
        <w:rPr>
          <w:rFonts w:eastAsia="Calibri"/>
          <w:lang w:val="en-GB"/>
        </w:rPr>
        <w:t>(2</w:t>
      </w:r>
      <w:r w:rsidR="007B3A2A" w:rsidRPr="004D7F49">
        <w:rPr>
          <w:rFonts w:eastAsia="Calibri"/>
          <w:lang w:val="en-GB"/>
        </w:rPr>
        <w:t xml:space="preserve">) </w:t>
      </w:r>
      <w:r w:rsidR="00F04155" w:rsidRPr="004D7F49">
        <w:rPr>
          <w:rFonts w:eastAsia="Calibri"/>
          <w:lang w:val="en-GB"/>
        </w:rPr>
        <w:t>c</w:t>
      </w:r>
      <w:r w:rsidRPr="004D7F49">
        <w:rPr>
          <w:rFonts w:eastAsia="Calibri"/>
          <w:lang w:val="en-GB"/>
        </w:rPr>
        <w:t>hanging the composition of the central bank’s balance sheet</w:t>
      </w:r>
      <w:r w:rsidR="007B3A2A" w:rsidRPr="004D7F49">
        <w:rPr>
          <w:rFonts w:eastAsia="Calibri"/>
          <w:lang w:val="en-GB"/>
        </w:rPr>
        <w:t>;</w:t>
      </w:r>
      <w:r w:rsidRPr="004D7F49">
        <w:rPr>
          <w:rFonts w:eastAsia="Calibri"/>
          <w:vertAlign w:val="superscript"/>
          <w:lang w:val="en-GB"/>
        </w:rPr>
        <w:endnoteReference w:id="9"/>
      </w:r>
      <w:r w:rsidR="007B3A2A" w:rsidRPr="004D7F49">
        <w:rPr>
          <w:rFonts w:eastAsia="Calibri"/>
          <w:lang w:val="en-GB"/>
        </w:rPr>
        <w:t xml:space="preserve"> </w:t>
      </w:r>
      <w:r w:rsidRPr="004D7F49">
        <w:rPr>
          <w:rFonts w:eastAsia="Calibri"/>
          <w:lang w:val="en-GB"/>
        </w:rPr>
        <w:t>a</w:t>
      </w:r>
      <w:r w:rsidR="007B3A2A" w:rsidRPr="004D7F49">
        <w:rPr>
          <w:rFonts w:eastAsia="Calibri"/>
          <w:lang w:val="en-GB"/>
        </w:rPr>
        <w:t xml:space="preserve">nd </w:t>
      </w:r>
      <w:r w:rsidR="00F04155" w:rsidRPr="004D7F49">
        <w:rPr>
          <w:rFonts w:eastAsia="Calibri"/>
          <w:lang w:val="en-GB"/>
        </w:rPr>
        <w:t>(3</w:t>
      </w:r>
      <w:r w:rsidR="007B3A2A" w:rsidRPr="004D7F49">
        <w:rPr>
          <w:rFonts w:eastAsia="Calibri"/>
          <w:lang w:val="en-GB"/>
        </w:rPr>
        <w:t xml:space="preserve">) </w:t>
      </w:r>
      <w:r w:rsidR="00F04155" w:rsidRPr="004D7F49">
        <w:rPr>
          <w:rFonts w:eastAsia="Calibri"/>
          <w:lang w:val="en-GB"/>
        </w:rPr>
        <w:t>e</w:t>
      </w:r>
      <w:r w:rsidRPr="004D7F49">
        <w:rPr>
          <w:rFonts w:eastAsia="Calibri"/>
          <w:lang w:val="en-GB"/>
        </w:rPr>
        <w:t>xpanding the size of the central bank balance sheet or “</w:t>
      </w:r>
      <w:r w:rsidR="007B3A2A" w:rsidRPr="004D7F49">
        <w:rPr>
          <w:rFonts w:eastAsia="Calibri"/>
          <w:lang w:val="en-GB"/>
        </w:rPr>
        <w:t>quantitative e</w:t>
      </w:r>
      <w:r w:rsidRPr="004D7F49">
        <w:rPr>
          <w:rFonts w:eastAsia="Calibri"/>
          <w:lang w:val="en-GB"/>
        </w:rPr>
        <w:t>asing</w:t>
      </w:r>
      <w:r w:rsidR="007B3A2A" w:rsidRPr="004D7F49">
        <w:rPr>
          <w:rFonts w:eastAsia="Calibri"/>
          <w:lang w:val="en-GB"/>
        </w:rPr>
        <w:t>,</w:t>
      </w:r>
      <w:r w:rsidRPr="004D7F49">
        <w:rPr>
          <w:rFonts w:eastAsia="Calibri"/>
          <w:lang w:val="en-GB"/>
        </w:rPr>
        <w:t>” consisting of purchases of government bonds and other unconventional assets with longer maturities.</w:t>
      </w:r>
      <w:r w:rsidRPr="004D7F49">
        <w:rPr>
          <w:rFonts w:eastAsia="Calibri"/>
          <w:vertAlign w:val="superscript"/>
          <w:lang w:val="en-GB"/>
        </w:rPr>
        <w:endnoteReference w:id="10"/>
      </w:r>
    </w:p>
    <w:p w14:paraId="48212617" w14:textId="5213174E" w:rsidR="00DF5A71" w:rsidRPr="0004607E" w:rsidRDefault="00DF5A71" w:rsidP="0004607E">
      <w:pPr>
        <w:pStyle w:val="BodyTextMain"/>
        <w:rPr>
          <w:rFonts w:eastAsia="Calibri"/>
        </w:rPr>
      </w:pPr>
    </w:p>
    <w:p w14:paraId="25CB36EE" w14:textId="77777777" w:rsidR="009944E0" w:rsidRPr="0004607E" w:rsidRDefault="009944E0" w:rsidP="0004607E">
      <w:pPr>
        <w:pStyle w:val="BodyTextMain"/>
        <w:rPr>
          <w:rFonts w:eastAsia="Calibri"/>
        </w:rPr>
      </w:pPr>
    </w:p>
    <w:p w14:paraId="4E8836EA" w14:textId="2D21A556" w:rsidR="00DF5A71" w:rsidRPr="004D7F49" w:rsidRDefault="00DF5A71" w:rsidP="00263C98">
      <w:pPr>
        <w:pStyle w:val="Casehead1"/>
        <w:outlineLvl w:val="0"/>
        <w:rPr>
          <w:rFonts w:eastAsia="Calibri"/>
          <w:lang w:val="en-GB"/>
        </w:rPr>
      </w:pPr>
      <w:r w:rsidRPr="004D7F49">
        <w:rPr>
          <w:rFonts w:eastAsia="Calibri"/>
          <w:lang w:val="en-GB"/>
        </w:rPr>
        <w:t>JAPAN’S UNCONVENTIONAL POLICY MEASURES</w:t>
      </w:r>
    </w:p>
    <w:p w14:paraId="7ED0B053" w14:textId="4BFFE653" w:rsidR="00696C6F" w:rsidRPr="0004607E" w:rsidRDefault="00696C6F" w:rsidP="0004607E">
      <w:pPr>
        <w:pStyle w:val="BodyTextMain"/>
        <w:rPr>
          <w:rFonts w:eastAsia="Calibri"/>
          <w:sz w:val="18"/>
          <w:szCs w:val="18"/>
          <w:lang w:val="en-GB"/>
        </w:rPr>
      </w:pPr>
    </w:p>
    <w:p w14:paraId="783C96E1" w14:textId="1D0D8F18" w:rsidR="00696C6F" w:rsidRPr="004D7F49" w:rsidRDefault="00696C6F" w:rsidP="00696C6F">
      <w:pPr>
        <w:pStyle w:val="BodyTextMain"/>
        <w:rPr>
          <w:rFonts w:eastAsia="Calibri"/>
          <w:lang w:val="en-GB"/>
        </w:rPr>
      </w:pPr>
      <w:r w:rsidRPr="004D7F49">
        <w:rPr>
          <w:rFonts w:eastAsia="Calibri"/>
          <w:lang w:val="en-GB"/>
        </w:rPr>
        <w:t>The Japanese economy, which had exhibited high growth rates in the 1970s and 1980s</w:t>
      </w:r>
      <w:r w:rsidR="00F04155" w:rsidRPr="004D7F49">
        <w:rPr>
          <w:rFonts w:eastAsia="Calibri"/>
          <w:lang w:val="en-GB"/>
        </w:rPr>
        <w:t>,</w:t>
      </w:r>
      <w:r w:rsidR="001621F5" w:rsidRPr="004D7F49">
        <w:rPr>
          <w:rFonts w:eastAsia="Calibri"/>
          <w:vertAlign w:val="superscript"/>
          <w:lang w:val="en-GB"/>
        </w:rPr>
        <w:endnoteReference w:id="11"/>
      </w:r>
      <w:r w:rsidRPr="004D7F49">
        <w:rPr>
          <w:rFonts w:eastAsia="Calibri"/>
          <w:lang w:val="en-GB"/>
        </w:rPr>
        <w:t xml:space="preserve"> began to stall in 1991. Japan entered a period of deflation and low growth for the next two decades</w:t>
      </w:r>
      <w:r w:rsidR="00A21E43" w:rsidRPr="004D7F49">
        <w:rPr>
          <w:rFonts w:eastAsia="Calibri"/>
          <w:lang w:val="en-GB"/>
        </w:rPr>
        <w:t>, termed the “</w:t>
      </w:r>
      <w:r w:rsidRPr="004D7F49">
        <w:rPr>
          <w:rFonts w:eastAsia="Calibri"/>
          <w:lang w:val="en-GB"/>
        </w:rPr>
        <w:t>lost decades</w:t>
      </w:r>
      <w:r w:rsidR="00F04155" w:rsidRPr="004D7F49">
        <w:rPr>
          <w:rFonts w:eastAsia="Calibri"/>
          <w:lang w:val="en-GB"/>
        </w:rPr>
        <w:t>.</w:t>
      </w:r>
      <w:r w:rsidR="00A21E43" w:rsidRPr="004D7F49">
        <w:rPr>
          <w:rFonts w:eastAsia="Calibri"/>
          <w:lang w:val="en-GB"/>
        </w:rPr>
        <w:t>”</w:t>
      </w:r>
      <w:r w:rsidR="002C70C9" w:rsidRPr="004D7F49">
        <w:rPr>
          <w:rFonts w:eastAsia="Calibri"/>
          <w:vertAlign w:val="superscript"/>
          <w:lang w:val="en-GB"/>
        </w:rPr>
        <w:endnoteReference w:id="12"/>
      </w:r>
      <w:r w:rsidR="00A21E43" w:rsidRPr="004D7F49">
        <w:rPr>
          <w:rFonts w:eastAsia="Calibri"/>
          <w:lang w:val="en-GB"/>
        </w:rPr>
        <w:t xml:space="preserve"> </w:t>
      </w:r>
      <w:r w:rsidRPr="004D7F49">
        <w:rPr>
          <w:rFonts w:eastAsia="Calibri"/>
          <w:lang w:val="en-GB"/>
        </w:rPr>
        <w:t>The GDP growth rate turned negativ</w:t>
      </w:r>
      <w:r w:rsidR="001B3C0D" w:rsidRPr="004D7F49">
        <w:rPr>
          <w:rFonts w:eastAsia="Calibri"/>
          <w:lang w:val="en-GB"/>
        </w:rPr>
        <w:t>e in 1998</w:t>
      </w:r>
      <w:r w:rsidR="00F04155" w:rsidRPr="004D7F49">
        <w:rPr>
          <w:rFonts w:eastAsia="Calibri"/>
          <w:lang w:val="en-GB"/>
        </w:rPr>
        <w:t>,</w:t>
      </w:r>
      <w:r w:rsidRPr="004D7F49">
        <w:rPr>
          <w:rFonts w:eastAsia="Calibri"/>
          <w:vertAlign w:val="superscript"/>
          <w:lang w:val="en-GB"/>
        </w:rPr>
        <w:endnoteReference w:id="13"/>
      </w:r>
      <w:r w:rsidRPr="004D7F49">
        <w:rPr>
          <w:rFonts w:eastAsia="Calibri"/>
          <w:lang w:val="en-GB"/>
        </w:rPr>
        <w:t xml:space="preserve"> declined</w:t>
      </w:r>
      <w:r w:rsidR="00F04155" w:rsidRPr="004D7F49">
        <w:rPr>
          <w:rFonts w:eastAsia="Calibri"/>
          <w:lang w:val="en-GB"/>
        </w:rPr>
        <w:t>,</w:t>
      </w:r>
      <w:r w:rsidRPr="004D7F49">
        <w:rPr>
          <w:rFonts w:eastAsia="Calibri"/>
          <w:lang w:val="en-GB"/>
        </w:rPr>
        <w:t xml:space="preserve"> an</w:t>
      </w:r>
      <w:r w:rsidR="00A21E43" w:rsidRPr="004D7F49">
        <w:rPr>
          <w:rFonts w:eastAsia="Calibri"/>
          <w:lang w:val="en-GB"/>
        </w:rPr>
        <w:t>d was estimated to have reached zero</w:t>
      </w:r>
      <w:r w:rsidRPr="004D7F49">
        <w:rPr>
          <w:rFonts w:eastAsia="Calibri"/>
          <w:lang w:val="en-GB"/>
        </w:rPr>
        <w:t xml:space="preserve"> per cent by 2000</w:t>
      </w:r>
      <w:r w:rsidR="001B3C0D" w:rsidRPr="004D7F49">
        <w:rPr>
          <w:rFonts w:eastAsia="Calibri"/>
          <w:lang w:val="en-GB"/>
        </w:rPr>
        <w:t xml:space="preserve"> (</w:t>
      </w:r>
      <w:r w:rsidR="00991603" w:rsidRPr="004D7F49">
        <w:rPr>
          <w:rFonts w:eastAsia="Calibri"/>
          <w:lang w:val="en-GB"/>
        </w:rPr>
        <w:t xml:space="preserve">see </w:t>
      </w:r>
      <w:r w:rsidR="001B3C0D" w:rsidRPr="004D7F49">
        <w:rPr>
          <w:rFonts w:eastAsia="Calibri"/>
          <w:lang w:val="en-GB"/>
        </w:rPr>
        <w:t>Exhibit 2)</w:t>
      </w:r>
      <w:r w:rsidRPr="004D7F49">
        <w:rPr>
          <w:rFonts w:eastAsia="Calibri"/>
          <w:lang w:val="en-GB"/>
        </w:rPr>
        <w:t>.</w:t>
      </w:r>
      <w:r w:rsidRPr="004D7F49">
        <w:rPr>
          <w:rFonts w:eastAsia="Calibri"/>
          <w:vertAlign w:val="superscript"/>
          <w:lang w:val="en-GB"/>
        </w:rPr>
        <w:endnoteReference w:id="14"/>
      </w:r>
      <w:r w:rsidRPr="004D7F49">
        <w:rPr>
          <w:rFonts w:eastAsia="Calibri"/>
          <w:lang w:val="en-GB"/>
        </w:rPr>
        <w:t xml:space="preserve"> The economy plunged into a period of recession and deflation. </w:t>
      </w:r>
    </w:p>
    <w:p w14:paraId="5AAF9BF4" w14:textId="77777777" w:rsidR="00DF5A71" w:rsidRPr="0004607E" w:rsidRDefault="00DF5A71" w:rsidP="0004607E">
      <w:pPr>
        <w:pStyle w:val="BodyTextMain"/>
        <w:rPr>
          <w:rFonts w:eastAsia="Calibri"/>
          <w:sz w:val="18"/>
          <w:szCs w:val="18"/>
        </w:rPr>
      </w:pPr>
    </w:p>
    <w:p w14:paraId="1DFEBD87" w14:textId="0A3F77F1" w:rsidR="00DF5A71" w:rsidRPr="004D7F49" w:rsidRDefault="00763DFA" w:rsidP="0004607E">
      <w:pPr>
        <w:pStyle w:val="BodyTextMain"/>
        <w:rPr>
          <w:rFonts w:eastAsia="Calibri"/>
          <w:lang w:val="en-GB"/>
        </w:rPr>
      </w:pPr>
      <w:r w:rsidRPr="004D7F49">
        <w:rPr>
          <w:rFonts w:eastAsia="Calibri"/>
          <w:lang w:val="en-GB"/>
        </w:rPr>
        <w:t xml:space="preserve">The </w:t>
      </w:r>
      <w:r w:rsidR="00897156" w:rsidRPr="004D7F49">
        <w:rPr>
          <w:rFonts w:eastAsia="Calibri"/>
          <w:lang w:val="en-GB"/>
        </w:rPr>
        <w:t xml:space="preserve">BoJ </w:t>
      </w:r>
      <w:r w:rsidR="00DF5A71" w:rsidRPr="004D7F49">
        <w:rPr>
          <w:rFonts w:eastAsia="Calibri"/>
          <w:lang w:val="en-GB"/>
        </w:rPr>
        <w:t>would need to increase the natural rate of interest to get the economy out of deflation. Japan’s declining natural interest rate was</w:t>
      </w:r>
      <w:r w:rsidR="00794FE2" w:rsidRPr="004D7F49">
        <w:rPr>
          <w:rFonts w:eastAsia="Calibri"/>
          <w:lang w:val="en-GB"/>
        </w:rPr>
        <w:t xml:space="preserve"> mainly</w:t>
      </w:r>
      <w:r w:rsidR="00DF5A71" w:rsidRPr="004D7F49">
        <w:rPr>
          <w:rFonts w:eastAsia="Calibri"/>
          <w:lang w:val="en-GB"/>
        </w:rPr>
        <w:t xml:space="preserve"> </w:t>
      </w:r>
      <w:r w:rsidR="00F04155" w:rsidRPr="004D7F49">
        <w:rPr>
          <w:rFonts w:eastAsia="Calibri"/>
          <w:lang w:val="en-GB"/>
        </w:rPr>
        <w:t>the</w:t>
      </w:r>
      <w:r w:rsidR="00DF5A71" w:rsidRPr="004D7F49">
        <w:rPr>
          <w:rFonts w:eastAsia="Calibri"/>
          <w:lang w:val="en-GB"/>
        </w:rPr>
        <w:t xml:space="preserve"> result of structural </w:t>
      </w:r>
      <w:r w:rsidR="00794FE2" w:rsidRPr="004D7F49">
        <w:rPr>
          <w:rFonts w:eastAsia="Calibri"/>
          <w:lang w:val="en-GB"/>
        </w:rPr>
        <w:t>factors</w:t>
      </w:r>
      <w:r w:rsidR="00DF5A71" w:rsidRPr="004D7F49">
        <w:rPr>
          <w:rFonts w:eastAsia="Calibri"/>
          <w:lang w:val="en-GB"/>
        </w:rPr>
        <w:t xml:space="preserve">. These included declining potential growth rates, global factors contributing to a saving glut, </w:t>
      </w:r>
      <w:r w:rsidR="00BE069F">
        <w:rPr>
          <w:rFonts w:eastAsia="Calibri"/>
          <w:lang w:val="en-GB"/>
        </w:rPr>
        <w:t>and</w:t>
      </w:r>
      <w:r w:rsidR="00F04155" w:rsidRPr="004D7F49">
        <w:rPr>
          <w:rFonts w:eastAsia="Calibri"/>
          <w:lang w:val="en-GB"/>
        </w:rPr>
        <w:t xml:space="preserve"> </w:t>
      </w:r>
      <w:r w:rsidR="00DF5A71" w:rsidRPr="004D7F49">
        <w:rPr>
          <w:rFonts w:eastAsia="Calibri"/>
          <w:lang w:val="en-GB"/>
        </w:rPr>
        <w:t xml:space="preserve">Japan-specific factors leading to an increase in </w:t>
      </w:r>
      <w:r w:rsidR="00DF5A71" w:rsidRPr="0004607E">
        <w:rPr>
          <w:rFonts w:eastAsia="Calibri"/>
        </w:rPr>
        <w:t>domestic</w:t>
      </w:r>
      <w:r w:rsidR="00DF5A71" w:rsidRPr="004D7F49">
        <w:rPr>
          <w:rFonts w:eastAsia="Calibri"/>
          <w:lang w:val="en-GB"/>
        </w:rPr>
        <w:t xml:space="preserve"> savings over investment.</w:t>
      </w:r>
      <w:r w:rsidR="00DF5A71" w:rsidRPr="004D7F49">
        <w:rPr>
          <w:rFonts w:eastAsia="Calibri"/>
          <w:vertAlign w:val="superscript"/>
          <w:lang w:val="en-GB"/>
        </w:rPr>
        <w:endnoteReference w:id="15"/>
      </w:r>
    </w:p>
    <w:p w14:paraId="50B9AE5F" w14:textId="77777777" w:rsidR="00DF5A71" w:rsidRPr="0004607E" w:rsidRDefault="00DF5A71" w:rsidP="0004607E">
      <w:pPr>
        <w:pStyle w:val="BodyTextMain"/>
        <w:rPr>
          <w:rFonts w:eastAsia="Calibri"/>
          <w:sz w:val="18"/>
          <w:szCs w:val="18"/>
        </w:rPr>
      </w:pPr>
    </w:p>
    <w:p w14:paraId="7E63538A" w14:textId="69D881B7" w:rsidR="00DF5A71" w:rsidRPr="004D7F49" w:rsidRDefault="00DF5A71" w:rsidP="00B05762">
      <w:pPr>
        <w:pStyle w:val="BodyTextMain"/>
        <w:rPr>
          <w:rFonts w:eastAsia="Calibri"/>
          <w:lang w:val="en-GB"/>
        </w:rPr>
      </w:pPr>
      <w:r w:rsidRPr="004D7F49">
        <w:rPr>
          <w:rFonts w:eastAsia="Calibri"/>
          <w:lang w:val="en-GB"/>
        </w:rPr>
        <w:t xml:space="preserve">Since the 1990s, Japan </w:t>
      </w:r>
      <w:r w:rsidR="00F04155" w:rsidRPr="004D7F49">
        <w:rPr>
          <w:rFonts w:eastAsia="Calibri"/>
          <w:lang w:val="en-GB"/>
        </w:rPr>
        <w:t xml:space="preserve">had </w:t>
      </w:r>
      <w:r w:rsidRPr="004D7F49">
        <w:rPr>
          <w:rFonts w:eastAsia="Calibri"/>
          <w:lang w:val="en-GB"/>
        </w:rPr>
        <w:t xml:space="preserve">sought to address the problem of declining natural rates of interest and the </w:t>
      </w:r>
      <w:r w:rsidR="00A21E43" w:rsidRPr="004D7F49">
        <w:rPr>
          <w:rFonts w:eastAsia="Calibri"/>
          <w:lang w:val="en-GB"/>
        </w:rPr>
        <w:t>z</w:t>
      </w:r>
      <w:r w:rsidRPr="004D7F49">
        <w:rPr>
          <w:rFonts w:eastAsia="Calibri"/>
          <w:lang w:val="en-GB"/>
        </w:rPr>
        <w:t xml:space="preserve">ero </w:t>
      </w:r>
      <w:r w:rsidR="00A21E43" w:rsidRPr="004D7F49">
        <w:rPr>
          <w:rFonts w:eastAsia="Calibri"/>
          <w:lang w:val="en-GB"/>
        </w:rPr>
        <w:t>l</w:t>
      </w:r>
      <w:r w:rsidRPr="004D7F49">
        <w:rPr>
          <w:rFonts w:eastAsia="Calibri"/>
          <w:lang w:val="en-GB"/>
        </w:rPr>
        <w:t xml:space="preserve">ower </w:t>
      </w:r>
      <w:r w:rsidR="00A21E43" w:rsidRPr="004D7F49">
        <w:rPr>
          <w:rFonts w:eastAsia="Calibri"/>
          <w:lang w:val="en-GB"/>
        </w:rPr>
        <w:t>b</w:t>
      </w:r>
      <w:r w:rsidRPr="004D7F49">
        <w:rPr>
          <w:rFonts w:eastAsia="Calibri"/>
          <w:lang w:val="en-GB"/>
        </w:rPr>
        <w:t>ound by using a set of unconventional monetary policy measures. These m</w:t>
      </w:r>
      <w:r w:rsidR="00A21E43" w:rsidRPr="004D7F49">
        <w:rPr>
          <w:rFonts w:eastAsia="Calibri"/>
          <w:lang w:val="en-GB"/>
        </w:rPr>
        <w:t>ethods aimed at overcoming the zero l</w:t>
      </w:r>
      <w:r w:rsidRPr="004D7F49">
        <w:rPr>
          <w:rFonts w:eastAsia="Calibri"/>
          <w:lang w:val="en-GB"/>
        </w:rPr>
        <w:t>ower</w:t>
      </w:r>
      <w:r w:rsidR="00A21E43" w:rsidRPr="004D7F49">
        <w:rPr>
          <w:rFonts w:eastAsia="Calibri"/>
          <w:lang w:val="en-GB"/>
        </w:rPr>
        <w:t xml:space="preserve"> b</w:t>
      </w:r>
      <w:r w:rsidRPr="004D7F49">
        <w:rPr>
          <w:rFonts w:eastAsia="Calibri"/>
          <w:lang w:val="en-GB"/>
        </w:rPr>
        <w:t>ound in four ways</w:t>
      </w:r>
      <w:r w:rsidR="00FD171A">
        <w:rPr>
          <w:rFonts w:eastAsia="Calibri"/>
          <w:lang w:val="en-GB"/>
        </w:rPr>
        <w:t>:</w:t>
      </w:r>
      <w:r w:rsidRPr="004D7F49">
        <w:rPr>
          <w:rFonts w:eastAsia="Calibri"/>
          <w:lang w:val="en-GB"/>
        </w:rPr>
        <w:t xml:space="preserve"> </w:t>
      </w:r>
      <w:r w:rsidR="00FD171A">
        <w:rPr>
          <w:rFonts w:eastAsia="Calibri"/>
          <w:lang w:val="en-GB"/>
        </w:rPr>
        <w:t>f</w:t>
      </w:r>
      <w:r w:rsidR="00F04155" w:rsidRPr="004D7F49">
        <w:rPr>
          <w:rFonts w:eastAsia="Calibri"/>
          <w:lang w:val="en-GB"/>
        </w:rPr>
        <w:t>irst</w:t>
      </w:r>
      <w:r w:rsidRPr="004D7F49">
        <w:rPr>
          <w:rFonts w:eastAsia="Calibri"/>
          <w:lang w:val="en-GB"/>
        </w:rPr>
        <w:t xml:space="preserve">, shifting the operating target </w:t>
      </w:r>
      <w:r w:rsidR="00A56BBF" w:rsidRPr="004D7F49">
        <w:rPr>
          <w:rFonts w:eastAsia="Calibri"/>
          <w:lang w:val="en-GB"/>
        </w:rPr>
        <w:t>from short</w:t>
      </w:r>
      <w:r w:rsidR="00F04155" w:rsidRPr="004D7F49">
        <w:rPr>
          <w:rFonts w:eastAsia="Calibri"/>
          <w:lang w:val="en-GB"/>
        </w:rPr>
        <w:t>-</w:t>
      </w:r>
      <w:r w:rsidR="00A56BBF" w:rsidRPr="004D7F49">
        <w:rPr>
          <w:rFonts w:eastAsia="Calibri"/>
          <w:lang w:val="en-GB"/>
        </w:rPr>
        <w:t xml:space="preserve">term interest rates, </w:t>
      </w:r>
      <w:r w:rsidRPr="004D7F49">
        <w:rPr>
          <w:rFonts w:eastAsia="Calibri"/>
          <w:lang w:val="en-GB"/>
        </w:rPr>
        <w:t>which faced the zero lower bound, to long-term interest rates</w:t>
      </w:r>
      <w:r w:rsidR="00A56BBF" w:rsidRPr="004D7F49">
        <w:rPr>
          <w:rFonts w:eastAsia="Calibri"/>
          <w:lang w:val="en-GB"/>
        </w:rPr>
        <w:t>;</w:t>
      </w:r>
      <w:r w:rsidRPr="004D7F49">
        <w:rPr>
          <w:rFonts w:eastAsia="Calibri"/>
          <w:vertAlign w:val="superscript"/>
          <w:lang w:val="en-GB"/>
        </w:rPr>
        <w:endnoteReference w:id="16"/>
      </w:r>
      <w:r w:rsidR="00A56BBF" w:rsidRPr="004D7F49">
        <w:rPr>
          <w:rFonts w:eastAsia="Calibri"/>
          <w:lang w:val="en-GB"/>
        </w:rPr>
        <w:t xml:space="preserve"> </w:t>
      </w:r>
      <w:r w:rsidR="00661EE4" w:rsidRPr="004D7F49">
        <w:rPr>
          <w:rFonts w:eastAsia="Calibri"/>
          <w:lang w:val="en-GB"/>
        </w:rPr>
        <w:t>s</w:t>
      </w:r>
      <w:r w:rsidRPr="004D7F49">
        <w:rPr>
          <w:rFonts w:eastAsia="Calibri"/>
          <w:lang w:val="en-GB"/>
        </w:rPr>
        <w:t>econd, influencing risk premiums</w:t>
      </w:r>
      <w:r w:rsidR="00FD171A">
        <w:rPr>
          <w:rFonts w:eastAsia="Calibri"/>
          <w:lang w:val="en-GB"/>
        </w:rPr>
        <w:t>,</w:t>
      </w:r>
      <w:r w:rsidRPr="004D7F49">
        <w:rPr>
          <w:rFonts w:eastAsia="Calibri"/>
          <w:lang w:val="en-GB"/>
        </w:rPr>
        <w:t xml:space="preserve"> mainly through the purchase of risk assets</w:t>
      </w:r>
      <w:r w:rsidR="00FD171A">
        <w:rPr>
          <w:rFonts w:eastAsia="Calibri"/>
          <w:lang w:val="en-GB"/>
        </w:rPr>
        <w:t>,</w:t>
      </w:r>
      <w:r w:rsidRPr="004D7F49">
        <w:rPr>
          <w:rFonts w:eastAsia="Calibri"/>
          <w:lang w:val="en-GB"/>
        </w:rPr>
        <w:t xml:space="preserve"> when faced with a limit to reducing interest rates on risk-free assets, such as government bonds; </w:t>
      </w:r>
      <w:r w:rsidR="00661EE4" w:rsidRPr="004D7F49">
        <w:rPr>
          <w:rFonts w:eastAsia="Calibri"/>
          <w:lang w:val="en-GB"/>
        </w:rPr>
        <w:t>t</w:t>
      </w:r>
      <w:r w:rsidRPr="004D7F49">
        <w:rPr>
          <w:rFonts w:eastAsia="Calibri"/>
          <w:lang w:val="en-GB"/>
        </w:rPr>
        <w:t>hird, removing the zero lower bound by applying a negative short-term nominal interest rate</w:t>
      </w:r>
      <w:r w:rsidR="00A56BBF" w:rsidRPr="004D7F49">
        <w:rPr>
          <w:rFonts w:eastAsia="Calibri"/>
          <w:lang w:val="en-GB"/>
        </w:rPr>
        <w:t xml:space="preserve">; and </w:t>
      </w:r>
      <w:r w:rsidR="00661EE4" w:rsidRPr="004D7F49">
        <w:rPr>
          <w:rFonts w:eastAsia="Calibri"/>
          <w:lang w:val="en-GB"/>
        </w:rPr>
        <w:t>f</w:t>
      </w:r>
      <w:r w:rsidRPr="004D7F49">
        <w:rPr>
          <w:rFonts w:eastAsia="Calibri"/>
          <w:lang w:val="en-GB"/>
        </w:rPr>
        <w:t>ourth, influencing people’s inflationary expectations by reducing real interest rates</w:t>
      </w:r>
      <w:r w:rsidR="00FD171A">
        <w:rPr>
          <w:rFonts w:eastAsia="Calibri"/>
          <w:lang w:val="en-GB"/>
        </w:rPr>
        <w:t>,</w:t>
      </w:r>
      <w:r w:rsidRPr="004D7F49">
        <w:rPr>
          <w:rFonts w:eastAsia="Calibri"/>
          <w:lang w:val="en-GB"/>
        </w:rPr>
        <w:t xml:space="preserve"> rather than by affecting nominal interest rates.</w:t>
      </w:r>
      <w:r w:rsidRPr="004D7F49">
        <w:rPr>
          <w:rFonts w:eastAsia="Calibri"/>
          <w:vertAlign w:val="superscript"/>
          <w:lang w:val="en-GB"/>
        </w:rPr>
        <w:endnoteReference w:id="17"/>
      </w:r>
    </w:p>
    <w:p w14:paraId="74B7A730" w14:textId="77777777" w:rsidR="00B05762" w:rsidRPr="0004607E" w:rsidRDefault="00B05762" w:rsidP="0004607E">
      <w:pPr>
        <w:pStyle w:val="BodyTextMain"/>
        <w:rPr>
          <w:rFonts w:eastAsia="Calibri"/>
          <w:sz w:val="18"/>
          <w:szCs w:val="18"/>
        </w:rPr>
      </w:pPr>
    </w:p>
    <w:p w14:paraId="60F695EF" w14:textId="77777777" w:rsidR="00A56BBF" w:rsidRPr="0004607E" w:rsidRDefault="00A56BBF" w:rsidP="0004607E">
      <w:pPr>
        <w:pStyle w:val="BodyTextMain"/>
        <w:rPr>
          <w:rFonts w:eastAsia="Calibri"/>
          <w:sz w:val="18"/>
          <w:szCs w:val="18"/>
        </w:rPr>
      </w:pPr>
    </w:p>
    <w:p w14:paraId="4495DC91" w14:textId="433ACEAA" w:rsidR="00DF5A71" w:rsidRPr="004D7F49" w:rsidRDefault="00A56BBF" w:rsidP="00263C98">
      <w:pPr>
        <w:jc w:val="both"/>
        <w:outlineLvl w:val="0"/>
        <w:rPr>
          <w:rFonts w:ascii="Arial" w:eastAsia="Calibri" w:hAnsi="Arial" w:cs="Arial"/>
          <w:b/>
          <w:lang w:val="en-GB"/>
        </w:rPr>
      </w:pPr>
      <w:r w:rsidRPr="004D7F49">
        <w:rPr>
          <w:rFonts w:ascii="Arial" w:eastAsia="Calibri" w:hAnsi="Arial" w:cs="Arial"/>
          <w:b/>
          <w:lang w:val="en-GB"/>
        </w:rPr>
        <w:t>Zero Interest Rate Policy: 1999–</w:t>
      </w:r>
      <w:r w:rsidR="00DF5A71" w:rsidRPr="004D7F49">
        <w:rPr>
          <w:rFonts w:ascii="Arial" w:eastAsia="Calibri" w:hAnsi="Arial" w:cs="Arial"/>
          <w:b/>
          <w:lang w:val="en-GB"/>
        </w:rPr>
        <w:t>2000</w:t>
      </w:r>
    </w:p>
    <w:p w14:paraId="443B7187" w14:textId="77777777" w:rsidR="00DF5A71" w:rsidRPr="0004607E" w:rsidRDefault="00DF5A71" w:rsidP="0004607E">
      <w:pPr>
        <w:pStyle w:val="BodyTextMain"/>
        <w:rPr>
          <w:rFonts w:eastAsia="Calibri"/>
          <w:sz w:val="18"/>
          <w:szCs w:val="18"/>
        </w:rPr>
      </w:pPr>
    </w:p>
    <w:p w14:paraId="377F337E" w14:textId="0D29B45B" w:rsidR="00DF5A71" w:rsidRDefault="00DF5A71" w:rsidP="00B05762">
      <w:pPr>
        <w:pStyle w:val="BodyTextMain"/>
        <w:rPr>
          <w:rFonts w:eastAsia="Calibri"/>
          <w:spacing w:val="-2"/>
          <w:lang w:val="en-GB"/>
        </w:rPr>
      </w:pPr>
      <w:r w:rsidRPr="004D7F49">
        <w:rPr>
          <w:rFonts w:ascii="Times" w:eastAsia="Calibri" w:hAnsi="Times"/>
          <w:spacing w:val="-2"/>
          <w:lang w:val="en-GB"/>
        </w:rPr>
        <w:t>One of the earliest unconventional monetary policy measures used by Japan to fight deflation</w:t>
      </w:r>
      <w:r w:rsidR="00E3664C" w:rsidRPr="004D7F49">
        <w:rPr>
          <w:rFonts w:ascii="Times" w:eastAsia="Calibri" w:hAnsi="Times"/>
          <w:spacing w:val="-2"/>
          <w:lang w:val="en-GB"/>
        </w:rPr>
        <w:t xml:space="preserve"> and negative growth</w:t>
      </w:r>
      <w:r w:rsidRPr="004D7F49">
        <w:rPr>
          <w:rFonts w:ascii="Times" w:eastAsia="Calibri" w:hAnsi="Times"/>
          <w:spacing w:val="-2"/>
          <w:lang w:val="en-GB"/>
        </w:rPr>
        <w:t xml:space="preserve"> was </w:t>
      </w:r>
      <w:r w:rsidR="00661EE4" w:rsidRPr="004D7F49">
        <w:rPr>
          <w:rFonts w:ascii="Times" w:eastAsia="Calibri" w:hAnsi="Times"/>
          <w:spacing w:val="-2"/>
          <w:lang w:val="en-GB"/>
        </w:rPr>
        <w:t>a</w:t>
      </w:r>
      <w:r w:rsidRPr="004D7F49">
        <w:rPr>
          <w:rFonts w:ascii="Times" w:eastAsia="Calibri" w:hAnsi="Times"/>
          <w:spacing w:val="-2"/>
          <w:lang w:val="en-GB"/>
        </w:rPr>
        <w:t xml:space="preserve"> </w:t>
      </w:r>
      <w:r w:rsidR="00661EE4" w:rsidRPr="004D7F49">
        <w:rPr>
          <w:rFonts w:ascii="Times" w:eastAsia="Calibri" w:hAnsi="Times"/>
          <w:spacing w:val="-2"/>
          <w:lang w:val="en-GB"/>
        </w:rPr>
        <w:t>z</w:t>
      </w:r>
      <w:r w:rsidRPr="004D7F49">
        <w:rPr>
          <w:rFonts w:ascii="Times" w:eastAsia="Calibri" w:hAnsi="Times"/>
          <w:spacing w:val="-2"/>
          <w:lang w:val="en-GB"/>
        </w:rPr>
        <w:t xml:space="preserve">ero </w:t>
      </w:r>
      <w:r w:rsidR="00661EE4" w:rsidRPr="004D7F49">
        <w:rPr>
          <w:rFonts w:ascii="Times" w:eastAsia="Calibri" w:hAnsi="Times"/>
          <w:spacing w:val="-2"/>
          <w:lang w:val="en-GB"/>
        </w:rPr>
        <w:t>i</w:t>
      </w:r>
      <w:r w:rsidRPr="004D7F49">
        <w:rPr>
          <w:rFonts w:ascii="Times" w:eastAsia="Calibri" w:hAnsi="Times"/>
          <w:spacing w:val="-2"/>
          <w:lang w:val="en-GB"/>
        </w:rPr>
        <w:t xml:space="preserve">nterest </w:t>
      </w:r>
      <w:r w:rsidR="00661EE4" w:rsidRPr="004D7F49">
        <w:rPr>
          <w:rFonts w:ascii="Times" w:eastAsia="Calibri" w:hAnsi="Times"/>
          <w:spacing w:val="-2"/>
          <w:lang w:val="en-GB"/>
        </w:rPr>
        <w:t>r</w:t>
      </w:r>
      <w:r w:rsidRPr="004D7F49">
        <w:rPr>
          <w:rFonts w:ascii="Times" w:eastAsia="Calibri" w:hAnsi="Times"/>
          <w:spacing w:val="-2"/>
          <w:lang w:val="en-GB"/>
        </w:rPr>
        <w:t xml:space="preserve">ate </w:t>
      </w:r>
      <w:r w:rsidR="00661EE4" w:rsidRPr="004D7F49">
        <w:rPr>
          <w:rFonts w:ascii="Times" w:eastAsia="Calibri" w:hAnsi="Times"/>
          <w:spacing w:val="-2"/>
          <w:lang w:val="en-GB"/>
        </w:rPr>
        <w:t>p</w:t>
      </w:r>
      <w:r w:rsidRPr="004D7F49">
        <w:rPr>
          <w:rFonts w:ascii="Times" w:eastAsia="Calibri" w:hAnsi="Times"/>
          <w:spacing w:val="-2"/>
          <w:lang w:val="en-GB"/>
        </w:rPr>
        <w:t>olicy (ZIRP), introduced in February 1999</w:t>
      </w:r>
      <w:r w:rsidR="00E3664C" w:rsidRPr="004D7F49">
        <w:rPr>
          <w:rFonts w:ascii="Times" w:eastAsia="Calibri" w:hAnsi="Times"/>
          <w:spacing w:val="-2"/>
          <w:lang w:val="en-GB"/>
        </w:rPr>
        <w:t>.</w:t>
      </w:r>
      <w:r w:rsidRPr="004D7F49">
        <w:rPr>
          <w:rFonts w:eastAsia="Calibri"/>
          <w:spacing w:val="-2"/>
          <w:lang w:val="en-GB"/>
        </w:rPr>
        <w:t xml:space="preserve"> The BoJ lower</w:t>
      </w:r>
      <w:r w:rsidR="00956E42" w:rsidRPr="004D7F49">
        <w:rPr>
          <w:rFonts w:eastAsia="Calibri"/>
          <w:spacing w:val="-2"/>
          <w:lang w:val="en-GB"/>
        </w:rPr>
        <w:t>ed</w:t>
      </w:r>
      <w:r w:rsidRPr="004D7F49">
        <w:rPr>
          <w:rFonts w:eastAsia="Calibri"/>
          <w:spacing w:val="-2"/>
          <w:lang w:val="en-GB"/>
        </w:rPr>
        <w:t xml:space="preserve"> the overnight call rate towards zero by providing the market with more funds than necessary for financial institutions to meet their reserve requirements</w:t>
      </w:r>
      <w:r w:rsidR="00DF2E19">
        <w:rPr>
          <w:rFonts w:eastAsia="Calibri"/>
          <w:spacing w:val="-2"/>
          <w:lang w:val="en-GB"/>
        </w:rPr>
        <w:t xml:space="preserve"> </w:t>
      </w:r>
      <w:r w:rsidR="00DF2E19" w:rsidRPr="004D7F49">
        <w:rPr>
          <w:rFonts w:eastAsia="Calibri"/>
          <w:spacing w:val="-2"/>
          <w:lang w:val="en-GB"/>
        </w:rPr>
        <w:t>(see Exhibit 3)</w:t>
      </w:r>
      <w:r w:rsidRPr="004D7F49">
        <w:rPr>
          <w:rFonts w:eastAsia="Calibri"/>
          <w:spacing w:val="-2"/>
          <w:lang w:val="en-GB"/>
        </w:rPr>
        <w:t xml:space="preserve">. It also explicitly committed to continuing with the </w:t>
      </w:r>
      <w:r w:rsidR="00661EE4" w:rsidRPr="004D7F49">
        <w:rPr>
          <w:rFonts w:eastAsia="Calibri"/>
          <w:spacing w:val="-2"/>
          <w:lang w:val="en-GB"/>
        </w:rPr>
        <w:t>ZIRP</w:t>
      </w:r>
      <w:r w:rsidRPr="004D7F49">
        <w:rPr>
          <w:rFonts w:eastAsia="Calibri"/>
          <w:spacing w:val="-2"/>
          <w:lang w:val="en-GB"/>
        </w:rPr>
        <w:t xml:space="preserve"> until </w:t>
      </w:r>
      <w:r w:rsidRPr="004D7F49">
        <w:rPr>
          <w:rFonts w:eastAsia="Calibri"/>
          <w:spacing w:val="-2"/>
          <w:lang w:val="en-GB"/>
        </w:rPr>
        <w:lastRenderedPageBreak/>
        <w:t>“deflationary concerns were dispelled</w:t>
      </w:r>
      <w:r w:rsidR="00A56BBF" w:rsidRPr="004D7F49">
        <w:rPr>
          <w:rFonts w:eastAsia="Calibri"/>
          <w:spacing w:val="-2"/>
          <w:lang w:val="en-GB"/>
        </w:rPr>
        <w:t>.”</w:t>
      </w:r>
      <w:r w:rsidRPr="004D7F49">
        <w:rPr>
          <w:rFonts w:eastAsia="Calibri"/>
          <w:spacing w:val="-2"/>
          <w:vertAlign w:val="superscript"/>
          <w:lang w:val="en-GB"/>
        </w:rPr>
        <w:endnoteReference w:id="18"/>
      </w:r>
      <w:r w:rsidR="00A56BBF" w:rsidRPr="004D7F49">
        <w:rPr>
          <w:rFonts w:eastAsia="Calibri"/>
          <w:spacing w:val="-2"/>
          <w:lang w:val="en-GB"/>
        </w:rPr>
        <w:t xml:space="preserve"> </w:t>
      </w:r>
      <w:r w:rsidRPr="004D7F49">
        <w:rPr>
          <w:rFonts w:eastAsia="Calibri"/>
          <w:spacing w:val="-2"/>
          <w:lang w:val="en-GB"/>
        </w:rPr>
        <w:t>In August 2000, as the GDP growth rate increased to 2.8 per cent, the BoJ lifted the ZIRP, claiming that deflationary concerns had been dispelled.</w:t>
      </w:r>
      <w:r w:rsidRPr="004D7F49">
        <w:rPr>
          <w:rFonts w:eastAsia="Calibri"/>
          <w:spacing w:val="-2"/>
          <w:vertAlign w:val="superscript"/>
          <w:lang w:val="en-GB"/>
        </w:rPr>
        <w:endnoteReference w:id="19"/>
      </w:r>
      <w:r w:rsidRPr="004D7F49">
        <w:rPr>
          <w:rFonts w:eastAsia="Calibri"/>
          <w:spacing w:val="-2"/>
          <w:lang w:val="en-GB"/>
        </w:rPr>
        <w:t xml:space="preserve"> </w:t>
      </w:r>
      <w:r w:rsidR="00256B28">
        <w:rPr>
          <w:rFonts w:eastAsia="Calibri"/>
          <w:spacing w:val="-2"/>
          <w:lang w:val="en-GB"/>
        </w:rPr>
        <w:t>However, interbank</w:t>
      </w:r>
      <w:r w:rsidR="00A56BBF" w:rsidRPr="004D7F49">
        <w:rPr>
          <w:rFonts w:eastAsia="Calibri"/>
          <w:spacing w:val="-2"/>
          <w:lang w:val="en-GB"/>
        </w:rPr>
        <w:t xml:space="preserve"> interest rates</w:t>
      </w:r>
      <w:r w:rsidR="00256B28">
        <w:rPr>
          <w:rFonts w:eastAsia="Calibri"/>
          <w:spacing w:val="-2"/>
          <w:lang w:val="en-GB"/>
        </w:rPr>
        <w:t>—</w:t>
      </w:r>
      <w:r w:rsidRPr="004D7F49">
        <w:rPr>
          <w:rFonts w:eastAsia="Calibri"/>
          <w:spacing w:val="-2"/>
          <w:lang w:val="en-GB"/>
        </w:rPr>
        <w:t>the overnight call rates</w:t>
      </w:r>
      <w:r w:rsidR="00256B28">
        <w:rPr>
          <w:rFonts w:eastAsia="Calibri"/>
          <w:spacing w:val="-2"/>
          <w:lang w:val="en-GB"/>
        </w:rPr>
        <w:t>—</w:t>
      </w:r>
      <w:r w:rsidRPr="004D7F49">
        <w:rPr>
          <w:rFonts w:eastAsia="Calibri"/>
          <w:spacing w:val="-2"/>
          <w:lang w:val="en-GB"/>
        </w:rPr>
        <w:t xml:space="preserve">remained at virtually zero through </w:t>
      </w:r>
      <w:r w:rsidR="00006895" w:rsidRPr="004D7F49">
        <w:rPr>
          <w:rFonts w:eastAsia="Calibri"/>
          <w:spacing w:val="-2"/>
          <w:lang w:val="en-GB"/>
        </w:rPr>
        <w:t xml:space="preserve">to </w:t>
      </w:r>
      <w:r w:rsidRPr="004D7F49">
        <w:rPr>
          <w:rFonts w:eastAsia="Calibri"/>
          <w:spacing w:val="-2"/>
          <w:lang w:val="en-GB"/>
        </w:rPr>
        <w:t>mid-2005.</w:t>
      </w:r>
      <w:r w:rsidRPr="004D7F49">
        <w:rPr>
          <w:rFonts w:eastAsia="Calibri"/>
          <w:spacing w:val="-2"/>
          <w:vertAlign w:val="superscript"/>
          <w:lang w:val="en-GB"/>
        </w:rPr>
        <w:endnoteReference w:id="20"/>
      </w:r>
      <w:r w:rsidRPr="004D7F49">
        <w:rPr>
          <w:rFonts w:eastAsia="Calibri"/>
          <w:spacing w:val="-2"/>
          <w:lang w:val="en-GB"/>
        </w:rPr>
        <w:t xml:space="preserve"> </w:t>
      </w:r>
    </w:p>
    <w:p w14:paraId="62A015A5" w14:textId="77777777" w:rsidR="00367CAE" w:rsidRPr="0004607E" w:rsidRDefault="00367CAE" w:rsidP="00B05762">
      <w:pPr>
        <w:pStyle w:val="BodyTextMain"/>
        <w:rPr>
          <w:rFonts w:eastAsia="Calibri"/>
          <w:spacing w:val="-2"/>
          <w:sz w:val="16"/>
          <w:szCs w:val="16"/>
          <w:lang w:val="en-GB"/>
        </w:rPr>
      </w:pPr>
    </w:p>
    <w:p w14:paraId="326B47F7" w14:textId="77777777" w:rsidR="00367CAE" w:rsidRPr="0004607E" w:rsidRDefault="00367CAE" w:rsidP="00B05762">
      <w:pPr>
        <w:pStyle w:val="BodyTextMain"/>
        <w:rPr>
          <w:rFonts w:eastAsia="Calibri"/>
          <w:spacing w:val="-2"/>
          <w:sz w:val="16"/>
          <w:szCs w:val="16"/>
          <w:lang w:val="en-GB"/>
        </w:rPr>
      </w:pPr>
    </w:p>
    <w:p w14:paraId="4A7514AA" w14:textId="3118C87A" w:rsidR="00DF5A71" w:rsidRPr="004D7F49" w:rsidRDefault="00DD3DD8" w:rsidP="00263C98">
      <w:pPr>
        <w:jc w:val="both"/>
        <w:outlineLvl w:val="0"/>
        <w:rPr>
          <w:rFonts w:ascii="Arial" w:eastAsia="Calibri" w:hAnsi="Arial" w:cs="Arial"/>
          <w:b/>
          <w:lang w:val="en-GB"/>
        </w:rPr>
      </w:pPr>
      <w:r w:rsidRPr="004D7F49">
        <w:rPr>
          <w:rFonts w:ascii="Arial" w:eastAsia="Calibri" w:hAnsi="Arial" w:cs="Arial"/>
          <w:b/>
          <w:lang w:val="en-GB"/>
        </w:rPr>
        <w:t>Quantitative Easing: 2001–</w:t>
      </w:r>
      <w:r w:rsidR="00DF5A71" w:rsidRPr="004D7F49">
        <w:rPr>
          <w:rFonts w:ascii="Arial" w:eastAsia="Calibri" w:hAnsi="Arial" w:cs="Arial"/>
          <w:b/>
          <w:lang w:val="en-GB"/>
        </w:rPr>
        <w:t xml:space="preserve">2006 </w:t>
      </w:r>
    </w:p>
    <w:p w14:paraId="08A699EC" w14:textId="77777777" w:rsidR="00DF5A71" w:rsidRPr="0004607E" w:rsidRDefault="00DF5A71" w:rsidP="00B05762">
      <w:pPr>
        <w:pStyle w:val="BodyTextMain"/>
        <w:rPr>
          <w:rFonts w:eastAsia="Calibri"/>
          <w:sz w:val="16"/>
          <w:szCs w:val="16"/>
          <w:lang w:val="en-GB"/>
        </w:rPr>
      </w:pPr>
    </w:p>
    <w:p w14:paraId="7A6BB63E" w14:textId="219A89EB" w:rsidR="00DF5A71" w:rsidRPr="004D7F49" w:rsidRDefault="00DF5A71" w:rsidP="00DF5A71">
      <w:pPr>
        <w:jc w:val="both"/>
        <w:rPr>
          <w:rFonts w:eastAsia="Calibri"/>
          <w:sz w:val="22"/>
          <w:szCs w:val="22"/>
          <w:lang w:val="en-GB"/>
        </w:rPr>
      </w:pPr>
      <w:r w:rsidRPr="004D7F49">
        <w:rPr>
          <w:rFonts w:eastAsia="Calibri"/>
          <w:sz w:val="22"/>
          <w:szCs w:val="22"/>
          <w:lang w:val="en-GB"/>
        </w:rPr>
        <w:t>The Japanese economy deteriorated soon after the ZIRP was lifted. Industrial production decelerated</w:t>
      </w:r>
      <w:r w:rsidR="00256B28">
        <w:rPr>
          <w:rFonts w:eastAsia="Calibri"/>
          <w:sz w:val="22"/>
          <w:szCs w:val="22"/>
          <w:lang w:val="en-GB"/>
        </w:rPr>
        <w:t>,</w:t>
      </w:r>
      <w:r w:rsidRPr="004D7F49">
        <w:rPr>
          <w:rFonts w:eastAsia="Calibri"/>
          <w:sz w:val="22"/>
          <w:szCs w:val="22"/>
          <w:lang w:val="en-GB"/>
        </w:rPr>
        <w:t xml:space="preserve"> and </w:t>
      </w:r>
      <w:r w:rsidR="00006895" w:rsidRPr="004D7F49">
        <w:rPr>
          <w:rFonts w:eastAsia="Calibri"/>
          <w:sz w:val="22"/>
          <w:szCs w:val="22"/>
          <w:lang w:val="en-GB"/>
        </w:rPr>
        <w:t xml:space="preserve">the </w:t>
      </w:r>
      <w:r w:rsidRPr="004D7F49">
        <w:rPr>
          <w:rFonts w:eastAsia="Calibri"/>
          <w:sz w:val="22"/>
          <w:szCs w:val="22"/>
          <w:lang w:val="en-GB"/>
        </w:rPr>
        <w:t xml:space="preserve">GDP growth rate fell to 0.4 per cent in 2001. In response to this, in March 2001, the BoJ introduced </w:t>
      </w:r>
      <w:r w:rsidR="00006895" w:rsidRPr="004D7F49">
        <w:rPr>
          <w:rFonts w:eastAsia="Calibri"/>
          <w:sz w:val="22"/>
          <w:szCs w:val="22"/>
          <w:lang w:val="en-GB"/>
        </w:rPr>
        <w:t>a</w:t>
      </w:r>
      <w:r w:rsidRPr="004D7F49">
        <w:rPr>
          <w:rFonts w:eastAsia="Calibri"/>
          <w:sz w:val="22"/>
          <w:szCs w:val="22"/>
          <w:lang w:val="en-GB"/>
        </w:rPr>
        <w:t xml:space="preserve"> </w:t>
      </w:r>
      <w:bookmarkStart w:id="2" w:name="_Hlk525459992"/>
      <w:r w:rsidR="00256B28">
        <w:rPr>
          <w:rFonts w:eastAsia="Calibri"/>
          <w:sz w:val="22"/>
          <w:szCs w:val="22"/>
          <w:lang w:val="en-GB"/>
        </w:rPr>
        <w:t>quantitative-easing</w:t>
      </w:r>
      <w:r w:rsidRPr="004D7F49">
        <w:rPr>
          <w:rFonts w:eastAsia="Calibri"/>
          <w:sz w:val="22"/>
          <w:szCs w:val="22"/>
          <w:lang w:val="en-GB"/>
        </w:rPr>
        <w:t xml:space="preserve"> </w:t>
      </w:r>
      <w:bookmarkEnd w:id="2"/>
      <w:r w:rsidR="00006895" w:rsidRPr="004D7F49">
        <w:rPr>
          <w:rFonts w:eastAsia="Calibri"/>
          <w:sz w:val="22"/>
          <w:szCs w:val="22"/>
          <w:lang w:val="en-GB"/>
        </w:rPr>
        <w:t>(QE) p</w:t>
      </w:r>
      <w:r w:rsidRPr="004D7F49">
        <w:rPr>
          <w:rFonts w:eastAsia="Calibri"/>
          <w:sz w:val="22"/>
          <w:szCs w:val="22"/>
          <w:lang w:val="en-GB"/>
        </w:rPr>
        <w:t xml:space="preserve">olicy. Under QE, the </w:t>
      </w:r>
      <w:r w:rsidR="00897156" w:rsidRPr="004D7F49">
        <w:rPr>
          <w:rFonts w:eastAsia="Calibri"/>
          <w:sz w:val="22"/>
          <w:szCs w:val="22"/>
          <w:lang w:val="en-GB"/>
        </w:rPr>
        <w:t>b</w:t>
      </w:r>
      <w:r w:rsidRPr="004D7F49">
        <w:rPr>
          <w:rFonts w:eastAsia="Calibri"/>
          <w:sz w:val="22"/>
          <w:szCs w:val="22"/>
          <w:lang w:val="en-GB"/>
        </w:rPr>
        <w:t>ank shifted the operating target of monetary operations from the earlier overnight call rate (a price instrument) t</w:t>
      </w:r>
      <w:r w:rsidR="00DD3DD8" w:rsidRPr="004D7F49">
        <w:rPr>
          <w:rFonts w:eastAsia="Calibri"/>
          <w:sz w:val="22"/>
          <w:szCs w:val="22"/>
          <w:lang w:val="en-GB"/>
        </w:rPr>
        <w:t>o the current account balances—</w:t>
      </w:r>
      <w:r w:rsidR="00F04FDC">
        <w:rPr>
          <w:rFonts w:eastAsia="Calibri"/>
          <w:sz w:val="22"/>
          <w:szCs w:val="22"/>
          <w:lang w:val="en-GB"/>
        </w:rPr>
        <w:t>in other words</w:t>
      </w:r>
      <w:r w:rsidR="00006895" w:rsidRPr="004D7F49">
        <w:rPr>
          <w:rFonts w:eastAsia="Calibri"/>
          <w:sz w:val="22"/>
          <w:szCs w:val="22"/>
          <w:lang w:val="en-GB"/>
        </w:rPr>
        <w:t>,</w:t>
      </w:r>
      <w:r w:rsidRPr="004D7F49">
        <w:rPr>
          <w:rFonts w:eastAsia="Calibri"/>
          <w:sz w:val="22"/>
          <w:szCs w:val="22"/>
          <w:lang w:val="en-GB"/>
        </w:rPr>
        <w:t xml:space="preserve"> the sum </w:t>
      </w:r>
      <w:r w:rsidR="00DD3DD8" w:rsidRPr="004D7F49">
        <w:rPr>
          <w:rFonts w:eastAsia="Calibri"/>
          <w:sz w:val="22"/>
          <w:szCs w:val="22"/>
          <w:lang w:val="en-GB"/>
        </w:rPr>
        <w:t>of required and excess reserves (a quantity instrument)—</w:t>
      </w:r>
      <w:r w:rsidRPr="004D7F49">
        <w:rPr>
          <w:rFonts w:eastAsia="Calibri"/>
          <w:sz w:val="22"/>
          <w:szCs w:val="22"/>
          <w:lang w:val="en-GB"/>
        </w:rPr>
        <w:t xml:space="preserve">that commercial banks held at </w:t>
      </w:r>
      <w:r w:rsidR="00763DFA" w:rsidRPr="004D7F49">
        <w:rPr>
          <w:rFonts w:eastAsia="Calibri"/>
          <w:sz w:val="22"/>
          <w:szCs w:val="22"/>
          <w:lang w:val="en-GB"/>
        </w:rPr>
        <w:t xml:space="preserve">the </w:t>
      </w:r>
      <w:r w:rsidR="00897156" w:rsidRPr="004D7F49">
        <w:rPr>
          <w:rFonts w:eastAsia="Calibri"/>
          <w:sz w:val="22"/>
          <w:szCs w:val="22"/>
          <w:lang w:val="en-GB"/>
        </w:rPr>
        <w:t>BoJ</w:t>
      </w:r>
      <w:r w:rsidRPr="004D7F49">
        <w:rPr>
          <w:rFonts w:eastAsia="Calibri"/>
          <w:sz w:val="22"/>
          <w:szCs w:val="22"/>
          <w:lang w:val="en-GB"/>
        </w:rPr>
        <w:t>. The BoJ increased the target current account balance</w:t>
      </w:r>
      <w:r w:rsidR="00B9383D" w:rsidRPr="004D7F49">
        <w:rPr>
          <w:rFonts w:eastAsia="Calibri"/>
          <w:sz w:val="22"/>
          <w:szCs w:val="22"/>
          <w:lang w:val="en-GB"/>
        </w:rPr>
        <w:t xml:space="preserve"> in steps</w:t>
      </w:r>
      <w:r w:rsidR="00006895" w:rsidRPr="004D7F49">
        <w:rPr>
          <w:rFonts w:eastAsia="Calibri"/>
          <w:sz w:val="22"/>
          <w:szCs w:val="22"/>
          <w:lang w:val="en-GB"/>
        </w:rPr>
        <w:t>—</w:t>
      </w:r>
      <w:r w:rsidR="00B9383D" w:rsidRPr="004D7F49">
        <w:rPr>
          <w:rFonts w:eastAsia="Calibri"/>
          <w:sz w:val="22"/>
          <w:szCs w:val="22"/>
          <w:lang w:val="en-GB"/>
        </w:rPr>
        <w:t xml:space="preserve">from </w:t>
      </w:r>
      <w:r w:rsidR="00006895" w:rsidRPr="004D7F49">
        <w:rPr>
          <w:rFonts w:eastAsia="Calibri"/>
          <w:sz w:val="22"/>
          <w:szCs w:val="22"/>
          <w:lang w:val="en-GB"/>
        </w:rPr>
        <w:t>¥</w:t>
      </w:r>
      <w:r w:rsidR="00B9383D" w:rsidRPr="004D7F49">
        <w:rPr>
          <w:rFonts w:eastAsia="Calibri"/>
          <w:sz w:val="22"/>
          <w:szCs w:val="22"/>
          <w:lang w:val="en-GB"/>
        </w:rPr>
        <w:t>4 trillion</w:t>
      </w:r>
      <w:r w:rsidR="00006895" w:rsidRPr="004D7F49">
        <w:rPr>
          <w:rStyle w:val="EndnoteReference"/>
          <w:rFonts w:eastAsia="Calibri"/>
          <w:sz w:val="22"/>
          <w:szCs w:val="22"/>
          <w:lang w:val="en-GB"/>
        </w:rPr>
        <w:endnoteReference w:id="21"/>
      </w:r>
      <w:r w:rsidRPr="004D7F49">
        <w:rPr>
          <w:rFonts w:eastAsia="Calibri"/>
          <w:sz w:val="22"/>
          <w:szCs w:val="22"/>
          <w:lang w:val="en-GB"/>
        </w:rPr>
        <w:t xml:space="preserve"> to reach ¥35 trillion in December 2004.</w:t>
      </w:r>
      <w:r w:rsidRPr="004D7F49">
        <w:rPr>
          <w:rFonts w:eastAsia="Calibri"/>
          <w:sz w:val="22"/>
          <w:szCs w:val="22"/>
          <w:vertAlign w:val="superscript"/>
          <w:lang w:val="en-GB"/>
        </w:rPr>
        <w:endnoteReference w:id="22"/>
      </w:r>
      <w:r w:rsidRPr="004D7F49">
        <w:rPr>
          <w:rFonts w:eastAsia="Calibri"/>
          <w:sz w:val="22"/>
          <w:szCs w:val="22"/>
          <w:lang w:val="en-GB"/>
        </w:rPr>
        <w:t xml:space="preserve"> It used monthly purchases of Japanese </w:t>
      </w:r>
      <w:r w:rsidR="00F04FDC">
        <w:rPr>
          <w:rFonts w:eastAsia="Calibri"/>
          <w:sz w:val="22"/>
          <w:szCs w:val="22"/>
          <w:lang w:val="en-GB"/>
        </w:rPr>
        <w:t>government bonds</w:t>
      </w:r>
      <w:r w:rsidRPr="004D7F49">
        <w:rPr>
          <w:rFonts w:eastAsia="Calibri"/>
          <w:sz w:val="22"/>
          <w:szCs w:val="22"/>
          <w:lang w:val="en-GB"/>
        </w:rPr>
        <w:t xml:space="preserve"> (JGBs) as the main instrument to achieve this operating target. Throug</w:t>
      </w:r>
      <w:r w:rsidR="00DD3DD8" w:rsidRPr="004D7F49">
        <w:rPr>
          <w:rFonts w:eastAsia="Calibri"/>
          <w:sz w:val="22"/>
          <w:szCs w:val="22"/>
          <w:lang w:val="en-GB"/>
        </w:rPr>
        <w:t>h purchases of JGBs,</w:t>
      </w:r>
      <w:r w:rsidRPr="004D7F49">
        <w:rPr>
          <w:rFonts w:eastAsia="Calibri"/>
          <w:sz w:val="22"/>
          <w:szCs w:val="22"/>
          <w:lang w:val="en-GB"/>
        </w:rPr>
        <w:t xml:space="preserve"> which increased from </w:t>
      </w:r>
      <w:r w:rsidR="00707B51" w:rsidRPr="004D7F49">
        <w:rPr>
          <w:rFonts w:eastAsia="Calibri"/>
          <w:sz w:val="22"/>
          <w:szCs w:val="22"/>
          <w:lang w:val="en-GB"/>
        </w:rPr>
        <w:t>¥</w:t>
      </w:r>
      <w:r w:rsidRPr="004D7F49">
        <w:rPr>
          <w:rFonts w:eastAsia="Calibri"/>
          <w:sz w:val="22"/>
          <w:szCs w:val="22"/>
          <w:lang w:val="en-GB"/>
        </w:rPr>
        <w:t xml:space="preserve">400 million in August 2001 to </w:t>
      </w:r>
      <w:r w:rsidR="00707B51" w:rsidRPr="004D7F49">
        <w:rPr>
          <w:rFonts w:eastAsia="Calibri"/>
          <w:sz w:val="22"/>
          <w:szCs w:val="22"/>
          <w:lang w:val="en-GB"/>
        </w:rPr>
        <w:t>¥</w:t>
      </w:r>
      <w:r w:rsidRPr="004D7F49">
        <w:rPr>
          <w:rFonts w:eastAsia="Calibri"/>
          <w:sz w:val="22"/>
          <w:szCs w:val="22"/>
          <w:lang w:val="en-GB"/>
        </w:rPr>
        <w:t xml:space="preserve">1.2 trillion in October 2002, banks were provided with enough liquidity so that they would place excess funds in the </w:t>
      </w:r>
      <w:r w:rsidR="00897156" w:rsidRPr="004D7F49">
        <w:rPr>
          <w:rFonts w:eastAsia="Calibri"/>
          <w:sz w:val="22"/>
          <w:szCs w:val="22"/>
          <w:lang w:val="en-GB"/>
        </w:rPr>
        <w:t xml:space="preserve">BoJ </w:t>
      </w:r>
      <w:r w:rsidRPr="004D7F49">
        <w:rPr>
          <w:rFonts w:eastAsia="Calibri"/>
          <w:sz w:val="22"/>
          <w:szCs w:val="22"/>
          <w:lang w:val="en-GB"/>
        </w:rPr>
        <w:t xml:space="preserve">account that bore zero interest. It </w:t>
      </w:r>
      <w:r w:rsidR="00367CAE">
        <w:rPr>
          <w:rFonts w:eastAsia="Calibri"/>
          <w:sz w:val="22"/>
          <w:szCs w:val="22"/>
          <w:lang w:val="en-GB"/>
        </w:rPr>
        <w:t>was assumed that, as a result</w:t>
      </w:r>
      <w:r w:rsidRPr="004D7F49">
        <w:rPr>
          <w:rFonts w:eastAsia="Calibri"/>
          <w:sz w:val="22"/>
          <w:szCs w:val="22"/>
          <w:lang w:val="en-GB"/>
        </w:rPr>
        <w:t>, zero in</w:t>
      </w:r>
      <w:r w:rsidR="00897156" w:rsidRPr="004D7F49">
        <w:rPr>
          <w:rFonts w:eastAsia="Calibri"/>
          <w:sz w:val="22"/>
          <w:szCs w:val="22"/>
          <w:lang w:val="en-GB"/>
        </w:rPr>
        <w:t>terest rates would result. The b</w:t>
      </w:r>
      <w:r w:rsidRPr="004D7F49">
        <w:rPr>
          <w:rFonts w:eastAsia="Calibri"/>
          <w:sz w:val="22"/>
          <w:szCs w:val="22"/>
          <w:lang w:val="en-GB"/>
        </w:rPr>
        <w:t xml:space="preserve">ank also reduced the </w:t>
      </w:r>
      <w:r w:rsidR="00707B51" w:rsidRPr="004D7F49">
        <w:rPr>
          <w:rFonts w:eastAsia="Calibri"/>
          <w:sz w:val="22"/>
          <w:szCs w:val="22"/>
          <w:lang w:val="en-GB"/>
        </w:rPr>
        <w:t>o</w:t>
      </w:r>
      <w:r w:rsidR="00E3664C" w:rsidRPr="004D7F49">
        <w:rPr>
          <w:rFonts w:eastAsia="Calibri"/>
          <w:sz w:val="22"/>
          <w:szCs w:val="22"/>
          <w:lang w:val="en-GB"/>
        </w:rPr>
        <w:t xml:space="preserve">fficial </w:t>
      </w:r>
      <w:r w:rsidR="00707B51" w:rsidRPr="004D7F49">
        <w:rPr>
          <w:rFonts w:eastAsia="Calibri"/>
          <w:sz w:val="22"/>
          <w:szCs w:val="22"/>
          <w:lang w:val="en-GB"/>
        </w:rPr>
        <w:t>d</w:t>
      </w:r>
      <w:r w:rsidR="00E3664C" w:rsidRPr="004D7F49">
        <w:rPr>
          <w:rFonts w:eastAsia="Calibri"/>
          <w:sz w:val="22"/>
          <w:szCs w:val="22"/>
          <w:lang w:val="en-GB"/>
        </w:rPr>
        <w:t xml:space="preserve">iscount </w:t>
      </w:r>
      <w:r w:rsidR="00707B51" w:rsidRPr="004D7F49">
        <w:rPr>
          <w:rFonts w:eastAsia="Calibri"/>
          <w:sz w:val="22"/>
          <w:szCs w:val="22"/>
          <w:lang w:val="en-GB"/>
        </w:rPr>
        <w:t>r</w:t>
      </w:r>
      <w:r w:rsidR="00E3664C" w:rsidRPr="004D7F49">
        <w:rPr>
          <w:rFonts w:eastAsia="Calibri"/>
          <w:sz w:val="22"/>
          <w:szCs w:val="22"/>
          <w:lang w:val="en-GB"/>
        </w:rPr>
        <w:t>ate (</w:t>
      </w:r>
      <w:r w:rsidRPr="004D7F49">
        <w:rPr>
          <w:rFonts w:eastAsia="Calibri"/>
          <w:sz w:val="22"/>
          <w:szCs w:val="22"/>
          <w:lang w:val="en-GB"/>
        </w:rPr>
        <w:t>ODR</w:t>
      </w:r>
      <w:r w:rsidR="00E3664C" w:rsidRPr="004D7F49">
        <w:rPr>
          <w:rFonts w:eastAsia="Calibri"/>
          <w:sz w:val="22"/>
          <w:szCs w:val="22"/>
          <w:lang w:val="en-GB"/>
        </w:rPr>
        <w:t>)</w:t>
      </w:r>
      <w:r w:rsidRPr="004D7F49">
        <w:rPr>
          <w:rFonts w:eastAsia="Calibri"/>
          <w:sz w:val="22"/>
          <w:szCs w:val="22"/>
          <w:lang w:val="en-GB"/>
        </w:rPr>
        <w:t xml:space="preserve"> </w:t>
      </w:r>
      <w:r w:rsidR="00F04FDC">
        <w:rPr>
          <w:rFonts w:eastAsia="Calibri"/>
          <w:sz w:val="22"/>
          <w:szCs w:val="22"/>
          <w:lang w:val="en-GB"/>
        </w:rPr>
        <w:t xml:space="preserve">in steps </w:t>
      </w:r>
      <w:r w:rsidRPr="004D7F49">
        <w:rPr>
          <w:rFonts w:eastAsia="Calibri"/>
          <w:sz w:val="22"/>
          <w:szCs w:val="22"/>
          <w:lang w:val="en-GB"/>
        </w:rPr>
        <w:t>from 0.5 per cent to 0.1 per cent by September 2001</w:t>
      </w:r>
      <w:r w:rsidR="00FC4C6F" w:rsidRPr="004D7F49">
        <w:rPr>
          <w:rFonts w:eastAsia="Calibri"/>
          <w:sz w:val="22"/>
          <w:szCs w:val="22"/>
          <w:lang w:val="en-GB"/>
        </w:rPr>
        <w:t xml:space="preserve"> (</w:t>
      </w:r>
      <w:r w:rsidR="00DD3DD8" w:rsidRPr="004D7F49">
        <w:rPr>
          <w:rFonts w:eastAsia="Calibri"/>
          <w:sz w:val="22"/>
          <w:szCs w:val="22"/>
          <w:lang w:val="en-GB"/>
        </w:rPr>
        <w:t xml:space="preserve">see </w:t>
      </w:r>
      <w:r w:rsidR="00FC4C6F" w:rsidRPr="004D7F49">
        <w:rPr>
          <w:rFonts w:eastAsia="Calibri"/>
          <w:sz w:val="22"/>
          <w:szCs w:val="22"/>
          <w:lang w:val="en-GB"/>
        </w:rPr>
        <w:t>Exhibit 4)</w:t>
      </w:r>
      <w:r w:rsidRPr="004D7F49">
        <w:rPr>
          <w:rFonts w:eastAsia="Calibri"/>
          <w:sz w:val="22"/>
          <w:szCs w:val="22"/>
          <w:lang w:val="en-GB"/>
        </w:rPr>
        <w:t>.</w:t>
      </w:r>
      <w:r w:rsidRPr="004D7F49">
        <w:rPr>
          <w:rFonts w:eastAsia="Calibri"/>
          <w:sz w:val="22"/>
          <w:szCs w:val="22"/>
          <w:vertAlign w:val="superscript"/>
          <w:lang w:val="en-GB"/>
        </w:rPr>
        <w:endnoteReference w:id="23"/>
      </w:r>
    </w:p>
    <w:p w14:paraId="75446AF9" w14:textId="77777777" w:rsidR="00DF5A71" w:rsidRPr="0004607E" w:rsidRDefault="00DF5A71" w:rsidP="00DF5A71">
      <w:pPr>
        <w:jc w:val="both"/>
        <w:rPr>
          <w:rFonts w:eastAsia="Calibri"/>
          <w:sz w:val="16"/>
          <w:szCs w:val="16"/>
          <w:lang w:val="en-GB"/>
        </w:rPr>
      </w:pPr>
    </w:p>
    <w:p w14:paraId="5CC8C492" w14:textId="604B6E47" w:rsidR="00DF5A71" w:rsidRPr="004D7F49" w:rsidRDefault="00DF5A71" w:rsidP="00DF5A71">
      <w:pPr>
        <w:jc w:val="both"/>
        <w:rPr>
          <w:rFonts w:eastAsia="Calibri"/>
          <w:sz w:val="22"/>
          <w:szCs w:val="22"/>
          <w:lang w:val="en-GB"/>
        </w:rPr>
      </w:pPr>
      <w:r w:rsidRPr="004D7F49">
        <w:rPr>
          <w:rFonts w:eastAsia="Calibri"/>
          <w:sz w:val="22"/>
          <w:szCs w:val="22"/>
          <w:lang w:val="en-GB"/>
        </w:rPr>
        <w:t xml:space="preserve">The BoJ expected QE to </w:t>
      </w:r>
      <w:r w:rsidR="00F04FDC">
        <w:rPr>
          <w:rFonts w:eastAsia="Calibri"/>
          <w:sz w:val="22"/>
          <w:szCs w:val="22"/>
          <w:lang w:val="en-GB"/>
        </w:rPr>
        <w:t>affect</w:t>
      </w:r>
      <w:r w:rsidR="00F04FDC" w:rsidRPr="004D7F49">
        <w:rPr>
          <w:rFonts w:eastAsia="Calibri"/>
          <w:sz w:val="22"/>
          <w:szCs w:val="22"/>
          <w:lang w:val="en-GB"/>
        </w:rPr>
        <w:t xml:space="preserve"> </w:t>
      </w:r>
      <w:r w:rsidRPr="004D7F49">
        <w:rPr>
          <w:rFonts w:eastAsia="Calibri"/>
          <w:sz w:val="22"/>
          <w:szCs w:val="22"/>
          <w:lang w:val="en-GB"/>
        </w:rPr>
        <w:t xml:space="preserve">output </w:t>
      </w:r>
      <w:r w:rsidR="002A460A" w:rsidRPr="004D7F49">
        <w:rPr>
          <w:rFonts w:eastAsia="Calibri"/>
          <w:sz w:val="22"/>
          <w:szCs w:val="22"/>
          <w:lang w:val="en-GB"/>
        </w:rPr>
        <w:t>in</w:t>
      </w:r>
      <w:r w:rsidRPr="004D7F49">
        <w:rPr>
          <w:rFonts w:eastAsia="Calibri"/>
          <w:sz w:val="22"/>
          <w:szCs w:val="22"/>
          <w:lang w:val="en-GB"/>
        </w:rPr>
        <w:t xml:space="preserve"> three </w:t>
      </w:r>
      <w:r w:rsidR="002A460A" w:rsidRPr="004D7F49">
        <w:rPr>
          <w:rFonts w:eastAsia="Calibri"/>
          <w:sz w:val="22"/>
          <w:szCs w:val="22"/>
          <w:lang w:val="en-GB"/>
        </w:rPr>
        <w:t>ways</w:t>
      </w:r>
      <w:r w:rsidRPr="004D7F49">
        <w:rPr>
          <w:rFonts w:eastAsia="Calibri"/>
          <w:sz w:val="22"/>
          <w:szCs w:val="22"/>
          <w:lang w:val="en-GB"/>
        </w:rPr>
        <w:t xml:space="preserve">: </w:t>
      </w:r>
      <w:r w:rsidR="003505F6" w:rsidRPr="004D7F49">
        <w:rPr>
          <w:rFonts w:eastAsia="Calibri"/>
          <w:sz w:val="22"/>
          <w:szCs w:val="22"/>
          <w:lang w:val="en-GB"/>
        </w:rPr>
        <w:t>(1)</w:t>
      </w:r>
      <w:r w:rsidRPr="004D7F49">
        <w:rPr>
          <w:rFonts w:eastAsia="Calibri"/>
          <w:sz w:val="22"/>
          <w:szCs w:val="22"/>
          <w:lang w:val="en-GB"/>
        </w:rPr>
        <w:t xml:space="preserve"> the excess liquidity to the banking system would lead to an expansion of money supply</w:t>
      </w:r>
      <w:r w:rsidR="00282476" w:rsidRPr="004D7F49">
        <w:rPr>
          <w:rFonts w:eastAsia="Calibri"/>
          <w:sz w:val="22"/>
          <w:szCs w:val="22"/>
          <w:lang w:val="en-GB"/>
        </w:rPr>
        <w:t>, which</w:t>
      </w:r>
      <w:r w:rsidR="00F04FDC">
        <w:rPr>
          <w:rFonts w:eastAsia="Calibri"/>
          <w:sz w:val="22"/>
          <w:szCs w:val="22"/>
          <w:lang w:val="en-GB"/>
        </w:rPr>
        <w:t>,</w:t>
      </w:r>
      <w:r w:rsidRPr="004D7F49">
        <w:rPr>
          <w:rFonts w:eastAsia="Calibri"/>
          <w:sz w:val="22"/>
          <w:szCs w:val="22"/>
          <w:lang w:val="en-GB"/>
        </w:rPr>
        <w:t xml:space="preserve"> </w:t>
      </w:r>
      <w:r w:rsidR="00282476" w:rsidRPr="004D7F49">
        <w:rPr>
          <w:rFonts w:eastAsia="Calibri"/>
          <w:sz w:val="22"/>
          <w:szCs w:val="22"/>
          <w:lang w:val="en-GB"/>
        </w:rPr>
        <w:t>i</w:t>
      </w:r>
      <w:r w:rsidRPr="004D7F49">
        <w:rPr>
          <w:rFonts w:eastAsia="Calibri"/>
          <w:sz w:val="22"/>
          <w:szCs w:val="22"/>
          <w:lang w:val="en-GB"/>
        </w:rPr>
        <w:t>n a recessionary economy</w:t>
      </w:r>
      <w:r w:rsidR="00F04FDC">
        <w:rPr>
          <w:rFonts w:eastAsia="Calibri"/>
          <w:sz w:val="22"/>
          <w:szCs w:val="22"/>
          <w:lang w:val="en-GB"/>
        </w:rPr>
        <w:t>,</w:t>
      </w:r>
      <w:r w:rsidR="00282476" w:rsidRPr="004D7F49">
        <w:rPr>
          <w:rFonts w:eastAsia="Calibri"/>
          <w:sz w:val="22"/>
          <w:szCs w:val="22"/>
          <w:lang w:val="en-GB"/>
        </w:rPr>
        <w:t xml:space="preserve"> would facilitate</w:t>
      </w:r>
      <w:r w:rsidR="00DD3DD8" w:rsidRPr="004D7F49">
        <w:rPr>
          <w:rFonts w:eastAsia="Calibri"/>
          <w:sz w:val="22"/>
          <w:szCs w:val="22"/>
          <w:lang w:val="en-GB"/>
        </w:rPr>
        <w:t xml:space="preserve"> economic recovery;</w:t>
      </w:r>
      <w:r w:rsidRPr="004D7F49">
        <w:rPr>
          <w:rFonts w:eastAsia="Calibri"/>
          <w:sz w:val="22"/>
          <w:szCs w:val="22"/>
          <w:lang w:val="en-GB"/>
        </w:rPr>
        <w:t xml:space="preserve"> </w:t>
      </w:r>
      <w:r w:rsidR="003505F6" w:rsidRPr="004D7F49">
        <w:rPr>
          <w:rFonts w:eastAsia="Calibri"/>
          <w:sz w:val="22"/>
          <w:szCs w:val="22"/>
          <w:lang w:val="en-GB"/>
        </w:rPr>
        <w:t>(2)</w:t>
      </w:r>
      <w:r w:rsidRPr="004D7F49">
        <w:rPr>
          <w:rFonts w:eastAsia="Calibri"/>
          <w:sz w:val="22"/>
          <w:szCs w:val="22"/>
          <w:lang w:val="en-GB"/>
        </w:rPr>
        <w:t xml:space="preserve"> QE and the resultant liquidity to commercial banks was expected to ensure financial stability</w:t>
      </w:r>
      <w:r w:rsidR="00F04FDC">
        <w:rPr>
          <w:rFonts w:eastAsia="Calibri"/>
          <w:sz w:val="22"/>
          <w:szCs w:val="22"/>
          <w:lang w:val="en-GB"/>
        </w:rPr>
        <w:t>,</w:t>
      </w:r>
      <w:r w:rsidRPr="004D7F49">
        <w:rPr>
          <w:rFonts w:eastAsia="Calibri"/>
          <w:sz w:val="22"/>
          <w:szCs w:val="22"/>
          <w:lang w:val="en-GB"/>
        </w:rPr>
        <w:t xml:space="preserve"> given the weak ca</w:t>
      </w:r>
      <w:r w:rsidR="00DD3DD8" w:rsidRPr="004D7F49">
        <w:rPr>
          <w:rFonts w:eastAsia="Calibri"/>
          <w:sz w:val="22"/>
          <w:szCs w:val="22"/>
          <w:lang w:val="en-GB"/>
        </w:rPr>
        <w:t>pital position of several banks;</w:t>
      </w:r>
      <w:r w:rsidRPr="004D7F49">
        <w:rPr>
          <w:rFonts w:eastAsia="Calibri"/>
          <w:sz w:val="22"/>
          <w:szCs w:val="22"/>
          <w:lang w:val="en-GB"/>
        </w:rPr>
        <w:t xml:space="preserve"> </w:t>
      </w:r>
      <w:r w:rsidR="003505F6" w:rsidRPr="004D7F49">
        <w:rPr>
          <w:rFonts w:eastAsia="Calibri"/>
          <w:sz w:val="22"/>
          <w:szCs w:val="22"/>
          <w:lang w:val="en-GB"/>
        </w:rPr>
        <w:t>and (3)</w:t>
      </w:r>
      <w:r w:rsidRPr="004D7F49">
        <w:rPr>
          <w:rFonts w:eastAsia="Calibri"/>
          <w:sz w:val="22"/>
          <w:szCs w:val="22"/>
          <w:lang w:val="en-GB"/>
        </w:rPr>
        <w:t xml:space="preserve"> the BoJ, through the excess reserves created under QE, signalled its commitment to continue monetary easing.</w:t>
      </w:r>
      <w:r w:rsidRPr="004D7F49">
        <w:rPr>
          <w:rFonts w:eastAsia="Calibri"/>
          <w:sz w:val="22"/>
          <w:szCs w:val="22"/>
          <w:vertAlign w:val="superscript"/>
          <w:lang w:val="en-GB"/>
        </w:rPr>
        <w:endnoteReference w:id="24"/>
      </w:r>
    </w:p>
    <w:p w14:paraId="1D2A0775" w14:textId="77777777" w:rsidR="00DF5A71" w:rsidRPr="0004607E" w:rsidRDefault="00DF5A71" w:rsidP="00DF5A71">
      <w:pPr>
        <w:jc w:val="both"/>
        <w:rPr>
          <w:rFonts w:eastAsia="Calibri"/>
          <w:sz w:val="16"/>
          <w:szCs w:val="16"/>
          <w:lang w:val="en-GB"/>
        </w:rPr>
      </w:pPr>
    </w:p>
    <w:p w14:paraId="706CD4FD" w14:textId="2722DC37" w:rsidR="00DF5A71" w:rsidRPr="004D7F49" w:rsidRDefault="00DF5A71" w:rsidP="00DF5A71">
      <w:pPr>
        <w:jc w:val="both"/>
        <w:rPr>
          <w:rFonts w:eastAsia="Calibri"/>
          <w:sz w:val="22"/>
          <w:szCs w:val="22"/>
          <w:lang w:val="en-GB"/>
        </w:rPr>
      </w:pPr>
      <w:r w:rsidRPr="004D7F49">
        <w:rPr>
          <w:rFonts w:eastAsia="Calibri"/>
          <w:sz w:val="22"/>
          <w:szCs w:val="22"/>
          <w:lang w:val="en-GB"/>
        </w:rPr>
        <w:t>In March 2006, the BoJ announced that the QE policy had been successful</w:t>
      </w:r>
      <w:r w:rsidR="002A460A" w:rsidRPr="004D7F49">
        <w:rPr>
          <w:rFonts w:eastAsia="Calibri"/>
          <w:sz w:val="22"/>
          <w:szCs w:val="22"/>
          <w:lang w:val="en-GB"/>
        </w:rPr>
        <w:t>,</w:t>
      </w:r>
      <w:r w:rsidRPr="004D7F49">
        <w:rPr>
          <w:rFonts w:eastAsia="Calibri"/>
          <w:sz w:val="22"/>
          <w:szCs w:val="22"/>
          <w:lang w:val="en-GB"/>
        </w:rPr>
        <w:t xml:space="preserve"> and</w:t>
      </w:r>
      <w:r w:rsidR="008B502A">
        <w:rPr>
          <w:rFonts w:eastAsia="Calibri"/>
          <w:sz w:val="22"/>
          <w:szCs w:val="22"/>
          <w:lang w:val="en-GB"/>
        </w:rPr>
        <w:t>,</w:t>
      </w:r>
      <w:r w:rsidRPr="004D7F49">
        <w:rPr>
          <w:rFonts w:eastAsia="Calibri"/>
          <w:sz w:val="22"/>
          <w:szCs w:val="22"/>
          <w:lang w:val="en-GB"/>
        </w:rPr>
        <w:t xml:space="preserve"> as such, the operating target was again changed back to the uncollateralized overnight call rate, which would effectively remain at zero per cent,</w:t>
      </w:r>
      <w:r w:rsidRPr="004D7F49">
        <w:rPr>
          <w:rFonts w:eastAsia="Calibri"/>
          <w:sz w:val="22"/>
          <w:szCs w:val="22"/>
          <w:vertAlign w:val="superscript"/>
          <w:lang w:val="en-GB"/>
        </w:rPr>
        <w:endnoteReference w:id="25"/>
      </w:r>
      <w:r w:rsidRPr="004D7F49">
        <w:rPr>
          <w:rFonts w:eastAsia="Calibri"/>
          <w:sz w:val="22"/>
          <w:szCs w:val="22"/>
          <w:lang w:val="en-GB"/>
        </w:rPr>
        <w:t xml:space="preserve"> signalling a return back to the ZIRP. In July 2006, based on an outlook of economic expansion, a</w:t>
      </w:r>
      <w:r w:rsidR="00897156" w:rsidRPr="004D7F49">
        <w:rPr>
          <w:rFonts w:eastAsia="Calibri"/>
          <w:sz w:val="22"/>
          <w:szCs w:val="22"/>
          <w:lang w:val="en-GB"/>
        </w:rPr>
        <w:t xml:space="preserve">s </w:t>
      </w:r>
      <w:r w:rsidR="002A460A" w:rsidRPr="004D7F49">
        <w:rPr>
          <w:rFonts w:eastAsia="Calibri"/>
          <w:sz w:val="22"/>
          <w:szCs w:val="22"/>
          <w:lang w:val="en-GB"/>
        </w:rPr>
        <w:t>well as</w:t>
      </w:r>
      <w:r w:rsidR="00897156" w:rsidRPr="004D7F49">
        <w:rPr>
          <w:rFonts w:eastAsia="Calibri"/>
          <w:sz w:val="22"/>
          <w:szCs w:val="22"/>
          <w:lang w:val="en-GB"/>
        </w:rPr>
        <w:t xml:space="preserve"> positive inflation, the b</w:t>
      </w:r>
      <w:r w:rsidRPr="004D7F49">
        <w:rPr>
          <w:rFonts w:eastAsia="Calibri"/>
          <w:sz w:val="22"/>
          <w:szCs w:val="22"/>
          <w:lang w:val="en-GB"/>
        </w:rPr>
        <w:t xml:space="preserve">ank announced an exit from </w:t>
      </w:r>
      <w:r w:rsidR="002A460A" w:rsidRPr="004D7F49">
        <w:rPr>
          <w:rFonts w:eastAsia="Calibri"/>
          <w:sz w:val="22"/>
          <w:szCs w:val="22"/>
          <w:lang w:val="en-GB"/>
        </w:rPr>
        <w:t xml:space="preserve">the </w:t>
      </w:r>
      <w:r w:rsidRPr="004D7F49">
        <w:rPr>
          <w:rFonts w:eastAsia="Calibri"/>
          <w:sz w:val="22"/>
          <w:szCs w:val="22"/>
          <w:lang w:val="en-GB"/>
        </w:rPr>
        <w:t xml:space="preserve">ZIRP. The </w:t>
      </w:r>
      <w:r w:rsidR="00AF5625" w:rsidRPr="004D7F49">
        <w:rPr>
          <w:rFonts w:eastAsia="Calibri"/>
          <w:sz w:val="22"/>
          <w:szCs w:val="22"/>
          <w:lang w:val="en-GB"/>
        </w:rPr>
        <w:t xml:space="preserve">BoJ sought to keep the </w:t>
      </w:r>
      <w:r w:rsidRPr="004D7F49">
        <w:rPr>
          <w:rFonts w:eastAsia="Calibri"/>
          <w:sz w:val="22"/>
          <w:szCs w:val="22"/>
          <w:lang w:val="en-GB"/>
        </w:rPr>
        <w:t>overnight call rate at 0.25 per cent.</w:t>
      </w:r>
      <w:r w:rsidRPr="004D7F49">
        <w:rPr>
          <w:rFonts w:eastAsia="Calibri"/>
          <w:sz w:val="22"/>
          <w:szCs w:val="22"/>
          <w:vertAlign w:val="superscript"/>
          <w:lang w:val="en-GB"/>
        </w:rPr>
        <w:endnoteReference w:id="26"/>
      </w:r>
    </w:p>
    <w:p w14:paraId="1A33E4AD" w14:textId="77777777" w:rsidR="00DF5A71" w:rsidRPr="0004607E" w:rsidRDefault="00DF5A71" w:rsidP="00B05762">
      <w:pPr>
        <w:pStyle w:val="BodyTextMain"/>
        <w:rPr>
          <w:rFonts w:eastAsia="Calibri"/>
          <w:sz w:val="16"/>
          <w:szCs w:val="16"/>
          <w:lang w:val="en-GB"/>
        </w:rPr>
      </w:pPr>
    </w:p>
    <w:p w14:paraId="53D87093" w14:textId="77777777" w:rsidR="00B05762" w:rsidRPr="0004607E" w:rsidRDefault="00B05762" w:rsidP="00B05762">
      <w:pPr>
        <w:pStyle w:val="BodyTextMain"/>
        <w:rPr>
          <w:rFonts w:eastAsia="Calibri"/>
          <w:sz w:val="16"/>
          <w:szCs w:val="16"/>
          <w:lang w:val="en-GB"/>
        </w:rPr>
      </w:pPr>
    </w:p>
    <w:p w14:paraId="11150466" w14:textId="48D2811E" w:rsidR="00282476" w:rsidRPr="004D7F49" w:rsidRDefault="00DF5A71" w:rsidP="00263C98">
      <w:pPr>
        <w:keepNext/>
        <w:jc w:val="both"/>
        <w:outlineLvl w:val="0"/>
        <w:rPr>
          <w:rFonts w:ascii="Arial" w:eastAsia="Calibri" w:hAnsi="Arial" w:cs="Arial"/>
          <w:b/>
          <w:lang w:val="en-GB"/>
        </w:rPr>
      </w:pPr>
      <w:r w:rsidRPr="004D7F49">
        <w:rPr>
          <w:rFonts w:ascii="Arial" w:eastAsia="Calibri" w:hAnsi="Arial" w:cs="Arial"/>
          <w:b/>
          <w:lang w:val="en-GB"/>
        </w:rPr>
        <w:t>Comprehensi</w:t>
      </w:r>
      <w:r w:rsidR="00DD3DD8" w:rsidRPr="004D7F49">
        <w:rPr>
          <w:rFonts w:ascii="Arial" w:eastAsia="Calibri" w:hAnsi="Arial" w:cs="Arial"/>
          <w:b/>
          <w:lang w:val="en-GB"/>
        </w:rPr>
        <w:t xml:space="preserve">ve </w:t>
      </w:r>
      <w:r w:rsidR="008B502A">
        <w:rPr>
          <w:rFonts w:ascii="Arial" w:eastAsia="Calibri" w:hAnsi="Arial" w:cs="Arial"/>
          <w:b/>
          <w:lang w:val="en-GB"/>
        </w:rPr>
        <w:t>Monetary-Easing</w:t>
      </w:r>
      <w:r w:rsidR="00DD3DD8" w:rsidRPr="004D7F49">
        <w:rPr>
          <w:rFonts w:ascii="Arial" w:eastAsia="Calibri" w:hAnsi="Arial" w:cs="Arial"/>
          <w:b/>
          <w:lang w:val="en-GB"/>
        </w:rPr>
        <w:t xml:space="preserve"> Policy: 2010–</w:t>
      </w:r>
      <w:r w:rsidRPr="004D7F49">
        <w:rPr>
          <w:rFonts w:ascii="Arial" w:eastAsia="Calibri" w:hAnsi="Arial" w:cs="Arial"/>
          <w:b/>
          <w:lang w:val="en-GB"/>
        </w:rPr>
        <w:t>2013</w:t>
      </w:r>
    </w:p>
    <w:p w14:paraId="57D57A82" w14:textId="77777777" w:rsidR="00B05762" w:rsidRPr="0004607E" w:rsidRDefault="00B05762" w:rsidP="00552077">
      <w:pPr>
        <w:keepNext/>
        <w:jc w:val="both"/>
        <w:rPr>
          <w:rFonts w:eastAsia="Calibri"/>
          <w:sz w:val="16"/>
          <w:szCs w:val="16"/>
          <w:lang w:val="en-GB"/>
        </w:rPr>
      </w:pPr>
    </w:p>
    <w:p w14:paraId="33C9AF15" w14:textId="06765C7B" w:rsidR="00DF5A71" w:rsidRPr="004D7F49" w:rsidRDefault="00DF5A71" w:rsidP="00352C3D">
      <w:pPr>
        <w:keepNext/>
        <w:jc w:val="both"/>
        <w:rPr>
          <w:rFonts w:ascii="Arial" w:eastAsia="Calibri" w:hAnsi="Arial" w:cs="Arial"/>
          <w:b/>
          <w:lang w:val="en-GB"/>
        </w:rPr>
      </w:pPr>
      <w:r w:rsidRPr="004D7F49">
        <w:rPr>
          <w:rFonts w:eastAsia="Calibri"/>
          <w:sz w:val="22"/>
          <w:szCs w:val="22"/>
          <w:lang w:val="en-GB"/>
        </w:rPr>
        <w:t>In December 2009</w:t>
      </w:r>
      <w:r w:rsidR="002A460A" w:rsidRPr="004D7F49">
        <w:rPr>
          <w:rFonts w:eastAsia="Calibri"/>
          <w:sz w:val="22"/>
          <w:szCs w:val="22"/>
          <w:lang w:val="en-GB"/>
        </w:rPr>
        <w:t>,</w:t>
      </w:r>
      <w:r w:rsidR="00282476" w:rsidRPr="004D7F49">
        <w:rPr>
          <w:rFonts w:eastAsia="Calibri"/>
          <w:sz w:val="22"/>
          <w:szCs w:val="22"/>
          <w:lang w:val="en-GB"/>
        </w:rPr>
        <w:t xml:space="preserve"> following the global financial crisis</w:t>
      </w:r>
      <w:r w:rsidRPr="004D7F49">
        <w:rPr>
          <w:rFonts w:eastAsia="Calibri"/>
          <w:sz w:val="22"/>
          <w:szCs w:val="22"/>
          <w:lang w:val="en-GB"/>
        </w:rPr>
        <w:t>, the BoJ decided that</w:t>
      </w:r>
      <w:r w:rsidR="008B502A">
        <w:rPr>
          <w:rFonts w:eastAsia="Calibri"/>
          <w:sz w:val="22"/>
          <w:szCs w:val="22"/>
          <w:lang w:val="en-GB"/>
        </w:rPr>
        <w:t>,</w:t>
      </w:r>
      <w:r w:rsidRPr="004D7F49">
        <w:rPr>
          <w:rFonts w:eastAsia="Calibri"/>
          <w:sz w:val="22"/>
          <w:szCs w:val="22"/>
          <w:lang w:val="en-GB"/>
        </w:rPr>
        <w:t xml:space="preserve"> given the international economic scenario and the downside risks to the Japanese eco</w:t>
      </w:r>
      <w:r w:rsidR="00763DFA" w:rsidRPr="004D7F49">
        <w:rPr>
          <w:rFonts w:eastAsia="Calibri"/>
          <w:sz w:val="22"/>
          <w:szCs w:val="22"/>
          <w:lang w:val="en-GB"/>
        </w:rPr>
        <w:t xml:space="preserve">nomy, it would introduce a new </w:t>
      </w:r>
      <w:r w:rsidRPr="004D7F49">
        <w:rPr>
          <w:rFonts w:eastAsia="Calibri"/>
          <w:sz w:val="22"/>
          <w:szCs w:val="22"/>
          <w:lang w:val="en-GB"/>
        </w:rPr>
        <w:t>funds-supplying operation</w:t>
      </w:r>
      <w:r w:rsidR="008B502A">
        <w:rPr>
          <w:rFonts w:eastAsia="Calibri"/>
          <w:sz w:val="22"/>
          <w:szCs w:val="22"/>
          <w:lang w:val="en-GB"/>
        </w:rPr>
        <w:t>,</w:t>
      </w:r>
      <w:r w:rsidRPr="004D7F49">
        <w:rPr>
          <w:rFonts w:eastAsia="Calibri"/>
          <w:sz w:val="22"/>
          <w:szCs w:val="22"/>
          <w:lang w:val="en-GB"/>
        </w:rPr>
        <w:t xml:space="preserve"> with the goal of further reducing longer-term interest rates. Under this operation, approximately </w:t>
      </w:r>
      <w:r w:rsidR="002A460A" w:rsidRPr="004D7F49">
        <w:rPr>
          <w:rFonts w:eastAsia="Calibri"/>
          <w:sz w:val="22"/>
          <w:szCs w:val="22"/>
          <w:lang w:val="en-GB"/>
        </w:rPr>
        <w:t>¥</w:t>
      </w:r>
      <w:r w:rsidRPr="004D7F49">
        <w:rPr>
          <w:rFonts w:eastAsia="Calibri"/>
          <w:sz w:val="22"/>
          <w:szCs w:val="22"/>
          <w:lang w:val="en-GB"/>
        </w:rPr>
        <w:t>10 trillion worth of loans w</w:t>
      </w:r>
      <w:r w:rsidR="00763DFA" w:rsidRPr="004D7F49">
        <w:rPr>
          <w:rFonts w:eastAsia="Calibri"/>
          <w:sz w:val="22"/>
          <w:szCs w:val="22"/>
          <w:lang w:val="en-GB"/>
        </w:rPr>
        <w:t>ould be lent for a duration of three</w:t>
      </w:r>
      <w:r w:rsidRPr="004D7F49">
        <w:rPr>
          <w:rFonts w:eastAsia="Calibri"/>
          <w:sz w:val="22"/>
          <w:szCs w:val="22"/>
          <w:lang w:val="en-GB"/>
        </w:rPr>
        <w:t xml:space="preserve"> months</w:t>
      </w:r>
      <w:r w:rsidR="003A5A08">
        <w:rPr>
          <w:rFonts w:eastAsia="Calibri"/>
          <w:sz w:val="22"/>
          <w:szCs w:val="22"/>
          <w:lang w:val="en-GB"/>
        </w:rPr>
        <w:t>,</w:t>
      </w:r>
      <w:r w:rsidRPr="004D7F49">
        <w:rPr>
          <w:rFonts w:eastAsia="Calibri"/>
          <w:sz w:val="22"/>
          <w:szCs w:val="22"/>
          <w:lang w:val="en-GB"/>
        </w:rPr>
        <w:t xml:space="preserve"> at an extremely low and fixed interest rate of 0.1 per cent against any eligible collateral, including Japanese government securities, corporate bonds, commercial paper</w:t>
      </w:r>
      <w:r w:rsidR="00364EFA" w:rsidRPr="004D7F49">
        <w:rPr>
          <w:rFonts w:eastAsia="Calibri"/>
          <w:sz w:val="22"/>
          <w:szCs w:val="22"/>
          <w:lang w:val="en-GB"/>
        </w:rPr>
        <w:t>,</w:t>
      </w:r>
      <w:r w:rsidRPr="004D7F49">
        <w:rPr>
          <w:rFonts w:eastAsia="Calibri"/>
          <w:sz w:val="22"/>
          <w:szCs w:val="22"/>
          <w:lang w:val="en-GB"/>
        </w:rPr>
        <w:t xml:space="preserve"> and loans against property title deeds.</w:t>
      </w:r>
      <w:r w:rsidRPr="004D7F49">
        <w:rPr>
          <w:rFonts w:eastAsia="Calibri"/>
          <w:sz w:val="22"/>
          <w:szCs w:val="22"/>
          <w:vertAlign w:val="superscript"/>
          <w:lang w:val="en-GB"/>
        </w:rPr>
        <w:endnoteReference w:id="27"/>
      </w:r>
    </w:p>
    <w:p w14:paraId="5B4E9B02" w14:textId="77777777" w:rsidR="00DF5A71" w:rsidRPr="0004607E" w:rsidRDefault="00DF5A71" w:rsidP="00DF5A71">
      <w:pPr>
        <w:jc w:val="both"/>
        <w:rPr>
          <w:rFonts w:eastAsia="Calibri"/>
          <w:sz w:val="16"/>
          <w:szCs w:val="16"/>
          <w:lang w:val="en-GB"/>
        </w:rPr>
      </w:pPr>
    </w:p>
    <w:p w14:paraId="719D8885" w14:textId="3E9CA0DD" w:rsidR="00DF5A71" w:rsidRPr="004D7F49" w:rsidRDefault="00DF5A71" w:rsidP="005943E2">
      <w:pPr>
        <w:jc w:val="both"/>
        <w:rPr>
          <w:sz w:val="22"/>
          <w:szCs w:val="22"/>
          <w:shd w:val="clear" w:color="auto" w:fill="FFFFFF"/>
          <w:lang w:val="en-GB" w:eastAsia="en-IN"/>
        </w:rPr>
      </w:pPr>
      <w:r w:rsidRPr="004D7F49">
        <w:rPr>
          <w:rFonts w:eastAsia="Calibri"/>
          <w:sz w:val="22"/>
          <w:szCs w:val="22"/>
          <w:lang w:val="en-GB"/>
        </w:rPr>
        <w:t>As economic growth deteriorated even further, in October 2010</w:t>
      </w:r>
      <w:r w:rsidR="003A5A08">
        <w:rPr>
          <w:rFonts w:eastAsia="Calibri"/>
          <w:sz w:val="22"/>
          <w:szCs w:val="22"/>
          <w:lang w:val="en-GB"/>
        </w:rPr>
        <w:t>,</w:t>
      </w:r>
      <w:r w:rsidRPr="004D7F49">
        <w:rPr>
          <w:rFonts w:eastAsia="Calibri"/>
          <w:sz w:val="22"/>
          <w:szCs w:val="22"/>
          <w:lang w:val="en-GB"/>
        </w:rPr>
        <w:t xml:space="preserve"> the BoJ implemented a</w:t>
      </w:r>
      <w:r w:rsidR="002E0A99" w:rsidRPr="004D7F49">
        <w:rPr>
          <w:rFonts w:eastAsia="Calibri"/>
          <w:sz w:val="22"/>
          <w:szCs w:val="22"/>
          <w:lang w:val="en-GB"/>
        </w:rPr>
        <w:t xml:space="preserve"> </w:t>
      </w:r>
      <w:r w:rsidR="00364EFA" w:rsidRPr="004D7F49">
        <w:rPr>
          <w:rFonts w:eastAsia="Calibri"/>
          <w:sz w:val="22"/>
          <w:szCs w:val="22"/>
          <w:lang w:val="en-GB"/>
        </w:rPr>
        <w:t>c</w:t>
      </w:r>
      <w:r w:rsidR="002E0A99" w:rsidRPr="004D7F49">
        <w:rPr>
          <w:rFonts w:eastAsia="Calibri"/>
          <w:sz w:val="22"/>
          <w:szCs w:val="22"/>
          <w:lang w:val="en-GB"/>
        </w:rPr>
        <w:t xml:space="preserve">omprehensive </w:t>
      </w:r>
      <w:r w:rsidR="003A5A08">
        <w:rPr>
          <w:rFonts w:eastAsia="Calibri"/>
          <w:sz w:val="22"/>
          <w:szCs w:val="22"/>
          <w:lang w:val="en-GB"/>
        </w:rPr>
        <w:t>monetary-easing</w:t>
      </w:r>
      <w:r w:rsidR="002E0A99" w:rsidRPr="004D7F49">
        <w:rPr>
          <w:rFonts w:eastAsia="Calibri"/>
          <w:sz w:val="22"/>
          <w:szCs w:val="22"/>
          <w:lang w:val="en-GB"/>
        </w:rPr>
        <w:t xml:space="preserve"> </w:t>
      </w:r>
      <w:r w:rsidR="00364EFA" w:rsidRPr="004D7F49">
        <w:rPr>
          <w:rFonts w:eastAsia="Calibri"/>
          <w:sz w:val="22"/>
          <w:szCs w:val="22"/>
          <w:lang w:val="en-GB"/>
        </w:rPr>
        <w:t>p</w:t>
      </w:r>
      <w:r w:rsidRPr="004D7F49">
        <w:rPr>
          <w:rFonts w:eastAsia="Calibri"/>
          <w:sz w:val="22"/>
          <w:szCs w:val="22"/>
          <w:lang w:val="en-GB"/>
        </w:rPr>
        <w:t xml:space="preserve">olicy </w:t>
      </w:r>
      <w:r w:rsidR="003A5A08">
        <w:rPr>
          <w:rFonts w:eastAsia="Calibri"/>
          <w:sz w:val="22"/>
          <w:szCs w:val="22"/>
          <w:lang w:val="en-GB"/>
        </w:rPr>
        <w:t>that consisted of</w:t>
      </w:r>
      <w:r w:rsidRPr="004D7F49">
        <w:rPr>
          <w:rFonts w:eastAsia="Calibri"/>
          <w:sz w:val="22"/>
          <w:szCs w:val="22"/>
          <w:lang w:val="en-GB"/>
        </w:rPr>
        <w:t xml:space="preserve"> three measures: </w:t>
      </w:r>
      <w:r w:rsidR="00364EFA" w:rsidRPr="004D7F49">
        <w:rPr>
          <w:rFonts w:eastAsia="Calibri"/>
          <w:sz w:val="22"/>
          <w:szCs w:val="22"/>
          <w:lang w:val="en-GB"/>
        </w:rPr>
        <w:t>(1</w:t>
      </w:r>
      <w:r w:rsidRPr="004D7F49">
        <w:rPr>
          <w:rFonts w:eastAsia="Calibri"/>
          <w:sz w:val="22"/>
          <w:szCs w:val="22"/>
          <w:lang w:val="en-GB"/>
        </w:rPr>
        <w:t>) it reduced the target policy rate (overnight call rate) to 0</w:t>
      </w:r>
      <w:r w:rsidR="002E0A99" w:rsidRPr="004D7F49">
        <w:rPr>
          <w:rFonts w:eastAsia="Calibri"/>
          <w:sz w:val="22"/>
          <w:szCs w:val="22"/>
          <w:lang w:val="en-GB"/>
        </w:rPr>
        <w:t>–</w:t>
      </w:r>
      <w:r w:rsidRPr="004D7F49">
        <w:rPr>
          <w:rFonts w:eastAsia="Calibri"/>
          <w:sz w:val="22"/>
          <w:szCs w:val="22"/>
          <w:lang w:val="en-GB"/>
        </w:rPr>
        <w:t xml:space="preserve">0.1 per cent with immediate effect; </w:t>
      </w:r>
      <w:r w:rsidR="00364EFA" w:rsidRPr="004D7F49">
        <w:rPr>
          <w:rFonts w:eastAsia="Calibri"/>
          <w:sz w:val="22"/>
          <w:szCs w:val="22"/>
          <w:lang w:val="en-GB"/>
        </w:rPr>
        <w:t>(2</w:t>
      </w:r>
      <w:r w:rsidRPr="004D7F49">
        <w:rPr>
          <w:rFonts w:eastAsia="Calibri"/>
          <w:sz w:val="22"/>
          <w:szCs w:val="22"/>
          <w:lang w:val="en-GB"/>
        </w:rPr>
        <w:t xml:space="preserve">) it committed itself </w:t>
      </w:r>
      <w:r w:rsidRPr="005943E2">
        <w:rPr>
          <w:rFonts w:eastAsia="Calibri"/>
          <w:sz w:val="22"/>
          <w:szCs w:val="22"/>
          <w:lang w:val="en-GB"/>
        </w:rPr>
        <w:t xml:space="preserve">to </w:t>
      </w:r>
      <w:r w:rsidRPr="005943E2">
        <w:rPr>
          <w:sz w:val="22"/>
          <w:szCs w:val="22"/>
          <w:lang w:val="en-GB" w:eastAsia="en-IN"/>
        </w:rPr>
        <w:t>maintaining the virtually zero interest rate level until it judged that price stability was in sight</w:t>
      </w:r>
      <w:r w:rsidR="00364EFA" w:rsidRPr="005943E2">
        <w:rPr>
          <w:sz w:val="22"/>
          <w:szCs w:val="22"/>
          <w:lang w:val="en-GB" w:eastAsia="en-IN"/>
        </w:rPr>
        <w:t>; and</w:t>
      </w:r>
      <w:r w:rsidRPr="005943E2">
        <w:rPr>
          <w:sz w:val="22"/>
          <w:szCs w:val="22"/>
          <w:lang w:val="en-GB" w:eastAsia="en-IN"/>
        </w:rPr>
        <w:t xml:space="preserve"> </w:t>
      </w:r>
      <w:r w:rsidR="00364EFA" w:rsidRPr="005943E2">
        <w:rPr>
          <w:sz w:val="22"/>
          <w:szCs w:val="22"/>
          <w:lang w:val="en-GB" w:eastAsia="en-IN"/>
        </w:rPr>
        <w:t>(3</w:t>
      </w:r>
      <w:r w:rsidRPr="005943E2">
        <w:rPr>
          <w:sz w:val="22"/>
          <w:szCs w:val="22"/>
          <w:lang w:val="en-GB" w:eastAsia="en-IN"/>
        </w:rPr>
        <w:t>)</w:t>
      </w:r>
      <w:r w:rsidRPr="005943E2">
        <w:rPr>
          <w:rFonts w:eastAsia="Calibri"/>
          <w:sz w:val="22"/>
          <w:szCs w:val="22"/>
          <w:lang w:val="en-GB"/>
        </w:rPr>
        <w:t xml:space="preserve"> </w:t>
      </w:r>
      <w:r w:rsidRPr="005943E2">
        <w:rPr>
          <w:sz w:val="22"/>
          <w:szCs w:val="22"/>
          <w:lang w:val="en-GB" w:eastAsia="en-IN"/>
        </w:rPr>
        <w:t xml:space="preserve">it established a temporary </w:t>
      </w:r>
      <w:r w:rsidR="00364EFA" w:rsidRPr="005943E2">
        <w:rPr>
          <w:rFonts w:eastAsia="Calibri"/>
          <w:sz w:val="22"/>
          <w:szCs w:val="22"/>
          <w:lang w:val="en-GB"/>
        </w:rPr>
        <w:t>¥</w:t>
      </w:r>
      <w:r w:rsidRPr="005943E2">
        <w:rPr>
          <w:sz w:val="22"/>
          <w:szCs w:val="22"/>
          <w:lang w:val="en-GB" w:eastAsia="en-IN"/>
        </w:rPr>
        <w:t>35</w:t>
      </w:r>
      <w:r w:rsidR="00364EFA" w:rsidRPr="005943E2">
        <w:rPr>
          <w:sz w:val="22"/>
          <w:szCs w:val="22"/>
          <w:lang w:val="en-GB" w:eastAsia="en-IN"/>
        </w:rPr>
        <w:t>-</w:t>
      </w:r>
      <w:r w:rsidRPr="005943E2">
        <w:rPr>
          <w:sz w:val="22"/>
          <w:szCs w:val="22"/>
          <w:lang w:val="en-GB" w:eastAsia="en-IN"/>
        </w:rPr>
        <w:t xml:space="preserve">trillion </w:t>
      </w:r>
      <w:r w:rsidR="00364EFA" w:rsidRPr="005943E2">
        <w:rPr>
          <w:sz w:val="22"/>
          <w:szCs w:val="22"/>
          <w:lang w:val="en-GB" w:eastAsia="en-IN"/>
        </w:rPr>
        <w:t>a</w:t>
      </w:r>
      <w:r w:rsidRPr="005943E2">
        <w:rPr>
          <w:sz w:val="22"/>
          <w:szCs w:val="22"/>
          <w:lang w:val="en-GB" w:eastAsia="en-IN"/>
        </w:rPr>
        <w:t xml:space="preserve">sset </w:t>
      </w:r>
      <w:r w:rsidR="00364EFA" w:rsidRPr="005943E2">
        <w:rPr>
          <w:sz w:val="22"/>
          <w:szCs w:val="22"/>
          <w:lang w:val="en-GB" w:eastAsia="en-IN"/>
        </w:rPr>
        <w:t>p</w:t>
      </w:r>
      <w:r w:rsidRPr="005943E2">
        <w:rPr>
          <w:sz w:val="22"/>
          <w:szCs w:val="22"/>
          <w:lang w:val="en-GB" w:eastAsia="en-IN"/>
        </w:rPr>
        <w:t xml:space="preserve">urchase </w:t>
      </w:r>
      <w:r w:rsidR="00364EFA" w:rsidRPr="005943E2">
        <w:rPr>
          <w:sz w:val="22"/>
          <w:szCs w:val="22"/>
          <w:lang w:val="en-GB" w:eastAsia="en-IN"/>
        </w:rPr>
        <w:t>p</w:t>
      </w:r>
      <w:r w:rsidRPr="005943E2">
        <w:rPr>
          <w:sz w:val="22"/>
          <w:szCs w:val="22"/>
          <w:lang w:val="en-GB" w:eastAsia="en-IN"/>
        </w:rPr>
        <w:t xml:space="preserve">rogram, through which it purchased financial assets including government securities and risk assets such as corporate bonds, </w:t>
      </w:r>
      <w:r w:rsidR="00364EFA" w:rsidRPr="005943E2">
        <w:rPr>
          <w:sz w:val="22"/>
          <w:szCs w:val="22"/>
          <w:lang w:val="en-GB" w:eastAsia="en-IN"/>
        </w:rPr>
        <w:t>commercial paper</w:t>
      </w:r>
      <w:r w:rsidRPr="005943E2">
        <w:rPr>
          <w:sz w:val="22"/>
          <w:szCs w:val="22"/>
          <w:lang w:val="en-GB" w:eastAsia="en-IN"/>
        </w:rPr>
        <w:t xml:space="preserve">, </w:t>
      </w:r>
      <w:r w:rsidR="00364EFA" w:rsidRPr="005943E2">
        <w:rPr>
          <w:sz w:val="22"/>
          <w:szCs w:val="22"/>
          <w:lang w:val="en-GB" w:eastAsia="en-IN"/>
        </w:rPr>
        <w:t>e</w:t>
      </w:r>
      <w:r w:rsidRPr="005943E2">
        <w:rPr>
          <w:sz w:val="22"/>
          <w:szCs w:val="22"/>
          <w:lang w:val="en-GB" w:eastAsia="en-IN"/>
        </w:rPr>
        <w:t>xchange-</w:t>
      </w:r>
      <w:r w:rsidR="00364EFA" w:rsidRPr="005943E2">
        <w:rPr>
          <w:sz w:val="22"/>
          <w:szCs w:val="22"/>
          <w:lang w:val="en-GB" w:eastAsia="en-IN"/>
        </w:rPr>
        <w:t>t</w:t>
      </w:r>
      <w:r w:rsidRPr="005943E2">
        <w:rPr>
          <w:sz w:val="22"/>
          <w:szCs w:val="22"/>
          <w:lang w:val="en-GB" w:eastAsia="en-IN"/>
        </w:rPr>
        <w:t xml:space="preserve">raded </w:t>
      </w:r>
      <w:r w:rsidR="00364EFA" w:rsidRPr="005943E2">
        <w:rPr>
          <w:sz w:val="22"/>
          <w:szCs w:val="22"/>
          <w:lang w:val="en-GB" w:eastAsia="en-IN"/>
        </w:rPr>
        <w:t>f</w:t>
      </w:r>
      <w:r w:rsidRPr="005943E2">
        <w:rPr>
          <w:sz w:val="22"/>
          <w:szCs w:val="22"/>
          <w:lang w:val="en-GB" w:eastAsia="en-IN"/>
        </w:rPr>
        <w:t>unds (ETFs)</w:t>
      </w:r>
      <w:r w:rsidR="00364EFA" w:rsidRPr="005943E2">
        <w:rPr>
          <w:sz w:val="22"/>
          <w:szCs w:val="22"/>
          <w:lang w:val="en-GB" w:eastAsia="en-IN"/>
        </w:rPr>
        <w:t>,</w:t>
      </w:r>
      <w:r w:rsidRPr="005943E2">
        <w:rPr>
          <w:sz w:val="22"/>
          <w:szCs w:val="22"/>
          <w:lang w:val="en-GB" w:eastAsia="en-IN"/>
        </w:rPr>
        <w:t xml:space="preserve"> and Japan</w:t>
      </w:r>
      <w:r w:rsidR="00364EFA" w:rsidRPr="005943E2">
        <w:rPr>
          <w:sz w:val="22"/>
          <w:szCs w:val="22"/>
          <w:lang w:val="en-GB" w:eastAsia="en-IN"/>
        </w:rPr>
        <w:t>ese</w:t>
      </w:r>
      <w:r w:rsidRPr="005943E2">
        <w:rPr>
          <w:sz w:val="22"/>
          <w:szCs w:val="22"/>
          <w:lang w:val="en-GB" w:eastAsia="en-IN"/>
        </w:rPr>
        <w:t xml:space="preserve"> </w:t>
      </w:r>
      <w:r w:rsidR="00364EFA" w:rsidRPr="005943E2">
        <w:rPr>
          <w:sz w:val="22"/>
          <w:szCs w:val="22"/>
          <w:lang w:val="en-GB" w:eastAsia="en-IN"/>
        </w:rPr>
        <w:t>r</w:t>
      </w:r>
      <w:r w:rsidRPr="005943E2">
        <w:rPr>
          <w:sz w:val="22"/>
          <w:szCs w:val="22"/>
          <w:lang w:val="en-GB" w:eastAsia="en-IN"/>
        </w:rPr>
        <w:t xml:space="preserve">eal </w:t>
      </w:r>
      <w:r w:rsidR="00364EFA" w:rsidRPr="005943E2">
        <w:rPr>
          <w:sz w:val="22"/>
          <w:szCs w:val="22"/>
          <w:lang w:val="en-GB" w:eastAsia="en-IN"/>
        </w:rPr>
        <w:t>e</w:t>
      </w:r>
      <w:r w:rsidRPr="005943E2">
        <w:rPr>
          <w:sz w:val="22"/>
          <w:szCs w:val="22"/>
          <w:lang w:val="en-GB" w:eastAsia="en-IN"/>
        </w:rPr>
        <w:t xml:space="preserve">state </w:t>
      </w:r>
      <w:r w:rsidR="00364EFA" w:rsidRPr="005943E2">
        <w:rPr>
          <w:sz w:val="22"/>
          <w:szCs w:val="22"/>
          <w:lang w:val="en-GB" w:eastAsia="en-IN"/>
        </w:rPr>
        <w:t>i</w:t>
      </w:r>
      <w:r w:rsidRPr="005943E2">
        <w:rPr>
          <w:sz w:val="22"/>
          <w:szCs w:val="22"/>
          <w:lang w:val="en-GB" w:eastAsia="en-IN"/>
        </w:rPr>
        <w:t xml:space="preserve">nvestment </w:t>
      </w:r>
      <w:r w:rsidR="00364EFA" w:rsidRPr="005943E2">
        <w:rPr>
          <w:sz w:val="22"/>
          <w:szCs w:val="22"/>
          <w:lang w:val="en-GB" w:eastAsia="en-IN"/>
        </w:rPr>
        <w:t>t</w:t>
      </w:r>
      <w:r w:rsidRPr="005943E2">
        <w:rPr>
          <w:sz w:val="22"/>
          <w:szCs w:val="22"/>
          <w:lang w:val="en-GB" w:eastAsia="en-IN"/>
        </w:rPr>
        <w:t>rusts (J-REITs) and provided longer-term funds at a fixed rate.</w:t>
      </w:r>
      <w:r w:rsidRPr="005943E2">
        <w:rPr>
          <w:sz w:val="22"/>
          <w:szCs w:val="22"/>
          <w:vertAlign w:val="superscript"/>
          <w:lang w:val="en-GB" w:eastAsia="en-IN"/>
        </w:rPr>
        <w:endnoteReference w:id="28"/>
      </w:r>
    </w:p>
    <w:p w14:paraId="438B4CA1" w14:textId="77777777" w:rsidR="00DF5A71" w:rsidRPr="0004607E" w:rsidRDefault="00DF5A71" w:rsidP="00DF5A71">
      <w:pPr>
        <w:jc w:val="both"/>
        <w:rPr>
          <w:sz w:val="16"/>
          <w:szCs w:val="16"/>
          <w:shd w:val="clear" w:color="auto" w:fill="FFFFFF"/>
          <w:lang w:val="en-GB" w:eastAsia="en-IN"/>
        </w:rPr>
      </w:pPr>
    </w:p>
    <w:p w14:paraId="52078F22" w14:textId="11C7F0FB" w:rsidR="00DF5A71" w:rsidRPr="00586C3F" w:rsidRDefault="00DF5A71" w:rsidP="00DF5A71">
      <w:pPr>
        <w:jc w:val="both"/>
        <w:rPr>
          <w:rFonts w:eastAsia="Calibri"/>
          <w:spacing w:val="-2"/>
          <w:kern w:val="22"/>
          <w:sz w:val="22"/>
          <w:szCs w:val="22"/>
          <w:lang w:val="en-GB"/>
        </w:rPr>
      </w:pPr>
      <w:r w:rsidRPr="00586C3F">
        <w:rPr>
          <w:spacing w:val="-2"/>
          <w:kern w:val="22"/>
          <w:sz w:val="22"/>
          <w:szCs w:val="22"/>
          <w:shd w:val="clear" w:color="auto" w:fill="FFFFFF"/>
          <w:lang w:val="en-GB" w:eastAsia="en-IN"/>
        </w:rPr>
        <w:t xml:space="preserve">Following the Tohoku </w:t>
      </w:r>
      <w:r w:rsidR="00364EFA" w:rsidRPr="00586C3F">
        <w:rPr>
          <w:spacing w:val="-2"/>
          <w:kern w:val="22"/>
          <w:sz w:val="22"/>
          <w:szCs w:val="22"/>
          <w:shd w:val="clear" w:color="auto" w:fill="FFFFFF"/>
          <w:lang w:val="en-GB" w:eastAsia="en-IN"/>
        </w:rPr>
        <w:t>e</w:t>
      </w:r>
      <w:r w:rsidRPr="00586C3F">
        <w:rPr>
          <w:spacing w:val="-2"/>
          <w:kern w:val="22"/>
          <w:sz w:val="22"/>
          <w:szCs w:val="22"/>
          <w:shd w:val="clear" w:color="auto" w:fill="FFFFFF"/>
          <w:lang w:val="en-GB" w:eastAsia="en-IN"/>
        </w:rPr>
        <w:t xml:space="preserve">arthquake </w:t>
      </w:r>
      <w:r w:rsidR="00897156" w:rsidRPr="00586C3F">
        <w:rPr>
          <w:spacing w:val="-2"/>
          <w:kern w:val="22"/>
          <w:sz w:val="22"/>
          <w:szCs w:val="22"/>
          <w:shd w:val="clear" w:color="auto" w:fill="FFFFFF"/>
          <w:lang w:val="en-GB" w:eastAsia="en-IN"/>
        </w:rPr>
        <w:t xml:space="preserve">and tsunami in March 2011, the </w:t>
      </w:r>
      <w:r w:rsidR="00364EFA" w:rsidRPr="00586C3F">
        <w:rPr>
          <w:spacing w:val="-2"/>
          <w:kern w:val="22"/>
          <w:sz w:val="22"/>
          <w:szCs w:val="22"/>
          <w:shd w:val="clear" w:color="auto" w:fill="FFFFFF"/>
          <w:lang w:val="en-GB" w:eastAsia="en-IN"/>
        </w:rPr>
        <w:t>BoJ</w:t>
      </w:r>
      <w:r w:rsidRPr="00586C3F">
        <w:rPr>
          <w:spacing w:val="-2"/>
          <w:kern w:val="22"/>
          <w:sz w:val="22"/>
          <w:szCs w:val="22"/>
          <w:shd w:val="clear" w:color="auto" w:fill="FFFFFF"/>
          <w:lang w:val="en-GB" w:eastAsia="en-IN"/>
        </w:rPr>
        <w:t xml:space="preserve"> further enhanced monetary easing to counter the impact of these natural disasters on production</w:t>
      </w:r>
      <w:r w:rsidR="00BD749D" w:rsidRPr="00586C3F">
        <w:rPr>
          <w:spacing w:val="-2"/>
          <w:kern w:val="22"/>
          <w:sz w:val="22"/>
          <w:szCs w:val="22"/>
          <w:shd w:val="clear" w:color="auto" w:fill="FFFFFF"/>
          <w:lang w:val="en-GB" w:eastAsia="en-IN"/>
        </w:rPr>
        <w:t xml:space="preserve"> and </w:t>
      </w:r>
      <w:r w:rsidRPr="00586C3F">
        <w:rPr>
          <w:spacing w:val="-2"/>
          <w:kern w:val="22"/>
          <w:sz w:val="22"/>
          <w:szCs w:val="22"/>
          <w:shd w:val="clear" w:color="auto" w:fill="FFFFFF"/>
          <w:lang w:val="en-GB" w:eastAsia="en-IN"/>
        </w:rPr>
        <w:t xml:space="preserve">business and household sentiments so that </w:t>
      </w:r>
      <w:r w:rsidRPr="00586C3F">
        <w:rPr>
          <w:spacing w:val="-2"/>
          <w:kern w:val="22"/>
          <w:sz w:val="22"/>
          <w:szCs w:val="22"/>
          <w:shd w:val="clear" w:color="auto" w:fill="FFFFFF"/>
          <w:lang w:val="en-GB" w:eastAsia="en-IN"/>
        </w:rPr>
        <w:lastRenderedPageBreak/>
        <w:t xml:space="preserve">Japan could overcome deflation and return to a sustainable growth path with price stability. </w:t>
      </w:r>
      <w:r w:rsidR="00364EFA" w:rsidRPr="00586C3F">
        <w:rPr>
          <w:spacing w:val="-2"/>
          <w:kern w:val="22"/>
          <w:sz w:val="22"/>
          <w:szCs w:val="22"/>
          <w:shd w:val="clear" w:color="auto" w:fill="FFFFFF"/>
          <w:lang w:val="en-GB" w:eastAsia="en-IN"/>
        </w:rPr>
        <w:t>T</w:t>
      </w:r>
      <w:r w:rsidR="00263C98" w:rsidRPr="00586C3F">
        <w:rPr>
          <w:spacing w:val="-2"/>
          <w:kern w:val="22"/>
          <w:sz w:val="22"/>
          <w:szCs w:val="22"/>
          <w:shd w:val="clear" w:color="auto" w:fill="FFFFFF"/>
          <w:lang w:val="en-GB" w:eastAsia="en-IN"/>
        </w:rPr>
        <w:t>o tackle the zero lower bound, the</w:t>
      </w:r>
      <w:r w:rsidR="00897156" w:rsidRPr="00586C3F">
        <w:rPr>
          <w:spacing w:val="-2"/>
          <w:kern w:val="22"/>
          <w:sz w:val="22"/>
          <w:szCs w:val="22"/>
          <w:shd w:val="clear" w:color="auto" w:fill="FFFFFF"/>
          <w:lang w:val="en-GB" w:eastAsia="en-IN"/>
        </w:rPr>
        <w:t xml:space="preserve"> b</w:t>
      </w:r>
      <w:r w:rsidRPr="00586C3F">
        <w:rPr>
          <w:spacing w:val="-2"/>
          <w:kern w:val="22"/>
          <w:sz w:val="22"/>
          <w:szCs w:val="22"/>
          <w:shd w:val="clear" w:color="auto" w:fill="FFFFFF"/>
          <w:lang w:val="en-GB" w:eastAsia="en-IN"/>
        </w:rPr>
        <w:t>ank increased the amount of asset purchases, especially risky assets, under the Asset Purchase Program</w:t>
      </w:r>
      <w:r w:rsidR="00263C98" w:rsidRPr="00586C3F">
        <w:rPr>
          <w:spacing w:val="-2"/>
          <w:kern w:val="22"/>
          <w:sz w:val="22"/>
          <w:szCs w:val="22"/>
          <w:shd w:val="clear" w:color="auto" w:fill="FFFFFF"/>
          <w:lang w:val="en-GB" w:eastAsia="en-IN"/>
        </w:rPr>
        <w:t xml:space="preserve"> and undertook </w:t>
      </w:r>
      <w:r w:rsidR="009E43D0" w:rsidRPr="00586C3F">
        <w:rPr>
          <w:spacing w:val="-2"/>
          <w:kern w:val="22"/>
          <w:sz w:val="22"/>
          <w:szCs w:val="22"/>
          <w:shd w:val="clear" w:color="auto" w:fill="FFFFFF"/>
          <w:lang w:val="en-GB" w:eastAsia="en-IN"/>
        </w:rPr>
        <w:t>l</w:t>
      </w:r>
      <w:r w:rsidR="00263C98" w:rsidRPr="00586C3F">
        <w:rPr>
          <w:spacing w:val="-2"/>
          <w:kern w:val="22"/>
          <w:sz w:val="22"/>
          <w:szCs w:val="22"/>
          <w:shd w:val="clear" w:color="auto" w:fill="FFFFFF"/>
          <w:lang w:val="en-GB" w:eastAsia="en-IN"/>
        </w:rPr>
        <w:t xml:space="preserve">oan </w:t>
      </w:r>
      <w:r w:rsidR="009E43D0" w:rsidRPr="00586C3F">
        <w:rPr>
          <w:spacing w:val="-2"/>
          <w:kern w:val="22"/>
          <w:sz w:val="22"/>
          <w:szCs w:val="22"/>
          <w:shd w:val="clear" w:color="auto" w:fill="FFFFFF"/>
          <w:lang w:val="en-GB" w:eastAsia="en-IN"/>
        </w:rPr>
        <w:t>s</w:t>
      </w:r>
      <w:r w:rsidR="00263C98" w:rsidRPr="00586C3F">
        <w:rPr>
          <w:spacing w:val="-2"/>
          <w:kern w:val="22"/>
          <w:sz w:val="22"/>
          <w:szCs w:val="22"/>
          <w:shd w:val="clear" w:color="auto" w:fill="FFFFFF"/>
          <w:lang w:val="en-GB" w:eastAsia="en-IN"/>
        </w:rPr>
        <w:t>upport programs.</w:t>
      </w:r>
      <w:r w:rsidRPr="00586C3F">
        <w:rPr>
          <w:spacing w:val="-2"/>
          <w:kern w:val="22"/>
          <w:sz w:val="22"/>
          <w:szCs w:val="22"/>
          <w:shd w:val="clear" w:color="auto" w:fill="FFFFFF"/>
          <w:vertAlign w:val="superscript"/>
          <w:lang w:val="en-GB" w:eastAsia="en-IN"/>
        </w:rPr>
        <w:endnoteReference w:id="29"/>
      </w:r>
      <w:r w:rsidR="0048450D" w:rsidRPr="00586C3F">
        <w:rPr>
          <w:spacing w:val="-2"/>
          <w:kern w:val="22"/>
          <w:sz w:val="22"/>
          <w:szCs w:val="22"/>
          <w:shd w:val="clear" w:color="auto" w:fill="FFFFFF"/>
          <w:lang w:val="en-GB" w:eastAsia="en-IN"/>
        </w:rPr>
        <w:t xml:space="preserve"> </w:t>
      </w:r>
      <w:r w:rsidR="003F72BC" w:rsidRPr="003F72BC">
        <w:rPr>
          <w:spacing w:val="-2"/>
          <w:kern w:val="22"/>
          <w:sz w:val="22"/>
          <w:szCs w:val="22"/>
          <w:shd w:val="clear" w:color="auto" w:fill="FFFFFF"/>
          <w:lang w:val="en-GB" w:eastAsia="en-IN"/>
        </w:rPr>
        <w:t>This announcement came three days after the earthquake and tsunami.</w:t>
      </w:r>
      <w:r w:rsidR="003F72BC">
        <w:rPr>
          <w:spacing w:val="-2"/>
          <w:kern w:val="22"/>
          <w:sz w:val="22"/>
          <w:szCs w:val="22"/>
          <w:shd w:val="clear" w:color="auto" w:fill="FFFFFF"/>
          <w:lang w:val="en-GB" w:eastAsia="en-IN"/>
        </w:rPr>
        <w:t xml:space="preserve"> </w:t>
      </w:r>
      <w:r w:rsidRPr="00586C3F">
        <w:rPr>
          <w:spacing w:val="-2"/>
          <w:kern w:val="22"/>
          <w:sz w:val="22"/>
          <w:szCs w:val="22"/>
          <w:shd w:val="clear" w:color="auto" w:fill="FFFFFF"/>
          <w:lang w:val="en-GB" w:eastAsia="en-IN"/>
        </w:rPr>
        <w:t xml:space="preserve">The total size of the monetary easing under the Asset Purchase Program worked out to more than </w:t>
      </w:r>
      <w:r w:rsidR="00364EFA" w:rsidRPr="00586C3F">
        <w:rPr>
          <w:rFonts w:eastAsia="Calibri"/>
          <w:spacing w:val="-2"/>
          <w:kern w:val="22"/>
          <w:sz w:val="22"/>
          <w:szCs w:val="22"/>
          <w:lang w:val="en-GB"/>
        </w:rPr>
        <w:t>¥</w:t>
      </w:r>
      <w:r w:rsidRPr="00586C3F">
        <w:rPr>
          <w:spacing w:val="-2"/>
          <w:kern w:val="22"/>
          <w:sz w:val="22"/>
          <w:szCs w:val="22"/>
          <w:shd w:val="clear" w:color="auto" w:fill="FFFFFF"/>
          <w:lang w:val="en-GB" w:eastAsia="en-IN"/>
        </w:rPr>
        <w:t>120 trillion.</w:t>
      </w:r>
      <w:r w:rsidRPr="00586C3F">
        <w:rPr>
          <w:spacing w:val="-2"/>
          <w:kern w:val="22"/>
          <w:sz w:val="22"/>
          <w:szCs w:val="22"/>
          <w:shd w:val="clear" w:color="auto" w:fill="FFFFFF"/>
          <w:vertAlign w:val="superscript"/>
          <w:lang w:val="en-GB" w:eastAsia="en-IN"/>
        </w:rPr>
        <w:endnoteReference w:id="30"/>
      </w:r>
      <w:r w:rsidRPr="00586C3F">
        <w:rPr>
          <w:rFonts w:ascii="Calibri" w:eastAsia="Calibri" w:hAnsi="Calibri"/>
          <w:spacing w:val="-2"/>
          <w:kern w:val="22"/>
          <w:sz w:val="24"/>
          <w:szCs w:val="24"/>
          <w:lang w:val="en-GB"/>
        </w:rPr>
        <w:t xml:space="preserve"> </w:t>
      </w:r>
      <w:r w:rsidRPr="00586C3F">
        <w:rPr>
          <w:spacing w:val="-2"/>
          <w:kern w:val="22"/>
          <w:sz w:val="22"/>
          <w:szCs w:val="22"/>
          <w:shd w:val="clear" w:color="auto" w:fill="FFFFFF"/>
          <w:lang w:val="en-GB" w:eastAsia="en-IN"/>
        </w:rPr>
        <w:t xml:space="preserve">These asset purchases were in addition to the regular purchases of </w:t>
      </w:r>
      <w:r w:rsidR="00E11BE0" w:rsidRPr="00586C3F">
        <w:rPr>
          <w:spacing w:val="-2"/>
          <w:kern w:val="22"/>
          <w:sz w:val="22"/>
          <w:szCs w:val="22"/>
          <w:shd w:val="clear" w:color="auto" w:fill="FFFFFF"/>
          <w:lang w:val="en-GB" w:eastAsia="en-IN"/>
        </w:rPr>
        <w:t>JGBs</w:t>
      </w:r>
      <w:r w:rsidRPr="00586C3F">
        <w:rPr>
          <w:spacing w:val="-2"/>
          <w:kern w:val="22"/>
          <w:sz w:val="22"/>
          <w:szCs w:val="22"/>
          <w:shd w:val="clear" w:color="auto" w:fill="FFFFFF"/>
          <w:lang w:val="en-GB" w:eastAsia="en-IN"/>
        </w:rPr>
        <w:t xml:space="preserve"> of </w:t>
      </w:r>
      <w:r w:rsidR="00364EFA" w:rsidRPr="00586C3F">
        <w:rPr>
          <w:rFonts w:eastAsia="Calibri"/>
          <w:spacing w:val="-2"/>
          <w:kern w:val="22"/>
          <w:sz w:val="22"/>
          <w:szCs w:val="22"/>
          <w:lang w:val="en-GB"/>
        </w:rPr>
        <w:t>¥</w:t>
      </w:r>
      <w:r w:rsidRPr="00586C3F">
        <w:rPr>
          <w:spacing w:val="-2"/>
          <w:kern w:val="22"/>
          <w:sz w:val="22"/>
          <w:szCs w:val="22"/>
          <w:shd w:val="clear" w:color="auto" w:fill="FFFFFF"/>
          <w:lang w:val="en-GB" w:eastAsia="en-IN"/>
        </w:rPr>
        <w:t xml:space="preserve">21.6 trillion per year. </w:t>
      </w:r>
      <w:r w:rsidRPr="00586C3F">
        <w:rPr>
          <w:rFonts w:eastAsia="Calibri"/>
          <w:spacing w:val="-2"/>
          <w:kern w:val="22"/>
          <w:sz w:val="22"/>
          <w:szCs w:val="22"/>
          <w:lang w:val="en-GB"/>
        </w:rPr>
        <w:t xml:space="preserve">However, economic activity and prices did not improve significantly. In January 2013, </w:t>
      </w:r>
      <w:r w:rsidRPr="00586C3F">
        <w:rPr>
          <w:spacing w:val="-2"/>
          <w:kern w:val="22"/>
          <w:sz w:val="22"/>
          <w:szCs w:val="22"/>
          <w:shd w:val="clear" w:color="auto" w:fill="FFFFFF"/>
          <w:lang w:val="en-GB" w:eastAsia="en-IN"/>
        </w:rPr>
        <w:t>Governor Shirakawa Masaaki adopted</w:t>
      </w:r>
      <w:r w:rsidRPr="00586C3F">
        <w:rPr>
          <w:rFonts w:eastAsia="Calibri"/>
          <w:spacing w:val="-2"/>
          <w:kern w:val="22"/>
          <w:sz w:val="22"/>
          <w:szCs w:val="22"/>
          <w:lang w:val="en-GB"/>
        </w:rPr>
        <w:t xml:space="preserve"> </w:t>
      </w:r>
      <w:r w:rsidRPr="00586C3F">
        <w:rPr>
          <w:spacing w:val="-2"/>
          <w:kern w:val="22"/>
          <w:sz w:val="22"/>
          <w:szCs w:val="22"/>
          <w:shd w:val="clear" w:color="auto" w:fill="FFFFFF"/>
          <w:lang w:val="en-GB" w:eastAsia="en-IN"/>
        </w:rPr>
        <w:t>t</w:t>
      </w:r>
      <w:r w:rsidR="000C5C85" w:rsidRPr="00586C3F">
        <w:rPr>
          <w:spacing w:val="-2"/>
          <w:kern w:val="22"/>
          <w:sz w:val="22"/>
          <w:szCs w:val="22"/>
          <w:shd w:val="clear" w:color="auto" w:fill="FFFFFF"/>
          <w:lang w:val="en-GB" w:eastAsia="en-IN"/>
        </w:rPr>
        <w:t xml:space="preserve">he </w:t>
      </w:r>
      <w:r w:rsidR="00B343E8" w:rsidRPr="00586C3F">
        <w:rPr>
          <w:spacing w:val="-2"/>
          <w:kern w:val="22"/>
          <w:sz w:val="22"/>
          <w:szCs w:val="22"/>
          <w:shd w:val="clear" w:color="auto" w:fill="FFFFFF"/>
          <w:lang w:val="en-GB" w:eastAsia="en-IN"/>
        </w:rPr>
        <w:t>price-stability</w:t>
      </w:r>
      <w:r w:rsidR="000C5C85" w:rsidRPr="00586C3F">
        <w:rPr>
          <w:spacing w:val="-2"/>
          <w:kern w:val="22"/>
          <w:sz w:val="22"/>
          <w:szCs w:val="22"/>
          <w:shd w:val="clear" w:color="auto" w:fill="FFFFFF"/>
          <w:lang w:val="en-GB" w:eastAsia="en-IN"/>
        </w:rPr>
        <w:t xml:space="preserve"> target of a </w:t>
      </w:r>
      <w:r w:rsidR="00BD749D" w:rsidRPr="00586C3F">
        <w:rPr>
          <w:spacing w:val="-2"/>
          <w:kern w:val="22"/>
          <w:sz w:val="22"/>
          <w:szCs w:val="22"/>
          <w:shd w:val="clear" w:color="auto" w:fill="FFFFFF"/>
          <w:lang w:val="en-GB" w:eastAsia="en-IN"/>
        </w:rPr>
        <w:t>2 per cent</w:t>
      </w:r>
      <w:r w:rsidRPr="00586C3F">
        <w:rPr>
          <w:spacing w:val="-2"/>
          <w:kern w:val="22"/>
          <w:sz w:val="22"/>
          <w:szCs w:val="22"/>
          <w:shd w:val="clear" w:color="auto" w:fill="FFFFFF"/>
          <w:lang w:val="en-GB" w:eastAsia="en-IN"/>
        </w:rPr>
        <w:t xml:space="preserve"> </w:t>
      </w:r>
      <w:r w:rsidR="009E43D0" w:rsidRPr="00586C3F">
        <w:rPr>
          <w:spacing w:val="-2"/>
          <w:kern w:val="22"/>
          <w:sz w:val="22"/>
          <w:szCs w:val="22"/>
          <w:shd w:val="clear" w:color="auto" w:fill="FFFFFF"/>
          <w:lang w:val="en-GB" w:eastAsia="en-IN"/>
        </w:rPr>
        <w:t>c</w:t>
      </w:r>
      <w:r w:rsidR="00E3664C" w:rsidRPr="00586C3F">
        <w:rPr>
          <w:spacing w:val="-2"/>
          <w:kern w:val="22"/>
          <w:sz w:val="22"/>
          <w:szCs w:val="22"/>
          <w:shd w:val="clear" w:color="auto" w:fill="FFFFFF"/>
          <w:lang w:val="en-GB" w:eastAsia="en-IN"/>
        </w:rPr>
        <w:t xml:space="preserve">onsumer </w:t>
      </w:r>
      <w:r w:rsidR="009E43D0" w:rsidRPr="00586C3F">
        <w:rPr>
          <w:spacing w:val="-2"/>
          <w:kern w:val="22"/>
          <w:sz w:val="22"/>
          <w:szCs w:val="22"/>
          <w:shd w:val="clear" w:color="auto" w:fill="FFFFFF"/>
          <w:lang w:val="en-GB" w:eastAsia="en-IN"/>
        </w:rPr>
        <w:t>p</w:t>
      </w:r>
      <w:r w:rsidR="00E3664C" w:rsidRPr="00586C3F">
        <w:rPr>
          <w:spacing w:val="-2"/>
          <w:kern w:val="22"/>
          <w:sz w:val="22"/>
          <w:szCs w:val="22"/>
          <w:shd w:val="clear" w:color="auto" w:fill="FFFFFF"/>
          <w:lang w:val="en-GB" w:eastAsia="en-IN"/>
        </w:rPr>
        <w:t xml:space="preserve">rice </w:t>
      </w:r>
      <w:r w:rsidR="009E43D0" w:rsidRPr="00586C3F">
        <w:rPr>
          <w:spacing w:val="-2"/>
          <w:kern w:val="22"/>
          <w:sz w:val="22"/>
          <w:szCs w:val="22"/>
          <w:shd w:val="clear" w:color="auto" w:fill="FFFFFF"/>
          <w:lang w:val="en-GB" w:eastAsia="en-IN"/>
        </w:rPr>
        <w:t>i</w:t>
      </w:r>
      <w:r w:rsidR="00E3664C" w:rsidRPr="00586C3F">
        <w:rPr>
          <w:spacing w:val="-2"/>
          <w:kern w:val="22"/>
          <w:sz w:val="22"/>
          <w:szCs w:val="22"/>
          <w:shd w:val="clear" w:color="auto" w:fill="FFFFFF"/>
          <w:lang w:val="en-GB" w:eastAsia="en-IN"/>
        </w:rPr>
        <w:t>ndex</w:t>
      </w:r>
      <w:r w:rsidRPr="00586C3F">
        <w:rPr>
          <w:spacing w:val="-2"/>
          <w:kern w:val="22"/>
          <w:sz w:val="22"/>
          <w:szCs w:val="22"/>
          <w:shd w:val="clear" w:color="auto" w:fill="FFFFFF"/>
          <w:lang w:val="en-GB" w:eastAsia="en-IN"/>
        </w:rPr>
        <w:t xml:space="preserve"> and committed to achieving such a target at the earliest possible time.</w:t>
      </w:r>
      <w:r w:rsidRPr="00586C3F">
        <w:rPr>
          <w:spacing w:val="-2"/>
          <w:kern w:val="22"/>
          <w:sz w:val="22"/>
          <w:szCs w:val="22"/>
          <w:shd w:val="clear" w:color="auto" w:fill="FFFFFF"/>
          <w:vertAlign w:val="superscript"/>
          <w:lang w:val="en-GB" w:eastAsia="en-IN"/>
        </w:rPr>
        <w:endnoteReference w:id="31"/>
      </w:r>
      <w:r w:rsidRPr="00586C3F">
        <w:rPr>
          <w:spacing w:val="-2"/>
          <w:kern w:val="22"/>
          <w:sz w:val="22"/>
          <w:szCs w:val="22"/>
          <w:shd w:val="clear" w:color="auto" w:fill="FFFFFF"/>
          <w:lang w:val="en-GB" w:eastAsia="en-IN"/>
        </w:rPr>
        <w:t xml:space="preserve"> </w:t>
      </w:r>
      <w:r w:rsidR="003F72BC" w:rsidRPr="003F72BC">
        <w:rPr>
          <w:spacing w:val="-2"/>
          <w:kern w:val="22"/>
          <w:sz w:val="22"/>
          <w:szCs w:val="22"/>
          <w:shd w:val="clear" w:color="auto" w:fill="FFFFFF"/>
          <w:lang w:val="en-GB" w:eastAsia="en-IN"/>
        </w:rPr>
        <w:t>In doing so, the BoJ had moved from the earlier “price stability goal” of 1 per cent to a “price stability target” of 2 per cent.</w:t>
      </w:r>
    </w:p>
    <w:p w14:paraId="070AF29B" w14:textId="77777777" w:rsidR="00DF5A71" w:rsidRPr="0004607E" w:rsidRDefault="00DF5A71" w:rsidP="00DF5A71">
      <w:pPr>
        <w:jc w:val="both"/>
        <w:rPr>
          <w:rFonts w:eastAsia="Calibri"/>
          <w:sz w:val="16"/>
          <w:szCs w:val="16"/>
          <w:lang w:val="en-GB"/>
        </w:rPr>
      </w:pPr>
    </w:p>
    <w:p w14:paraId="4A09E353" w14:textId="77777777" w:rsidR="00B05762" w:rsidRPr="0004607E" w:rsidRDefault="00B05762" w:rsidP="00DF5A71">
      <w:pPr>
        <w:jc w:val="both"/>
        <w:rPr>
          <w:rFonts w:eastAsia="Calibri"/>
          <w:sz w:val="16"/>
          <w:szCs w:val="16"/>
          <w:lang w:val="en-GB"/>
        </w:rPr>
      </w:pPr>
    </w:p>
    <w:p w14:paraId="7862B7C6" w14:textId="380C8F12" w:rsidR="00DF5A71" w:rsidRPr="004D7F49" w:rsidRDefault="00DF5A71" w:rsidP="009F453C">
      <w:pPr>
        <w:pStyle w:val="Casehead2"/>
        <w:rPr>
          <w:rFonts w:eastAsia="Calibri"/>
          <w:lang w:val="en-GB"/>
        </w:rPr>
      </w:pPr>
      <w:r w:rsidRPr="004D7F49">
        <w:rPr>
          <w:rFonts w:eastAsia="Calibri"/>
          <w:lang w:val="en-GB"/>
        </w:rPr>
        <w:t>Quantitative and Qu</w:t>
      </w:r>
      <w:r w:rsidR="00261598" w:rsidRPr="004D7F49">
        <w:rPr>
          <w:rFonts w:eastAsia="Calibri"/>
          <w:lang w:val="en-GB"/>
        </w:rPr>
        <w:t>alitative Monetary Easing</w:t>
      </w:r>
      <w:r w:rsidR="009E43D0" w:rsidRPr="004D7F49">
        <w:rPr>
          <w:rFonts w:eastAsia="Calibri"/>
          <w:lang w:val="en-GB"/>
        </w:rPr>
        <w:t>:</w:t>
      </w:r>
      <w:r w:rsidR="00261598" w:rsidRPr="004D7F49">
        <w:rPr>
          <w:rFonts w:eastAsia="Calibri"/>
          <w:lang w:val="en-GB"/>
        </w:rPr>
        <w:t xml:space="preserve"> 2013–</w:t>
      </w:r>
      <w:r w:rsidRPr="004D7F49">
        <w:rPr>
          <w:rFonts w:eastAsia="Calibri"/>
          <w:lang w:val="en-GB"/>
        </w:rPr>
        <w:t>2016</w:t>
      </w:r>
    </w:p>
    <w:p w14:paraId="7E3111D9" w14:textId="77777777" w:rsidR="00DF5A71" w:rsidRPr="0004607E" w:rsidRDefault="00DF5A71" w:rsidP="00B05762">
      <w:pPr>
        <w:pStyle w:val="BodyTextMain"/>
        <w:rPr>
          <w:rFonts w:eastAsia="Calibri"/>
          <w:sz w:val="16"/>
          <w:szCs w:val="16"/>
          <w:lang w:val="en-GB"/>
        </w:rPr>
      </w:pPr>
    </w:p>
    <w:p w14:paraId="295F43B8" w14:textId="3EABAAB7" w:rsidR="009F7981" w:rsidRPr="004D7F49" w:rsidRDefault="00DF5A71" w:rsidP="00DF5A71">
      <w:pPr>
        <w:jc w:val="both"/>
        <w:rPr>
          <w:rFonts w:eastAsia="Calibri"/>
          <w:sz w:val="22"/>
          <w:szCs w:val="22"/>
          <w:lang w:val="en-GB"/>
        </w:rPr>
      </w:pPr>
      <w:r w:rsidRPr="004D7F49">
        <w:rPr>
          <w:rFonts w:eastAsia="Calibri"/>
          <w:sz w:val="22"/>
          <w:szCs w:val="22"/>
          <w:lang w:val="en-GB"/>
        </w:rPr>
        <w:t xml:space="preserve">In April 2013, Kuroda introduced </w:t>
      </w:r>
      <w:r w:rsidR="0059659D" w:rsidRPr="004D7F49">
        <w:rPr>
          <w:rFonts w:eastAsia="Calibri"/>
          <w:sz w:val="22"/>
          <w:szCs w:val="22"/>
          <w:lang w:val="en-GB"/>
        </w:rPr>
        <w:t>a</w:t>
      </w:r>
      <w:r w:rsidRPr="004D7F49">
        <w:rPr>
          <w:rFonts w:eastAsia="Calibri"/>
          <w:sz w:val="22"/>
          <w:szCs w:val="22"/>
          <w:lang w:val="en-GB"/>
        </w:rPr>
        <w:t xml:space="preserve"> policy of </w:t>
      </w:r>
      <w:r w:rsidR="0059659D" w:rsidRPr="004D7F49">
        <w:rPr>
          <w:rFonts w:eastAsia="Calibri"/>
          <w:sz w:val="22"/>
          <w:szCs w:val="22"/>
          <w:lang w:val="en-GB"/>
        </w:rPr>
        <w:t>q</w:t>
      </w:r>
      <w:r w:rsidRPr="004D7F49">
        <w:rPr>
          <w:rFonts w:eastAsia="Calibri"/>
          <w:sz w:val="22"/>
          <w:szCs w:val="22"/>
          <w:lang w:val="en-GB"/>
        </w:rPr>
        <w:t xml:space="preserve">uantitative and </w:t>
      </w:r>
      <w:r w:rsidR="0059659D" w:rsidRPr="004D7F49">
        <w:rPr>
          <w:rFonts w:eastAsia="Calibri"/>
          <w:sz w:val="22"/>
          <w:szCs w:val="22"/>
          <w:lang w:val="en-GB"/>
        </w:rPr>
        <w:t>q</w:t>
      </w:r>
      <w:r w:rsidRPr="004D7F49">
        <w:rPr>
          <w:rFonts w:eastAsia="Calibri"/>
          <w:sz w:val="22"/>
          <w:szCs w:val="22"/>
          <w:lang w:val="en-GB"/>
        </w:rPr>
        <w:t xml:space="preserve">ualitative </w:t>
      </w:r>
      <w:r w:rsidR="0059659D" w:rsidRPr="004D7F49">
        <w:rPr>
          <w:rFonts w:eastAsia="Calibri"/>
          <w:sz w:val="22"/>
          <w:szCs w:val="22"/>
          <w:lang w:val="en-GB"/>
        </w:rPr>
        <w:t>m</w:t>
      </w:r>
      <w:r w:rsidRPr="004D7F49">
        <w:rPr>
          <w:rFonts w:eastAsia="Calibri"/>
          <w:sz w:val="22"/>
          <w:szCs w:val="22"/>
          <w:lang w:val="en-GB"/>
        </w:rPr>
        <w:t xml:space="preserve">onetary </w:t>
      </w:r>
      <w:r w:rsidR="0059659D" w:rsidRPr="004D7F49">
        <w:rPr>
          <w:rFonts w:eastAsia="Calibri"/>
          <w:sz w:val="22"/>
          <w:szCs w:val="22"/>
          <w:lang w:val="en-GB"/>
        </w:rPr>
        <w:t>e</w:t>
      </w:r>
      <w:r w:rsidRPr="004D7F49">
        <w:rPr>
          <w:rFonts w:eastAsia="Calibri"/>
          <w:sz w:val="22"/>
          <w:szCs w:val="22"/>
          <w:lang w:val="en-GB"/>
        </w:rPr>
        <w:t>asing (QQE)</w:t>
      </w:r>
      <w:r w:rsidR="0059659D" w:rsidRPr="004D7F49">
        <w:rPr>
          <w:rFonts w:eastAsia="Calibri"/>
          <w:sz w:val="22"/>
          <w:szCs w:val="22"/>
          <w:lang w:val="en-GB"/>
        </w:rPr>
        <w:t>,</w:t>
      </w:r>
      <w:r w:rsidRPr="004D7F49">
        <w:rPr>
          <w:rFonts w:eastAsia="Calibri"/>
          <w:sz w:val="22"/>
          <w:szCs w:val="22"/>
          <w:lang w:val="en-GB"/>
        </w:rPr>
        <w:t xml:space="preserve"> which sought to achieve monetary easing in terms of </w:t>
      </w:r>
      <w:r w:rsidR="0059659D" w:rsidRPr="004D7F49">
        <w:rPr>
          <w:rFonts w:eastAsia="Calibri"/>
          <w:sz w:val="22"/>
          <w:szCs w:val="22"/>
          <w:lang w:val="en-GB"/>
        </w:rPr>
        <w:t xml:space="preserve">both </w:t>
      </w:r>
      <w:r w:rsidRPr="004D7F49">
        <w:rPr>
          <w:rFonts w:eastAsia="Calibri"/>
          <w:sz w:val="22"/>
          <w:szCs w:val="22"/>
          <w:lang w:val="en-GB"/>
        </w:rPr>
        <w:t>quantity and quality</w:t>
      </w:r>
      <w:r w:rsidR="00BD749D">
        <w:rPr>
          <w:rFonts w:eastAsia="Calibri"/>
          <w:sz w:val="22"/>
          <w:szCs w:val="22"/>
          <w:lang w:val="en-GB"/>
        </w:rPr>
        <w:t>,</w:t>
      </w:r>
      <w:r w:rsidRPr="004D7F49">
        <w:rPr>
          <w:rFonts w:eastAsia="Calibri"/>
          <w:sz w:val="22"/>
          <w:szCs w:val="22"/>
          <w:lang w:val="en-GB"/>
        </w:rPr>
        <w:t xml:space="preserve"> so as to achieve</w:t>
      </w:r>
      <w:r w:rsidR="00921BD7" w:rsidRPr="004D7F49">
        <w:rPr>
          <w:rFonts w:eastAsia="Calibri"/>
          <w:sz w:val="22"/>
          <w:szCs w:val="22"/>
          <w:lang w:val="en-GB"/>
        </w:rPr>
        <w:t xml:space="preserve"> the </w:t>
      </w:r>
      <w:r w:rsidR="00B343E8">
        <w:rPr>
          <w:rFonts w:eastAsia="Calibri"/>
          <w:sz w:val="22"/>
          <w:szCs w:val="22"/>
          <w:lang w:val="en-GB"/>
        </w:rPr>
        <w:t>price-stability</w:t>
      </w:r>
      <w:r w:rsidR="00921BD7" w:rsidRPr="004D7F49">
        <w:rPr>
          <w:rFonts w:eastAsia="Calibri"/>
          <w:sz w:val="22"/>
          <w:szCs w:val="22"/>
          <w:lang w:val="en-GB"/>
        </w:rPr>
        <w:t xml:space="preserve"> target of </w:t>
      </w:r>
      <w:r w:rsidR="0059659D" w:rsidRPr="004D7F49">
        <w:rPr>
          <w:rFonts w:eastAsia="Calibri"/>
          <w:sz w:val="22"/>
          <w:szCs w:val="22"/>
          <w:lang w:val="en-GB"/>
        </w:rPr>
        <w:t>2</w:t>
      </w:r>
      <w:r w:rsidRPr="004D7F49">
        <w:rPr>
          <w:rFonts w:eastAsia="Calibri"/>
          <w:sz w:val="22"/>
          <w:szCs w:val="22"/>
          <w:lang w:val="en-GB"/>
        </w:rPr>
        <w:t xml:space="preserve"> per</w:t>
      </w:r>
      <w:r w:rsidR="00921BD7" w:rsidRPr="004D7F49">
        <w:rPr>
          <w:rFonts w:eastAsia="Calibri"/>
          <w:sz w:val="22"/>
          <w:szCs w:val="22"/>
          <w:lang w:val="en-GB"/>
        </w:rPr>
        <w:t xml:space="preserve"> </w:t>
      </w:r>
      <w:r w:rsidRPr="004D7F49">
        <w:rPr>
          <w:rFonts w:eastAsia="Calibri"/>
          <w:sz w:val="22"/>
          <w:szCs w:val="22"/>
          <w:lang w:val="en-GB"/>
        </w:rPr>
        <w:t xml:space="preserve">cent within two years. The operating target was shifted to the monetary base. The quantitative easing through QQE aimed at doubling the monetary base, increasing it at an annual pace of </w:t>
      </w:r>
      <w:r w:rsidR="00700E88" w:rsidRPr="004D7F49">
        <w:rPr>
          <w:rFonts w:eastAsia="Calibri"/>
          <w:sz w:val="22"/>
          <w:szCs w:val="22"/>
          <w:lang w:val="en-GB"/>
        </w:rPr>
        <w:t>¥50 trillion</w:t>
      </w:r>
      <w:r w:rsidR="0063084D" w:rsidRPr="004D7F49">
        <w:rPr>
          <w:rFonts w:eastAsia="Calibri"/>
          <w:sz w:val="22"/>
          <w:szCs w:val="22"/>
          <w:lang w:val="en-GB"/>
        </w:rPr>
        <w:t xml:space="preserve"> (</w:t>
      </w:r>
      <w:r w:rsidR="00700E88" w:rsidRPr="004D7F49">
        <w:rPr>
          <w:rFonts w:eastAsia="Calibri"/>
          <w:sz w:val="22"/>
          <w:szCs w:val="22"/>
          <w:lang w:val="en-GB"/>
        </w:rPr>
        <w:t>later boosted to ¥80 trillion</w:t>
      </w:r>
      <w:r w:rsidRPr="004D7F49">
        <w:rPr>
          <w:rFonts w:eastAsia="Calibri"/>
          <w:sz w:val="22"/>
          <w:szCs w:val="22"/>
          <w:lang w:val="en-GB"/>
        </w:rPr>
        <w:t xml:space="preserve">), </w:t>
      </w:r>
      <w:r w:rsidR="0059659D" w:rsidRPr="004D7F49">
        <w:rPr>
          <w:rFonts w:eastAsia="Calibri"/>
          <w:sz w:val="22"/>
          <w:szCs w:val="22"/>
          <w:lang w:val="en-GB"/>
        </w:rPr>
        <w:t>and</w:t>
      </w:r>
      <w:r w:rsidR="00921BD7" w:rsidRPr="004D7F49">
        <w:rPr>
          <w:rFonts w:eastAsia="Calibri"/>
          <w:sz w:val="22"/>
          <w:szCs w:val="22"/>
          <w:lang w:val="en-GB"/>
        </w:rPr>
        <w:t xml:space="preserve"> increasing the pace of annual </w:t>
      </w:r>
      <w:r w:rsidRPr="004D7F49">
        <w:rPr>
          <w:rFonts w:eastAsia="Calibri"/>
          <w:sz w:val="22"/>
          <w:szCs w:val="22"/>
          <w:lang w:val="en-GB"/>
        </w:rPr>
        <w:t>JGB purchases, thereby affecting the quantity of money supply. The BoJ’s goal was to reduce the long-term interest rates primarily through signalling its commitment to keep</w:t>
      </w:r>
      <w:r w:rsidR="0059659D" w:rsidRPr="004D7F49">
        <w:rPr>
          <w:rFonts w:eastAsia="Calibri"/>
          <w:sz w:val="22"/>
          <w:szCs w:val="22"/>
          <w:lang w:val="en-GB"/>
        </w:rPr>
        <w:t>ing</w:t>
      </w:r>
      <w:r w:rsidRPr="004D7F49">
        <w:rPr>
          <w:rFonts w:eastAsia="Calibri"/>
          <w:sz w:val="22"/>
          <w:szCs w:val="22"/>
          <w:lang w:val="en-GB"/>
        </w:rPr>
        <w:t xml:space="preserve"> interest rates low</w:t>
      </w:r>
      <w:r w:rsidR="000648E9" w:rsidRPr="004D7F49">
        <w:rPr>
          <w:rFonts w:eastAsia="Calibri"/>
          <w:sz w:val="22"/>
          <w:szCs w:val="22"/>
          <w:lang w:val="en-GB"/>
        </w:rPr>
        <w:t>, thereby easing financial conditions and assisting economic recovery and growth</w:t>
      </w:r>
      <w:r w:rsidRPr="004D7F49">
        <w:rPr>
          <w:rFonts w:eastAsia="Calibri"/>
          <w:sz w:val="22"/>
          <w:szCs w:val="22"/>
          <w:lang w:val="en-GB"/>
        </w:rPr>
        <w:t>.</w:t>
      </w:r>
      <w:r w:rsidRPr="004D7F49">
        <w:rPr>
          <w:rFonts w:eastAsia="Calibri"/>
          <w:sz w:val="22"/>
          <w:szCs w:val="22"/>
          <w:vertAlign w:val="superscript"/>
          <w:lang w:val="en-GB"/>
        </w:rPr>
        <w:endnoteReference w:id="32"/>
      </w:r>
      <w:r w:rsidR="000C5C85" w:rsidRPr="004D7F49">
        <w:rPr>
          <w:rFonts w:eastAsia="Calibri"/>
          <w:sz w:val="22"/>
          <w:szCs w:val="22"/>
          <w:lang w:val="en-GB"/>
        </w:rPr>
        <w:t xml:space="preserve"> </w:t>
      </w:r>
      <w:r w:rsidR="0059659D" w:rsidRPr="004D7F49">
        <w:rPr>
          <w:rFonts w:eastAsia="Calibri"/>
          <w:sz w:val="22"/>
          <w:szCs w:val="22"/>
          <w:lang w:val="en-GB"/>
        </w:rPr>
        <w:t>The bank also sought to reduce i</w:t>
      </w:r>
      <w:r w:rsidRPr="004D7F49">
        <w:rPr>
          <w:rFonts w:eastAsia="Calibri"/>
          <w:sz w:val="22"/>
          <w:szCs w:val="22"/>
          <w:lang w:val="en-GB"/>
        </w:rPr>
        <w:t>nterest rates by extending the maturity of its JGB holdings from less than three years to more than seven years.</w:t>
      </w:r>
      <w:r w:rsidRPr="004D7F49">
        <w:rPr>
          <w:rFonts w:eastAsia="Calibri"/>
          <w:sz w:val="22"/>
          <w:szCs w:val="22"/>
          <w:vertAlign w:val="superscript"/>
          <w:lang w:val="en-GB"/>
        </w:rPr>
        <w:endnoteReference w:id="33"/>
      </w:r>
      <w:r w:rsidRPr="004D7F49">
        <w:rPr>
          <w:rFonts w:eastAsia="Calibri"/>
          <w:sz w:val="22"/>
          <w:szCs w:val="22"/>
          <w:lang w:val="en-GB"/>
        </w:rPr>
        <w:t xml:space="preserve"> This was aimed at government debt management</w:t>
      </w:r>
      <w:r w:rsidR="00BD749D">
        <w:rPr>
          <w:rFonts w:eastAsia="Calibri"/>
          <w:sz w:val="22"/>
          <w:szCs w:val="22"/>
          <w:lang w:val="en-GB"/>
        </w:rPr>
        <w:t>,</w:t>
      </w:r>
      <w:r w:rsidRPr="004D7F49">
        <w:rPr>
          <w:rFonts w:eastAsia="Calibri"/>
          <w:sz w:val="22"/>
          <w:szCs w:val="22"/>
          <w:lang w:val="en-GB"/>
        </w:rPr>
        <w:t xml:space="preserve"> with a view to “curb medium</w:t>
      </w:r>
      <w:r w:rsidR="00BD749D">
        <w:rPr>
          <w:rFonts w:eastAsia="Calibri"/>
          <w:sz w:val="22"/>
          <w:szCs w:val="22"/>
          <w:lang w:val="en-GB"/>
        </w:rPr>
        <w:t>[-]</w:t>
      </w:r>
      <w:r w:rsidRPr="004D7F49">
        <w:rPr>
          <w:rFonts w:eastAsia="Calibri"/>
          <w:sz w:val="22"/>
          <w:szCs w:val="22"/>
          <w:lang w:val="en-GB"/>
        </w:rPr>
        <w:t xml:space="preserve"> and long-term funding costs</w:t>
      </w:r>
      <w:r w:rsidR="00921BD7" w:rsidRPr="004D7F49">
        <w:rPr>
          <w:rFonts w:eastAsia="Calibri"/>
          <w:sz w:val="22"/>
          <w:szCs w:val="22"/>
          <w:lang w:val="en-GB"/>
        </w:rPr>
        <w:t>.</w:t>
      </w:r>
      <w:r w:rsidRPr="004D7F49">
        <w:rPr>
          <w:rFonts w:eastAsia="Calibri"/>
          <w:sz w:val="22"/>
          <w:szCs w:val="22"/>
          <w:lang w:val="en-GB"/>
        </w:rPr>
        <w:t>”</w:t>
      </w:r>
      <w:r w:rsidRPr="004D7F49">
        <w:rPr>
          <w:rFonts w:eastAsia="Calibri"/>
          <w:sz w:val="22"/>
          <w:szCs w:val="22"/>
          <w:vertAlign w:val="superscript"/>
          <w:lang w:val="en-GB"/>
        </w:rPr>
        <w:endnoteReference w:id="34"/>
      </w:r>
      <w:r w:rsidRPr="004D7F49">
        <w:rPr>
          <w:rFonts w:eastAsia="Calibri"/>
          <w:sz w:val="22"/>
          <w:szCs w:val="22"/>
          <w:lang w:val="en-GB"/>
        </w:rPr>
        <w:t xml:space="preserve"> Further, the </w:t>
      </w:r>
      <w:r w:rsidR="00921BD7" w:rsidRPr="004D7F49">
        <w:rPr>
          <w:rFonts w:eastAsia="Calibri"/>
          <w:sz w:val="22"/>
          <w:szCs w:val="22"/>
          <w:lang w:val="en-GB"/>
        </w:rPr>
        <w:t>b</w:t>
      </w:r>
      <w:r w:rsidRPr="004D7F49">
        <w:rPr>
          <w:rFonts w:eastAsia="Calibri"/>
          <w:sz w:val="22"/>
          <w:szCs w:val="22"/>
          <w:lang w:val="en-GB"/>
        </w:rPr>
        <w:t>ank increase</w:t>
      </w:r>
      <w:r w:rsidR="0063084D" w:rsidRPr="004D7F49">
        <w:rPr>
          <w:rFonts w:eastAsia="Calibri"/>
          <w:sz w:val="22"/>
          <w:szCs w:val="22"/>
          <w:lang w:val="en-GB"/>
        </w:rPr>
        <w:t>d</w:t>
      </w:r>
      <w:r w:rsidRPr="004D7F49">
        <w:rPr>
          <w:rFonts w:eastAsia="Calibri"/>
          <w:sz w:val="22"/>
          <w:szCs w:val="22"/>
          <w:lang w:val="en-GB"/>
        </w:rPr>
        <w:t xml:space="preserve"> the purchase of </w:t>
      </w:r>
      <w:r w:rsidR="00921BD7" w:rsidRPr="004D7F49">
        <w:rPr>
          <w:rFonts w:eastAsia="Calibri"/>
          <w:sz w:val="22"/>
          <w:szCs w:val="22"/>
          <w:lang w:val="en-GB"/>
        </w:rPr>
        <w:t>risk assets</w:t>
      </w:r>
      <w:r w:rsidR="00844887" w:rsidRPr="004D7F49">
        <w:rPr>
          <w:rFonts w:eastAsia="Calibri"/>
          <w:sz w:val="22"/>
          <w:szCs w:val="22"/>
          <w:lang w:val="en-GB"/>
        </w:rPr>
        <w:t>—</w:t>
      </w:r>
      <w:r w:rsidR="00921BD7" w:rsidRPr="004D7F49">
        <w:rPr>
          <w:rFonts w:eastAsia="Calibri"/>
          <w:sz w:val="22"/>
          <w:szCs w:val="22"/>
          <w:lang w:val="en-GB"/>
        </w:rPr>
        <w:t>ETFs and J-REITs</w:t>
      </w:r>
      <w:r w:rsidR="00844887" w:rsidRPr="004D7F49">
        <w:rPr>
          <w:rFonts w:eastAsia="Calibri"/>
          <w:sz w:val="22"/>
          <w:szCs w:val="22"/>
          <w:lang w:val="en-GB"/>
        </w:rPr>
        <w:t>—</w:t>
      </w:r>
      <w:r w:rsidRPr="004D7F49">
        <w:rPr>
          <w:rFonts w:eastAsia="Calibri"/>
          <w:sz w:val="22"/>
          <w:szCs w:val="22"/>
          <w:lang w:val="en-GB"/>
        </w:rPr>
        <w:t xml:space="preserve">at </w:t>
      </w:r>
      <w:r w:rsidR="0059659D" w:rsidRPr="004D7F49">
        <w:rPr>
          <w:rFonts w:eastAsia="Calibri"/>
          <w:sz w:val="22"/>
          <w:szCs w:val="22"/>
          <w:lang w:val="en-GB"/>
        </w:rPr>
        <w:t>a</w:t>
      </w:r>
      <w:r w:rsidRPr="004D7F49">
        <w:rPr>
          <w:rFonts w:eastAsia="Calibri"/>
          <w:sz w:val="22"/>
          <w:szCs w:val="22"/>
          <w:lang w:val="en-GB"/>
        </w:rPr>
        <w:t xml:space="preserve"> rate of </w:t>
      </w:r>
      <w:r w:rsidR="0059659D" w:rsidRPr="004D7F49">
        <w:rPr>
          <w:rFonts w:eastAsia="Calibri"/>
          <w:sz w:val="22"/>
          <w:szCs w:val="22"/>
          <w:lang w:val="en-GB"/>
        </w:rPr>
        <w:t>¥</w:t>
      </w:r>
      <w:r w:rsidRPr="004D7F49">
        <w:rPr>
          <w:rFonts w:eastAsia="Calibri"/>
          <w:sz w:val="22"/>
          <w:szCs w:val="22"/>
          <w:lang w:val="en-GB"/>
        </w:rPr>
        <w:t xml:space="preserve">1 trillion and </w:t>
      </w:r>
      <w:r w:rsidR="0059659D" w:rsidRPr="004D7F49">
        <w:rPr>
          <w:rFonts w:eastAsia="Calibri"/>
          <w:sz w:val="22"/>
          <w:szCs w:val="22"/>
          <w:lang w:val="en-GB"/>
        </w:rPr>
        <w:t>¥</w:t>
      </w:r>
      <w:r w:rsidRPr="004D7F49">
        <w:rPr>
          <w:rFonts w:eastAsia="Calibri"/>
          <w:sz w:val="22"/>
          <w:szCs w:val="22"/>
          <w:lang w:val="en-GB"/>
        </w:rPr>
        <w:t xml:space="preserve">30 billion per </w:t>
      </w:r>
      <w:r w:rsidR="0059659D" w:rsidRPr="004D7F49">
        <w:rPr>
          <w:rFonts w:eastAsia="Calibri"/>
          <w:sz w:val="22"/>
          <w:szCs w:val="22"/>
          <w:lang w:val="en-GB"/>
        </w:rPr>
        <w:t>year,</w:t>
      </w:r>
      <w:r w:rsidRPr="004D7F49">
        <w:rPr>
          <w:rFonts w:eastAsia="Calibri"/>
          <w:sz w:val="22"/>
          <w:szCs w:val="22"/>
          <w:lang w:val="en-GB"/>
        </w:rPr>
        <w:t xml:space="preserve"> respectively. Such purchases were intended to increase the prices of these risky assets and thereby</w:t>
      </w:r>
      <w:r w:rsidR="0063084D" w:rsidRPr="004D7F49">
        <w:rPr>
          <w:rFonts w:eastAsia="Calibri"/>
          <w:sz w:val="22"/>
          <w:szCs w:val="22"/>
          <w:lang w:val="en-GB"/>
        </w:rPr>
        <w:t xml:space="preserve"> reinvigorate asset markets, push up inflationary expectations</w:t>
      </w:r>
      <w:r w:rsidR="00844887" w:rsidRPr="004D7F49">
        <w:rPr>
          <w:rFonts w:eastAsia="Calibri"/>
          <w:sz w:val="22"/>
          <w:szCs w:val="22"/>
          <w:lang w:val="en-GB"/>
        </w:rPr>
        <w:t>,</w:t>
      </w:r>
      <w:r w:rsidR="0063084D" w:rsidRPr="004D7F49">
        <w:rPr>
          <w:rFonts w:eastAsia="Calibri"/>
          <w:sz w:val="22"/>
          <w:szCs w:val="22"/>
          <w:lang w:val="en-GB"/>
        </w:rPr>
        <w:t xml:space="preserve"> and raise prices</w:t>
      </w:r>
      <w:r w:rsidRPr="004D7F49">
        <w:rPr>
          <w:rFonts w:eastAsia="Calibri"/>
          <w:sz w:val="22"/>
          <w:szCs w:val="22"/>
          <w:lang w:val="en-GB"/>
        </w:rPr>
        <w:t>.</w:t>
      </w:r>
      <w:r w:rsidRPr="004D7F49">
        <w:rPr>
          <w:rFonts w:eastAsia="Calibri"/>
          <w:sz w:val="22"/>
          <w:szCs w:val="22"/>
          <w:vertAlign w:val="superscript"/>
          <w:lang w:val="en-GB"/>
        </w:rPr>
        <w:endnoteReference w:id="35"/>
      </w:r>
      <w:r w:rsidR="0048450D" w:rsidRPr="004D7F49">
        <w:rPr>
          <w:rFonts w:eastAsia="Calibri"/>
          <w:sz w:val="22"/>
          <w:szCs w:val="22"/>
          <w:lang w:val="en-GB"/>
        </w:rPr>
        <w:t xml:space="preserve"> </w:t>
      </w:r>
    </w:p>
    <w:p w14:paraId="3A93C791" w14:textId="77777777" w:rsidR="00DF5A71" w:rsidRPr="0004607E" w:rsidRDefault="00DF5A71" w:rsidP="00DF5A71">
      <w:pPr>
        <w:jc w:val="both"/>
        <w:rPr>
          <w:rFonts w:eastAsia="Calibri"/>
          <w:sz w:val="16"/>
          <w:szCs w:val="16"/>
          <w:lang w:val="en-GB"/>
        </w:rPr>
      </w:pPr>
    </w:p>
    <w:p w14:paraId="525BDF70" w14:textId="4F0FBD26" w:rsidR="00DF5A71" w:rsidRPr="004D7F49" w:rsidRDefault="00DF5A71" w:rsidP="00DF5A71">
      <w:pPr>
        <w:jc w:val="both"/>
        <w:rPr>
          <w:sz w:val="22"/>
          <w:szCs w:val="22"/>
          <w:lang w:val="en-GB" w:eastAsia="en-IN"/>
        </w:rPr>
      </w:pPr>
      <w:r w:rsidRPr="004D7F49">
        <w:rPr>
          <w:rFonts w:eastAsia="Calibri"/>
          <w:sz w:val="22"/>
          <w:szCs w:val="22"/>
          <w:lang w:val="en-GB"/>
        </w:rPr>
        <w:t xml:space="preserve">The QQE </w:t>
      </w:r>
      <w:r w:rsidR="00844887" w:rsidRPr="004D7F49">
        <w:rPr>
          <w:rFonts w:eastAsia="Calibri"/>
          <w:sz w:val="22"/>
          <w:szCs w:val="22"/>
          <w:lang w:val="en-GB"/>
        </w:rPr>
        <w:t xml:space="preserve">policy </w:t>
      </w:r>
      <w:r w:rsidRPr="004D7F49">
        <w:rPr>
          <w:rFonts w:eastAsia="Calibri"/>
          <w:sz w:val="22"/>
          <w:szCs w:val="22"/>
          <w:lang w:val="en-GB"/>
        </w:rPr>
        <w:t xml:space="preserve">was expected to work through two transmission channels: </w:t>
      </w:r>
      <w:r w:rsidR="00844887" w:rsidRPr="004D7F49">
        <w:rPr>
          <w:rFonts w:eastAsia="Calibri"/>
          <w:sz w:val="22"/>
          <w:szCs w:val="22"/>
          <w:lang w:val="en-GB"/>
        </w:rPr>
        <w:t>(1</w:t>
      </w:r>
      <w:r w:rsidRPr="004D7F49">
        <w:rPr>
          <w:rFonts w:eastAsia="Calibri"/>
          <w:sz w:val="22"/>
          <w:szCs w:val="22"/>
          <w:lang w:val="en-GB"/>
        </w:rPr>
        <w:t>) reducing the nominal interest rates through massive JGB purchases</w:t>
      </w:r>
      <w:r w:rsidR="00844887" w:rsidRPr="004D7F49">
        <w:rPr>
          <w:rFonts w:eastAsia="Calibri"/>
          <w:sz w:val="22"/>
          <w:szCs w:val="22"/>
          <w:lang w:val="en-GB"/>
        </w:rPr>
        <w:t xml:space="preserve"> and</w:t>
      </w:r>
      <w:r w:rsidRPr="004D7F49">
        <w:rPr>
          <w:rFonts w:eastAsia="Calibri"/>
          <w:sz w:val="22"/>
          <w:szCs w:val="22"/>
          <w:lang w:val="en-GB"/>
        </w:rPr>
        <w:t xml:space="preserve"> </w:t>
      </w:r>
      <w:r w:rsidR="00844887" w:rsidRPr="004D7F49">
        <w:rPr>
          <w:rFonts w:eastAsia="Calibri"/>
          <w:sz w:val="22"/>
          <w:szCs w:val="22"/>
          <w:lang w:val="en-GB"/>
        </w:rPr>
        <w:t>(2</w:t>
      </w:r>
      <w:r w:rsidRPr="004D7F49">
        <w:rPr>
          <w:rFonts w:eastAsia="Calibri"/>
          <w:sz w:val="22"/>
          <w:szCs w:val="22"/>
          <w:lang w:val="en-GB"/>
        </w:rPr>
        <w:t xml:space="preserve">) </w:t>
      </w:r>
      <w:r w:rsidR="00844887" w:rsidRPr="004D7F49">
        <w:rPr>
          <w:rFonts w:eastAsia="Calibri"/>
          <w:sz w:val="22"/>
          <w:szCs w:val="22"/>
          <w:lang w:val="en-GB"/>
        </w:rPr>
        <w:t>i</w:t>
      </w:r>
      <w:r w:rsidRPr="004D7F49">
        <w:rPr>
          <w:rFonts w:eastAsia="Calibri"/>
          <w:sz w:val="22"/>
          <w:szCs w:val="22"/>
          <w:lang w:val="en-GB"/>
        </w:rPr>
        <w:t>ncreasing people’s inflationary expectations through BoJ’s c</w:t>
      </w:r>
      <w:r w:rsidR="00433EDD" w:rsidRPr="004D7F49">
        <w:rPr>
          <w:rFonts w:eastAsia="Calibri"/>
          <w:sz w:val="22"/>
          <w:szCs w:val="22"/>
          <w:lang w:val="en-GB"/>
        </w:rPr>
        <w:t>lear commitment to achiev</w:t>
      </w:r>
      <w:r w:rsidR="00844887" w:rsidRPr="004D7F49">
        <w:rPr>
          <w:rFonts w:eastAsia="Calibri"/>
          <w:sz w:val="22"/>
          <w:szCs w:val="22"/>
          <w:lang w:val="en-GB"/>
        </w:rPr>
        <w:t>ing</w:t>
      </w:r>
      <w:r w:rsidR="00433EDD" w:rsidRPr="004D7F49">
        <w:rPr>
          <w:rFonts w:eastAsia="Calibri"/>
          <w:sz w:val="22"/>
          <w:szCs w:val="22"/>
          <w:lang w:val="en-GB"/>
        </w:rPr>
        <w:t xml:space="preserve"> the </w:t>
      </w:r>
      <w:r w:rsidR="00C00841">
        <w:rPr>
          <w:rFonts w:eastAsia="Calibri"/>
          <w:sz w:val="22"/>
          <w:szCs w:val="22"/>
          <w:lang w:val="en-GB"/>
        </w:rPr>
        <w:t>2 per cent</w:t>
      </w:r>
      <w:r w:rsidRPr="004D7F49">
        <w:rPr>
          <w:rFonts w:eastAsia="Calibri"/>
          <w:sz w:val="22"/>
          <w:szCs w:val="22"/>
          <w:lang w:val="en-GB"/>
        </w:rPr>
        <w:t xml:space="preserve"> </w:t>
      </w:r>
      <w:r w:rsidR="00C00841">
        <w:rPr>
          <w:rFonts w:eastAsia="Calibri"/>
          <w:sz w:val="22"/>
          <w:szCs w:val="22"/>
          <w:lang w:val="en-GB"/>
        </w:rPr>
        <w:t>price-stability</w:t>
      </w:r>
      <w:r w:rsidRPr="004D7F49">
        <w:rPr>
          <w:rFonts w:eastAsia="Calibri"/>
          <w:sz w:val="22"/>
          <w:szCs w:val="22"/>
          <w:lang w:val="en-GB"/>
        </w:rPr>
        <w:t xml:space="preserve"> target</w:t>
      </w:r>
      <w:r w:rsidR="00C00841">
        <w:rPr>
          <w:rFonts w:eastAsia="Calibri"/>
          <w:sz w:val="22"/>
          <w:szCs w:val="22"/>
          <w:lang w:val="en-GB"/>
        </w:rPr>
        <w:t xml:space="preserve"> with </w:t>
      </w:r>
      <w:r w:rsidRPr="004D7F49">
        <w:rPr>
          <w:rFonts w:eastAsia="Calibri"/>
          <w:sz w:val="22"/>
          <w:szCs w:val="22"/>
          <w:lang w:val="en-GB"/>
        </w:rPr>
        <w:t>monetary easing. Together, these would help Japan overcome the deflation of the past 15 years (</w:t>
      </w:r>
      <w:r w:rsidR="007E20C9" w:rsidRPr="004D7F49">
        <w:rPr>
          <w:rFonts w:eastAsia="Calibri"/>
          <w:sz w:val="22"/>
          <w:szCs w:val="22"/>
          <w:lang w:val="en-GB"/>
        </w:rPr>
        <w:t xml:space="preserve">see </w:t>
      </w:r>
      <w:r w:rsidRPr="004D7F49">
        <w:rPr>
          <w:rFonts w:eastAsia="Calibri"/>
          <w:sz w:val="22"/>
          <w:szCs w:val="22"/>
          <w:lang w:val="en-GB"/>
        </w:rPr>
        <w:t>Exhibit 5).</w:t>
      </w:r>
      <w:r w:rsidRPr="004D7F49">
        <w:rPr>
          <w:rFonts w:eastAsia="Calibri"/>
          <w:sz w:val="22"/>
          <w:szCs w:val="22"/>
          <w:vertAlign w:val="superscript"/>
          <w:lang w:val="en-GB"/>
        </w:rPr>
        <w:endnoteReference w:id="36"/>
      </w:r>
      <w:r w:rsidRPr="004D7F49">
        <w:rPr>
          <w:rFonts w:eastAsia="Calibri"/>
          <w:sz w:val="22"/>
          <w:szCs w:val="22"/>
          <w:lang w:val="en-GB"/>
        </w:rPr>
        <w:t xml:space="preserve"> </w:t>
      </w:r>
    </w:p>
    <w:p w14:paraId="60230E18" w14:textId="77777777" w:rsidR="00B05762" w:rsidRPr="0004607E" w:rsidRDefault="00B05762" w:rsidP="00DF5A71">
      <w:pPr>
        <w:jc w:val="both"/>
        <w:rPr>
          <w:rFonts w:eastAsia="Calibri"/>
          <w:sz w:val="16"/>
          <w:szCs w:val="16"/>
          <w:lang w:val="en-GB"/>
        </w:rPr>
      </w:pPr>
    </w:p>
    <w:p w14:paraId="73FA0D1B" w14:textId="77777777" w:rsidR="00503188" w:rsidRPr="0004607E" w:rsidRDefault="00503188" w:rsidP="00DF5A71">
      <w:pPr>
        <w:jc w:val="both"/>
        <w:rPr>
          <w:rFonts w:eastAsia="Calibri"/>
          <w:sz w:val="16"/>
          <w:szCs w:val="16"/>
          <w:lang w:val="en-GB"/>
        </w:rPr>
      </w:pPr>
    </w:p>
    <w:p w14:paraId="3BE08F4D" w14:textId="29D82C7A" w:rsidR="00DF5A71" w:rsidRPr="004D7F49" w:rsidRDefault="00680E80" w:rsidP="00263C98">
      <w:pPr>
        <w:pStyle w:val="Casehead3"/>
        <w:outlineLvl w:val="0"/>
        <w:rPr>
          <w:rFonts w:eastAsia="Calibri"/>
          <w:lang w:val="en-GB"/>
        </w:rPr>
      </w:pPr>
      <w:r>
        <w:rPr>
          <w:rFonts w:eastAsia="Calibri"/>
          <w:lang w:val="en-GB"/>
        </w:rPr>
        <w:t>Quantitative and Qualitative</w:t>
      </w:r>
      <w:r w:rsidR="008E734D">
        <w:rPr>
          <w:rFonts w:eastAsia="Calibri"/>
          <w:lang w:val="en-GB"/>
        </w:rPr>
        <w:t xml:space="preserve"> Monetary Easing</w:t>
      </w:r>
      <w:r w:rsidR="008E734D" w:rsidRPr="004D7F49">
        <w:rPr>
          <w:rFonts w:eastAsia="Calibri"/>
          <w:lang w:val="en-GB"/>
        </w:rPr>
        <w:t xml:space="preserve"> </w:t>
      </w:r>
      <w:r w:rsidR="00DF5A71" w:rsidRPr="004D7F49">
        <w:rPr>
          <w:rFonts w:eastAsia="Calibri"/>
          <w:lang w:val="en-GB"/>
        </w:rPr>
        <w:t xml:space="preserve">with Negative Interest Rate </w:t>
      </w:r>
    </w:p>
    <w:p w14:paraId="30E65BFC" w14:textId="77777777" w:rsidR="00DF5A71" w:rsidRPr="0004607E" w:rsidRDefault="00DF5A71" w:rsidP="00B05762">
      <w:pPr>
        <w:pStyle w:val="BodyTextMain"/>
        <w:rPr>
          <w:rFonts w:eastAsia="Calibri"/>
          <w:sz w:val="16"/>
          <w:szCs w:val="16"/>
          <w:lang w:val="en-GB"/>
        </w:rPr>
      </w:pPr>
    </w:p>
    <w:p w14:paraId="10639250" w14:textId="5A996B86" w:rsidR="00DF5A71" w:rsidRPr="00586C3F" w:rsidRDefault="00DF5A71" w:rsidP="00DF5A71">
      <w:pPr>
        <w:jc w:val="both"/>
        <w:rPr>
          <w:rFonts w:eastAsia="Calibri"/>
          <w:spacing w:val="-2"/>
          <w:kern w:val="22"/>
          <w:sz w:val="22"/>
          <w:szCs w:val="22"/>
          <w:lang w:val="en-GB"/>
        </w:rPr>
      </w:pPr>
      <w:r w:rsidRPr="00586C3F">
        <w:rPr>
          <w:rFonts w:eastAsia="Calibri"/>
          <w:spacing w:val="-2"/>
          <w:kern w:val="22"/>
          <w:sz w:val="22"/>
          <w:szCs w:val="22"/>
          <w:lang w:val="en-GB"/>
        </w:rPr>
        <w:t>In January 2016, the BoJ announced anot</w:t>
      </w:r>
      <w:r w:rsidR="000C5C85" w:rsidRPr="00586C3F">
        <w:rPr>
          <w:rFonts w:eastAsia="Calibri"/>
          <w:spacing w:val="-2"/>
          <w:kern w:val="22"/>
          <w:sz w:val="22"/>
          <w:szCs w:val="22"/>
          <w:lang w:val="en-GB"/>
        </w:rPr>
        <w:t xml:space="preserve">her variant of QQE, namely, </w:t>
      </w:r>
      <w:r w:rsidRPr="00586C3F">
        <w:rPr>
          <w:rFonts w:eastAsia="Calibri"/>
          <w:spacing w:val="-2"/>
          <w:kern w:val="22"/>
          <w:sz w:val="22"/>
          <w:szCs w:val="22"/>
          <w:lang w:val="en-GB"/>
        </w:rPr>
        <w:t xml:space="preserve">QQE with </w:t>
      </w:r>
      <w:r w:rsidR="00844887" w:rsidRPr="00586C3F">
        <w:rPr>
          <w:rFonts w:eastAsia="Calibri"/>
          <w:spacing w:val="-2"/>
          <w:kern w:val="22"/>
          <w:sz w:val="22"/>
          <w:szCs w:val="22"/>
          <w:lang w:val="en-GB"/>
        </w:rPr>
        <w:t>n</w:t>
      </w:r>
      <w:r w:rsidRPr="00586C3F">
        <w:rPr>
          <w:rFonts w:eastAsia="Calibri"/>
          <w:spacing w:val="-2"/>
          <w:kern w:val="22"/>
          <w:sz w:val="22"/>
          <w:szCs w:val="22"/>
          <w:lang w:val="en-GB"/>
        </w:rPr>
        <w:t xml:space="preserve">egative </w:t>
      </w:r>
      <w:r w:rsidR="00844887" w:rsidRPr="00586C3F">
        <w:rPr>
          <w:rFonts w:eastAsia="Calibri"/>
          <w:spacing w:val="-2"/>
          <w:kern w:val="22"/>
          <w:sz w:val="22"/>
          <w:szCs w:val="22"/>
          <w:lang w:val="en-GB"/>
        </w:rPr>
        <w:t>i</w:t>
      </w:r>
      <w:r w:rsidRPr="00586C3F">
        <w:rPr>
          <w:rFonts w:eastAsia="Calibri"/>
          <w:spacing w:val="-2"/>
          <w:kern w:val="22"/>
          <w:sz w:val="22"/>
          <w:szCs w:val="22"/>
          <w:lang w:val="en-GB"/>
        </w:rPr>
        <w:t xml:space="preserve">nterest </w:t>
      </w:r>
      <w:r w:rsidR="00844887" w:rsidRPr="00586C3F">
        <w:rPr>
          <w:rFonts w:eastAsia="Calibri"/>
          <w:spacing w:val="-2"/>
          <w:kern w:val="22"/>
          <w:sz w:val="22"/>
          <w:szCs w:val="22"/>
          <w:lang w:val="en-GB"/>
        </w:rPr>
        <w:t>r</w:t>
      </w:r>
      <w:r w:rsidRPr="00586C3F">
        <w:rPr>
          <w:rFonts w:eastAsia="Calibri"/>
          <w:spacing w:val="-2"/>
          <w:kern w:val="22"/>
          <w:sz w:val="22"/>
          <w:szCs w:val="22"/>
          <w:lang w:val="en-GB"/>
        </w:rPr>
        <w:t xml:space="preserve">ate. </w:t>
      </w:r>
      <w:r w:rsidR="00844887" w:rsidRPr="00586C3F">
        <w:rPr>
          <w:rFonts w:eastAsia="Calibri"/>
          <w:spacing w:val="-2"/>
          <w:kern w:val="22"/>
          <w:sz w:val="22"/>
          <w:szCs w:val="22"/>
          <w:lang w:val="en-GB"/>
        </w:rPr>
        <w:t>It now sought to implement m</w:t>
      </w:r>
      <w:r w:rsidRPr="00586C3F">
        <w:rPr>
          <w:rFonts w:eastAsia="Calibri"/>
          <w:spacing w:val="-2"/>
          <w:kern w:val="22"/>
          <w:sz w:val="22"/>
          <w:szCs w:val="22"/>
          <w:lang w:val="en-GB"/>
        </w:rPr>
        <w:t>onetary easing along three dimensions: quantity, quality</w:t>
      </w:r>
      <w:r w:rsidR="00844887" w:rsidRPr="00586C3F">
        <w:rPr>
          <w:rFonts w:eastAsia="Calibri"/>
          <w:spacing w:val="-2"/>
          <w:kern w:val="22"/>
          <w:sz w:val="22"/>
          <w:szCs w:val="22"/>
          <w:lang w:val="en-GB"/>
        </w:rPr>
        <w:t>,</w:t>
      </w:r>
      <w:r w:rsidR="000C5C85" w:rsidRPr="00586C3F">
        <w:rPr>
          <w:rFonts w:eastAsia="Calibri"/>
          <w:spacing w:val="-2"/>
          <w:kern w:val="22"/>
          <w:sz w:val="22"/>
          <w:szCs w:val="22"/>
          <w:lang w:val="en-GB"/>
        </w:rPr>
        <w:t xml:space="preserve"> and </w:t>
      </w:r>
      <w:r w:rsidR="00680E80" w:rsidRPr="00586C3F">
        <w:rPr>
          <w:rFonts w:eastAsia="Calibri"/>
          <w:spacing w:val="-2"/>
          <w:kern w:val="22"/>
          <w:sz w:val="22"/>
          <w:szCs w:val="22"/>
          <w:lang w:val="en-GB"/>
        </w:rPr>
        <w:t>interest rate</w:t>
      </w:r>
      <w:r w:rsidR="000C5C85" w:rsidRPr="00586C3F">
        <w:rPr>
          <w:rFonts w:eastAsia="Calibri"/>
          <w:spacing w:val="-2"/>
          <w:kern w:val="22"/>
          <w:sz w:val="22"/>
          <w:szCs w:val="22"/>
          <w:lang w:val="en-GB"/>
        </w:rPr>
        <w:t xml:space="preserve"> (s</w:t>
      </w:r>
      <w:r w:rsidRPr="00586C3F">
        <w:rPr>
          <w:rFonts w:eastAsia="Calibri"/>
          <w:spacing w:val="-2"/>
          <w:kern w:val="22"/>
          <w:sz w:val="22"/>
          <w:szCs w:val="22"/>
          <w:lang w:val="en-GB"/>
        </w:rPr>
        <w:t>ee Exhibit 6)</w:t>
      </w:r>
      <w:r w:rsidR="000C5C85" w:rsidRPr="00586C3F">
        <w:rPr>
          <w:rFonts w:eastAsia="Calibri"/>
          <w:spacing w:val="-2"/>
          <w:kern w:val="22"/>
          <w:sz w:val="22"/>
          <w:szCs w:val="22"/>
          <w:lang w:val="en-GB"/>
        </w:rPr>
        <w:t>.</w:t>
      </w:r>
      <w:r w:rsidRPr="00586C3F">
        <w:rPr>
          <w:rFonts w:eastAsia="Calibri"/>
          <w:spacing w:val="-2"/>
          <w:kern w:val="22"/>
          <w:sz w:val="22"/>
          <w:szCs w:val="22"/>
          <w:vertAlign w:val="superscript"/>
          <w:lang w:val="en-GB"/>
        </w:rPr>
        <w:endnoteReference w:id="37"/>
      </w:r>
      <w:r w:rsidRPr="00586C3F">
        <w:rPr>
          <w:rFonts w:eastAsia="Calibri"/>
          <w:spacing w:val="-2"/>
          <w:kern w:val="22"/>
          <w:sz w:val="22"/>
          <w:szCs w:val="22"/>
          <w:lang w:val="en-GB"/>
        </w:rPr>
        <w:t xml:space="preserve"> </w:t>
      </w:r>
      <w:r w:rsidRPr="00586C3F">
        <w:rPr>
          <w:spacing w:val="-2"/>
          <w:kern w:val="22"/>
          <w:sz w:val="22"/>
          <w:szCs w:val="22"/>
          <w:lang w:val="en-GB" w:eastAsia="en-IN"/>
        </w:rPr>
        <w:t>The goal was to achieve</w:t>
      </w:r>
      <w:r w:rsidR="00921BD7" w:rsidRPr="00586C3F">
        <w:rPr>
          <w:spacing w:val="-2"/>
          <w:kern w:val="22"/>
          <w:sz w:val="22"/>
          <w:szCs w:val="22"/>
          <w:lang w:val="en-GB" w:eastAsia="en-IN"/>
        </w:rPr>
        <w:t xml:space="preserve"> the </w:t>
      </w:r>
      <w:r w:rsidR="00B343E8" w:rsidRPr="00586C3F">
        <w:rPr>
          <w:spacing w:val="-2"/>
          <w:kern w:val="22"/>
          <w:sz w:val="22"/>
          <w:szCs w:val="22"/>
          <w:lang w:val="en-GB" w:eastAsia="en-IN"/>
        </w:rPr>
        <w:t>price-stability</w:t>
      </w:r>
      <w:r w:rsidR="00921BD7" w:rsidRPr="00586C3F">
        <w:rPr>
          <w:spacing w:val="-2"/>
          <w:kern w:val="22"/>
          <w:sz w:val="22"/>
          <w:szCs w:val="22"/>
          <w:lang w:val="en-GB" w:eastAsia="en-IN"/>
        </w:rPr>
        <w:t xml:space="preserve"> </w:t>
      </w:r>
      <w:r w:rsidR="00F72319" w:rsidRPr="00586C3F">
        <w:rPr>
          <w:spacing w:val="-2"/>
          <w:kern w:val="22"/>
          <w:sz w:val="22"/>
          <w:szCs w:val="22"/>
          <w:lang w:val="en-GB" w:eastAsia="en-IN"/>
        </w:rPr>
        <w:t xml:space="preserve">target </w:t>
      </w:r>
      <w:r w:rsidR="00921BD7" w:rsidRPr="00586C3F">
        <w:rPr>
          <w:spacing w:val="-2"/>
          <w:kern w:val="22"/>
          <w:sz w:val="22"/>
          <w:szCs w:val="22"/>
          <w:lang w:val="en-GB" w:eastAsia="en-IN"/>
        </w:rPr>
        <w:t xml:space="preserve">of </w:t>
      </w:r>
      <w:r w:rsidR="00844887" w:rsidRPr="00586C3F">
        <w:rPr>
          <w:spacing w:val="-2"/>
          <w:kern w:val="22"/>
          <w:sz w:val="22"/>
          <w:szCs w:val="22"/>
          <w:lang w:val="en-GB" w:eastAsia="en-IN"/>
        </w:rPr>
        <w:t>2</w:t>
      </w:r>
      <w:r w:rsidRPr="00586C3F">
        <w:rPr>
          <w:spacing w:val="-2"/>
          <w:kern w:val="22"/>
          <w:sz w:val="22"/>
          <w:szCs w:val="22"/>
          <w:lang w:val="en-GB" w:eastAsia="en-IN"/>
        </w:rPr>
        <w:t xml:space="preserve"> per</w:t>
      </w:r>
      <w:r w:rsidR="00921BD7" w:rsidRPr="00586C3F">
        <w:rPr>
          <w:spacing w:val="-2"/>
          <w:kern w:val="22"/>
          <w:sz w:val="22"/>
          <w:szCs w:val="22"/>
          <w:lang w:val="en-GB" w:eastAsia="en-IN"/>
        </w:rPr>
        <w:t xml:space="preserve"> </w:t>
      </w:r>
      <w:r w:rsidRPr="00586C3F">
        <w:rPr>
          <w:spacing w:val="-2"/>
          <w:kern w:val="22"/>
          <w:sz w:val="22"/>
          <w:szCs w:val="22"/>
          <w:lang w:val="en-GB" w:eastAsia="en-IN"/>
        </w:rPr>
        <w:t>cent</w:t>
      </w:r>
      <w:r w:rsidR="00680E80" w:rsidRPr="00586C3F">
        <w:rPr>
          <w:spacing w:val="-2"/>
          <w:kern w:val="22"/>
          <w:sz w:val="22"/>
          <w:szCs w:val="22"/>
          <w:lang w:val="en-GB" w:eastAsia="en-IN"/>
        </w:rPr>
        <w:t>,</w:t>
      </w:r>
      <w:r w:rsidRPr="00586C3F">
        <w:rPr>
          <w:spacing w:val="-2"/>
          <w:kern w:val="22"/>
          <w:sz w:val="22"/>
          <w:szCs w:val="22"/>
          <w:lang w:val="en-GB" w:eastAsia="en-IN"/>
        </w:rPr>
        <w:t xml:space="preserve"> at the earliest possible time. </w:t>
      </w:r>
      <w:r w:rsidRPr="00586C3F">
        <w:rPr>
          <w:rFonts w:eastAsia="Calibri"/>
          <w:spacing w:val="-2"/>
          <w:kern w:val="22"/>
          <w:sz w:val="22"/>
          <w:szCs w:val="22"/>
          <w:lang w:val="en-GB"/>
        </w:rPr>
        <w:t xml:space="preserve">The new interest rate dimension essentially involved the </w:t>
      </w:r>
      <w:r w:rsidR="00921BD7" w:rsidRPr="00586C3F">
        <w:rPr>
          <w:rFonts w:eastAsia="Calibri"/>
          <w:spacing w:val="-2"/>
          <w:kern w:val="22"/>
          <w:sz w:val="22"/>
          <w:szCs w:val="22"/>
          <w:lang w:val="en-GB"/>
        </w:rPr>
        <w:t>b</w:t>
      </w:r>
      <w:r w:rsidRPr="00586C3F">
        <w:rPr>
          <w:rFonts w:eastAsia="Calibri"/>
          <w:spacing w:val="-2"/>
          <w:kern w:val="22"/>
          <w:sz w:val="22"/>
          <w:szCs w:val="22"/>
          <w:lang w:val="en-GB"/>
        </w:rPr>
        <w:t xml:space="preserve">ank applying a negative interest rate </w:t>
      </w:r>
      <w:r w:rsidR="000C5C85" w:rsidRPr="00586C3F">
        <w:rPr>
          <w:rFonts w:eastAsia="Calibri"/>
          <w:spacing w:val="-2"/>
          <w:kern w:val="22"/>
          <w:sz w:val="22"/>
          <w:szCs w:val="22"/>
          <w:lang w:val="en-GB"/>
        </w:rPr>
        <w:t xml:space="preserve">to marginal increases </w:t>
      </w:r>
      <w:r w:rsidRPr="00586C3F">
        <w:rPr>
          <w:rFonts w:eastAsia="Calibri"/>
          <w:spacing w:val="-2"/>
          <w:kern w:val="22"/>
          <w:sz w:val="22"/>
          <w:szCs w:val="22"/>
          <w:lang w:val="en-GB"/>
        </w:rPr>
        <w:t xml:space="preserve">of current account balances held by financial institutions </w:t>
      </w:r>
      <w:r w:rsidR="00921BD7" w:rsidRPr="00586C3F">
        <w:rPr>
          <w:rFonts w:eastAsia="Calibri"/>
          <w:spacing w:val="-2"/>
          <w:kern w:val="22"/>
          <w:sz w:val="22"/>
          <w:szCs w:val="22"/>
          <w:lang w:val="en-GB"/>
        </w:rPr>
        <w:t>to encourage banks to maximiz</w:t>
      </w:r>
      <w:r w:rsidRPr="00586C3F">
        <w:rPr>
          <w:rFonts w:eastAsia="Calibri"/>
          <w:spacing w:val="-2"/>
          <w:kern w:val="22"/>
          <w:sz w:val="22"/>
          <w:szCs w:val="22"/>
          <w:lang w:val="en-GB"/>
        </w:rPr>
        <w:t>e lending.</w:t>
      </w:r>
      <w:r w:rsidRPr="00586C3F">
        <w:rPr>
          <w:rFonts w:eastAsia="Calibri"/>
          <w:spacing w:val="-2"/>
          <w:kern w:val="22"/>
          <w:sz w:val="22"/>
          <w:szCs w:val="22"/>
          <w:vertAlign w:val="superscript"/>
          <w:lang w:val="en-GB"/>
        </w:rPr>
        <w:endnoteReference w:id="38"/>
      </w:r>
      <w:r w:rsidRPr="00586C3F">
        <w:rPr>
          <w:rFonts w:eastAsia="Calibri"/>
          <w:spacing w:val="-2"/>
          <w:kern w:val="22"/>
          <w:sz w:val="22"/>
          <w:szCs w:val="22"/>
          <w:lang w:val="en-GB"/>
        </w:rPr>
        <w:t xml:space="preserve"> </w:t>
      </w:r>
    </w:p>
    <w:p w14:paraId="56F0D0A4" w14:textId="77777777" w:rsidR="00DF5A71" w:rsidRPr="0004607E" w:rsidRDefault="00DF5A71" w:rsidP="00DF5A71">
      <w:pPr>
        <w:rPr>
          <w:sz w:val="16"/>
          <w:szCs w:val="16"/>
          <w:lang w:val="en-GB" w:eastAsia="en-IN"/>
        </w:rPr>
      </w:pPr>
    </w:p>
    <w:p w14:paraId="6F810BA7" w14:textId="62BB7E9D" w:rsidR="00DF5A71" w:rsidRPr="004D7F49" w:rsidRDefault="00DF5A71" w:rsidP="00DF5A71">
      <w:pPr>
        <w:jc w:val="both"/>
        <w:rPr>
          <w:sz w:val="22"/>
          <w:szCs w:val="22"/>
          <w:lang w:val="en-GB" w:eastAsia="en-IN"/>
        </w:rPr>
      </w:pPr>
      <w:r w:rsidRPr="004D7F49">
        <w:rPr>
          <w:sz w:val="22"/>
          <w:szCs w:val="22"/>
          <w:lang w:val="en-GB" w:eastAsia="en-IN"/>
        </w:rPr>
        <w:t xml:space="preserve">In September 2016, </w:t>
      </w:r>
      <w:r w:rsidR="009F7981" w:rsidRPr="004D7F49">
        <w:rPr>
          <w:sz w:val="22"/>
          <w:szCs w:val="22"/>
          <w:lang w:val="en-GB" w:eastAsia="en-IN"/>
        </w:rPr>
        <w:t xml:space="preserve">following a comprehensive macro assessment, </w:t>
      </w:r>
      <w:r w:rsidRPr="004D7F49">
        <w:rPr>
          <w:sz w:val="22"/>
          <w:szCs w:val="22"/>
          <w:lang w:val="en-GB" w:eastAsia="en-IN"/>
        </w:rPr>
        <w:t>the BoJ found that QQE had indeed resulted in a decline in real interest rates</w:t>
      </w:r>
      <w:r w:rsidR="00844887" w:rsidRPr="004D7F49">
        <w:rPr>
          <w:sz w:val="22"/>
          <w:szCs w:val="22"/>
          <w:lang w:val="en-GB" w:eastAsia="en-IN"/>
        </w:rPr>
        <w:t>,</w:t>
      </w:r>
      <w:r w:rsidRPr="004D7F49">
        <w:rPr>
          <w:sz w:val="22"/>
          <w:szCs w:val="22"/>
          <w:lang w:val="en-GB" w:eastAsia="en-IN"/>
        </w:rPr>
        <w:t xml:space="preserve"> as intended. Core </w:t>
      </w:r>
      <w:r w:rsidR="009E43D0" w:rsidRPr="004D7F49">
        <w:rPr>
          <w:sz w:val="22"/>
          <w:szCs w:val="22"/>
          <w:lang w:val="en-GB" w:eastAsia="en-IN"/>
        </w:rPr>
        <w:t>consumer price index</w:t>
      </w:r>
      <w:r w:rsidRPr="004D7F49">
        <w:rPr>
          <w:sz w:val="22"/>
          <w:szCs w:val="22"/>
          <w:lang w:val="en-GB" w:eastAsia="en-IN"/>
        </w:rPr>
        <w:t xml:space="preserve"> inflation (excluding food and energy), which had been </w:t>
      </w:r>
      <w:r w:rsidR="00844887" w:rsidRPr="004D7F49">
        <w:rPr>
          <w:sz w:val="22"/>
          <w:szCs w:val="22"/>
          <w:lang w:val="en-GB" w:eastAsia="en-IN"/>
        </w:rPr>
        <w:sym w:font="Symbol" w:char="F02D"/>
      </w:r>
      <w:r w:rsidRPr="004D7F49">
        <w:rPr>
          <w:sz w:val="22"/>
          <w:szCs w:val="22"/>
          <w:lang w:val="en-GB" w:eastAsia="en-IN"/>
        </w:rPr>
        <w:t>0.5 per cent before QQE, had remained positive for about two and a half years since the introduction of QQE. The BoJ thus pronounced that Japan was no lon</w:t>
      </w:r>
      <w:r w:rsidR="00921BD7" w:rsidRPr="004D7F49">
        <w:rPr>
          <w:sz w:val="22"/>
          <w:szCs w:val="22"/>
          <w:lang w:val="en-GB" w:eastAsia="en-IN"/>
        </w:rPr>
        <w:t>ger in deflation. However, the b</w:t>
      </w:r>
      <w:r w:rsidRPr="004D7F49">
        <w:rPr>
          <w:sz w:val="22"/>
          <w:szCs w:val="22"/>
          <w:lang w:val="en-GB" w:eastAsia="en-IN"/>
        </w:rPr>
        <w:t xml:space="preserve">ank had failed to achieve the </w:t>
      </w:r>
      <w:r w:rsidR="00680E80">
        <w:rPr>
          <w:sz w:val="22"/>
          <w:szCs w:val="22"/>
          <w:lang w:val="en-GB" w:eastAsia="en-IN"/>
        </w:rPr>
        <w:t>2 per cent</w:t>
      </w:r>
      <w:r w:rsidRPr="004D7F49">
        <w:rPr>
          <w:sz w:val="22"/>
          <w:szCs w:val="22"/>
          <w:lang w:val="en-GB" w:eastAsia="en-IN"/>
        </w:rPr>
        <w:t xml:space="preserve"> </w:t>
      </w:r>
      <w:r w:rsidR="00680E80">
        <w:rPr>
          <w:sz w:val="22"/>
          <w:szCs w:val="22"/>
          <w:lang w:val="en-GB" w:eastAsia="en-IN"/>
        </w:rPr>
        <w:t>price-stability</w:t>
      </w:r>
      <w:r w:rsidRPr="004D7F49">
        <w:rPr>
          <w:sz w:val="22"/>
          <w:szCs w:val="22"/>
          <w:lang w:val="en-GB" w:eastAsia="en-IN"/>
        </w:rPr>
        <w:t xml:space="preserve"> target.</w:t>
      </w:r>
      <w:r w:rsidRPr="004D7F49">
        <w:rPr>
          <w:sz w:val="22"/>
          <w:szCs w:val="22"/>
          <w:vertAlign w:val="superscript"/>
          <w:lang w:val="en-GB" w:eastAsia="en-IN"/>
        </w:rPr>
        <w:endnoteReference w:id="39"/>
      </w:r>
    </w:p>
    <w:p w14:paraId="44A8EAF9" w14:textId="77777777" w:rsidR="00DF5A71" w:rsidRPr="0004607E" w:rsidRDefault="00DF5A71" w:rsidP="00DF5A71">
      <w:pPr>
        <w:jc w:val="both"/>
        <w:rPr>
          <w:sz w:val="16"/>
          <w:szCs w:val="16"/>
          <w:lang w:val="en-GB" w:eastAsia="en-IN"/>
        </w:rPr>
      </w:pPr>
    </w:p>
    <w:p w14:paraId="1F4B1C1D" w14:textId="55002195" w:rsidR="00DF5A71" w:rsidRPr="004D7F49" w:rsidRDefault="00897156" w:rsidP="00DF5A71">
      <w:pPr>
        <w:jc w:val="both"/>
        <w:rPr>
          <w:sz w:val="22"/>
          <w:szCs w:val="22"/>
          <w:lang w:val="en-GB" w:eastAsia="en-IN"/>
        </w:rPr>
      </w:pPr>
      <w:r w:rsidRPr="004D7F49">
        <w:rPr>
          <w:sz w:val="22"/>
          <w:szCs w:val="22"/>
          <w:lang w:val="en-GB" w:eastAsia="en-IN"/>
        </w:rPr>
        <w:t>The b</w:t>
      </w:r>
      <w:r w:rsidR="00DF5A71" w:rsidRPr="004D7F49">
        <w:rPr>
          <w:sz w:val="22"/>
          <w:szCs w:val="22"/>
          <w:lang w:val="en-GB" w:eastAsia="en-IN"/>
        </w:rPr>
        <w:t>ank attributed th</w:t>
      </w:r>
      <w:r w:rsidR="00844887" w:rsidRPr="004D7F49">
        <w:rPr>
          <w:sz w:val="22"/>
          <w:szCs w:val="22"/>
          <w:lang w:val="en-GB" w:eastAsia="en-IN"/>
        </w:rPr>
        <w:t>e</w:t>
      </w:r>
      <w:r w:rsidR="00DF5A71" w:rsidRPr="004D7F49">
        <w:rPr>
          <w:sz w:val="22"/>
          <w:szCs w:val="22"/>
          <w:lang w:val="en-GB" w:eastAsia="en-IN"/>
        </w:rPr>
        <w:t xml:space="preserve"> failure of achieving the price target to the lack of development of adequate inflationary expectations. This itself was due to two factors</w:t>
      </w:r>
      <w:r w:rsidR="00545A0B" w:rsidRPr="004D7F49">
        <w:rPr>
          <w:sz w:val="22"/>
          <w:szCs w:val="22"/>
          <w:lang w:val="en-GB" w:eastAsia="en-IN"/>
        </w:rPr>
        <w:t>.</w:t>
      </w:r>
      <w:r w:rsidR="00DF5A71" w:rsidRPr="004D7F49">
        <w:rPr>
          <w:sz w:val="22"/>
          <w:szCs w:val="22"/>
          <w:lang w:val="en-GB" w:eastAsia="en-IN"/>
        </w:rPr>
        <w:t xml:space="preserve"> </w:t>
      </w:r>
      <w:r w:rsidR="00545A0B" w:rsidRPr="004D7F49">
        <w:rPr>
          <w:sz w:val="22"/>
          <w:szCs w:val="22"/>
          <w:lang w:val="en-GB" w:eastAsia="en-IN"/>
        </w:rPr>
        <w:t>The first was that</w:t>
      </w:r>
      <w:r w:rsidR="00DF5A71" w:rsidRPr="004D7F49">
        <w:rPr>
          <w:sz w:val="22"/>
          <w:szCs w:val="22"/>
          <w:lang w:val="en-GB" w:eastAsia="en-IN"/>
        </w:rPr>
        <w:t xml:space="preserve"> exogenous developments, including a decline in prices of crude oil, a weak domestic demand following the consumption tax hike in April 2014, and a slowdown in emerging economies and volatile global financial markets, had lowered the observed inflation rate. This would prevent </w:t>
      </w:r>
      <w:r w:rsidR="005115F1" w:rsidRPr="004D7F49">
        <w:rPr>
          <w:sz w:val="22"/>
          <w:szCs w:val="22"/>
          <w:lang w:val="en-GB" w:eastAsia="en-IN"/>
        </w:rPr>
        <w:t xml:space="preserve">the </w:t>
      </w:r>
      <w:r w:rsidR="00DF5A71" w:rsidRPr="004D7F49">
        <w:rPr>
          <w:sz w:val="22"/>
          <w:szCs w:val="22"/>
          <w:lang w:val="en-GB" w:eastAsia="en-IN"/>
        </w:rPr>
        <w:t xml:space="preserve">formation of inflationary expectations. </w:t>
      </w:r>
      <w:r w:rsidR="00545A0B" w:rsidRPr="004D7F49">
        <w:rPr>
          <w:sz w:val="22"/>
          <w:szCs w:val="22"/>
          <w:lang w:val="en-GB" w:eastAsia="en-IN"/>
        </w:rPr>
        <w:t>The second was that</w:t>
      </w:r>
      <w:r w:rsidR="00DF5A71" w:rsidRPr="004D7F49">
        <w:rPr>
          <w:sz w:val="22"/>
          <w:szCs w:val="22"/>
          <w:lang w:val="en-GB" w:eastAsia="en-IN"/>
        </w:rPr>
        <w:t xml:space="preserve"> </w:t>
      </w:r>
      <w:r w:rsidR="00545A0B" w:rsidRPr="004D7F49">
        <w:rPr>
          <w:sz w:val="22"/>
          <w:szCs w:val="22"/>
          <w:lang w:val="en-GB" w:eastAsia="en-IN"/>
        </w:rPr>
        <w:lastRenderedPageBreak/>
        <w:t>m</w:t>
      </w:r>
      <w:r w:rsidR="00DF5A71" w:rsidRPr="004D7F49">
        <w:rPr>
          <w:sz w:val="22"/>
          <w:szCs w:val="22"/>
          <w:lang w:val="en-GB" w:eastAsia="en-IN"/>
        </w:rPr>
        <w:t xml:space="preserve">uch of </w:t>
      </w:r>
      <w:r w:rsidR="00D067C2" w:rsidRPr="004D7F49">
        <w:rPr>
          <w:sz w:val="22"/>
          <w:szCs w:val="22"/>
          <w:lang w:val="en-GB" w:eastAsia="en-IN"/>
        </w:rPr>
        <w:t xml:space="preserve">the </w:t>
      </w:r>
      <w:r w:rsidR="00DF5A71" w:rsidRPr="004D7F49">
        <w:rPr>
          <w:sz w:val="22"/>
          <w:szCs w:val="22"/>
          <w:lang w:val="en-GB" w:eastAsia="en-IN"/>
        </w:rPr>
        <w:t>inflationary expectations were based on past inflation</w:t>
      </w:r>
      <w:r w:rsidR="004E0F1B">
        <w:rPr>
          <w:sz w:val="22"/>
          <w:szCs w:val="22"/>
          <w:lang w:val="en-GB" w:eastAsia="en-IN"/>
        </w:rPr>
        <w:t xml:space="preserve"> (</w:t>
      </w:r>
      <w:r w:rsidR="00DF5A71" w:rsidRPr="004D7F49">
        <w:rPr>
          <w:sz w:val="22"/>
          <w:szCs w:val="22"/>
          <w:lang w:val="en-GB" w:eastAsia="en-IN"/>
        </w:rPr>
        <w:t>i.e.</w:t>
      </w:r>
      <w:r w:rsidR="005115F1" w:rsidRPr="004D7F49">
        <w:rPr>
          <w:sz w:val="22"/>
          <w:szCs w:val="22"/>
          <w:lang w:val="en-GB" w:eastAsia="en-IN"/>
        </w:rPr>
        <w:t>,</w:t>
      </w:r>
      <w:r w:rsidR="00DF5A71" w:rsidRPr="004D7F49">
        <w:rPr>
          <w:sz w:val="22"/>
          <w:szCs w:val="22"/>
          <w:lang w:val="en-GB" w:eastAsia="en-IN"/>
        </w:rPr>
        <w:t xml:space="preserve"> adaptive expectations</w:t>
      </w:r>
      <w:r w:rsidR="004E0F1B">
        <w:rPr>
          <w:sz w:val="22"/>
          <w:szCs w:val="22"/>
          <w:lang w:val="en-GB" w:eastAsia="en-IN"/>
        </w:rPr>
        <w:t>)</w:t>
      </w:r>
      <w:r w:rsidR="00DF5A71" w:rsidRPr="004D7F49">
        <w:rPr>
          <w:sz w:val="22"/>
          <w:szCs w:val="22"/>
          <w:lang w:val="en-GB" w:eastAsia="en-IN"/>
        </w:rPr>
        <w:t>. Hence, when the observed inflation rate declined, inflation expectations actually weakened.</w:t>
      </w:r>
      <w:r w:rsidR="00DF5A71" w:rsidRPr="004D7F49">
        <w:rPr>
          <w:sz w:val="22"/>
          <w:szCs w:val="22"/>
          <w:vertAlign w:val="superscript"/>
          <w:lang w:val="en-GB" w:eastAsia="en-IN"/>
        </w:rPr>
        <w:endnoteReference w:id="40"/>
      </w:r>
    </w:p>
    <w:p w14:paraId="1F824D38" w14:textId="77777777" w:rsidR="00DF5A71" w:rsidRPr="0004607E" w:rsidRDefault="00DF5A71" w:rsidP="00DF5A71">
      <w:pPr>
        <w:jc w:val="both"/>
        <w:rPr>
          <w:sz w:val="16"/>
          <w:szCs w:val="16"/>
          <w:lang w:val="en-GB" w:eastAsia="en-IN"/>
        </w:rPr>
      </w:pPr>
    </w:p>
    <w:p w14:paraId="64D91829" w14:textId="1954BE3B" w:rsidR="00DF5A71" w:rsidRPr="004D7F49" w:rsidRDefault="00DF5A71" w:rsidP="00DF5A71">
      <w:pPr>
        <w:jc w:val="both"/>
        <w:rPr>
          <w:sz w:val="22"/>
          <w:szCs w:val="22"/>
          <w:lang w:val="en-GB" w:eastAsia="en-IN"/>
        </w:rPr>
      </w:pPr>
      <w:r w:rsidRPr="004D7F49">
        <w:rPr>
          <w:sz w:val="22"/>
          <w:szCs w:val="22"/>
          <w:lang w:val="en-GB" w:eastAsia="en-IN"/>
        </w:rPr>
        <w:t xml:space="preserve">Consequently, the </w:t>
      </w:r>
      <w:r w:rsidR="000C5C85" w:rsidRPr="004D7F49">
        <w:rPr>
          <w:sz w:val="22"/>
          <w:szCs w:val="22"/>
          <w:lang w:val="en-GB" w:eastAsia="en-IN"/>
        </w:rPr>
        <w:t>b</w:t>
      </w:r>
      <w:r w:rsidRPr="004D7F49">
        <w:rPr>
          <w:sz w:val="22"/>
          <w:szCs w:val="22"/>
          <w:lang w:val="en-GB" w:eastAsia="en-IN"/>
        </w:rPr>
        <w:t>ank decided that inflation expectations need</w:t>
      </w:r>
      <w:r w:rsidR="00433EDD" w:rsidRPr="004D7F49">
        <w:rPr>
          <w:sz w:val="22"/>
          <w:szCs w:val="22"/>
          <w:lang w:val="en-GB" w:eastAsia="en-IN"/>
        </w:rPr>
        <w:t xml:space="preserve">ed to be raised to achieve the </w:t>
      </w:r>
      <w:r w:rsidR="003A20D7">
        <w:rPr>
          <w:sz w:val="22"/>
          <w:szCs w:val="22"/>
          <w:lang w:val="en-GB" w:eastAsia="en-IN"/>
        </w:rPr>
        <w:t>2 per cent</w:t>
      </w:r>
      <w:r w:rsidRPr="004D7F49">
        <w:rPr>
          <w:sz w:val="22"/>
          <w:szCs w:val="22"/>
          <w:lang w:val="en-GB" w:eastAsia="en-IN"/>
        </w:rPr>
        <w:t xml:space="preserve"> </w:t>
      </w:r>
      <w:r w:rsidR="003A20D7">
        <w:rPr>
          <w:sz w:val="22"/>
          <w:szCs w:val="22"/>
          <w:lang w:val="en-GB" w:eastAsia="en-IN"/>
        </w:rPr>
        <w:t>price-stability</w:t>
      </w:r>
      <w:r w:rsidRPr="004D7F49">
        <w:rPr>
          <w:sz w:val="22"/>
          <w:szCs w:val="22"/>
          <w:lang w:val="en-GB" w:eastAsia="en-IN"/>
        </w:rPr>
        <w:t xml:space="preserve"> target. This was difficult and uncertain if expectations formation was based on past inflation data (i.e.</w:t>
      </w:r>
      <w:r w:rsidR="009C5217" w:rsidRPr="004D7F49">
        <w:rPr>
          <w:sz w:val="22"/>
          <w:szCs w:val="22"/>
          <w:lang w:val="en-GB" w:eastAsia="en-IN"/>
        </w:rPr>
        <w:t>,</w:t>
      </w:r>
      <w:r w:rsidRPr="004D7F49">
        <w:rPr>
          <w:sz w:val="22"/>
          <w:szCs w:val="22"/>
          <w:lang w:val="en-GB" w:eastAsia="en-IN"/>
        </w:rPr>
        <w:t xml:space="preserve"> through the adaptive mechanism). As such, moving forward, the </w:t>
      </w:r>
      <w:r w:rsidR="000C5C85" w:rsidRPr="004D7F49">
        <w:rPr>
          <w:sz w:val="22"/>
          <w:szCs w:val="22"/>
          <w:lang w:val="en-GB" w:eastAsia="en-IN"/>
        </w:rPr>
        <w:t>b</w:t>
      </w:r>
      <w:r w:rsidRPr="004D7F49">
        <w:rPr>
          <w:sz w:val="22"/>
          <w:szCs w:val="22"/>
          <w:lang w:val="en-GB" w:eastAsia="en-IN"/>
        </w:rPr>
        <w:t xml:space="preserve">ank acknowledged the critical role of a forward-looking </w:t>
      </w:r>
      <w:r w:rsidR="00487E71">
        <w:rPr>
          <w:sz w:val="22"/>
          <w:szCs w:val="22"/>
          <w:lang w:val="en-GB" w:eastAsia="en-IN"/>
        </w:rPr>
        <w:t>expectations-formation</w:t>
      </w:r>
      <w:r w:rsidRPr="004D7F49">
        <w:rPr>
          <w:sz w:val="22"/>
          <w:szCs w:val="22"/>
          <w:lang w:val="en-GB" w:eastAsia="en-IN"/>
        </w:rPr>
        <w:t xml:space="preserve"> mechanism in driving up expectations </w:t>
      </w:r>
      <w:r w:rsidR="00D067C2" w:rsidRPr="004D7F49">
        <w:rPr>
          <w:sz w:val="22"/>
          <w:szCs w:val="22"/>
          <w:lang w:val="en-GB" w:eastAsia="en-IN"/>
        </w:rPr>
        <w:t xml:space="preserve">and in </w:t>
      </w:r>
      <w:r w:rsidRPr="004D7F49">
        <w:rPr>
          <w:sz w:val="22"/>
          <w:szCs w:val="22"/>
          <w:lang w:val="en-GB" w:eastAsia="en-IN"/>
        </w:rPr>
        <w:t>moving out of de</w:t>
      </w:r>
      <w:r w:rsidR="00433EDD" w:rsidRPr="004D7F49">
        <w:rPr>
          <w:sz w:val="22"/>
          <w:szCs w:val="22"/>
          <w:lang w:val="en-GB" w:eastAsia="en-IN"/>
        </w:rPr>
        <w:t xml:space="preserve">flation and towards the target </w:t>
      </w:r>
      <w:r w:rsidR="00D067C2" w:rsidRPr="004D7F49">
        <w:rPr>
          <w:sz w:val="22"/>
          <w:szCs w:val="22"/>
          <w:lang w:val="en-GB" w:eastAsia="en-IN"/>
        </w:rPr>
        <w:t>rate of 2</w:t>
      </w:r>
      <w:r w:rsidRPr="004D7F49">
        <w:rPr>
          <w:sz w:val="22"/>
          <w:szCs w:val="22"/>
          <w:lang w:val="en-GB" w:eastAsia="en-IN"/>
        </w:rPr>
        <w:t xml:space="preserve"> per cent.</w:t>
      </w:r>
      <w:r w:rsidRPr="004D7F49">
        <w:rPr>
          <w:sz w:val="22"/>
          <w:szCs w:val="22"/>
          <w:vertAlign w:val="superscript"/>
          <w:lang w:val="en-GB" w:eastAsia="en-IN"/>
        </w:rPr>
        <w:endnoteReference w:id="41"/>
      </w:r>
      <w:r w:rsidR="000C5C85" w:rsidRPr="004D7F49">
        <w:rPr>
          <w:sz w:val="22"/>
          <w:szCs w:val="22"/>
          <w:lang w:val="en-GB" w:eastAsia="en-IN"/>
        </w:rPr>
        <w:t xml:space="preserve"> The b</w:t>
      </w:r>
      <w:r w:rsidRPr="004D7F49">
        <w:rPr>
          <w:sz w:val="22"/>
          <w:szCs w:val="22"/>
          <w:lang w:val="en-GB" w:eastAsia="en-IN"/>
        </w:rPr>
        <w:t>ank then decided to introduce a new policy framework to strengthen monetary easing as framed under the two earlier frameworks</w:t>
      </w:r>
      <w:r w:rsidR="000C5C85" w:rsidRPr="004D7F49">
        <w:rPr>
          <w:sz w:val="22"/>
          <w:szCs w:val="22"/>
          <w:lang w:val="en-GB" w:eastAsia="en-IN"/>
        </w:rPr>
        <w:t xml:space="preserve">, </w:t>
      </w:r>
      <w:r w:rsidRPr="004D7F49">
        <w:rPr>
          <w:sz w:val="22"/>
          <w:szCs w:val="22"/>
          <w:lang w:val="en-GB" w:eastAsia="en-IN"/>
        </w:rPr>
        <w:t xml:space="preserve">QQE and QQE with </w:t>
      </w:r>
      <w:r w:rsidR="00D067C2" w:rsidRPr="004D7F49">
        <w:rPr>
          <w:sz w:val="22"/>
          <w:szCs w:val="22"/>
          <w:lang w:val="en-GB" w:eastAsia="en-IN"/>
        </w:rPr>
        <w:t>n</w:t>
      </w:r>
      <w:r w:rsidRPr="004D7F49">
        <w:rPr>
          <w:sz w:val="22"/>
          <w:szCs w:val="22"/>
          <w:lang w:val="en-GB" w:eastAsia="en-IN"/>
        </w:rPr>
        <w:t xml:space="preserve">egative </w:t>
      </w:r>
      <w:r w:rsidR="00D067C2" w:rsidRPr="004D7F49">
        <w:rPr>
          <w:sz w:val="22"/>
          <w:szCs w:val="22"/>
          <w:lang w:val="en-GB" w:eastAsia="en-IN"/>
        </w:rPr>
        <w:t>i</w:t>
      </w:r>
      <w:r w:rsidR="000C5C85" w:rsidRPr="004D7F49">
        <w:rPr>
          <w:sz w:val="22"/>
          <w:szCs w:val="22"/>
          <w:lang w:val="en-GB" w:eastAsia="en-IN"/>
        </w:rPr>
        <w:t xml:space="preserve">nterest </w:t>
      </w:r>
      <w:r w:rsidR="00D067C2" w:rsidRPr="004D7F49">
        <w:rPr>
          <w:sz w:val="22"/>
          <w:szCs w:val="22"/>
          <w:lang w:val="en-GB" w:eastAsia="en-IN"/>
        </w:rPr>
        <w:t>r</w:t>
      </w:r>
      <w:r w:rsidR="000C5C85" w:rsidRPr="004D7F49">
        <w:rPr>
          <w:sz w:val="22"/>
          <w:szCs w:val="22"/>
          <w:lang w:val="en-GB" w:eastAsia="en-IN"/>
        </w:rPr>
        <w:t xml:space="preserve">ate. This was called </w:t>
      </w:r>
      <w:r w:rsidRPr="004D7F49">
        <w:rPr>
          <w:sz w:val="22"/>
          <w:szCs w:val="22"/>
          <w:lang w:val="en-GB" w:eastAsia="en-IN"/>
        </w:rPr>
        <w:t xml:space="preserve">QQE with </w:t>
      </w:r>
      <w:r w:rsidR="009C5217" w:rsidRPr="004D7F49">
        <w:rPr>
          <w:sz w:val="22"/>
          <w:szCs w:val="22"/>
          <w:lang w:val="en-GB" w:eastAsia="en-IN"/>
        </w:rPr>
        <w:t>y</w:t>
      </w:r>
      <w:r w:rsidRPr="004D7F49">
        <w:rPr>
          <w:sz w:val="22"/>
          <w:szCs w:val="22"/>
          <w:lang w:val="en-GB" w:eastAsia="en-IN"/>
        </w:rPr>
        <w:t xml:space="preserve">ield </w:t>
      </w:r>
      <w:r w:rsidR="009C5217" w:rsidRPr="004D7F49">
        <w:rPr>
          <w:sz w:val="22"/>
          <w:szCs w:val="22"/>
          <w:lang w:val="en-GB" w:eastAsia="en-IN"/>
        </w:rPr>
        <w:t>c</w:t>
      </w:r>
      <w:r w:rsidRPr="004D7F49">
        <w:rPr>
          <w:sz w:val="22"/>
          <w:szCs w:val="22"/>
          <w:lang w:val="en-GB" w:eastAsia="en-IN"/>
        </w:rPr>
        <w:t xml:space="preserve">urve </w:t>
      </w:r>
      <w:r w:rsidR="009C5217" w:rsidRPr="004D7F49">
        <w:rPr>
          <w:sz w:val="22"/>
          <w:szCs w:val="22"/>
          <w:lang w:val="en-GB" w:eastAsia="en-IN"/>
        </w:rPr>
        <w:t>c</w:t>
      </w:r>
      <w:r w:rsidRPr="004D7F49">
        <w:rPr>
          <w:sz w:val="22"/>
          <w:szCs w:val="22"/>
          <w:lang w:val="en-GB" w:eastAsia="en-IN"/>
        </w:rPr>
        <w:t>ontrol.</w:t>
      </w:r>
      <w:r w:rsidRPr="004D7F49">
        <w:rPr>
          <w:sz w:val="22"/>
          <w:szCs w:val="22"/>
          <w:vertAlign w:val="superscript"/>
          <w:lang w:val="en-GB" w:eastAsia="en-IN"/>
        </w:rPr>
        <w:endnoteReference w:id="42"/>
      </w:r>
    </w:p>
    <w:p w14:paraId="7780CD49" w14:textId="77777777" w:rsidR="00DF5A71" w:rsidRPr="0004607E" w:rsidRDefault="00DF5A71" w:rsidP="00DF5A71">
      <w:pPr>
        <w:jc w:val="both"/>
        <w:rPr>
          <w:sz w:val="16"/>
          <w:szCs w:val="16"/>
          <w:lang w:val="en-GB" w:eastAsia="en-IN"/>
        </w:rPr>
      </w:pPr>
    </w:p>
    <w:p w14:paraId="2350550B" w14:textId="77777777" w:rsidR="00B05762" w:rsidRPr="0004607E" w:rsidRDefault="00B05762" w:rsidP="00DF5A71">
      <w:pPr>
        <w:jc w:val="both"/>
        <w:rPr>
          <w:sz w:val="16"/>
          <w:szCs w:val="16"/>
          <w:lang w:val="en-GB" w:eastAsia="en-IN"/>
        </w:rPr>
      </w:pPr>
    </w:p>
    <w:p w14:paraId="5BDB53A5" w14:textId="21EC7B24" w:rsidR="00DF5A71" w:rsidRPr="004D7F49" w:rsidRDefault="00DF5A71" w:rsidP="00263C98">
      <w:pPr>
        <w:outlineLvl w:val="0"/>
        <w:rPr>
          <w:rFonts w:ascii="Arial" w:hAnsi="Arial" w:cs="Arial"/>
          <w:b/>
          <w:lang w:val="en-GB" w:eastAsia="en-IN"/>
        </w:rPr>
      </w:pPr>
      <w:r w:rsidRPr="004D7F49">
        <w:rPr>
          <w:rFonts w:ascii="Arial" w:hAnsi="Arial" w:cs="Arial"/>
          <w:b/>
          <w:lang w:val="en-GB" w:eastAsia="en-IN"/>
        </w:rPr>
        <w:t>Quantitative and Qualitative Monetary Easing with Yield Curve Control</w:t>
      </w:r>
      <w:r w:rsidR="00844887" w:rsidRPr="004D7F49">
        <w:rPr>
          <w:rFonts w:ascii="Arial" w:hAnsi="Arial" w:cs="Arial"/>
          <w:b/>
          <w:lang w:val="en-GB" w:eastAsia="en-IN"/>
        </w:rPr>
        <w:t>:</w:t>
      </w:r>
      <w:r w:rsidRPr="004D7F49">
        <w:rPr>
          <w:rFonts w:ascii="Arial" w:hAnsi="Arial" w:cs="Arial"/>
          <w:b/>
          <w:lang w:val="en-GB" w:eastAsia="en-IN"/>
        </w:rPr>
        <w:t xml:space="preserve"> 2016</w:t>
      </w:r>
    </w:p>
    <w:p w14:paraId="0824DA2E" w14:textId="77777777" w:rsidR="00DF5A71" w:rsidRPr="0004607E" w:rsidRDefault="00DF5A71" w:rsidP="00DF5A71">
      <w:pPr>
        <w:rPr>
          <w:sz w:val="16"/>
          <w:szCs w:val="16"/>
          <w:lang w:val="en-GB" w:eastAsia="en-IN"/>
        </w:rPr>
      </w:pPr>
    </w:p>
    <w:p w14:paraId="08D2C625" w14:textId="6DE11D1D" w:rsidR="00DF5A71" w:rsidRPr="0004607E" w:rsidRDefault="00DF5A71" w:rsidP="00DF5A71">
      <w:pPr>
        <w:jc w:val="both"/>
        <w:rPr>
          <w:rFonts w:eastAsia="Calibri"/>
          <w:spacing w:val="-2"/>
          <w:kern w:val="22"/>
          <w:sz w:val="22"/>
          <w:szCs w:val="22"/>
          <w:lang w:val="en-GB"/>
        </w:rPr>
      </w:pPr>
      <w:r w:rsidRPr="0004607E">
        <w:rPr>
          <w:spacing w:val="-2"/>
          <w:kern w:val="22"/>
          <w:sz w:val="22"/>
          <w:szCs w:val="22"/>
          <w:lang w:val="en-GB" w:eastAsia="en-IN"/>
        </w:rPr>
        <w:t>The new policy framework consisted of two major components</w:t>
      </w:r>
      <w:r w:rsidR="00D067C2" w:rsidRPr="0004607E">
        <w:rPr>
          <w:spacing w:val="-2"/>
          <w:kern w:val="22"/>
          <w:sz w:val="22"/>
          <w:szCs w:val="22"/>
          <w:lang w:val="en-GB" w:eastAsia="en-IN"/>
        </w:rPr>
        <w:t>.</w:t>
      </w:r>
      <w:r w:rsidRPr="0004607E">
        <w:rPr>
          <w:spacing w:val="-2"/>
          <w:kern w:val="22"/>
          <w:sz w:val="22"/>
          <w:szCs w:val="22"/>
          <w:lang w:val="en-GB" w:eastAsia="en-IN"/>
        </w:rPr>
        <w:t xml:space="preserve"> First, the BoJ shifted from the earlier operating target of monetary base control to </w:t>
      </w:r>
      <w:r w:rsidR="000C5C85" w:rsidRPr="0004607E">
        <w:rPr>
          <w:spacing w:val="-2"/>
          <w:kern w:val="22"/>
          <w:sz w:val="22"/>
          <w:szCs w:val="22"/>
          <w:lang w:val="en-GB" w:eastAsia="en-IN"/>
        </w:rPr>
        <w:t>yield curve control</w:t>
      </w:r>
      <w:r w:rsidRPr="0004607E">
        <w:rPr>
          <w:spacing w:val="-2"/>
          <w:kern w:val="22"/>
          <w:sz w:val="22"/>
          <w:szCs w:val="22"/>
          <w:lang w:val="en-GB" w:eastAsia="en-IN"/>
        </w:rPr>
        <w:t xml:space="preserve">. Yield curve control meant that the </w:t>
      </w:r>
      <w:r w:rsidR="000C5C85" w:rsidRPr="0004607E">
        <w:rPr>
          <w:spacing w:val="-2"/>
          <w:kern w:val="22"/>
          <w:sz w:val="22"/>
          <w:szCs w:val="22"/>
          <w:lang w:val="en-GB" w:eastAsia="en-IN"/>
        </w:rPr>
        <w:t>b</w:t>
      </w:r>
      <w:r w:rsidRPr="0004607E">
        <w:rPr>
          <w:spacing w:val="-2"/>
          <w:kern w:val="22"/>
          <w:sz w:val="22"/>
          <w:szCs w:val="22"/>
          <w:lang w:val="en-GB" w:eastAsia="en-IN"/>
        </w:rPr>
        <w:t>ank would seek to reduce real interest rates by controlling both short- and long-term interest rates. Specifically, while the short</w:t>
      </w:r>
      <w:r w:rsidR="00D067C2" w:rsidRPr="0004607E">
        <w:rPr>
          <w:spacing w:val="-2"/>
          <w:kern w:val="22"/>
          <w:sz w:val="22"/>
          <w:szCs w:val="22"/>
          <w:lang w:val="en-GB" w:eastAsia="en-IN"/>
        </w:rPr>
        <w:t>-</w:t>
      </w:r>
      <w:r w:rsidRPr="0004607E">
        <w:rPr>
          <w:spacing w:val="-2"/>
          <w:kern w:val="22"/>
          <w:sz w:val="22"/>
          <w:szCs w:val="22"/>
          <w:lang w:val="en-GB" w:eastAsia="en-IN"/>
        </w:rPr>
        <w:t xml:space="preserve">term policy interest rate would continue to be </w:t>
      </w:r>
      <w:r w:rsidR="00D067C2" w:rsidRPr="0004607E">
        <w:rPr>
          <w:spacing w:val="-2"/>
          <w:kern w:val="22"/>
          <w:sz w:val="22"/>
          <w:szCs w:val="22"/>
          <w:lang w:val="en-GB" w:eastAsia="en-IN"/>
        </w:rPr>
        <w:sym w:font="Symbol" w:char="F02D"/>
      </w:r>
      <w:r w:rsidRPr="0004607E">
        <w:rPr>
          <w:spacing w:val="-2"/>
          <w:kern w:val="22"/>
          <w:sz w:val="22"/>
          <w:szCs w:val="22"/>
          <w:lang w:val="en-GB" w:eastAsia="en-IN"/>
        </w:rPr>
        <w:t xml:space="preserve">0.1 per cent on excess reserves held in the current account by banks and financial </w:t>
      </w:r>
      <w:r w:rsidR="00724588" w:rsidRPr="0004607E">
        <w:rPr>
          <w:spacing w:val="-2"/>
          <w:kern w:val="22"/>
          <w:sz w:val="22"/>
          <w:szCs w:val="22"/>
          <w:lang w:val="en-GB" w:eastAsia="en-IN"/>
        </w:rPr>
        <w:t>institutions with the BoJ, the b</w:t>
      </w:r>
      <w:r w:rsidRPr="0004607E">
        <w:rPr>
          <w:spacing w:val="-2"/>
          <w:kern w:val="22"/>
          <w:sz w:val="22"/>
          <w:szCs w:val="22"/>
          <w:lang w:val="en-GB" w:eastAsia="en-IN"/>
        </w:rPr>
        <w:t xml:space="preserve">ank would, through </w:t>
      </w:r>
      <w:r w:rsidR="00D067C2" w:rsidRPr="0004607E">
        <w:rPr>
          <w:spacing w:val="-2"/>
          <w:kern w:val="22"/>
          <w:sz w:val="22"/>
          <w:szCs w:val="22"/>
          <w:lang w:val="en-GB" w:eastAsia="en-IN"/>
        </w:rPr>
        <w:t xml:space="preserve">the </w:t>
      </w:r>
      <w:r w:rsidRPr="0004607E">
        <w:rPr>
          <w:spacing w:val="-2"/>
          <w:kern w:val="22"/>
          <w:sz w:val="22"/>
          <w:szCs w:val="22"/>
          <w:lang w:val="en-GB" w:eastAsia="en-IN"/>
        </w:rPr>
        <w:t xml:space="preserve">purchase of JGBs, </w:t>
      </w:r>
      <w:r w:rsidR="00D067C2" w:rsidRPr="0004607E">
        <w:rPr>
          <w:spacing w:val="-2"/>
          <w:kern w:val="22"/>
          <w:sz w:val="22"/>
          <w:szCs w:val="22"/>
          <w:lang w:val="en-GB" w:eastAsia="en-IN"/>
        </w:rPr>
        <w:t xml:space="preserve">also </w:t>
      </w:r>
      <w:r w:rsidRPr="0004607E">
        <w:rPr>
          <w:spacing w:val="-2"/>
          <w:kern w:val="22"/>
          <w:sz w:val="22"/>
          <w:szCs w:val="22"/>
          <w:lang w:val="en-GB" w:eastAsia="en-IN"/>
        </w:rPr>
        <w:t xml:space="preserve">keep the 10-year </w:t>
      </w:r>
      <w:r w:rsidR="00A27D8A" w:rsidRPr="0004607E">
        <w:rPr>
          <w:spacing w:val="-2"/>
          <w:kern w:val="22"/>
          <w:sz w:val="22"/>
          <w:szCs w:val="22"/>
          <w:lang w:val="en-GB" w:eastAsia="en-IN"/>
        </w:rPr>
        <w:t>government-bond</w:t>
      </w:r>
      <w:r w:rsidRPr="0004607E">
        <w:rPr>
          <w:spacing w:val="-2"/>
          <w:kern w:val="22"/>
          <w:sz w:val="22"/>
          <w:szCs w:val="22"/>
          <w:lang w:val="en-GB" w:eastAsia="en-IN"/>
        </w:rPr>
        <w:t xml:space="preserve"> yields </w:t>
      </w:r>
      <w:r w:rsidR="00D067C2" w:rsidRPr="0004607E">
        <w:rPr>
          <w:spacing w:val="-2"/>
          <w:kern w:val="22"/>
          <w:sz w:val="22"/>
          <w:szCs w:val="22"/>
          <w:lang w:val="en-GB" w:eastAsia="en-IN"/>
        </w:rPr>
        <w:t>at</w:t>
      </w:r>
      <w:r w:rsidRPr="0004607E">
        <w:rPr>
          <w:spacing w:val="-2"/>
          <w:kern w:val="22"/>
          <w:sz w:val="22"/>
          <w:szCs w:val="22"/>
          <w:lang w:val="en-GB" w:eastAsia="en-IN"/>
        </w:rPr>
        <w:t xml:space="preserve"> zero </w:t>
      </w:r>
      <w:r w:rsidR="00724588" w:rsidRPr="0004607E">
        <w:rPr>
          <w:rFonts w:eastAsia="Calibri"/>
          <w:spacing w:val="-2"/>
          <w:kern w:val="22"/>
          <w:sz w:val="22"/>
          <w:szCs w:val="22"/>
          <w:lang w:val="en-GB"/>
        </w:rPr>
        <w:t xml:space="preserve">(see </w:t>
      </w:r>
      <w:r w:rsidRPr="0004607E">
        <w:rPr>
          <w:rFonts w:eastAsia="Calibri"/>
          <w:spacing w:val="-2"/>
          <w:kern w:val="22"/>
          <w:sz w:val="22"/>
          <w:szCs w:val="22"/>
          <w:lang w:val="en-GB"/>
        </w:rPr>
        <w:t xml:space="preserve">Exhibit </w:t>
      </w:r>
      <w:r w:rsidR="00885248" w:rsidRPr="0004607E">
        <w:rPr>
          <w:rFonts w:eastAsia="Calibri"/>
          <w:spacing w:val="-2"/>
          <w:kern w:val="22"/>
          <w:sz w:val="22"/>
          <w:szCs w:val="22"/>
          <w:lang w:val="en-GB"/>
        </w:rPr>
        <w:t>3</w:t>
      </w:r>
      <w:r w:rsidRPr="0004607E">
        <w:rPr>
          <w:rFonts w:eastAsia="Calibri"/>
          <w:spacing w:val="-2"/>
          <w:kern w:val="22"/>
          <w:sz w:val="22"/>
          <w:szCs w:val="22"/>
          <w:lang w:val="en-GB"/>
        </w:rPr>
        <w:t>)</w:t>
      </w:r>
      <w:r w:rsidRPr="0004607E">
        <w:rPr>
          <w:spacing w:val="-2"/>
          <w:kern w:val="22"/>
          <w:sz w:val="22"/>
          <w:szCs w:val="22"/>
          <w:lang w:val="en-GB" w:eastAsia="en-IN"/>
        </w:rPr>
        <w:t>.</w:t>
      </w:r>
      <w:r w:rsidRPr="0004607E">
        <w:rPr>
          <w:spacing w:val="-2"/>
          <w:kern w:val="22"/>
          <w:sz w:val="22"/>
          <w:szCs w:val="22"/>
          <w:vertAlign w:val="superscript"/>
          <w:lang w:val="en-GB" w:eastAsia="en-IN"/>
        </w:rPr>
        <w:endnoteReference w:id="43"/>
      </w:r>
      <w:r w:rsidRPr="0004607E">
        <w:rPr>
          <w:spacing w:val="-2"/>
          <w:kern w:val="22"/>
          <w:sz w:val="22"/>
          <w:szCs w:val="22"/>
          <w:lang w:val="en-GB" w:eastAsia="en-IN"/>
        </w:rPr>
        <w:t xml:space="preserve"> </w:t>
      </w:r>
      <w:r w:rsidR="003F72BC" w:rsidRPr="0004607E">
        <w:rPr>
          <w:spacing w:val="-2"/>
          <w:kern w:val="22"/>
          <w:sz w:val="22"/>
          <w:szCs w:val="22"/>
          <w:lang w:val="en-GB" w:eastAsia="en-IN"/>
        </w:rPr>
        <w:t xml:space="preserve">When the central bank purchased bonds, bond prices moved up. Given the inverse relationship between bond prices and bond yields, yields would become lower. </w:t>
      </w:r>
      <w:r w:rsidRPr="0004607E">
        <w:rPr>
          <w:spacing w:val="-2"/>
          <w:kern w:val="22"/>
          <w:sz w:val="22"/>
          <w:szCs w:val="22"/>
          <w:lang w:val="en-GB" w:eastAsia="en-IN"/>
        </w:rPr>
        <w:t>This control of the short- and long-term yields would</w:t>
      </w:r>
      <w:r w:rsidR="00724588" w:rsidRPr="0004607E">
        <w:rPr>
          <w:rFonts w:eastAsia="Calibri"/>
          <w:spacing w:val="-2"/>
          <w:kern w:val="22"/>
          <w:sz w:val="22"/>
          <w:szCs w:val="22"/>
          <w:lang w:val="en-GB"/>
        </w:rPr>
        <w:t xml:space="preserve"> </w:t>
      </w:r>
      <w:r w:rsidRPr="0004607E">
        <w:rPr>
          <w:rFonts w:eastAsia="Calibri"/>
          <w:spacing w:val="-2"/>
          <w:kern w:val="22"/>
          <w:sz w:val="22"/>
          <w:szCs w:val="22"/>
          <w:lang w:val="en-GB"/>
        </w:rPr>
        <w:t xml:space="preserve">steepen the yield curve. Banks could borrow money at cheaper short-term rates and lend at higher long-term rates, thereby availing of opportunities to make profits. Such opportunities were expected to </w:t>
      </w:r>
      <w:r w:rsidRPr="0004607E">
        <w:rPr>
          <w:spacing w:val="-2"/>
          <w:kern w:val="22"/>
          <w:sz w:val="22"/>
          <w:szCs w:val="22"/>
          <w:lang w:val="en-GB" w:eastAsia="en-IN"/>
        </w:rPr>
        <w:t>increase banking activity</w:t>
      </w:r>
      <w:r w:rsidR="00647CB0" w:rsidRPr="0004607E">
        <w:rPr>
          <w:spacing w:val="-2"/>
          <w:kern w:val="22"/>
          <w:sz w:val="22"/>
          <w:szCs w:val="22"/>
          <w:lang w:val="en-GB" w:eastAsia="en-IN"/>
        </w:rPr>
        <w:t>,</w:t>
      </w:r>
      <w:r w:rsidRPr="0004607E">
        <w:rPr>
          <w:spacing w:val="-2"/>
          <w:kern w:val="22"/>
          <w:sz w:val="22"/>
          <w:szCs w:val="22"/>
          <w:lang w:val="en-GB" w:eastAsia="en-IN"/>
        </w:rPr>
        <w:t xml:space="preserve"> leading to greater economic activity</w:t>
      </w:r>
      <w:r w:rsidR="00647CB0" w:rsidRPr="0004607E">
        <w:rPr>
          <w:spacing w:val="-2"/>
          <w:kern w:val="22"/>
          <w:sz w:val="22"/>
          <w:szCs w:val="22"/>
          <w:lang w:val="en-GB" w:eastAsia="en-IN"/>
        </w:rPr>
        <w:t xml:space="preserve"> and</w:t>
      </w:r>
      <w:r w:rsidR="00A27D8A" w:rsidRPr="0004607E">
        <w:rPr>
          <w:spacing w:val="-2"/>
          <w:kern w:val="22"/>
          <w:sz w:val="22"/>
          <w:szCs w:val="22"/>
          <w:lang w:val="en-GB" w:eastAsia="en-IN"/>
        </w:rPr>
        <w:t>,</w:t>
      </w:r>
      <w:r w:rsidRPr="0004607E">
        <w:rPr>
          <w:spacing w:val="-2"/>
          <w:kern w:val="22"/>
          <w:sz w:val="22"/>
          <w:szCs w:val="22"/>
          <w:lang w:val="en-GB" w:eastAsia="en-IN"/>
        </w:rPr>
        <w:t xml:space="preserve"> thereby</w:t>
      </w:r>
      <w:r w:rsidR="00A27D8A" w:rsidRPr="0004607E">
        <w:rPr>
          <w:spacing w:val="-2"/>
          <w:kern w:val="22"/>
          <w:sz w:val="22"/>
          <w:szCs w:val="22"/>
          <w:lang w:val="en-GB" w:eastAsia="en-IN"/>
        </w:rPr>
        <w:t>,</w:t>
      </w:r>
      <w:r w:rsidRPr="0004607E">
        <w:rPr>
          <w:spacing w:val="-2"/>
          <w:kern w:val="22"/>
          <w:sz w:val="22"/>
          <w:szCs w:val="22"/>
          <w:lang w:val="en-GB" w:eastAsia="en-IN"/>
        </w:rPr>
        <w:t xml:space="preserve"> higher inflation.</w:t>
      </w:r>
      <w:r w:rsidRPr="0004607E">
        <w:rPr>
          <w:spacing w:val="-2"/>
          <w:kern w:val="22"/>
          <w:sz w:val="22"/>
          <w:szCs w:val="22"/>
          <w:vertAlign w:val="superscript"/>
          <w:lang w:val="en-GB" w:eastAsia="en-IN"/>
        </w:rPr>
        <w:endnoteReference w:id="44"/>
      </w:r>
    </w:p>
    <w:p w14:paraId="19082C18" w14:textId="77777777" w:rsidR="00DF5A71" w:rsidRPr="0004607E" w:rsidRDefault="00DF5A71" w:rsidP="00DF5A71">
      <w:pPr>
        <w:jc w:val="both"/>
        <w:rPr>
          <w:sz w:val="16"/>
          <w:szCs w:val="16"/>
          <w:lang w:val="en-GB" w:eastAsia="en-IN"/>
        </w:rPr>
      </w:pPr>
    </w:p>
    <w:p w14:paraId="69906677" w14:textId="198901F8" w:rsidR="00DF5A71" w:rsidRPr="004D7F49" w:rsidRDefault="00DF5A71" w:rsidP="00DF5A71">
      <w:pPr>
        <w:jc w:val="both"/>
        <w:rPr>
          <w:sz w:val="22"/>
          <w:szCs w:val="22"/>
          <w:lang w:val="en-GB" w:eastAsia="en-IN"/>
        </w:rPr>
      </w:pPr>
      <w:r w:rsidRPr="004D7F49">
        <w:rPr>
          <w:sz w:val="22"/>
          <w:szCs w:val="22"/>
          <w:lang w:val="en-GB" w:eastAsia="en-IN"/>
        </w:rPr>
        <w:t xml:space="preserve">The BoJ, under the new policy framework, committed itself to </w:t>
      </w:r>
      <w:r w:rsidR="00921BD7" w:rsidRPr="004D7F49">
        <w:rPr>
          <w:sz w:val="22"/>
          <w:szCs w:val="22"/>
          <w:lang w:val="en-GB" w:eastAsia="en-IN"/>
        </w:rPr>
        <w:t>us</w:t>
      </w:r>
      <w:r w:rsidR="00D067C2" w:rsidRPr="004D7F49">
        <w:rPr>
          <w:sz w:val="22"/>
          <w:szCs w:val="22"/>
          <w:lang w:val="en-GB" w:eastAsia="en-IN"/>
        </w:rPr>
        <w:t>ing</w:t>
      </w:r>
      <w:r w:rsidR="00921BD7" w:rsidRPr="004D7F49">
        <w:rPr>
          <w:sz w:val="22"/>
          <w:szCs w:val="22"/>
          <w:lang w:val="en-GB" w:eastAsia="en-IN"/>
        </w:rPr>
        <w:t xml:space="preserve"> monetary policy and expand</w:t>
      </w:r>
      <w:r w:rsidR="00D067C2" w:rsidRPr="004D7F49">
        <w:rPr>
          <w:sz w:val="22"/>
          <w:szCs w:val="22"/>
          <w:lang w:val="en-GB" w:eastAsia="en-IN"/>
        </w:rPr>
        <w:t>ing</w:t>
      </w:r>
      <w:r w:rsidR="00921BD7" w:rsidRPr="004D7F49">
        <w:rPr>
          <w:sz w:val="22"/>
          <w:szCs w:val="22"/>
          <w:lang w:val="en-GB" w:eastAsia="en-IN"/>
        </w:rPr>
        <w:t xml:space="preserve"> </w:t>
      </w:r>
      <w:r w:rsidRPr="004D7F49">
        <w:rPr>
          <w:sz w:val="22"/>
          <w:szCs w:val="22"/>
          <w:lang w:val="en-GB" w:eastAsia="en-IN"/>
        </w:rPr>
        <w:t>the monetary base until inflation went above (overshot)</w:t>
      </w:r>
      <w:r w:rsidR="00724588" w:rsidRPr="004D7F49">
        <w:rPr>
          <w:sz w:val="22"/>
          <w:szCs w:val="22"/>
          <w:lang w:val="en-GB" w:eastAsia="en-IN"/>
        </w:rPr>
        <w:t xml:space="preserve"> the </w:t>
      </w:r>
      <w:r w:rsidR="00396B6C">
        <w:rPr>
          <w:sz w:val="22"/>
          <w:szCs w:val="22"/>
          <w:lang w:val="en-GB" w:eastAsia="en-IN"/>
        </w:rPr>
        <w:t>price-stability</w:t>
      </w:r>
      <w:r w:rsidR="00724588" w:rsidRPr="004D7F49">
        <w:rPr>
          <w:sz w:val="22"/>
          <w:szCs w:val="22"/>
          <w:lang w:val="en-GB" w:eastAsia="en-IN"/>
        </w:rPr>
        <w:t xml:space="preserve"> target of </w:t>
      </w:r>
      <w:r w:rsidR="00D067C2" w:rsidRPr="004D7F49">
        <w:rPr>
          <w:sz w:val="22"/>
          <w:szCs w:val="22"/>
          <w:lang w:val="en-GB" w:eastAsia="en-IN"/>
        </w:rPr>
        <w:t>2</w:t>
      </w:r>
      <w:r w:rsidRPr="004D7F49">
        <w:rPr>
          <w:sz w:val="22"/>
          <w:szCs w:val="22"/>
          <w:lang w:val="en-GB" w:eastAsia="en-IN"/>
        </w:rPr>
        <w:t xml:space="preserve"> per</w:t>
      </w:r>
      <w:r w:rsidR="00724588" w:rsidRPr="004D7F49">
        <w:rPr>
          <w:sz w:val="22"/>
          <w:szCs w:val="22"/>
          <w:lang w:val="en-GB" w:eastAsia="en-IN"/>
        </w:rPr>
        <w:t xml:space="preserve"> </w:t>
      </w:r>
      <w:r w:rsidRPr="004D7F49">
        <w:rPr>
          <w:sz w:val="22"/>
          <w:szCs w:val="22"/>
          <w:lang w:val="en-GB" w:eastAsia="en-IN"/>
        </w:rPr>
        <w:t>cent and stayed above this target in a stab</w:t>
      </w:r>
      <w:r w:rsidR="00724588" w:rsidRPr="004D7F49">
        <w:rPr>
          <w:sz w:val="22"/>
          <w:szCs w:val="22"/>
          <w:lang w:val="en-GB" w:eastAsia="en-IN"/>
        </w:rPr>
        <w:t xml:space="preserve">le manner. This was called the </w:t>
      </w:r>
      <w:bookmarkStart w:id="3" w:name="_Hlk525481798"/>
      <w:r w:rsidRPr="004D7F49">
        <w:rPr>
          <w:sz w:val="22"/>
          <w:szCs w:val="22"/>
          <w:lang w:val="en-GB" w:eastAsia="en-IN"/>
        </w:rPr>
        <w:t>in</w:t>
      </w:r>
      <w:r w:rsidR="00724588" w:rsidRPr="004D7F49">
        <w:rPr>
          <w:sz w:val="22"/>
          <w:szCs w:val="22"/>
          <w:lang w:val="en-GB" w:eastAsia="en-IN"/>
        </w:rPr>
        <w:t xml:space="preserve">flation-overshooting </w:t>
      </w:r>
      <w:bookmarkEnd w:id="3"/>
      <w:r w:rsidR="00724588" w:rsidRPr="004D7F49">
        <w:rPr>
          <w:sz w:val="22"/>
          <w:szCs w:val="22"/>
          <w:lang w:val="en-GB" w:eastAsia="en-IN"/>
        </w:rPr>
        <w:t>commitment</w:t>
      </w:r>
      <w:r w:rsidRPr="004D7F49">
        <w:rPr>
          <w:sz w:val="22"/>
          <w:szCs w:val="22"/>
          <w:lang w:val="en-GB" w:eastAsia="en-IN"/>
        </w:rPr>
        <w:t>. Such commitment was meant to influence people’s expected inflation</w:t>
      </w:r>
      <w:r w:rsidR="000839A1" w:rsidRPr="004D7F49">
        <w:rPr>
          <w:sz w:val="22"/>
          <w:szCs w:val="22"/>
          <w:lang w:val="en-GB" w:eastAsia="en-IN"/>
        </w:rPr>
        <w:t>;</w:t>
      </w:r>
      <w:r w:rsidRPr="004D7F49">
        <w:rPr>
          <w:sz w:val="22"/>
          <w:szCs w:val="22"/>
          <w:lang w:val="en-GB" w:eastAsia="en-IN"/>
        </w:rPr>
        <w:t xml:space="preserve"> </w:t>
      </w:r>
      <w:r w:rsidR="000839A1" w:rsidRPr="004D7F49">
        <w:rPr>
          <w:sz w:val="22"/>
          <w:szCs w:val="22"/>
          <w:lang w:val="en-GB" w:eastAsia="en-IN"/>
        </w:rPr>
        <w:t>people</w:t>
      </w:r>
      <w:r w:rsidRPr="004D7F49">
        <w:rPr>
          <w:sz w:val="22"/>
          <w:szCs w:val="22"/>
          <w:lang w:val="en-GB" w:eastAsia="en-IN"/>
        </w:rPr>
        <w:t xml:space="preserve"> would then use such expected (rather than observed) inflation to form their inflationary expectations. The higher expected inflation would then drive up wages</w:t>
      </w:r>
      <w:r w:rsidR="00396B6C">
        <w:rPr>
          <w:sz w:val="22"/>
          <w:szCs w:val="22"/>
          <w:lang w:val="en-GB" w:eastAsia="en-IN"/>
        </w:rPr>
        <w:t xml:space="preserve"> and </w:t>
      </w:r>
      <w:r w:rsidRPr="004D7F49">
        <w:rPr>
          <w:sz w:val="22"/>
          <w:szCs w:val="22"/>
          <w:lang w:val="en-GB" w:eastAsia="en-IN"/>
        </w:rPr>
        <w:t>investments.</w:t>
      </w:r>
      <w:r w:rsidRPr="004D7F49">
        <w:rPr>
          <w:sz w:val="22"/>
          <w:szCs w:val="22"/>
          <w:vertAlign w:val="superscript"/>
          <w:lang w:val="en-GB" w:eastAsia="en-IN"/>
        </w:rPr>
        <w:endnoteReference w:id="45"/>
      </w:r>
    </w:p>
    <w:p w14:paraId="63B7C396" w14:textId="77777777" w:rsidR="00DF5A71" w:rsidRPr="0004607E" w:rsidRDefault="00DF5A71" w:rsidP="00DF5A71">
      <w:pPr>
        <w:jc w:val="both"/>
        <w:rPr>
          <w:sz w:val="16"/>
          <w:szCs w:val="16"/>
          <w:lang w:val="en-GB" w:eastAsia="en-IN"/>
        </w:rPr>
      </w:pPr>
    </w:p>
    <w:p w14:paraId="1BD741F6" w14:textId="77777777" w:rsidR="00DF5A71" w:rsidRPr="0004607E" w:rsidRDefault="00DF5A71" w:rsidP="00DF5A71">
      <w:pPr>
        <w:jc w:val="both"/>
        <w:rPr>
          <w:sz w:val="16"/>
          <w:szCs w:val="16"/>
          <w:lang w:val="en-GB" w:eastAsia="en-IN"/>
        </w:rPr>
      </w:pPr>
    </w:p>
    <w:p w14:paraId="2C0A467F" w14:textId="77777777" w:rsidR="00DF5A71" w:rsidRPr="004D7F49" w:rsidRDefault="00DF5A71" w:rsidP="00263C98">
      <w:pPr>
        <w:jc w:val="both"/>
        <w:outlineLvl w:val="0"/>
        <w:rPr>
          <w:rFonts w:ascii="Arial" w:hAnsi="Arial" w:cs="Arial"/>
          <w:b/>
          <w:lang w:val="en-GB" w:eastAsia="en-IN"/>
        </w:rPr>
      </w:pPr>
      <w:r w:rsidRPr="004D7F49">
        <w:rPr>
          <w:rFonts w:ascii="Arial" w:hAnsi="Arial" w:cs="Arial"/>
          <w:b/>
          <w:lang w:val="en-GB" w:eastAsia="en-IN"/>
        </w:rPr>
        <w:t>THE POLICY OF ACCOMMODATION</w:t>
      </w:r>
    </w:p>
    <w:p w14:paraId="213F3E98" w14:textId="77777777" w:rsidR="00DF5A71" w:rsidRPr="0004607E" w:rsidRDefault="00DF5A71" w:rsidP="00B05762">
      <w:pPr>
        <w:pStyle w:val="BodyTextMain"/>
        <w:rPr>
          <w:sz w:val="16"/>
          <w:szCs w:val="16"/>
          <w:lang w:val="en-GB" w:eastAsia="en-IN"/>
        </w:rPr>
      </w:pPr>
    </w:p>
    <w:p w14:paraId="12511980" w14:textId="381D3806" w:rsidR="00DF5A71" w:rsidRPr="004D7F49" w:rsidRDefault="00DF5A71" w:rsidP="00DF5A71">
      <w:pPr>
        <w:jc w:val="both"/>
        <w:rPr>
          <w:sz w:val="22"/>
          <w:szCs w:val="22"/>
          <w:lang w:val="en-GB" w:eastAsia="en-IN"/>
        </w:rPr>
      </w:pPr>
      <w:r w:rsidRPr="004D7F49">
        <w:rPr>
          <w:sz w:val="22"/>
          <w:szCs w:val="22"/>
          <w:lang w:val="en-GB" w:eastAsia="en-IN"/>
        </w:rPr>
        <w:t xml:space="preserve">A continued policy of monetary easing to tackle the problem of </w:t>
      </w:r>
      <w:r w:rsidR="00724588" w:rsidRPr="004D7F49">
        <w:rPr>
          <w:sz w:val="22"/>
          <w:szCs w:val="22"/>
          <w:lang w:val="en-GB" w:eastAsia="en-IN"/>
        </w:rPr>
        <w:t>z</w:t>
      </w:r>
      <w:r w:rsidRPr="004D7F49">
        <w:rPr>
          <w:sz w:val="22"/>
          <w:szCs w:val="22"/>
          <w:lang w:val="en-GB" w:eastAsia="en-IN"/>
        </w:rPr>
        <w:t xml:space="preserve">ero </w:t>
      </w:r>
      <w:r w:rsidR="00724588" w:rsidRPr="004D7F49">
        <w:rPr>
          <w:sz w:val="22"/>
          <w:szCs w:val="22"/>
          <w:lang w:val="en-GB" w:eastAsia="en-IN"/>
        </w:rPr>
        <w:t>l</w:t>
      </w:r>
      <w:r w:rsidRPr="004D7F49">
        <w:rPr>
          <w:sz w:val="22"/>
          <w:szCs w:val="22"/>
          <w:lang w:val="en-GB" w:eastAsia="en-IN"/>
        </w:rPr>
        <w:t xml:space="preserve">ower </w:t>
      </w:r>
      <w:r w:rsidR="00724588" w:rsidRPr="004D7F49">
        <w:rPr>
          <w:sz w:val="22"/>
          <w:szCs w:val="22"/>
          <w:lang w:val="en-GB" w:eastAsia="en-IN"/>
        </w:rPr>
        <w:t>b</w:t>
      </w:r>
      <w:r w:rsidRPr="004D7F49">
        <w:rPr>
          <w:sz w:val="22"/>
          <w:szCs w:val="22"/>
          <w:lang w:val="en-GB" w:eastAsia="en-IN"/>
        </w:rPr>
        <w:t xml:space="preserve">ound had its own risks. Low interest rates under such a policy framework would mean not only </w:t>
      </w:r>
      <w:r w:rsidR="000839A1" w:rsidRPr="004D7F49">
        <w:rPr>
          <w:sz w:val="22"/>
          <w:szCs w:val="22"/>
          <w:lang w:val="en-GB" w:eastAsia="en-IN"/>
        </w:rPr>
        <w:t>that</w:t>
      </w:r>
      <w:r w:rsidRPr="004D7F49">
        <w:rPr>
          <w:sz w:val="22"/>
          <w:szCs w:val="22"/>
          <w:lang w:val="en-GB" w:eastAsia="en-IN"/>
        </w:rPr>
        <w:t xml:space="preserve"> existing firms </w:t>
      </w:r>
      <w:r w:rsidR="000839A1" w:rsidRPr="004D7F49">
        <w:rPr>
          <w:sz w:val="22"/>
          <w:szCs w:val="22"/>
          <w:lang w:val="en-GB" w:eastAsia="en-IN"/>
        </w:rPr>
        <w:t xml:space="preserve">would </w:t>
      </w:r>
      <w:r w:rsidRPr="004D7F49">
        <w:rPr>
          <w:sz w:val="22"/>
          <w:szCs w:val="22"/>
          <w:lang w:val="en-GB" w:eastAsia="en-IN"/>
        </w:rPr>
        <w:t>undertake inefficient resource allocation but</w:t>
      </w:r>
      <w:r w:rsidR="000839A1" w:rsidRPr="004D7F49">
        <w:rPr>
          <w:sz w:val="22"/>
          <w:szCs w:val="22"/>
          <w:lang w:val="en-GB" w:eastAsia="en-IN"/>
        </w:rPr>
        <w:t xml:space="preserve"> also,</w:t>
      </w:r>
      <w:r w:rsidRPr="004D7F49">
        <w:rPr>
          <w:sz w:val="22"/>
          <w:szCs w:val="22"/>
          <w:lang w:val="en-GB" w:eastAsia="en-IN"/>
        </w:rPr>
        <w:t xml:space="preserve"> more importantly, </w:t>
      </w:r>
      <w:r w:rsidR="000839A1" w:rsidRPr="004D7F49">
        <w:rPr>
          <w:sz w:val="22"/>
          <w:szCs w:val="22"/>
          <w:lang w:val="en-GB" w:eastAsia="en-IN"/>
        </w:rPr>
        <w:t xml:space="preserve">that </w:t>
      </w:r>
      <w:r w:rsidRPr="004D7F49">
        <w:rPr>
          <w:sz w:val="22"/>
          <w:szCs w:val="22"/>
          <w:lang w:val="en-GB" w:eastAsia="en-IN"/>
        </w:rPr>
        <w:t xml:space="preserve">firms with very low productivity could continue to exist and flourish, </w:t>
      </w:r>
      <w:r w:rsidR="000839A1" w:rsidRPr="004D7F49">
        <w:rPr>
          <w:sz w:val="22"/>
          <w:szCs w:val="22"/>
          <w:lang w:val="en-GB" w:eastAsia="en-IN"/>
        </w:rPr>
        <w:t xml:space="preserve">adversely </w:t>
      </w:r>
      <w:r w:rsidRPr="004D7F49">
        <w:rPr>
          <w:sz w:val="22"/>
          <w:szCs w:val="22"/>
          <w:lang w:val="en-GB" w:eastAsia="en-IN"/>
        </w:rPr>
        <w:t>affecting the competitive advantage of the Japanese economy.</w:t>
      </w:r>
      <w:r w:rsidRPr="004D7F49">
        <w:rPr>
          <w:sz w:val="22"/>
          <w:szCs w:val="22"/>
          <w:vertAlign w:val="superscript"/>
          <w:lang w:val="en-GB" w:eastAsia="en-IN"/>
        </w:rPr>
        <w:endnoteReference w:id="46"/>
      </w:r>
      <w:r w:rsidRPr="004D7F49">
        <w:rPr>
          <w:sz w:val="22"/>
          <w:szCs w:val="22"/>
          <w:lang w:val="en-GB" w:eastAsia="en-IN"/>
        </w:rPr>
        <w:t xml:space="preserve"> </w:t>
      </w:r>
    </w:p>
    <w:p w14:paraId="10217430" w14:textId="77777777" w:rsidR="008E2DAD" w:rsidRPr="0004607E" w:rsidRDefault="008E2DAD" w:rsidP="008E2DAD">
      <w:pPr>
        <w:jc w:val="both"/>
        <w:rPr>
          <w:sz w:val="16"/>
          <w:szCs w:val="16"/>
          <w:lang w:val="en-GB" w:eastAsia="en-IN"/>
        </w:rPr>
      </w:pPr>
    </w:p>
    <w:p w14:paraId="4852C79C" w14:textId="1ED0C8EA" w:rsidR="007F3DE6" w:rsidRPr="004D7F49" w:rsidRDefault="008E2DAD" w:rsidP="00DF5A71">
      <w:pPr>
        <w:jc w:val="both"/>
        <w:rPr>
          <w:sz w:val="22"/>
          <w:szCs w:val="22"/>
          <w:lang w:val="en-GB" w:eastAsia="en-IN"/>
        </w:rPr>
      </w:pPr>
      <w:r w:rsidRPr="004D7F49">
        <w:rPr>
          <w:sz w:val="22"/>
          <w:szCs w:val="22"/>
          <w:lang w:val="en-GB" w:eastAsia="en-IN"/>
        </w:rPr>
        <w:t xml:space="preserve">The BOJ’s large-scale purchases of ETFs could create </w:t>
      </w:r>
      <w:r w:rsidR="004B40E6" w:rsidRPr="004D7F49">
        <w:rPr>
          <w:sz w:val="22"/>
          <w:szCs w:val="22"/>
          <w:lang w:val="en-GB" w:eastAsia="en-IN"/>
        </w:rPr>
        <w:t>s</w:t>
      </w:r>
      <w:r w:rsidR="00E16371" w:rsidRPr="004D7F49">
        <w:rPr>
          <w:sz w:val="22"/>
          <w:szCs w:val="22"/>
          <w:lang w:val="en-GB" w:eastAsia="en-IN"/>
        </w:rPr>
        <w:t>tock market bubbles</w:t>
      </w:r>
      <w:r w:rsidR="00E11BE0" w:rsidRPr="004D7F49">
        <w:rPr>
          <w:sz w:val="22"/>
          <w:szCs w:val="22"/>
          <w:lang w:val="en-GB" w:eastAsia="en-IN"/>
        </w:rPr>
        <w:t>, which would not reflect</w:t>
      </w:r>
      <w:r w:rsidR="00E16371" w:rsidRPr="004D7F49">
        <w:rPr>
          <w:sz w:val="22"/>
          <w:szCs w:val="22"/>
          <w:lang w:val="en-GB" w:eastAsia="en-IN"/>
        </w:rPr>
        <w:t xml:space="preserve"> the</w:t>
      </w:r>
      <w:r w:rsidRPr="004D7F49">
        <w:rPr>
          <w:sz w:val="22"/>
          <w:szCs w:val="22"/>
          <w:lang w:val="en-GB" w:eastAsia="en-IN"/>
        </w:rPr>
        <w:t xml:space="preserve"> </w:t>
      </w:r>
      <w:r w:rsidR="00E11BE0" w:rsidRPr="004D7F49">
        <w:rPr>
          <w:sz w:val="22"/>
          <w:szCs w:val="22"/>
          <w:lang w:val="en-GB" w:eastAsia="en-IN"/>
        </w:rPr>
        <w:t xml:space="preserve">true </w:t>
      </w:r>
      <w:r w:rsidRPr="004D7F49">
        <w:rPr>
          <w:sz w:val="22"/>
          <w:szCs w:val="22"/>
          <w:lang w:val="en-GB" w:eastAsia="en-IN"/>
        </w:rPr>
        <w:t>performance of</w:t>
      </w:r>
      <w:r w:rsidR="00E16371" w:rsidRPr="004D7F49">
        <w:rPr>
          <w:sz w:val="22"/>
          <w:szCs w:val="22"/>
          <w:lang w:val="en-GB" w:eastAsia="en-IN"/>
        </w:rPr>
        <w:t xml:space="preserve"> the economy or that of</w:t>
      </w:r>
      <w:r w:rsidRPr="004D7F49">
        <w:rPr>
          <w:sz w:val="22"/>
          <w:szCs w:val="22"/>
          <w:lang w:val="en-GB" w:eastAsia="en-IN"/>
        </w:rPr>
        <w:t xml:space="preserve"> ind</w:t>
      </w:r>
      <w:r w:rsidR="00E16371" w:rsidRPr="004D7F49">
        <w:rPr>
          <w:sz w:val="22"/>
          <w:szCs w:val="22"/>
          <w:lang w:val="en-GB" w:eastAsia="en-IN"/>
        </w:rPr>
        <w:t>ividual companies. Such purchases also carried potential governance risks for these companies</w:t>
      </w:r>
      <w:r w:rsidR="000839A1" w:rsidRPr="004D7F49">
        <w:rPr>
          <w:sz w:val="22"/>
          <w:szCs w:val="22"/>
          <w:lang w:val="en-GB" w:eastAsia="en-IN"/>
        </w:rPr>
        <w:t>,</w:t>
      </w:r>
      <w:r w:rsidR="00E16371" w:rsidRPr="004D7F49">
        <w:rPr>
          <w:sz w:val="22"/>
          <w:szCs w:val="22"/>
          <w:lang w:val="en-GB" w:eastAsia="en-IN"/>
        </w:rPr>
        <w:t xml:space="preserve"> as the</w:t>
      </w:r>
      <w:r w:rsidRPr="004D7F49">
        <w:rPr>
          <w:sz w:val="22"/>
          <w:szCs w:val="22"/>
          <w:lang w:val="en-GB" w:eastAsia="en-IN"/>
        </w:rPr>
        <w:t xml:space="preserve"> central bank </w:t>
      </w:r>
      <w:r w:rsidR="00E16371" w:rsidRPr="004D7F49">
        <w:rPr>
          <w:sz w:val="22"/>
          <w:szCs w:val="22"/>
          <w:lang w:val="en-GB" w:eastAsia="en-IN"/>
        </w:rPr>
        <w:t xml:space="preserve">turned </w:t>
      </w:r>
      <w:r w:rsidRPr="004D7F49">
        <w:rPr>
          <w:sz w:val="22"/>
          <w:szCs w:val="22"/>
          <w:lang w:val="en-GB" w:eastAsia="en-IN"/>
        </w:rPr>
        <w:t>into a major shareholder in</w:t>
      </w:r>
      <w:r w:rsidR="00E16371" w:rsidRPr="004D7F49">
        <w:rPr>
          <w:sz w:val="22"/>
          <w:szCs w:val="22"/>
          <w:lang w:val="en-GB" w:eastAsia="en-IN"/>
        </w:rPr>
        <w:t xml:space="preserve"> these companies</w:t>
      </w:r>
      <w:r w:rsidRPr="004D7F49">
        <w:rPr>
          <w:sz w:val="22"/>
          <w:szCs w:val="22"/>
          <w:lang w:val="en-GB" w:eastAsia="en-IN"/>
        </w:rPr>
        <w:t>.</w:t>
      </w:r>
      <w:r w:rsidR="00E16371" w:rsidRPr="004D7F49">
        <w:rPr>
          <w:rStyle w:val="EndnoteReference"/>
          <w:sz w:val="22"/>
          <w:szCs w:val="22"/>
          <w:lang w:val="en-GB" w:eastAsia="en-IN"/>
        </w:rPr>
        <w:endnoteReference w:id="47"/>
      </w:r>
      <w:r w:rsidR="00724588" w:rsidRPr="004D7F49">
        <w:rPr>
          <w:sz w:val="22"/>
          <w:szCs w:val="22"/>
          <w:lang w:val="en-GB" w:eastAsia="en-IN"/>
        </w:rPr>
        <w:t xml:space="preserve"> </w:t>
      </w:r>
      <w:r w:rsidR="009620D3" w:rsidRPr="004D7F49">
        <w:rPr>
          <w:sz w:val="22"/>
          <w:szCs w:val="22"/>
          <w:lang w:val="en-GB" w:eastAsia="en-IN"/>
        </w:rPr>
        <w:t>Low interest rates could also lower savings rates</w:t>
      </w:r>
      <w:r w:rsidR="00A37FE1" w:rsidRPr="004D7F49">
        <w:rPr>
          <w:sz w:val="22"/>
          <w:szCs w:val="22"/>
          <w:lang w:val="en-GB" w:eastAsia="en-IN"/>
        </w:rPr>
        <w:t xml:space="preserve"> through negative real returns, thereby exacerbat</w:t>
      </w:r>
      <w:r w:rsidR="000839A1" w:rsidRPr="004D7F49">
        <w:rPr>
          <w:sz w:val="22"/>
          <w:szCs w:val="22"/>
          <w:lang w:val="en-GB" w:eastAsia="en-IN"/>
        </w:rPr>
        <w:t>ing</w:t>
      </w:r>
      <w:r w:rsidR="00A37FE1" w:rsidRPr="004D7F49">
        <w:rPr>
          <w:sz w:val="22"/>
          <w:szCs w:val="22"/>
          <w:lang w:val="en-GB" w:eastAsia="en-IN"/>
        </w:rPr>
        <w:t xml:space="preserve"> the social divide and </w:t>
      </w:r>
      <w:r w:rsidR="007F3DE6" w:rsidRPr="004D7F49">
        <w:rPr>
          <w:sz w:val="22"/>
          <w:szCs w:val="22"/>
          <w:lang w:val="en-GB" w:eastAsia="en-IN"/>
        </w:rPr>
        <w:t>discontent.</w:t>
      </w:r>
      <w:r w:rsidR="00A551D6" w:rsidRPr="004D7F49">
        <w:rPr>
          <w:rStyle w:val="EndnoteReference"/>
          <w:sz w:val="22"/>
          <w:szCs w:val="22"/>
          <w:lang w:val="en-GB" w:eastAsia="en-IN"/>
        </w:rPr>
        <w:endnoteReference w:id="48"/>
      </w:r>
      <w:r w:rsidR="00A551D6" w:rsidRPr="004D7F49">
        <w:rPr>
          <w:sz w:val="22"/>
          <w:szCs w:val="22"/>
          <w:lang w:val="en-GB" w:eastAsia="en-IN"/>
        </w:rPr>
        <w:t xml:space="preserve"> </w:t>
      </w:r>
    </w:p>
    <w:p w14:paraId="7ABABE96" w14:textId="77777777" w:rsidR="000839A1" w:rsidRPr="0004607E" w:rsidRDefault="000839A1" w:rsidP="00DF5A71">
      <w:pPr>
        <w:jc w:val="both"/>
        <w:rPr>
          <w:sz w:val="16"/>
          <w:szCs w:val="16"/>
          <w:lang w:val="en-GB" w:eastAsia="en-IN"/>
        </w:rPr>
      </w:pPr>
    </w:p>
    <w:p w14:paraId="585997CC" w14:textId="53FB091B" w:rsidR="00A551D6" w:rsidRPr="004D7F49" w:rsidRDefault="00DF5A71" w:rsidP="00DF5A71">
      <w:pPr>
        <w:jc w:val="both"/>
        <w:rPr>
          <w:sz w:val="22"/>
          <w:szCs w:val="22"/>
          <w:lang w:val="en-GB" w:eastAsia="en-IN"/>
        </w:rPr>
      </w:pPr>
      <w:r w:rsidRPr="004D7F49">
        <w:rPr>
          <w:sz w:val="22"/>
          <w:szCs w:val="22"/>
          <w:lang w:val="en-GB" w:eastAsia="en-IN"/>
        </w:rPr>
        <w:t xml:space="preserve">A </w:t>
      </w:r>
      <w:r w:rsidR="009620D3" w:rsidRPr="004D7F49">
        <w:rPr>
          <w:sz w:val="22"/>
          <w:szCs w:val="22"/>
          <w:lang w:val="en-GB" w:eastAsia="en-IN"/>
        </w:rPr>
        <w:t>major</w:t>
      </w:r>
      <w:r w:rsidRPr="004D7F49">
        <w:rPr>
          <w:sz w:val="22"/>
          <w:szCs w:val="22"/>
          <w:lang w:val="en-GB" w:eastAsia="en-IN"/>
        </w:rPr>
        <w:t xml:space="preserve"> risk of such monetary easing was its impact on fiscal discipline and fiscal sustainability</w:t>
      </w:r>
      <w:r w:rsidR="00E44883" w:rsidRPr="004D7F49">
        <w:rPr>
          <w:sz w:val="22"/>
          <w:szCs w:val="22"/>
          <w:lang w:val="en-GB" w:eastAsia="en-IN"/>
        </w:rPr>
        <w:t>,</w:t>
      </w:r>
      <w:r w:rsidRPr="004D7F49">
        <w:rPr>
          <w:sz w:val="22"/>
          <w:szCs w:val="22"/>
          <w:lang w:val="en-GB" w:eastAsia="en-IN"/>
        </w:rPr>
        <w:t xml:space="preserve"> </w:t>
      </w:r>
      <w:r w:rsidR="000D46B6">
        <w:rPr>
          <w:sz w:val="22"/>
          <w:szCs w:val="22"/>
          <w:lang w:val="en-GB" w:eastAsia="en-IN"/>
        </w:rPr>
        <w:t>as</w:t>
      </w:r>
      <w:r w:rsidR="000D46B6" w:rsidRPr="004D7F49">
        <w:rPr>
          <w:sz w:val="22"/>
          <w:szCs w:val="22"/>
          <w:lang w:val="en-GB" w:eastAsia="en-IN"/>
        </w:rPr>
        <w:t xml:space="preserve"> </w:t>
      </w:r>
      <w:r w:rsidRPr="004D7F49">
        <w:rPr>
          <w:sz w:val="22"/>
          <w:szCs w:val="22"/>
          <w:lang w:val="en-GB" w:eastAsia="en-IN"/>
        </w:rPr>
        <w:t>the government could raise debt at low interest rates</w:t>
      </w:r>
      <w:r w:rsidR="007F3DE6" w:rsidRPr="004D7F49">
        <w:rPr>
          <w:sz w:val="22"/>
          <w:szCs w:val="22"/>
          <w:lang w:val="en-GB" w:eastAsia="en-IN"/>
        </w:rPr>
        <w:t xml:space="preserve"> with</w:t>
      </w:r>
      <w:r w:rsidR="00457B2E" w:rsidRPr="004D7F49">
        <w:rPr>
          <w:sz w:val="22"/>
          <w:szCs w:val="22"/>
          <w:lang w:val="en-GB" w:eastAsia="en-IN"/>
        </w:rPr>
        <w:t xml:space="preserve"> no incentive</w:t>
      </w:r>
      <w:r w:rsidR="007F3DE6" w:rsidRPr="004D7F49">
        <w:rPr>
          <w:sz w:val="22"/>
          <w:szCs w:val="22"/>
          <w:lang w:val="en-GB" w:eastAsia="en-IN"/>
        </w:rPr>
        <w:t>s</w:t>
      </w:r>
      <w:r w:rsidR="00457B2E" w:rsidRPr="004D7F49">
        <w:rPr>
          <w:sz w:val="22"/>
          <w:szCs w:val="22"/>
          <w:lang w:val="en-GB" w:eastAsia="en-IN"/>
        </w:rPr>
        <w:t xml:space="preserve"> to exercise fiscal discipline</w:t>
      </w:r>
      <w:r w:rsidRPr="004D7F49">
        <w:rPr>
          <w:sz w:val="22"/>
          <w:szCs w:val="22"/>
          <w:lang w:val="en-GB" w:eastAsia="en-IN"/>
        </w:rPr>
        <w:t>.</w:t>
      </w:r>
      <w:r w:rsidRPr="004D7F49">
        <w:rPr>
          <w:sz w:val="22"/>
          <w:szCs w:val="22"/>
          <w:vertAlign w:val="superscript"/>
          <w:lang w:val="en-GB" w:eastAsia="en-IN"/>
        </w:rPr>
        <w:endnoteReference w:id="49"/>
      </w:r>
      <w:r w:rsidRPr="004D7F49">
        <w:rPr>
          <w:sz w:val="22"/>
          <w:szCs w:val="22"/>
          <w:lang w:val="en-GB" w:eastAsia="en-IN"/>
        </w:rPr>
        <w:t xml:space="preserve"> </w:t>
      </w:r>
      <w:r w:rsidR="00A37FE1" w:rsidRPr="004D7F49">
        <w:rPr>
          <w:sz w:val="22"/>
          <w:szCs w:val="22"/>
          <w:lang w:val="en-GB" w:eastAsia="en-IN"/>
        </w:rPr>
        <w:t xml:space="preserve">Paradoxically, it was </w:t>
      </w:r>
      <w:r w:rsidR="005022AC" w:rsidRPr="004D7F49">
        <w:rPr>
          <w:sz w:val="22"/>
          <w:szCs w:val="22"/>
          <w:lang w:val="en-GB" w:eastAsia="en-IN"/>
        </w:rPr>
        <w:t>Prime M</w:t>
      </w:r>
      <w:r w:rsidR="003932D3" w:rsidRPr="004D7F49">
        <w:rPr>
          <w:sz w:val="22"/>
          <w:szCs w:val="22"/>
          <w:lang w:val="en-GB" w:eastAsia="en-IN"/>
        </w:rPr>
        <w:t xml:space="preserve">inister </w:t>
      </w:r>
      <w:r w:rsidR="00A37FE1" w:rsidRPr="004D7F49">
        <w:rPr>
          <w:sz w:val="22"/>
          <w:szCs w:val="22"/>
          <w:lang w:val="en-GB" w:eastAsia="en-IN"/>
        </w:rPr>
        <w:t>Abe’</w:t>
      </w:r>
      <w:r w:rsidR="003932D3" w:rsidRPr="004D7F49">
        <w:rPr>
          <w:sz w:val="22"/>
          <w:szCs w:val="22"/>
          <w:lang w:val="en-GB" w:eastAsia="en-IN"/>
        </w:rPr>
        <w:t xml:space="preserve">s </w:t>
      </w:r>
      <w:r w:rsidR="00A37FE1" w:rsidRPr="004D7F49">
        <w:rPr>
          <w:sz w:val="22"/>
          <w:szCs w:val="22"/>
          <w:lang w:val="en-GB" w:eastAsia="en-IN"/>
        </w:rPr>
        <w:t xml:space="preserve">attempts at fiscal consolidation through consumption tax hikes in 2014 and the consequent drop in GDP growth rate </w:t>
      </w:r>
      <w:r w:rsidR="00E44883" w:rsidRPr="004D7F49">
        <w:rPr>
          <w:sz w:val="22"/>
          <w:szCs w:val="22"/>
          <w:lang w:val="en-GB" w:eastAsia="en-IN"/>
        </w:rPr>
        <w:t>that</w:t>
      </w:r>
      <w:r w:rsidR="00A37FE1" w:rsidRPr="004D7F49">
        <w:rPr>
          <w:sz w:val="22"/>
          <w:szCs w:val="22"/>
          <w:lang w:val="en-GB" w:eastAsia="en-IN"/>
        </w:rPr>
        <w:t xml:space="preserve"> had formed the basis of successive rounds of monetary easing. Such monetary easing</w:t>
      </w:r>
      <w:r w:rsidR="007F3DE6" w:rsidRPr="004D7F49">
        <w:rPr>
          <w:sz w:val="22"/>
          <w:szCs w:val="22"/>
          <w:lang w:val="en-GB" w:eastAsia="en-IN"/>
        </w:rPr>
        <w:t xml:space="preserve"> was als</w:t>
      </w:r>
      <w:r w:rsidR="00991603" w:rsidRPr="004D7F49">
        <w:rPr>
          <w:sz w:val="22"/>
          <w:szCs w:val="22"/>
          <w:lang w:val="en-GB" w:eastAsia="en-IN"/>
        </w:rPr>
        <w:t>o required to facilitate Abe’s “second arrow</w:t>
      </w:r>
      <w:r w:rsidR="007F3DE6" w:rsidRPr="004D7F49">
        <w:rPr>
          <w:sz w:val="22"/>
          <w:szCs w:val="22"/>
          <w:lang w:val="en-GB" w:eastAsia="en-IN"/>
        </w:rPr>
        <w:t>,</w:t>
      </w:r>
      <w:r w:rsidR="00991603" w:rsidRPr="004D7F49">
        <w:rPr>
          <w:sz w:val="22"/>
          <w:szCs w:val="22"/>
          <w:lang w:val="en-GB" w:eastAsia="en-IN"/>
        </w:rPr>
        <w:t>”</w:t>
      </w:r>
      <w:r w:rsidR="007F3DE6" w:rsidRPr="004D7F49">
        <w:rPr>
          <w:sz w:val="22"/>
          <w:szCs w:val="22"/>
          <w:lang w:val="en-GB" w:eastAsia="en-IN"/>
        </w:rPr>
        <w:t xml:space="preserve"> namely the </w:t>
      </w:r>
      <w:r w:rsidR="007F3DE6" w:rsidRPr="004D7F49">
        <w:rPr>
          <w:sz w:val="22"/>
          <w:szCs w:val="22"/>
          <w:lang w:val="en-GB" w:eastAsia="en-IN"/>
        </w:rPr>
        <w:lastRenderedPageBreak/>
        <w:t>fiscal stimulus. Thus, since 20</w:t>
      </w:r>
      <w:r w:rsidR="005022AC" w:rsidRPr="004D7F49">
        <w:rPr>
          <w:sz w:val="22"/>
          <w:szCs w:val="22"/>
          <w:lang w:val="en-GB" w:eastAsia="en-IN"/>
        </w:rPr>
        <w:t xml:space="preserve">14, not only </w:t>
      </w:r>
      <w:r w:rsidR="00E44883" w:rsidRPr="004D7F49">
        <w:rPr>
          <w:sz w:val="22"/>
          <w:szCs w:val="22"/>
          <w:lang w:val="en-GB" w:eastAsia="en-IN"/>
        </w:rPr>
        <w:t>had</w:t>
      </w:r>
      <w:r w:rsidR="005022AC" w:rsidRPr="004D7F49">
        <w:rPr>
          <w:sz w:val="22"/>
          <w:szCs w:val="22"/>
          <w:lang w:val="en-GB" w:eastAsia="en-IN"/>
        </w:rPr>
        <w:t xml:space="preserve"> </w:t>
      </w:r>
      <w:r w:rsidR="007F3DE6" w:rsidRPr="004D7F49">
        <w:rPr>
          <w:sz w:val="22"/>
          <w:szCs w:val="22"/>
          <w:lang w:val="en-GB" w:eastAsia="en-IN"/>
        </w:rPr>
        <w:t>Abe postpone</w:t>
      </w:r>
      <w:r w:rsidR="00E44883" w:rsidRPr="004D7F49">
        <w:rPr>
          <w:sz w:val="22"/>
          <w:szCs w:val="22"/>
          <w:lang w:val="en-GB" w:eastAsia="en-IN"/>
        </w:rPr>
        <w:t>d</w:t>
      </w:r>
      <w:r w:rsidR="007F3DE6" w:rsidRPr="004D7F49">
        <w:rPr>
          <w:sz w:val="22"/>
          <w:szCs w:val="22"/>
          <w:lang w:val="en-GB" w:eastAsia="en-IN"/>
        </w:rPr>
        <w:t xml:space="preserve"> the earlier proposed hike in consumption</w:t>
      </w:r>
      <w:r w:rsidR="00A37FE1" w:rsidRPr="004D7F49">
        <w:rPr>
          <w:sz w:val="22"/>
          <w:szCs w:val="22"/>
          <w:lang w:val="en-GB" w:eastAsia="en-IN"/>
        </w:rPr>
        <w:t xml:space="preserve"> </w:t>
      </w:r>
      <w:r w:rsidR="007F3DE6" w:rsidRPr="004D7F49">
        <w:rPr>
          <w:sz w:val="22"/>
          <w:szCs w:val="22"/>
          <w:lang w:val="en-GB" w:eastAsia="en-IN"/>
        </w:rPr>
        <w:t xml:space="preserve">tax, </w:t>
      </w:r>
      <w:r w:rsidR="005022AC" w:rsidRPr="004D7F49">
        <w:rPr>
          <w:sz w:val="22"/>
          <w:szCs w:val="22"/>
          <w:lang w:val="en-GB" w:eastAsia="en-IN"/>
        </w:rPr>
        <w:t>his</w:t>
      </w:r>
      <w:r w:rsidR="007F3DE6" w:rsidRPr="004D7F49">
        <w:rPr>
          <w:sz w:val="22"/>
          <w:szCs w:val="22"/>
          <w:lang w:val="en-GB" w:eastAsia="en-IN"/>
        </w:rPr>
        <w:t xml:space="preserve"> government </w:t>
      </w:r>
      <w:r w:rsidR="00E44883" w:rsidRPr="004D7F49">
        <w:rPr>
          <w:sz w:val="22"/>
          <w:szCs w:val="22"/>
          <w:lang w:val="en-GB" w:eastAsia="en-IN"/>
        </w:rPr>
        <w:t xml:space="preserve">had </w:t>
      </w:r>
      <w:r w:rsidR="007F3DE6" w:rsidRPr="004D7F49">
        <w:rPr>
          <w:sz w:val="22"/>
          <w:szCs w:val="22"/>
          <w:lang w:val="en-GB" w:eastAsia="en-IN"/>
        </w:rPr>
        <w:t xml:space="preserve">also announced a huge fiscal stimulus package of </w:t>
      </w:r>
      <w:r w:rsidR="00E44883" w:rsidRPr="004D7F49">
        <w:rPr>
          <w:rFonts w:eastAsia="Calibri"/>
          <w:sz w:val="22"/>
          <w:szCs w:val="22"/>
          <w:lang w:val="en-GB"/>
        </w:rPr>
        <w:t>¥</w:t>
      </w:r>
      <w:r w:rsidR="007F3DE6" w:rsidRPr="004D7F49">
        <w:rPr>
          <w:sz w:val="22"/>
          <w:szCs w:val="22"/>
          <w:lang w:val="en-GB" w:eastAsia="en-IN"/>
        </w:rPr>
        <w:t>13.5 trillion in 2016.</w:t>
      </w:r>
      <w:r w:rsidR="005022AC" w:rsidRPr="004D7F49">
        <w:rPr>
          <w:rStyle w:val="EndnoteReference"/>
          <w:sz w:val="22"/>
          <w:szCs w:val="22"/>
          <w:lang w:val="en-GB" w:eastAsia="en-IN"/>
        </w:rPr>
        <w:endnoteReference w:id="50"/>
      </w:r>
      <w:r w:rsidR="007F3DE6" w:rsidRPr="004D7F49">
        <w:rPr>
          <w:sz w:val="22"/>
          <w:szCs w:val="22"/>
          <w:lang w:val="en-GB" w:eastAsia="en-IN"/>
        </w:rPr>
        <w:t xml:space="preserve"> </w:t>
      </w:r>
    </w:p>
    <w:p w14:paraId="23A559EA" w14:textId="77777777" w:rsidR="00E11BE0" w:rsidRPr="0004607E" w:rsidRDefault="00E11BE0" w:rsidP="00DF5A71">
      <w:pPr>
        <w:jc w:val="both"/>
        <w:rPr>
          <w:sz w:val="16"/>
          <w:szCs w:val="16"/>
          <w:lang w:val="en-GB" w:eastAsia="en-IN"/>
        </w:rPr>
      </w:pPr>
    </w:p>
    <w:p w14:paraId="18CA6C72" w14:textId="60994339" w:rsidR="00DF5A71" w:rsidRDefault="005022AC" w:rsidP="00DF5A71">
      <w:pPr>
        <w:jc w:val="both"/>
        <w:rPr>
          <w:sz w:val="22"/>
          <w:szCs w:val="22"/>
          <w:lang w:val="en-GB" w:eastAsia="en-IN"/>
        </w:rPr>
      </w:pPr>
      <w:r w:rsidRPr="004D7F49">
        <w:rPr>
          <w:sz w:val="22"/>
          <w:szCs w:val="22"/>
          <w:lang w:val="en-GB" w:eastAsia="en-IN"/>
        </w:rPr>
        <w:t>E</w:t>
      </w:r>
      <w:r w:rsidR="00DF5A71" w:rsidRPr="004D7F49">
        <w:rPr>
          <w:sz w:val="22"/>
          <w:szCs w:val="22"/>
          <w:lang w:val="en-GB" w:eastAsia="en-IN"/>
        </w:rPr>
        <w:t xml:space="preserve">stimates of government debt indicated that </w:t>
      </w:r>
      <w:r w:rsidR="00A551D6" w:rsidRPr="004D7F49">
        <w:rPr>
          <w:sz w:val="22"/>
          <w:szCs w:val="22"/>
          <w:lang w:val="en-GB" w:eastAsia="en-IN"/>
        </w:rPr>
        <w:t>in</w:t>
      </w:r>
      <w:r w:rsidR="00DF5A71" w:rsidRPr="004D7F49">
        <w:rPr>
          <w:sz w:val="22"/>
          <w:szCs w:val="22"/>
          <w:lang w:val="en-GB" w:eastAsia="en-IN"/>
        </w:rPr>
        <w:t xml:space="preserve"> September 2017, the Japanese general government owed a total of </w:t>
      </w:r>
      <w:r w:rsidR="00E44883" w:rsidRPr="004D7F49">
        <w:rPr>
          <w:rFonts w:eastAsia="Calibri"/>
          <w:sz w:val="22"/>
          <w:szCs w:val="22"/>
          <w:lang w:val="en-GB"/>
        </w:rPr>
        <w:t>¥</w:t>
      </w:r>
      <w:r w:rsidR="00DF5A71" w:rsidRPr="004D7F49">
        <w:rPr>
          <w:sz w:val="22"/>
          <w:szCs w:val="22"/>
          <w:lang w:val="en-GB" w:eastAsia="en-IN"/>
        </w:rPr>
        <w:t>1</w:t>
      </w:r>
      <w:r w:rsidR="00E44883" w:rsidRPr="004D7F49">
        <w:rPr>
          <w:sz w:val="22"/>
          <w:szCs w:val="22"/>
          <w:lang w:val="en-GB" w:eastAsia="en-IN"/>
        </w:rPr>
        <w:t>,</w:t>
      </w:r>
      <w:r w:rsidR="00DF5A71" w:rsidRPr="004D7F49">
        <w:rPr>
          <w:sz w:val="22"/>
          <w:szCs w:val="22"/>
          <w:lang w:val="en-GB" w:eastAsia="en-IN"/>
        </w:rPr>
        <w:t xml:space="preserve">276.2 trillion in liability, equivalent to 232.4 per cent of </w:t>
      </w:r>
      <w:r w:rsidR="00E44883" w:rsidRPr="004D7F49">
        <w:rPr>
          <w:sz w:val="22"/>
          <w:szCs w:val="22"/>
          <w:lang w:val="en-GB" w:eastAsia="en-IN"/>
        </w:rPr>
        <w:t xml:space="preserve">the </w:t>
      </w:r>
      <w:r w:rsidR="00DF5A71" w:rsidRPr="004D7F49">
        <w:rPr>
          <w:sz w:val="22"/>
          <w:szCs w:val="22"/>
          <w:lang w:val="en-GB" w:eastAsia="en-IN"/>
        </w:rPr>
        <w:t>GDP</w:t>
      </w:r>
      <w:r w:rsidR="00E44883" w:rsidRPr="004D7F49">
        <w:rPr>
          <w:sz w:val="22"/>
          <w:szCs w:val="22"/>
          <w:lang w:val="en-GB" w:eastAsia="en-IN"/>
        </w:rPr>
        <w:t>—</w:t>
      </w:r>
      <w:r w:rsidR="00DF5A71" w:rsidRPr="004D7F49">
        <w:rPr>
          <w:sz w:val="22"/>
          <w:szCs w:val="22"/>
          <w:lang w:val="en-GB" w:eastAsia="en-IN"/>
        </w:rPr>
        <w:t xml:space="preserve">the highest among developed economies. These liabilities included </w:t>
      </w:r>
      <w:r w:rsidR="00E44883" w:rsidRPr="004D7F49">
        <w:rPr>
          <w:rFonts w:eastAsia="Calibri"/>
          <w:sz w:val="22"/>
          <w:szCs w:val="22"/>
          <w:lang w:val="en-GB"/>
        </w:rPr>
        <w:t>¥</w:t>
      </w:r>
      <w:r w:rsidR="00DF5A71" w:rsidRPr="004D7F49">
        <w:rPr>
          <w:sz w:val="22"/>
          <w:szCs w:val="22"/>
          <w:lang w:val="en-GB" w:eastAsia="en-IN"/>
        </w:rPr>
        <w:t xml:space="preserve">878 trillion </w:t>
      </w:r>
      <w:r w:rsidR="00724588" w:rsidRPr="004D7F49">
        <w:rPr>
          <w:sz w:val="22"/>
          <w:szCs w:val="22"/>
          <w:lang w:val="en-GB" w:eastAsia="en-IN"/>
        </w:rPr>
        <w:t xml:space="preserve">of JGBs, </w:t>
      </w:r>
      <w:r w:rsidR="00E44883" w:rsidRPr="004D7F49">
        <w:rPr>
          <w:rFonts w:eastAsia="Calibri"/>
          <w:sz w:val="22"/>
          <w:szCs w:val="22"/>
          <w:lang w:val="en-GB"/>
        </w:rPr>
        <w:t>¥</w:t>
      </w:r>
      <w:r w:rsidR="00724588" w:rsidRPr="004D7F49">
        <w:rPr>
          <w:sz w:val="22"/>
          <w:szCs w:val="22"/>
          <w:lang w:val="en-GB" w:eastAsia="en-IN"/>
        </w:rPr>
        <w:t>108.5 trillion of t</w:t>
      </w:r>
      <w:r w:rsidR="00DF5A71" w:rsidRPr="004D7F49">
        <w:rPr>
          <w:sz w:val="22"/>
          <w:szCs w:val="22"/>
          <w:lang w:val="en-GB" w:eastAsia="en-IN"/>
        </w:rPr>
        <w:t>reasury</w:t>
      </w:r>
      <w:r w:rsidR="00E44883" w:rsidRPr="004D7F49">
        <w:rPr>
          <w:sz w:val="22"/>
          <w:szCs w:val="22"/>
          <w:lang w:val="en-GB" w:eastAsia="en-IN"/>
        </w:rPr>
        <w:t xml:space="preserve"> </w:t>
      </w:r>
      <w:r w:rsidR="00DF5A71" w:rsidRPr="004D7F49">
        <w:rPr>
          <w:sz w:val="22"/>
          <w:szCs w:val="22"/>
          <w:lang w:val="en-GB" w:eastAsia="en-IN"/>
        </w:rPr>
        <w:t>bills</w:t>
      </w:r>
      <w:r w:rsidR="00E44883" w:rsidRPr="004D7F49">
        <w:rPr>
          <w:sz w:val="22"/>
          <w:szCs w:val="22"/>
          <w:lang w:val="en-GB" w:eastAsia="en-IN"/>
        </w:rPr>
        <w:t>,</w:t>
      </w:r>
      <w:r w:rsidR="00DF5A71" w:rsidRPr="004D7F49">
        <w:rPr>
          <w:sz w:val="22"/>
          <w:szCs w:val="22"/>
          <w:lang w:val="en-GB" w:eastAsia="en-IN"/>
        </w:rPr>
        <w:t xml:space="preserve"> and </w:t>
      </w:r>
      <w:r w:rsidR="00E44883" w:rsidRPr="004D7F49">
        <w:rPr>
          <w:rFonts w:eastAsia="Calibri"/>
          <w:sz w:val="22"/>
          <w:szCs w:val="22"/>
          <w:lang w:val="en-GB"/>
        </w:rPr>
        <w:t>¥</w:t>
      </w:r>
      <w:r w:rsidR="00DF5A71" w:rsidRPr="004D7F49">
        <w:rPr>
          <w:sz w:val="22"/>
          <w:szCs w:val="22"/>
          <w:lang w:val="en-GB" w:eastAsia="en-IN"/>
        </w:rPr>
        <w:t>154.3 trillion of loans.</w:t>
      </w:r>
      <w:r w:rsidR="00DF5A71" w:rsidRPr="004D7F49">
        <w:rPr>
          <w:sz w:val="22"/>
          <w:szCs w:val="22"/>
          <w:vertAlign w:val="superscript"/>
          <w:lang w:val="en-GB" w:eastAsia="en-IN"/>
        </w:rPr>
        <w:endnoteReference w:id="51"/>
      </w:r>
      <w:r w:rsidR="00DF5A71" w:rsidRPr="004D7F49">
        <w:rPr>
          <w:sz w:val="22"/>
          <w:szCs w:val="22"/>
          <w:lang w:val="en-GB" w:eastAsia="en-IN"/>
        </w:rPr>
        <w:t xml:space="preserve"> In fact, the five years of monetary easing since 2013 had resulted in the BoJ owning </w:t>
      </w:r>
      <w:r w:rsidR="00013299">
        <w:rPr>
          <w:sz w:val="22"/>
          <w:szCs w:val="22"/>
          <w:lang w:val="en-GB" w:eastAsia="en-IN"/>
        </w:rPr>
        <w:t>about</w:t>
      </w:r>
      <w:r w:rsidR="00013299" w:rsidRPr="004D7F49">
        <w:rPr>
          <w:sz w:val="22"/>
          <w:szCs w:val="22"/>
          <w:lang w:val="en-GB" w:eastAsia="en-IN"/>
        </w:rPr>
        <w:t xml:space="preserve"> </w:t>
      </w:r>
      <w:r w:rsidR="00DF5A71" w:rsidRPr="004D7F49">
        <w:rPr>
          <w:sz w:val="22"/>
          <w:szCs w:val="22"/>
          <w:lang w:val="en-GB" w:eastAsia="en-IN"/>
        </w:rPr>
        <w:t>46 per cent of the JGB market.</w:t>
      </w:r>
      <w:r w:rsidR="00DF5A71" w:rsidRPr="004D7F49">
        <w:rPr>
          <w:sz w:val="22"/>
          <w:szCs w:val="22"/>
          <w:vertAlign w:val="superscript"/>
          <w:lang w:val="en-GB" w:eastAsia="en-IN"/>
        </w:rPr>
        <w:endnoteReference w:id="52"/>
      </w:r>
    </w:p>
    <w:p w14:paraId="31B6EDA0" w14:textId="77777777" w:rsidR="0004607E" w:rsidRPr="0004607E" w:rsidRDefault="0004607E" w:rsidP="00DF5A71">
      <w:pPr>
        <w:jc w:val="both"/>
        <w:rPr>
          <w:sz w:val="16"/>
          <w:szCs w:val="16"/>
          <w:lang w:val="en-GB" w:eastAsia="en-IN"/>
        </w:rPr>
      </w:pPr>
    </w:p>
    <w:p w14:paraId="5CF3F527" w14:textId="0B15836E" w:rsidR="00DF5A71" w:rsidRPr="004D7F49" w:rsidRDefault="00A551D6" w:rsidP="00DF5A71">
      <w:pPr>
        <w:jc w:val="both"/>
        <w:rPr>
          <w:sz w:val="22"/>
          <w:szCs w:val="22"/>
          <w:lang w:val="en-GB" w:eastAsia="en-IN"/>
        </w:rPr>
      </w:pPr>
      <w:r w:rsidRPr="004D7F49">
        <w:rPr>
          <w:sz w:val="22"/>
          <w:szCs w:val="22"/>
          <w:lang w:val="en-GB" w:eastAsia="en-IN"/>
        </w:rPr>
        <w:t>Critics of such monetary easing</w:t>
      </w:r>
      <w:r w:rsidR="00DF5A71" w:rsidRPr="004D7F49">
        <w:rPr>
          <w:sz w:val="22"/>
          <w:szCs w:val="22"/>
          <w:lang w:val="en-GB" w:eastAsia="en-IN"/>
        </w:rPr>
        <w:t xml:space="preserve"> believed that it was the real economy </w:t>
      </w:r>
      <w:r w:rsidR="00E44883" w:rsidRPr="004D7F49">
        <w:rPr>
          <w:sz w:val="22"/>
          <w:szCs w:val="22"/>
          <w:lang w:val="en-GB" w:eastAsia="en-IN"/>
        </w:rPr>
        <w:t>that</w:t>
      </w:r>
      <w:r w:rsidR="00DF5A71" w:rsidRPr="004D7F49">
        <w:rPr>
          <w:sz w:val="22"/>
          <w:szCs w:val="22"/>
          <w:lang w:val="en-GB" w:eastAsia="en-IN"/>
        </w:rPr>
        <w:t xml:space="preserve"> </w:t>
      </w:r>
      <w:r w:rsidR="00E44883" w:rsidRPr="004D7F49">
        <w:rPr>
          <w:sz w:val="22"/>
          <w:szCs w:val="22"/>
          <w:lang w:val="en-GB" w:eastAsia="en-IN"/>
        </w:rPr>
        <w:t>truly</w:t>
      </w:r>
      <w:r w:rsidR="00DF5A71" w:rsidRPr="004D7F49">
        <w:rPr>
          <w:sz w:val="22"/>
          <w:szCs w:val="22"/>
          <w:lang w:val="en-GB" w:eastAsia="en-IN"/>
        </w:rPr>
        <w:t xml:space="preserve"> mattered. As such, they wanted the BoJ to stop monetary easing and concentrate on reducing its bloated balance sheet (</w:t>
      </w:r>
      <w:r w:rsidR="00013299">
        <w:rPr>
          <w:sz w:val="22"/>
          <w:szCs w:val="22"/>
          <w:lang w:val="en-GB" w:eastAsia="en-IN"/>
        </w:rPr>
        <w:t xml:space="preserve">consisting </w:t>
      </w:r>
      <w:r w:rsidR="00DF5A71" w:rsidRPr="004D7F49">
        <w:rPr>
          <w:sz w:val="22"/>
          <w:szCs w:val="22"/>
          <w:lang w:val="en-GB" w:eastAsia="en-IN"/>
        </w:rPr>
        <w:t xml:space="preserve">of various financial assets and JGBs). </w:t>
      </w:r>
      <w:r w:rsidR="00744275" w:rsidRPr="004D7F49">
        <w:rPr>
          <w:sz w:val="22"/>
          <w:szCs w:val="22"/>
          <w:lang w:val="en-GB" w:eastAsia="en-IN"/>
        </w:rPr>
        <w:t xml:space="preserve">They </w:t>
      </w:r>
      <w:r w:rsidR="00DF5A71" w:rsidRPr="004D7F49">
        <w:rPr>
          <w:sz w:val="22"/>
          <w:szCs w:val="22"/>
          <w:lang w:val="en-GB" w:eastAsia="en-IN"/>
        </w:rPr>
        <w:t xml:space="preserve">believed that the inflation target should be lowered to </w:t>
      </w:r>
      <w:r w:rsidR="00E44883" w:rsidRPr="004D7F49">
        <w:rPr>
          <w:sz w:val="22"/>
          <w:szCs w:val="22"/>
          <w:lang w:val="en-GB" w:eastAsia="en-IN"/>
        </w:rPr>
        <w:t>1</w:t>
      </w:r>
      <w:r w:rsidR="00DF5A71" w:rsidRPr="004D7F49">
        <w:rPr>
          <w:sz w:val="22"/>
          <w:szCs w:val="22"/>
          <w:lang w:val="en-GB" w:eastAsia="en-IN"/>
        </w:rPr>
        <w:t xml:space="preserve"> per</w:t>
      </w:r>
      <w:r w:rsidR="00921BD7" w:rsidRPr="004D7F49">
        <w:rPr>
          <w:sz w:val="22"/>
          <w:szCs w:val="22"/>
          <w:lang w:val="en-GB" w:eastAsia="en-IN"/>
        </w:rPr>
        <w:t xml:space="preserve"> </w:t>
      </w:r>
      <w:r w:rsidR="00DF5A71" w:rsidRPr="004D7F49">
        <w:rPr>
          <w:sz w:val="22"/>
          <w:szCs w:val="22"/>
          <w:lang w:val="en-GB" w:eastAsia="en-IN"/>
        </w:rPr>
        <w:t xml:space="preserve">cent, and </w:t>
      </w:r>
      <w:r w:rsidR="00547494">
        <w:rPr>
          <w:sz w:val="22"/>
          <w:szCs w:val="22"/>
          <w:lang w:val="en-GB" w:eastAsia="en-IN"/>
        </w:rPr>
        <w:t xml:space="preserve">that </w:t>
      </w:r>
      <w:r w:rsidR="00DF5A71" w:rsidRPr="004D7F49">
        <w:rPr>
          <w:sz w:val="22"/>
          <w:szCs w:val="22"/>
          <w:lang w:val="en-GB" w:eastAsia="en-IN"/>
        </w:rPr>
        <w:t>with inflation on target, the BoJ could wind down its QQE program.</w:t>
      </w:r>
      <w:r w:rsidR="00DF5A71" w:rsidRPr="004D7F49">
        <w:rPr>
          <w:sz w:val="22"/>
          <w:szCs w:val="22"/>
          <w:vertAlign w:val="superscript"/>
          <w:lang w:val="en-GB" w:eastAsia="en-IN"/>
        </w:rPr>
        <w:endnoteReference w:id="53"/>
      </w:r>
      <w:r w:rsidR="00DF5A71" w:rsidRPr="004D7F49">
        <w:rPr>
          <w:sz w:val="22"/>
          <w:szCs w:val="22"/>
          <w:lang w:val="en-GB" w:eastAsia="en-IN"/>
        </w:rPr>
        <w:t xml:space="preserve"> </w:t>
      </w:r>
    </w:p>
    <w:p w14:paraId="1610D3D4" w14:textId="77777777" w:rsidR="00DF5A71" w:rsidRPr="0004607E" w:rsidRDefault="00DF5A71" w:rsidP="00DF5A71">
      <w:pPr>
        <w:jc w:val="both"/>
        <w:rPr>
          <w:sz w:val="16"/>
          <w:szCs w:val="16"/>
          <w:lang w:val="en-GB" w:eastAsia="en-IN"/>
        </w:rPr>
      </w:pPr>
    </w:p>
    <w:p w14:paraId="1E9B2CC2" w14:textId="605B11DC" w:rsidR="00352C3D" w:rsidRPr="004D7F49" w:rsidRDefault="00DF5A71" w:rsidP="00DF5A71">
      <w:pPr>
        <w:jc w:val="both"/>
        <w:rPr>
          <w:sz w:val="22"/>
          <w:szCs w:val="22"/>
          <w:lang w:val="en-GB" w:eastAsia="en-IN"/>
        </w:rPr>
      </w:pPr>
      <w:r w:rsidRPr="004D7F49">
        <w:rPr>
          <w:sz w:val="22"/>
          <w:szCs w:val="22"/>
          <w:lang w:val="en-GB" w:eastAsia="en-IN"/>
        </w:rPr>
        <w:t>There was an even more basic criticism of whether such massive monetary easing through targeting the monetary base had really had an impact on money stock in the economy (</w:t>
      </w:r>
      <w:r w:rsidR="007E20C9" w:rsidRPr="004D7F49">
        <w:rPr>
          <w:sz w:val="22"/>
          <w:szCs w:val="22"/>
          <w:lang w:val="en-GB" w:eastAsia="en-IN"/>
        </w:rPr>
        <w:t xml:space="preserve">see </w:t>
      </w:r>
      <w:r w:rsidRPr="004D7F49">
        <w:rPr>
          <w:sz w:val="22"/>
          <w:szCs w:val="22"/>
          <w:lang w:val="en-GB" w:eastAsia="en-IN"/>
        </w:rPr>
        <w:t>Exhibit 7). Theoretically, the expansion of the monetary base should have led to a multiple</w:t>
      </w:r>
      <w:r w:rsidR="00663564" w:rsidRPr="004D7F49">
        <w:rPr>
          <w:sz w:val="22"/>
          <w:szCs w:val="22"/>
          <w:lang w:val="en-GB" w:eastAsia="en-IN"/>
        </w:rPr>
        <w:t>-</w:t>
      </w:r>
      <w:r w:rsidRPr="004D7F49">
        <w:rPr>
          <w:sz w:val="22"/>
          <w:szCs w:val="22"/>
          <w:lang w:val="en-GB" w:eastAsia="en-IN"/>
        </w:rPr>
        <w:t>times increase in the money supply.</w:t>
      </w:r>
      <w:r w:rsidRPr="004D7F49">
        <w:rPr>
          <w:sz w:val="22"/>
          <w:szCs w:val="22"/>
          <w:vertAlign w:val="superscript"/>
          <w:lang w:val="en-GB" w:eastAsia="en-IN"/>
        </w:rPr>
        <w:endnoteReference w:id="54"/>
      </w:r>
      <w:r w:rsidRPr="004D7F49">
        <w:rPr>
          <w:sz w:val="22"/>
          <w:szCs w:val="22"/>
          <w:lang w:val="en-GB" w:eastAsia="en-IN"/>
        </w:rPr>
        <w:t xml:space="preserve"> However, this had not happened. Analysts felt that </w:t>
      </w:r>
      <w:r w:rsidRPr="004D7F49">
        <w:rPr>
          <w:rFonts w:eastAsia="Calibri"/>
          <w:sz w:val="22"/>
          <w:szCs w:val="22"/>
          <w:lang w:val="en-GB"/>
        </w:rPr>
        <w:t xml:space="preserve">banks had not been lending the funds provided by the BoJ </w:t>
      </w:r>
      <w:r w:rsidR="00547494">
        <w:rPr>
          <w:rFonts w:eastAsia="Calibri"/>
          <w:sz w:val="22"/>
          <w:szCs w:val="22"/>
          <w:lang w:val="en-GB"/>
        </w:rPr>
        <w:t xml:space="preserve">but </w:t>
      </w:r>
      <w:r w:rsidRPr="004D7F49">
        <w:rPr>
          <w:rFonts w:eastAsia="Calibri"/>
          <w:sz w:val="22"/>
          <w:szCs w:val="22"/>
          <w:lang w:val="en-GB"/>
        </w:rPr>
        <w:t xml:space="preserve">had been depositing these funds into their own accounts at the central bank. This had reduced the effect of monetary easing on the real economy. This was further due to reluctance on the part of companies to borrow money or spend more and to save instead, </w:t>
      </w:r>
      <w:r w:rsidR="00547494">
        <w:rPr>
          <w:rFonts w:eastAsia="Calibri"/>
          <w:sz w:val="22"/>
          <w:szCs w:val="22"/>
          <w:lang w:val="en-GB"/>
        </w:rPr>
        <w:t>as</w:t>
      </w:r>
      <w:r w:rsidR="00547494" w:rsidRPr="004D7F49">
        <w:rPr>
          <w:rFonts w:eastAsia="Calibri"/>
          <w:sz w:val="22"/>
          <w:szCs w:val="22"/>
          <w:lang w:val="en-GB"/>
        </w:rPr>
        <w:t xml:space="preserve"> </w:t>
      </w:r>
      <w:r w:rsidRPr="004D7F49">
        <w:rPr>
          <w:rFonts w:eastAsia="Calibri"/>
          <w:sz w:val="22"/>
          <w:szCs w:val="22"/>
          <w:lang w:val="en-GB"/>
        </w:rPr>
        <w:t>there was little faith in</w:t>
      </w:r>
      <w:r w:rsidR="00744275" w:rsidRPr="004D7F49">
        <w:rPr>
          <w:rFonts w:eastAsia="Calibri"/>
          <w:sz w:val="22"/>
          <w:szCs w:val="22"/>
          <w:lang w:val="en-GB"/>
        </w:rPr>
        <w:t xml:space="preserve"> the BoJ’s</w:t>
      </w:r>
      <w:r w:rsidRPr="004D7F49">
        <w:rPr>
          <w:rFonts w:eastAsia="Calibri"/>
          <w:sz w:val="22"/>
          <w:szCs w:val="22"/>
          <w:lang w:val="en-GB"/>
        </w:rPr>
        <w:t xml:space="preserve"> claim of get</w:t>
      </w:r>
      <w:r w:rsidR="00724588" w:rsidRPr="004D7F49">
        <w:rPr>
          <w:rFonts w:eastAsia="Calibri"/>
          <w:sz w:val="22"/>
          <w:szCs w:val="22"/>
          <w:lang w:val="en-GB"/>
        </w:rPr>
        <w:t xml:space="preserve">ting the Japanese economy to a </w:t>
      </w:r>
      <w:r w:rsidR="00547494">
        <w:rPr>
          <w:rFonts w:eastAsia="Calibri"/>
          <w:sz w:val="22"/>
          <w:szCs w:val="22"/>
          <w:lang w:val="en-GB"/>
        </w:rPr>
        <w:t>2 per cent</w:t>
      </w:r>
      <w:r w:rsidRPr="004D7F49">
        <w:rPr>
          <w:rFonts w:eastAsia="Calibri"/>
          <w:sz w:val="22"/>
          <w:szCs w:val="22"/>
          <w:lang w:val="en-GB"/>
        </w:rPr>
        <w:t xml:space="preserve"> inflation rate.</w:t>
      </w:r>
      <w:r w:rsidRPr="004D7F49">
        <w:rPr>
          <w:rFonts w:eastAsia="Calibri"/>
          <w:sz w:val="22"/>
          <w:szCs w:val="22"/>
          <w:vertAlign w:val="superscript"/>
          <w:lang w:val="en-GB"/>
        </w:rPr>
        <w:endnoteReference w:id="55"/>
      </w:r>
    </w:p>
    <w:p w14:paraId="4537F1DF" w14:textId="77777777" w:rsidR="00744275" w:rsidRPr="0004607E" w:rsidRDefault="00744275" w:rsidP="00DF5A71">
      <w:pPr>
        <w:jc w:val="both"/>
        <w:rPr>
          <w:sz w:val="16"/>
          <w:szCs w:val="16"/>
          <w:lang w:val="en-GB" w:eastAsia="en-IN"/>
        </w:rPr>
      </w:pPr>
    </w:p>
    <w:p w14:paraId="4210BF8E" w14:textId="5ADF4521" w:rsidR="00DF5A71" w:rsidRPr="004D7F49" w:rsidRDefault="00DF5A71" w:rsidP="00DF5A71">
      <w:pPr>
        <w:jc w:val="both"/>
        <w:rPr>
          <w:sz w:val="22"/>
          <w:szCs w:val="22"/>
          <w:lang w:val="en-GB" w:eastAsia="en-IN"/>
        </w:rPr>
      </w:pPr>
      <w:r w:rsidRPr="004D7F49">
        <w:rPr>
          <w:sz w:val="22"/>
          <w:szCs w:val="22"/>
          <w:lang w:val="en-GB" w:eastAsia="en-IN"/>
        </w:rPr>
        <w:t>The supporters of monetary easing felt that incurring such fiscal spending and the associated risks were worth the effort if it led to inflation and</w:t>
      </w:r>
      <w:r w:rsidR="00547494">
        <w:rPr>
          <w:sz w:val="22"/>
          <w:szCs w:val="22"/>
          <w:lang w:val="en-GB" w:eastAsia="en-IN"/>
        </w:rPr>
        <w:t>,</w:t>
      </w:r>
      <w:r w:rsidRPr="004D7F49">
        <w:rPr>
          <w:sz w:val="22"/>
          <w:szCs w:val="22"/>
          <w:lang w:val="en-GB" w:eastAsia="en-IN"/>
        </w:rPr>
        <w:t xml:space="preserve"> hence</w:t>
      </w:r>
      <w:r w:rsidR="00547494">
        <w:rPr>
          <w:sz w:val="22"/>
          <w:szCs w:val="22"/>
          <w:lang w:val="en-GB" w:eastAsia="en-IN"/>
        </w:rPr>
        <w:t>,</w:t>
      </w:r>
      <w:r w:rsidRPr="004D7F49">
        <w:rPr>
          <w:sz w:val="22"/>
          <w:szCs w:val="22"/>
          <w:lang w:val="en-GB" w:eastAsia="en-IN"/>
        </w:rPr>
        <w:t xml:space="preserve"> kick-started the economy. M</w:t>
      </w:r>
      <w:r w:rsidR="00724588" w:rsidRPr="004D7F49">
        <w:rPr>
          <w:sz w:val="22"/>
          <w:szCs w:val="22"/>
          <w:lang w:val="en-GB" w:eastAsia="en-IN"/>
        </w:rPr>
        <w:t>asahiro Kawai, a p</w:t>
      </w:r>
      <w:r w:rsidRPr="004D7F49">
        <w:rPr>
          <w:sz w:val="22"/>
          <w:szCs w:val="22"/>
          <w:lang w:val="en-GB" w:eastAsia="en-IN"/>
        </w:rPr>
        <w:t xml:space="preserve">rofessor of </w:t>
      </w:r>
      <w:r w:rsidR="00724588" w:rsidRPr="004D7F49">
        <w:rPr>
          <w:sz w:val="22"/>
          <w:szCs w:val="22"/>
          <w:lang w:val="en-GB" w:eastAsia="en-IN"/>
        </w:rPr>
        <w:t>e</w:t>
      </w:r>
      <w:r w:rsidRPr="004D7F49">
        <w:rPr>
          <w:sz w:val="22"/>
          <w:szCs w:val="22"/>
          <w:lang w:val="en-GB" w:eastAsia="en-IN"/>
        </w:rPr>
        <w:t>conomics at the University of Tokyo</w:t>
      </w:r>
      <w:r w:rsidR="00663564" w:rsidRPr="004D7F49">
        <w:rPr>
          <w:sz w:val="22"/>
          <w:szCs w:val="22"/>
          <w:lang w:val="en-GB" w:eastAsia="en-IN"/>
        </w:rPr>
        <w:t>,</w:t>
      </w:r>
      <w:r w:rsidRPr="004D7F49">
        <w:rPr>
          <w:sz w:val="22"/>
          <w:szCs w:val="22"/>
          <w:lang w:val="en-GB" w:eastAsia="en-IN"/>
        </w:rPr>
        <w:t xml:space="preserve"> had said</w:t>
      </w:r>
      <w:r w:rsidR="00547494">
        <w:rPr>
          <w:sz w:val="22"/>
          <w:szCs w:val="22"/>
          <w:lang w:val="en-GB" w:eastAsia="en-IN"/>
        </w:rPr>
        <w:t>,</w:t>
      </w:r>
      <w:r w:rsidRPr="004D7F49">
        <w:rPr>
          <w:sz w:val="22"/>
          <w:szCs w:val="22"/>
          <w:lang w:val="en-GB" w:eastAsia="en-IN"/>
        </w:rPr>
        <w:t xml:space="preserve"> </w:t>
      </w:r>
      <w:r w:rsidR="00744275" w:rsidRPr="004D7F49">
        <w:rPr>
          <w:sz w:val="22"/>
          <w:szCs w:val="22"/>
          <w:lang w:val="en-GB" w:eastAsia="en-IN"/>
        </w:rPr>
        <w:t>“</w:t>
      </w:r>
      <w:r w:rsidRPr="004D7F49">
        <w:rPr>
          <w:sz w:val="22"/>
          <w:szCs w:val="22"/>
          <w:lang w:val="en-GB" w:eastAsia="en-IN"/>
        </w:rPr>
        <w:t>If prices continue to decline, that will kill people’s animal spirits. In other words, people do not invest, do not consume and the economy continues to stagnate.”</w:t>
      </w:r>
      <w:r w:rsidRPr="004D7F49">
        <w:rPr>
          <w:sz w:val="22"/>
          <w:szCs w:val="22"/>
          <w:vertAlign w:val="superscript"/>
          <w:lang w:val="en-GB" w:eastAsia="en-IN"/>
        </w:rPr>
        <w:endnoteReference w:id="56"/>
      </w:r>
    </w:p>
    <w:p w14:paraId="17918374" w14:textId="77777777" w:rsidR="00DF5A71" w:rsidRPr="0004607E" w:rsidRDefault="00DF5A71" w:rsidP="00DF5A71">
      <w:pPr>
        <w:jc w:val="both"/>
        <w:rPr>
          <w:sz w:val="16"/>
          <w:szCs w:val="16"/>
          <w:lang w:val="en-GB" w:eastAsia="en-IN"/>
        </w:rPr>
      </w:pPr>
    </w:p>
    <w:p w14:paraId="446CBCF3" w14:textId="058910FA" w:rsidR="00DF5A71" w:rsidRPr="004D7F49" w:rsidRDefault="00DF5A71" w:rsidP="00DF5A71">
      <w:pPr>
        <w:jc w:val="both"/>
        <w:rPr>
          <w:sz w:val="22"/>
          <w:szCs w:val="22"/>
          <w:lang w:val="en-GB" w:eastAsia="en-IN"/>
        </w:rPr>
      </w:pPr>
      <w:r w:rsidRPr="004D7F49">
        <w:rPr>
          <w:sz w:val="22"/>
          <w:szCs w:val="22"/>
          <w:lang w:val="en-GB" w:eastAsia="en-IN"/>
        </w:rPr>
        <w:t>The U</w:t>
      </w:r>
      <w:r w:rsidR="00663564" w:rsidRPr="004D7F49">
        <w:rPr>
          <w:sz w:val="22"/>
          <w:szCs w:val="22"/>
          <w:lang w:val="en-GB" w:eastAsia="en-IN"/>
        </w:rPr>
        <w:t>.</w:t>
      </w:r>
      <w:r w:rsidRPr="004D7F49">
        <w:rPr>
          <w:sz w:val="22"/>
          <w:szCs w:val="22"/>
          <w:lang w:val="en-GB" w:eastAsia="en-IN"/>
        </w:rPr>
        <w:t>S</w:t>
      </w:r>
      <w:r w:rsidR="00663564" w:rsidRPr="004D7F49">
        <w:rPr>
          <w:sz w:val="22"/>
          <w:szCs w:val="22"/>
          <w:lang w:val="en-GB" w:eastAsia="en-IN"/>
        </w:rPr>
        <w:t>.</w:t>
      </w:r>
      <w:r w:rsidRPr="004D7F49">
        <w:rPr>
          <w:sz w:val="22"/>
          <w:szCs w:val="22"/>
          <w:lang w:val="en-GB" w:eastAsia="en-IN"/>
        </w:rPr>
        <w:t xml:space="preserve"> dollar</w:t>
      </w:r>
      <w:r w:rsidR="00663564" w:rsidRPr="004D7F49">
        <w:rPr>
          <w:sz w:val="22"/>
          <w:szCs w:val="22"/>
          <w:lang w:val="en-GB" w:eastAsia="en-IN"/>
        </w:rPr>
        <w:t>–Japanese y</w:t>
      </w:r>
      <w:r w:rsidRPr="004D7F49">
        <w:rPr>
          <w:sz w:val="22"/>
          <w:szCs w:val="22"/>
          <w:lang w:val="en-GB" w:eastAsia="en-IN"/>
        </w:rPr>
        <w:t>en rate on March 19, 2013</w:t>
      </w:r>
      <w:r w:rsidR="00663564" w:rsidRPr="004D7F49">
        <w:rPr>
          <w:sz w:val="22"/>
          <w:szCs w:val="22"/>
          <w:lang w:val="en-GB" w:eastAsia="en-IN"/>
        </w:rPr>
        <w:t>,</w:t>
      </w:r>
      <w:r w:rsidRPr="004D7F49">
        <w:rPr>
          <w:sz w:val="22"/>
          <w:szCs w:val="22"/>
          <w:lang w:val="en-GB" w:eastAsia="en-IN"/>
        </w:rPr>
        <w:t xml:space="preserve"> whe</w:t>
      </w:r>
      <w:r w:rsidR="00724588" w:rsidRPr="004D7F49">
        <w:rPr>
          <w:sz w:val="22"/>
          <w:szCs w:val="22"/>
          <w:lang w:val="en-GB" w:eastAsia="en-IN"/>
        </w:rPr>
        <w:t>n Kuroda assumed charge as g</w:t>
      </w:r>
      <w:r w:rsidRPr="004D7F49">
        <w:rPr>
          <w:sz w:val="22"/>
          <w:szCs w:val="22"/>
          <w:lang w:val="en-GB" w:eastAsia="en-IN"/>
        </w:rPr>
        <w:t>overnor of the BoJ</w:t>
      </w:r>
      <w:r w:rsidR="00663564" w:rsidRPr="004D7F49">
        <w:rPr>
          <w:sz w:val="22"/>
          <w:szCs w:val="22"/>
          <w:lang w:val="en-GB" w:eastAsia="en-IN"/>
        </w:rPr>
        <w:t>,</w:t>
      </w:r>
      <w:r w:rsidRPr="004D7F49">
        <w:rPr>
          <w:sz w:val="22"/>
          <w:szCs w:val="22"/>
          <w:lang w:val="en-GB" w:eastAsia="en-IN"/>
        </w:rPr>
        <w:t xml:space="preserve"> was US</w:t>
      </w:r>
      <w:r w:rsidR="00663564" w:rsidRPr="004D7F49">
        <w:rPr>
          <w:sz w:val="22"/>
          <w:szCs w:val="22"/>
          <w:lang w:val="en-GB" w:eastAsia="en-IN"/>
        </w:rPr>
        <w:t xml:space="preserve">$1 </w:t>
      </w:r>
      <w:r w:rsidRPr="004D7F49">
        <w:rPr>
          <w:sz w:val="22"/>
          <w:szCs w:val="22"/>
          <w:lang w:val="en-GB" w:eastAsia="en-IN"/>
        </w:rPr>
        <w:t>=</w:t>
      </w:r>
      <w:r w:rsidR="00663564" w:rsidRPr="004D7F49">
        <w:rPr>
          <w:sz w:val="22"/>
          <w:szCs w:val="22"/>
          <w:lang w:val="en-GB" w:eastAsia="en-IN"/>
        </w:rPr>
        <w:t xml:space="preserve"> </w:t>
      </w:r>
      <w:r w:rsidRPr="004D7F49">
        <w:rPr>
          <w:sz w:val="22"/>
          <w:szCs w:val="22"/>
          <w:lang w:val="en-GB" w:eastAsia="en-IN"/>
        </w:rPr>
        <w:t>¥94.85.</w:t>
      </w:r>
      <w:r w:rsidRPr="004D7F49">
        <w:rPr>
          <w:sz w:val="22"/>
          <w:szCs w:val="22"/>
          <w:vertAlign w:val="superscript"/>
          <w:lang w:val="en-GB" w:eastAsia="en-IN"/>
        </w:rPr>
        <w:endnoteReference w:id="57"/>
      </w:r>
      <w:r w:rsidRPr="004D7F49">
        <w:rPr>
          <w:sz w:val="22"/>
          <w:szCs w:val="22"/>
          <w:lang w:val="en-GB" w:eastAsia="en-IN"/>
        </w:rPr>
        <w:t xml:space="preserve"> Monetary easing had led to the yen depreciating to a rate of ¥112.49 against the dollar on December 31, 2017, thereby benefitting export-driven firms.</w:t>
      </w:r>
      <w:r w:rsidR="008323CB" w:rsidRPr="004D7F49">
        <w:rPr>
          <w:sz w:val="22"/>
          <w:szCs w:val="22"/>
          <w:vertAlign w:val="superscript"/>
          <w:lang w:val="en-GB" w:eastAsia="en-IN"/>
        </w:rPr>
        <w:endnoteReference w:id="58"/>
      </w:r>
      <w:r w:rsidR="008323CB" w:rsidRPr="004D7F49">
        <w:rPr>
          <w:sz w:val="22"/>
          <w:szCs w:val="22"/>
          <w:lang w:val="en-GB" w:eastAsia="en-IN"/>
        </w:rPr>
        <w:t xml:space="preserve"> However, the cost of </w:t>
      </w:r>
      <w:r w:rsidR="00F74010" w:rsidRPr="004D7F49">
        <w:rPr>
          <w:sz w:val="22"/>
          <w:szCs w:val="22"/>
          <w:lang w:val="en-GB" w:eastAsia="en-IN"/>
        </w:rPr>
        <w:t>imports of food, oil</w:t>
      </w:r>
      <w:r w:rsidR="00663564" w:rsidRPr="004D7F49">
        <w:rPr>
          <w:sz w:val="22"/>
          <w:szCs w:val="22"/>
          <w:lang w:val="en-GB" w:eastAsia="en-IN"/>
        </w:rPr>
        <w:t>,</w:t>
      </w:r>
      <w:r w:rsidR="00F74010" w:rsidRPr="004D7F49">
        <w:rPr>
          <w:sz w:val="22"/>
          <w:szCs w:val="22"/>
          <w:lang w:val="en-GB" w:eastAsia="en-IN"/>
        </w:rPr>
        <w:t xml:space="preserve"> and natural resources, which Japan was highly reliant on, rose.</w:t>
      </w:r>
      <w:r w:rsidR="00F74010" w:rsidRPr="004D7F49">
        <w:rPr>
          <w:rStyle w:val="EndnoteReference"/>
          <w:sz w:val="22"/>
          <w:szCs w:val="22"/>
          <w:lang w:val="en-GB" w:eastAsia="en-IN"/>
        </w:rPr>
        <w:endnoteReference w:id="59"/>
      </w:r>
      <w:r w:rsidR="00F74010" w:rsidRPr="004D7F49">
        <w:rPr>
          <w:sz w:val="22"/>
          <w:szCs w:val="22"/>
          <w:lang w:val="en-GB" w:eastAsia="en-IN"/>
        </w:rPr>
        <w:t xml:space="preserve"> </w:t>
      </w:r>
      <w:r w:rsidRPr="004D7F49">
        <w:rPr>
          <w:sz w:val="22"/>
          <w:szCs w:val="22"/>
          <w:lang w:val="en-GB" w:eastAsia="en-IN"/>
        </w:rPr>
        <w:t xml:space="preserve">Such easing had also led to </w:t>
      </w:r>
      <w:r w:rsidR="00663564" w:rsidRPr="004D7F49">
        <w:rPr>
          <w:sz w:val="22"/>
          <w:szCs w:val="22"/>
          <w:lang w:val="en-GB" w:eastAsia="en-IN"/>
        </w:rPr>
        <w:t>a</w:t>
      </w:r>
      <w:r w:rsidRPr="004D7F49">
        <w:rPr>
          <w:sz w:val="22"/>
          <w:szCs w:val="22"/>
          <w:lang w:val="en-GB" w:eastAsia="en-IN"/>
        </w:rPr>
        <w:t xml:space="preserve"> rise in stock prices to much higher levels than before the commencement of the QQE </w:t>
      </w:r>
      <w:r w:rsidR="00663564" w:rsidRPr="004D7F49">
        <w:rPr>
          <w:sz w:val="22"/>
          <w:szCs w:val="22"/>
          <w:lang w:val="en-GB" w:eastAsia="en-IN"/>
        </w:rPr>
        <w:t xml:space="preserve">policy </w:t>
      </w:r>
      <w:r w:rsidRPr="004D7F49">
        <w:rPr>
          <w:sz w:val="22"/>
          <w:szCs w:val="22"/>
          <w:lang w:val="en-GB" w:eastAsia="en-IN"/>
        </w:rPr>
        <w:t>in 2013.</w:t>
      </w:r>
      <w:r w:rsidRPr="004D7F49">
        <w:rPr>
          <w:sz w:val="22"/>
          <w:szCs w:val="22"/>
          <w:vertAlign w:val="superscript"/>
          <w:lang w:val="en-GB" w:eastAsia="en-IN"/>
        </w:rPr>
        <w:endnoteReference w:id="60"/>
      </w:r>
      <w:r w:rsidRPr="004D7F49">
        <w:rPr>
          <w:sz w:val="22"/>
          <w:szCs w:val="22"/>
          <w:lang w:val="en-GB" w:eastAsia="en-IN"/>
        </w:rPr>
        <w:t xml:space="preserve"> </w:t>
      </w:r>
      <w:r w:rsidR="003F72BC" w:rsidRPr="003F72BC">
        <w:rPr>
          <w:sz w:val="22"/>
          <w:szCs w:val="22"/>
          <w:lang w:val="en-GB" w:eastAsia="en-IN"/>
        </w:rPr>
        <w:t>The Nikkei had reached 22,2764 on December 31, 2017, which was up from 12,1888, when the easing began.</w:t>
      </w:r>
    </w:p>
    <w:p w14:paraId="1A999EE1" w14:textId="77777777" w:rsidR="00DF5A71" w:rsidRPr="0004607E" w:rsidRDefault="00DF5A71" w:rsidP="00DF5A71">
      <w:pPr>
        <w:jc w:val="both"/>
        <w:rPr>
          <w:sz w:val="16"/>
          <w:szCs w:val="16"/>
          <w:lang w:val="en-GB" w:eastAsia="en-IN"/>
        </w:rPr>
      </w:pPr>
    </w:p>
    <w:p w14:paraId="1270E719" w14:textId="6138034C" w:rsidR="00DF5A71" w:rsidRPr="004D7F49" w:rsidRDefault="00DF5A71" w:rsidP="00DF5A71">
      <w:pPr>
        <w:jc w:val="both"/>
        <w:rPr>
          <w:sz w:val="22"/>
          <w:szCs w:val="22"/>
          <w:lang w:val="en-GB" w:eastAsia="en-IN"/>
        </w:rPr>
      </w:pPr>
      <w:r w:rsidRPr="004D7F49">
        <w:rPr>
          <w:sz w:val="22"/>
          <w:szCs w:val="22"/>
          <w:lang w:val="en-GB" w:eastAsia="en-IN"/>
        </w:rPr>
        <w:t xml:space="preserve">On its part, Abe’s government had tried </w:t>
      </w:r>
      <w:r w:rsidR="00663564" w:rsidRPr="004D7F49">
        <w:rPr>
          <w:sz w:val="22"/>
          <w:szCs w:val="22"/>
          <w:lang w:val="en-GB" w:eastAsia="en-IN"/>
        </w:rPr>
        <w:t xml:space="preserve">to </w:t>
      </w:r>
      <w:r w:rsidRPr="004D7F49">
        <w:rPr>
          <w:sz w:val="22"/>
          <w:szCs w:val="22"/>
          <w:lang w:val="en-GB" w:eastAsia="en-IN"/>
        </w:rPr>
        <w:t xml:space="preserve">get large profitable companies to raise wages by </w:t>
      </w:r>
      <w:r w:rsidR="00663564" w:rsidRPr="004D7F49">
        <w:rPr>
          <w:sz w:val="22"/>
          <w:szCs w:val="22"/>
          <w:lang w:val="en-GB" w:eastAsia="en-IN"/>
        </w:rPr>
        <w:t>3</w:t>
      </w:r>
      <w:r w:rsidRPr="004D7F49">
        <w:rPr>
          <w:sz w:val="22"/>
          <w:szCs w:val="22"/>
          <w:lang w:val="en-GB" w:eastAsia="en-IN"/>
        </w:rPr>
        <w:t xml:space="preserve"> per cent or more, given the positive impact of wage increases on inflation rates. However, Japanese workers preferred job security over demanding wage hikes, fearing job losses as companies either shifted operations abroad or adopted labour-saving technologies.</w:t>
      </w:r>
      <w:r w:rsidRPr="004D7F49">
        <w:rPr>
          <w:sz w:val="22"/>
          <w:szCs w:val="22"/>
          <w:vertAlign w:val="superscript"/>
          <w:lang w:val="en-GB" w:eastAsia="en-IN"/>
        </w:rPr>
        <w:endnoteReference w:id="61"/>
      </w:r>
      <w:r w:rsidRPr="004D7F49">
        <w:rPr>
          <w:sz w:val="22"/>
          <w:szCs w:val="22"/>
          <w:lang w:val="en-GB" w:eastAsia="en-IN"/>
        </w:rPr>
        <w:t xml:space="preserve"> With most advanced countries experiencing synchronous growth, the outlook for inflation from the external environment was promising.</w:t>
      </w:r>
      <w:r w:rsidRPr="004D7F49">
        <w:rPr>
          <w:sz w:val="22"/>
          <w:szCs w:val="22"/>
          <w:vertAlign w:val="superscript"/>
          <w:lang w:val="en-GB" w:eastAsia="en-IN"/>
        </w:rPr>
        <w:endnoteReference w:id="62"/>
      </w:r>
      <w:r w:rsidRPr="004D7F49">
        <w:rPr>
          <w:sz w:val="22"/>
          <w:szCs w:val="22"/>
          <w:lang w:val="en-GB" w:eastAsia="en-IN"/>
        </w:rPr>
        <w:t xml:space="preserve"> However, what was also required w</w:t>
      </w:r>
      <w:r w:rsidR="00663564" w:rsidRPr="004D7F49">
        <w:rPr>
          <w:sz w:val="22"/>
          <w:szCs w:val="22"/>
          <w:lang w:val="en-GB" w:eastAsia="en-IN"/>
        </w:rPr>
        <w:t>ere</w:t>
      </w:r>
      <w:r w:rsidRPr="004D7F49">
        <w:rPr>
          <w:sz w:val="22"/>
          <w:szCs w:val="22"/>
          <w:lang w:val="en-GB" w:eastAsia="en-IN"/>
        </w:rPr>
        <w:t xml:space="preserve"> structural reforms in the domestic economy aimed at improving labour productivity</w:t>
      </w:r>
      <w:r w:rsidR="0065172A">
        <w:rPr>
          <w:sz w:val="22"/>
          <w:szCs w:val="22"/>
          <w:lang w:val="en-GB" w:eastAsia="en-IN"/>
        </w:rPr>
        <w:t xml:space="preserve"> and the </w:t>
      </w:r>
      <w:r w:rsidRPr="004D7F49">
        <w:rPr>
          <w:sz w:val="22"/>
          <w:szCs w:val="22"/>
          <w:lang w:val="en-GB" w:eastAsia="en-IN"/>
        </w:rPr>
        <w:t xml:space="preserve">opening up </w:t>
      </w:r>
      <w:r w:rsidR="00663564" w:rsidRPr="004D7F49">
        <w:rPr>
          <w:sz w:val="22"/>
          <w:szCs w:val="22"/>
          <w:lang w:val="en-GB" w:eastAsia="en-IN"/>
        </w:rPr>
        <w:t xml:space="preserve">of </w:t>
      </w:r>
      <w:r w:rsidRPr="004D7F49">
        <w:rPr>
          <w:sz w:val="22"/>
          <w:szCs w:val="22"/>
          <w:lang w:val="en-GB" w:eastAsia="en-IN"/>
        </w:rPr>
        <w:t xml:space="preserve">Japan’s labour market to increase the size of </w:t>
      </w:r>
      <w:r w:rsidR="00F83191" w:rsidRPr="004D7F49">
        <w:rPr>
          <w:sz w:val="22"/>
          <w:szCs w:val="22"/>
          <w:lang w:val="en-GB" w:eastAsia="en-IN"/>
        </w:rPr>
        <w:t xml:space="preserve">the </w:t>
      </w:r>
      <w:r w:rsidRPr="004D7F49">
        <w:rPr>
          <w:sz w:val="22"/>
          <w:szCs w:val="22"/>
          <w:lang w:val="en-GB" w:eastAsia="en-IN"/>
        </w:rPr>
        <w:t>Japanese workforce.</w:t>
      </w:r>
      <w:r w:rsidRPr="004D7F49">
        <w:rPr>
          <w:sz w:val="22"/>
          <w:szCs w:val="22"/>
          <w:vertAlign w:val="superscript"/>
          <w:lang w:val="en-GB" w:eastAsia="en-IN"/>
        </w:rPr>
        <w:endnoteReference w:id="63"/>
      </w:r>
      <w:r w:rsidRPr="004D7F49">
        <w:rPr>
          <w:sz w:val="22"/>
          <w:szCs w:val="22"/>
          <w:lang w:val="en-GB" w:eastAsia="en-IN"/>
        </w:rPr>
        <w:t xml:space="preserve"> </w:t>
      </w:r>
    </w:p>
    <w:p w14:paraId="105E56E4" w14:textId="77777777" w:rsidR="00DF5A71" w:rsidRPr="0004607E" w:rsidRDefault="00DF5A71" w:rsidP="00DF5A71">
      <w:pPr>
        <w:jc w:val="both"/>
        <w:rPr>
          <w:sz w:val="16"/>
          <w:szCs w:val="16"/>
          <w:lang w:val="en-GB" w:eastAsia="en-IN"/>
        </w:rPr>
      </w:pPr>
    </w:p>
    <w:p w14:paraId="1D34C4E2" w14:textId="5F67795E" w:rsidR="00DF5A71" w:rsidRPr="004D7F49" w:rsidRDefault="00DF5A71" w:rsidP="009F453C">
      <w:pPr>
        <w:pStyle w:val="BodyTextMain"/>
        <w:rPr>
          <w:lang w:val="en-GB"/>
        </w:rPr>
      </w:pPr>
      <w:r w:rsidRPr="004D7F49">
        <w:rPr>
          <w:lang w:val="en-GB" w:eastAsia="en-IN"/>
        </w:rPr>
        <w:t>In January 2018, despite Japan’s strong growth indicators suggesting an end to over two decades of stag</w:t>
      </w:r>
      <w:r w:rsidR="00F74010" w:rsidRPr="004D7F49">
        <w:rPr>
          <w:lang w:val="en-GB" w:eastAsia="en-IN"/>
        </w:rPr>
        <w:t>nation</w:t>
      </w:r>
      <w:r w:rsidRPr="004D7F49">
        <w:rPr>
          <w:lang w:val="en-GB" w:eastAsia="en-IN"/>
        </w:rPr>
        <w:t xml:space="preserve">, headline inflation continued to remain under </w:t>
      </w:r>
      <w:r w:rsidR="00F83191" w:rsidRPr="004D7F49">
        <w:rPr>
          <w:lang w:val="en-GB" w:eastAsia="en-IN"/>
        </w:rPr>
        <w:t>1</w:t>
      </w:r>
      <w:r w:rsidRPr="004D7F49">
        <w:rPr>
          <w:lang w:val="en-GB" w:eastAsia="en-IN"/>
        </w:rPr>
        <w:t xml:space="preserve"> per</w:t>
      </w:r>
      <w:r w:rsidR="00724588" w:rsidRPr="004D7F49">
        <w:rPr>
          <w:lang w:val="en-GB" w:eastAsia="en-IN"/>
        </w:rPr>
        <w:t xml:space="preserve"> </w:t>
      </w:r>
      <w:r w:rsidRPr="004D7F49">
        <w:rPr>
          <w:lang w:val="en-GB" w:eastAsia="en-IN"/>
        </w:rPr>
        <w:t xml:space="preserve">cent. Five years into monetary easing, </w:t>
      </w:r>
      <w:r w:rsidR="00885248" w:rsidRPr="004D7F49">
        <w:rPr>
          <w:lang w:val="en-GB" w:eastAsia="en-IN"/>
        </w:rPr>
        <w:t xml:space="preserve">with the </w:t>
      </w:r>
      <w:r w:rsidR="00897156" w:rsidRPr="004D7F49">
        <w:rPr>
          <w:rFonts w:eastAsia="Calibri"/>
          <w:lang w:val="en-GB"/>
        </w:rPr>
        <w:t>BoJ</w:t>
      </w:r>
      <w:r w:rsidR="00885248" w:rsidRPr="004D7F49">
        <w:rPr>
          <w:lang w:val="en-GB" w:eastAsia="en-IN"/>
        </w:rPr>
        <w:t>’s balance sheet already standing at 96 per cent of Japan</w:t>
      </w:r>
      <w:r w:rsidR="00F83191" w:rsidRPr="004D7F49">
        <w:rPr>
          <w:lang w:val="en-GB" w:eastAsia="en-IN"/>
        </w:rPr>
        <w:t>’s</w:t>
      </w:r>
      <w:r w:rsidR="00885248" w:rsidRPr="004D7F49">
        <w:rPr>
          <w:lang w:val="en-GB" w:eastAsia="en-IN"/>
        </w:rPr>
        <w:t xml:space="preserve"> GDP</w:t>
      </w:r>
      <w:r w:rsidR="00663564" w:rsidRPr="004D7F49">
        <w:rPr>
          <w:lang w:val="en-GB" w:eastAsia="en-IN"/>
        </w:rPr>
        <w:t>,</w:t>
      </w:r>
      <w:r w:rsidR="0004607E" w:rsidRPr="004D7F49">
        <w:rPr>
          <w:lang w:val="en-GB" w:eastAsia="en-IN"/>
        </w:rPr>
        <w:t xml:space="preserve"> </w:t>
      </w:r>
      <w:r w:rsidR="00724588" w:rsidRPr="004D7F49">
        <w:rPr>
          <w:lang w:val="en-GB" w:eastAsia="en-IN"/>
        </w:rPr>
        <w:t>the p</w:t>
      </w:r>
      <w:r w:rsidR="00AC1DAB" w:rsidRPr="004D7F49">
        <w:rPr>
          <w:lang w:val="en-GB" w:eastAsia="en-IN"/>
        </w:rPr>
        <w:t xml:space="preserve">olicy </w:t>
      </w:r>
      <w:r w:rsidR="00724588" w:rsidRPr="004D7F49">
        <w:rPr>
          <w:lang w:val="en-GB" w:eastAsia="en-IN"/>
        </w:rPr>
        <w:t>b</w:t>
      </w:r>
      <w:r w:rsidR="00AC1DAB" w:rsidRPr="004D7F49">
        <w:rPr>
          <w:lang w:val="en-GB" w:eastAsia="en-IN"/>
        </w:rPr>
        <w:t xml:space="preserve">oard of the </w:t>
      </w:r>
      <w:r w:rsidR="00897156" w:rsidRPr="004D7F49">
        <w:rPr>
          <w:rFonts w:eastAsia="Calibri"/>
          <w:lang w:val="en-GB"/>
        </w:rPr>
        <w:t>BoJ</w:t>
      </w:r>
      <w:r w:rsidR="00AC1DAB" w:rsidRPr="004D7F49">
        <w:rPr>
          <w:lang w:val="en-GB" w:eastAsia="en-IN"/>
        </w:rPr>
        <w:t xml:space="preserve"> had to consider whether </w:t>
      </w:r>
      <w:r w:rsidR="00885248" w:rsidRPr="004D7F49">
        <w:rPr>
          <w:lang w:val="en-GB" w:eastAsia="en-IN"/>
        </w:rPr>
        <w:t>the monetary stimulus</w:t>
      </w:r>
      <w:r w:rsidR="003D448D" w:rsidRPr="004D7F49">
        <w:rPr>
          <w:lang w:val="en-GB" w:eastAsia="en-IN"/>
        </w:rPr>
        <w:t xml:space="preserve"> was</w:t>
      </w:r>
      <w:r w:rsidR="00885248" w:rsidRPr="004D7F49">
        <w:rPr>
          <w:lang w:val="en-GB" w:eastAsia="en-IN"/>
        </w:rPr>
        <w:t xml:space="preserve"> doing more </w:t>
      </w:r>
      <w:r w:rsidR="00295E9A" w:rsidRPr="004D7F49">
        <w:rPr>
          <w:lang w:val="en-GB" w:eastAsia="en-IN"/>
        </w:rPr>
        <w:t>harm</w:t>
      </w:r>
      <w:r w:rsidR="00885248" w:rsidRPr="004D7F49">
        <w:rPr>
          <w:lang w:val="en-GB" w:eastAsia="en-IN"/>
        </w:rPr>
        <w:t xml:space="preserve"> than good</w:t>
      </w:r>
      <w:r w:rsidR="00F83191" w:rsidRPr="004D7F49">
        <w:rPr>
          <w:lang w:val="en-GB" w:eastAsia="en-IN"/>
        </w:rPr>
        <w:t>.</w:t>
      </w:r>
      <w:r w:rsidR="00F40180">
        <w:rPr>
          <w:rStyle w:val="EndnoteReference"/>
          <w:lang w:val="en-GB" w:eastAsia="en-IN"/>
        </w:rPr>
        <w:endnoteReference w:id="64"/>
      </w:r>
      <w:r w:rsidR="00F40180">
        <w:rPr>
          <w:lang w:val="en-GB" w:eastAsia="en-IN"/>
        </w:rPr>
        <w:t xml:space="preserve"> </w:t>
      </w:r>
      <w:r w:rsidR="00EF44BA" w:rsidRPr="004D7F49">
        <w:rPr>
          <w:lang w:val="en-GB" w:eastAsia="en-IN"/>
        </w:rPr>
        <w:t>W</w:t>
      </w:r>
      <w:r w:rsidR="00885248" w:rsidRPr="004D7F49">
        <w:rPr>
          <w:rFonts w:eastAsia="Calibri"/>
          <w:lang w:val="en-GB"/>
        </w:rPr>
        <w:t>as it time for Japan to end its monetary stimulus?</w:t>
      </w:r>
      <w:r w:rsidR="00EF44BA" w:rsidRPr="004D7F49">
        <w:rPr>
          <w:rFonts w:eastAsia="Calibri"/>
          <w:lang w:val="en-GB"/>
        </w:rPr>
        <w:t xml:space="preserve"> </w:t>
      </w:r>
      <w:r w:rsidRPr="004D7F49">
        <w:rPr>
          <w:lang w:val="en-GB"/>
        </w:rPr>
        <w:br w:type="page"/>
      </w:r>
    </w:p>
    <w:p w14:paraId="0C71E55A" w14:textId="77777777" w:rsidR="00DF5A71" w:rsidRPr="004D7F49" w:rsidRDefault="00DF5A71" w:rsidP="00263C98">
      <w:pPr>
        <w:pStyle w:val="ExhibitHeading"/>
        <w:outlineLvl w:val="0"/>
        <w:rPr>
          <w:rFonts w:eastAsia="Calibri"/>
          <w:lang w:val="en-GB"/>
        </w:rPr>
      </w:pPr>
      <w:r w:rsidRPr="004D7F49">
        <w:rPr>
          <w:rFonts w:eastAsia="Calibri"/>
          <w:lang w:val="en-GB"/>
        </w:rPr>
        <w:lastRenderedPageBreak/>
        <w:t>EXHIBIT 1: GLOSSARY OF TERMS</w:t>
      </w:r>
    </w:p>
    <w:p w14:paraId="0878599B" w14:textId="77777777" w:rsidR="00DF5A71" w:rsidRPr="004D7F49" w:rsidRDefault="00DF5A71" w:rsidP="00922129">
      <w:pPr>
        <w:pStyle w:val="ExhibitText"/>
        <w:rPr>
          <w:rFonts w:eastAsia="Calibri"/>
          <w:lang w:val="en-GB"/>
        </w:rPr>
      </w:pPr>
    </w:p>
    <w:tbl>
      <w:tblPr>
        <w:tblStyle w:val="TableGrid1"/>
        <w:tblW w:w="0" w:type="auto"/>
        <w:jc w:val="center"/>
        <w:tblLook w:val="04A0" w:firstRow="1" w:lastRow="0" w:firstColumn="1" w:lastColumn="0" w:noHBand="0" w:noVBand="1"/>
      </w:tblPr>
      <w:tblGrid>
        <w:gridCol w:w="2317"/>
        <w:gridCol w:w="6948"/>
      </w:tblGrid>
      <w:tr w:rsidR="00DF5A71" w:rsidRPr="004D7F49" w14:paraId="6699DCFA" w14:textId="77777777" w:rsidTr="00367CAE">
        <w:trPr>
          <w:cantSplit/>
          <w:jc w:val="center"/>
        </w:trPr>
        <w:tc>
          <w:tcPr>
            <w:tcW w:w="2317" w:type="dxa"/>
            <w:vAlign w:val="center"/>
          </w:tcPr>
          <w:p w14:paraId="0C1253B9" w14:textId="77777777" w:rsidR="00DF5A71" w:rsidRPr="004D7F49" w:rsidRDefault="00DF5A71" w:rsidP="00FA2BD1">
            <w:pPr>
              <w:jc w:val="center"/>
              <w:rPr>
                <w:rFonts w:ascii="Arial" w:eastAsia="Calibri" w:hAnsi="Arial" w:cs="Arial"/>
                <w:b/>
                <w:sz w:val="18"/>
                <w:szCs w:val="18"/>
              </w:rPr>
            </w:pPr>
            <w:r w:rsidRPr="004D7F49">
              <w:rPr>
                <w:rFonts w:ascii="Arial" w:eastAsia="Calibri" w:hAnsi="Arial" w:cs="Arial"/>
                <w:b/>
                <w:sz w:val="18"/>
                <w:szCs w:val="18"/>
              </w:rPr>
              <w:t>Term</w:t>
            </w:r>
          </w:p>
        </w:tc>
        <w:tc>
          <w:tcPr>
            <w:tcW w:w="6948" w:type="dxa"/>
            <w:vAlign w:val="center"/>
          </w:tcPr>
          <w:p w14:paraId="36228D77" w14:textId="77777777" w:rsidR="00DF5A71" w:rsidRPr="004D7F49" w:rsidRDefault="00DF5A71" w:rsidP="00922129">
            <w:pPr>
              <w:jc w:val="center"/>
              <w:rPr>
                <w:rFonts w:ascii="Arial" w:eastAsia="Calibri" w:hAnsi="Arial" w:cs="Arial"/>
                <w:b/>
                <w:sz w:val="18"/>
                <w:szCs w:val="18"/>
              </w:rPr>
            </w:pPr>
            <w:r w:rsidRPr="004D7F49">
              <w:rPr>
                <w:rFonts w:ascii="Arial" w:eastAsia="Calibri" w:hAnsi="Arial" w:cs="Arial"/>
                <w:b/>
                <w:sz w:val="18"/>
                <w:szCs w:val="18"/>
              </w:rPr>
              <w:t>Meaning</w:t>
            </w:r>
          </w:p>
        </w:tc>
      </w:tr>
      <w:tr w:rsidR="00DF5A71" w:rsidRPr="004D7F49" w14:paraId="4B3475F1" w14:textId="77777777" w:rsidTr="00367CAE">
        <w:trPr>
          <w:cantSplit/>
          <w:jc w:val="center"/>
        </w:trPr>
        <w:tc>
          <w:tcPr>
            <w:tcW w:w="2317" w:type="dxa"/>
            <w:vAlign w:val="center"/>
          </w:tcPr>
          <w:p w14:paraId="37BF5F5A"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Abenomics</w:t>
            </w:r>
          </w:p>
        </w:tc>
        <w:tc>
          <w:tcPr>
            <w:tcW w:w="6948" w:type="dxa"/>
          </w:tcPr>
          <w:p w14:paraId="43B9D530" w14:textId="5BBC771C" w:rsidR="00DF5A71" w:rsidRPr="004D7F49" w:rsidRDefault="00F83191" w:rsidP="00F83191">
            <w:pPr>
              <w:jc w:val="both"/>
              <w:rPr>
                <w:rFonts w:ascii="Arial" w:eastAsia="Calibri" w:hAnsi="Arial" w:cs="Arial"/>
                <w:sz w:val="18"/>
                <w:szCs w:val="18"/>
              </w:rPr>
            </w:pPr>
            <w:r w:rsidRPr="004D7F49">
              <w:rPr>
                <w:rFonts w:ascii="Arial" w:eastAsia="Calibri" w:hAnsi="Arial" w:cs="Arial"/>
                <w:sz w:val="18"/>
                <w:szCs w:val="18"/>
              </w:rPr>
              <w:t>This</w:t>
            </w:r>
            <w:r w:rsidR="00DF5A71" w:rsidRPr="004D7F49">
              <w:rPr>
                <w:rFonts w:ascii="Arial" w:eastAsia="Calibri" w:hAnsi="Arial" w:cs="Arial"/>
                <w:sz w:val="18"/>
                <w:szCs w:val="18"/>
              </w:rPr>
              <w:t xml:space="preserve"> refers to </w:t>
            </w:r>
            <w:r w:rsidRPr="004D7F49">
              <w:rPr>
                <w:rFonts w:ascii="Arial" w:eastAsia="Calibri" w:hAnsi="Arial" w:cs="Arial"/>
                <w:sz w:val="18"/>
                <w:szCs w:val="18"/>
              </w:rPr>
              <w:t>the</w:t>
            </w:r>
            <w:r w:rsidR="00DF5A71" w:rsidRPr="004D7F49">
              <w:rPr>
                <w:rFonts w:ascii="Arial" w:eastAsia="Calibri" w:hAnsi="Arial" w:cs="Arial"/>
                <w:sz w:val="18"/>
                <w:szCs w:val="18"/>
              </w:rPr>
              <w:t xml:space="preserve"> comprehensive economic policy package unveiled by Prime Minister Shinzo Abe in early 2013 as a means to </w:t>
            </w:r>
            <w:r w:rsidRPr="004D7F49">
              <w:rPr>
                <w:rFonts w:ascii="Arial" w:eastAsia="Calibri" w:hAnsi="Arial" w:cs="Arial"/>
                <w:sz w:val="18"/>
                <w:szCs w:val="18"/>
              </w:rPr>
              <w:t xml:space="preserve">sustainably </w:t>
            </w:r>
            <w:r w:rsidR="00DF5A71" w:rsidRPr="004D7F49">
              <w:rPr>
                <w:rFonts w:ascii="Arial" w:eastAsia="Calibri" w:hAnsi="Arial" w:cs="Arial"/>
                <w:sz w:val="18"/>
                <w:szCs w:val="18"/>
              </w:rPr>
              <w:t>revive the Japanese economy</w:t>
            </w:r>
            <w:r w:rsidR="00261598" w:rsidRPr="004D7F49">
              <w:rPr>
                <w:rFonts w:ascii="Arial" w:eastAsia="Calibri" w:hAnsi="Arial" w:cs="Arial"/>
                <w:sz w:val="18"/>
                <w:szCs w:val="18"/>
              </w:rPr>
              <w:t xml:space="preserve">, </w:t>
            </w:r>
            <w:r w:rsidR="00DF5A71" w:rsidRPr="004D7F49">
              <w:rPr>
                <w:rFonts w:ascii="Arial" w:eastAsia="Calibri" w:hAnsi="Arial" w:cs="Arial"/>
                <w:sz w:val="18"/>
                <w:szCs w:val="18"/>
              </w:rPr>
              <w:t xml:space="preserve">which had gone through two </w:t>
            </w:r>
            <w:r w:rsidR="00261598" w:rsidRPr="004D7F49">
              <w:rPr>
                <w:rFonts w:ascii="Arial" w:eastAsia="Calibri" w:hAnsi="Arial" w:cs="Arial"/>
                <w:sz w:val="18"/>
                <w:szCs w:val="18"/>
              </w:rPr>
              <w:t>decades of economic stagflation,</w:t>
            </w:r>
            <w:r w:rsidR="00DF5A71" w:rsidRPr="004D7F49">
              <w:rPr>
                <w:rFonts w:ascii="Arial" w:eastAsia="Calibri" w:hAnsi="Arial" w:cs="Arial"/>
                <w:sz w:val="18"/>
                <w:szCs w:val="18"/>
              </w:rPr>
              <w:t xml:space="preserve"> while at the same time maintaining fiscal discipline. The cent</w:t>
            </w:r>
            <w:r w:rsidRPr="004D7F49">
              <w:rPr>
                <w:rFonts w:ascii="Arial" w:eastAsia="Calibri" w:hAnsi="Arial" w:cs="Arial"/>
                <w:sz w:val="18"/>
                <w:szCs w:val="18"/>
              </w:rPr>
              <w:t>r</w:t>
            </w:r>
            <w:r w:rsidR="00DF5A71" w:rsidRPr="004D7F49">
              <w:rPr>
                <w:rFonts w:ascii="Arial" w:eastAsia="Calibri" w:hAnsi="Arial" w:cs="Arial"/>
                <w:sz w:val="18"/>
                <w:szCs w:val="18"/>
              </w:rPr>
              <w:t xml:space="preserve">epiece of </w:t>
            </w:r>
            <w:r w:rsidR="00DF5A71" w:rsidRPr="004D7F49">
              <w:rPr>
                <w:rFonts w:ascii="Arial" w:eastAsia="Calibri" w:hAnsi="Arial" w:cs="Arial"/>
                <w:bCs/>
                <w:sz w:val="18"/>
                <w:szCs w:val="18"/>
              </w:rPr>
              <w:t>Abenomics ha</w:t>
            </w:r>
            <w:r w:rsidRPr="004D7F49">
              <w:rPr>
                <w:rFonts w:ascii="Arial" w:eastAsia="Calibri" w:hAnsi="Arial" w:cs="Arial"/>
                <w:bCs/>
                <w:sz w:val="18"/>
                <w:szCs w:val="18"/>
              </w:rPr>
              <w:t>s</w:t>
            </w:r>
            <w:r w:rsidR="00DF5A71" w:rsidRPr="004D7F49">
              <w:rPr>
                <w:rFonts w:ascii="Arial" w:eastAsia="Calibri" w:hAnsi="Arial" w:cs="Arial"/>
                <w:bCs/>
                <w:sz w:val="18"/>
                <w:szCs w:val="18"/>
              </w:rPr>
              <w:t xml:space="preserve"> been the three “policy arrows”</w:t>
            </w:r>
            <w:r w:rsidRPr="004D7F49">
              <w:rPr>
                <w:rFonts w:ascii="Arial" w:eastAsia="Calibri" w:hAnsi="Arial" w:cs="Arial"/>
                <w:bCs/>
                <w:sz w:val="18"/>
                <w:szCs w:val="18"/>
              </w:rPr>
              <w:t>—</w:t>
            </w:r>
            <w:r w:rsidR="00DF5A71" w:rsidRPr="004D7F49">
              <w:rPr>
                <w:rFonts w:ascii="Arial" w:eastAsia="Calibri" w:hAnsi="Arial" w:cs="Arial"/>
                <w:bCs/>
                <w:sz w:val="18"/>
                <w:szCs w:val="18"/>
              </w:rPr>
              <w:t>aggressive monetary policy, flexible fiscal policy</w:t>
            </w:r>
            <w:r w:rsidR="00724588" w:rsidRPr="004D7F49">
              <w:rPr>
                <w:rFonts w:ascii="Arial" w:eastAsia="Calibri" w:hAnsi="Arial" w:cs="Arial"/>
                <w:bCs/>
                <w:sz w:val="18"/>
                <w:szCs w:val="18"/>
              </w:rPr>
              <w:t>,</w:t>
            </w:r>
            <w:r w:rsidR="00DF5A71" w:rsidRPr="004D7F49">
              <w:rPr>
                <w:rFonts w:ascii="Arial" w:eastAsia="Calibri" w:hAnsi="Arial" w:cs="Arial"/>
                <w:bCs/>
                <w:sz w:val="18"/>
                <w:szCs w:val="18"/>
              </w:rPr>
              <w:t xml:space="preserve"> and growth strategy including structural reform.</w:t>
            </w:r>
          </w:p>
        </w:tc>
      </w:tr>
      <w:tr w:rsidR="00DF5A71" w:rsidRPr="004D7F49" w14:paraId="76431F1A" w14:textId="77777777" w:rsidTr="00367CAE">
        <w:trPr>
          <w:cantSplit/>
          <w:jc w:val="center"/>
        </w:trPr>
        <w:tc>
          <w:tcPr>
            <w:tcW w:w="2317" w:type="dxa"/>
            <w:vAlign w:val="center"/>
          </w:tcPr>
          <w:p w14:paraId="491DCC43" w14:textId="68326355"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Commercial Paper</w:t>
            </w:r>
          </w:p>
        </w:tc>
        <w:tc>
          <w:tcPr>
            <w:tcW w:w="6948" w:type="dxa"/>
          </w:tcPr>
          <w:p w14:paraId="17320DAB" w14:textId="40A9B76A" w:rsidR="00DF5A71" w:rsidRPr="004D7F49" w:rsidRDefault="00DF5A71" w:rsidP="00DF5A71">
            <w:pPr>
              <w:jc w:val="both"/>
              <w:rPr>
                <w:rFonts w:ascii="Arial" w:eastAsia="Calibri" w:hAnsi="Arial" w:cs="Arial"/>
                <w:sz w:val="18"/>
                <w:szCs w:val="18"/>
              </w:rPr>
            </w:pPr>
            <w:r w:rsidRPr="004D7F49">
              <w:rPr>
                <w:rFonts w:ascii="Arial" w:eastAsia="Calibri" w:hAnsi="Arial" w:cs="Arial"/>
                <w:sz w:val="18"/>
                <w:szCs w:val="18"/>
              </w:rPr>
              <w:t>Short-term</w:t>
            </w:r>
            <w:r w:rsidR="00367CAE">
              <w:rPr>
                <w:rFonts w:ascii="Arial" w:eastAsia="Calibri" w:hAnsi="Arial" w:cs="Arial"/>
                <w:sz w:val="18"/>
                <w:szCs w:val="18"/>
              </w:rPr>
              <w:t>,</w:t>
            </w:r>
            <w:r w:rsidRPr="004D7F49">
              <w:rPr>
                <w:rFonts w:ascii="Arial" w:eastAsia="Calibri" w:hAnsi="Arial" w:cs="Arial"/>
                <w:sz w:val="18"/>
                <w:szCs w:val="18"/>
              </w:rPr>
              <w:t xml:space="preserve"> unsecured debt instrument (promissory notes) issued by companies</w:t>
            </w:r>
            <w:r w:rsidR="00F83191" w:rsidRPr="004D7F49">
              <w:rPr>
                <w:rFonts w:ascii="Arial" w:eastAsia="Calibri" w:hAnsi="Arial" w:cs="Arial"/>
                <w:sz w:val="18"/>
                <w:szCs w:val="18"/>
              </w:rPr>
              <w:t>.</w:t>
            </w:r>
          </w:p>
        </w:tc>
      </w:tr>
      <w:tr w:rsidR="00DF5A71" w:rsidRPr="004D7F49" w14:paraId="4413448B" w14:textId="77777777" w:rsidTr="00367CAE">
        <w:trPr>
          <w:cantSplit/>
          <w:jc w:val="center"/>
        </w:trPr>
        <w:tc>
          <w:tcPr>
            <w:tcW w:w="2317" w:type="dxa"/>
            <w:vAlign w:val="center"/>
          </w:tcPr>
          <w:p w14:paraId="080D1B50"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Deflation</w:t>
            </w:r>
          </w:p>
        </w:tc>
        <w:tc>
          <w:tcPr>
            <w:tcW w:w="6948" w:type="dxa"/>
          </w:tcPr>
          <w:p w14:paraId="79DD9111" w14:textId="0BE1A5C9" w:rsidR="00DF5A71" w:rsidRPr="004D7F49" w:rsidRDefault="00DF5A71" w:rsidP="00DF5A71">
            <w:pPr>
              <w:jc w:val="both"/>
              <w:rPr>
                <w:rFonts w:ascii="Arial" w:eastAsia="Calibri" w:hAnsi="Arial" w:cs="Arial"/>
                <w:sz w:val="18"/>
                <w:szCs w:val="18"/>
              </w:rPr>
            </w:pPr>
            <w:r w:rsidRPr="004D7F49">
              <w:rPr>
                <w:rFonts w:ascii="Arial" w:eastAsia="Calibri" w:hAnsi="Arial" w:cs="Arial"/>
                <w:sz w:val="18"/>
                <w:szCs w:val="18"/>
              </w:rPr>
              <w:t>The phenomenon of a continuous and sustained fall in the level of prices in the economy</w:t>
            </w:r>
            <w:r w:rsidR="00F83191" w:rsidRPr="004D7F49">
              <w:rPr>
                <w:rFonts w:ascii="Arial" w:eastAsia="Calibri" w:hAnsi="Arial" w:cs="Arial"/>
                <w:sz w:val="18"/>
                <w:szCs w:val="18"/>
              </w:rPr>
              <w:t>.</w:t>
            </w:r>
          </w:p>
        </w:tc>
      </w:tr>
      <w:tr w:rsidR="00DF5A71" w:rsidRPr="004D7F49" w14:paraId="71BED0B4" w14:textId="77777777" w:rsidTr="00367CAE">
        <w:trPr>
          <w:cantSplit/>
          <w:jc w:val="center"/>
        </w:trPr>
        <w:tc>
          <w:tcPr>
            <w:tcW w:w="2317" w:type="dxa"/>
            <w:vAlign w:val="center"/>
          </w:tcPr>
          <w:p w14:paraId="32395CA4"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Forward Guidance</w:t>
            </w:r>
          </w:p>
        </w:tc>
        <w:tc>
          <w:tcPr>
            <w:tcW w:w="6948" w:type="dxa"/>
          </w:tcPr>
          <w:p w14:paraId="5DA3D8BE" w14:textId="25F077E4" w:rsidR="00DF5A71" w:rsidRPr="004D7F49" w:rsidRDefault="00F83191" w:rsidP="00367CAE">
            <w:pPr>
              <w:jc w:val="both"/>
              <w:rPr>
                <w:rFonts w:ascii="Arial" w:eastAsia="Calibri" w:hAnsi="Arial" w:cs="Arial"/>
                <w:sz w:val="18"/>
                <w:szCs w:val="18"/>
              </w:rPr>
            </w:pPr>
            <w:r w:rsidRPr="004D7F49">
              <w:rPr>
                <w:rFonts w:ascii="Arial" w:eastAsia="Calibri" w:hAnsi="Arial" w:cs="Arial"/>
                <w:sz w:val="18"/>
                <w:szCs w:val="18"/>
              </w:rPr>
              <w:t>This r</w:t>
            </w:r>
            <w:r w:rsidR="00DF5A71" w:rsidRPr="004D7F49">
              <w:rPr>
                <w:rFonts w:ascii="Arial" w:eastAsia="Calibri" w:hAnsi="Arial" w:cs="Arial"/>
                <w:sz w:val="18"/>
                <w:szCs w:val="18"/>
              </w:rPr>
              <w:t>efers to the central bank providing information about its future monetary policy intentions based on its outlook for price stability. If, based on its current and future economic outlook, the central bank w</w:t>
            </w:r>
            <w:r w:rsidRPr="004D7F49">
              <w:rPr>
                <w:rFonts w:ascii="Arial" w:eastAsia="Calibri" w:hAnsi="Arial" w:cs="Arial"/>
                <w:sz w:val="18"/>
                <w:szCs w:val="18"/>
              </w:rPr>
              <w:t>ere</w:t>
            </w:r>
            <w:r w:rsidR="00DF5A71" w:rsidRPr="004D7F49">
              <w:rPr>
                <w:rFonts w:ascii="Arial" w:eastAsia="Calibri" w:hAnsi="Arial" w:cs="Arial"/>
                <w:sz w:val="18"/>
                <w:szCs w:val="18"/>
              </w:rPr>
              <w:t xml:space="preserve"> to announce its future monetary policy intentions of keeping key interest rates low, commercial banks would keep long-term interest rates low as well, </w:t>
            </w:r>
            <w:r w:rsidR="00A04953">
              <w:rPr>
                <w:rFonts w:ascii="Arial" w:eastAsia="Calibri" w:hAnsi="Arial" w:cs="Arial"/>
                <w:sz w:val="18"/>
                <w:szCs w:val="18"/>
              </w:rPr>
              <w:t>as</w:t>
            </w:r>
            <w:r w:rsidR="00DF5A71" w:rsidRPr="004D7F49">
              <w:rPr>
                <w:rFonts w:ascii="Arial" w:eastAsia="Calibri" w:hAnsi="Arial" w:cs="Arial"/>
                <w:sz w:val="18"/>
                <w:szCs w:val="18"/>
              </w:rPr>
              <w:t xml:space="preserve"> they </w:t>
            </w:r>
            <w:r w:rsidR="00367CAE">
              <w:rPr>
                <w:rFonts w:ascii="Arial" w:eastAsia="Calibri" w:hAnsi="Arial" w:cs="Arial"/>
                <w:sz w:val="18"/>
                <w:szCs w:val="18"/>
              </w:rPr>
              <w:t xml:space="preserve">would </w:t>
            </w:r>
            <w:r w:rsidR="00DF5A71" w:rsidRPr="004D7F49">
              <w:rPr>
                <w:rFonts w:ascii="Arial" w:eastAsia="Calibri" w:hAnsi="Arial" w:cs="Arial"/>
                <w:sz w:val="18"/>
                <w:szCs w:val="18"/>
              </w:rPr>
              <w:t xml:space="preserve">know </w:t>
            </w:r>
            <w:r w:rsidR="00367CAE">
              <w:rPr>
                <w:rFonts w:ascii="Arial" w:eastAsia="Calibri" w:hAnsi="Arial" w:cs="Arial"/>
                <w:sz w:val="18"/>
                <w:szCs w:val="18"/>
              </w:rPr>
              <w:t>that they could</w:t>
            </w:r>
            <w:r w:rsidR="00DF5A71" w:rsidRPr="004D7F49">
              <w:rPr>
                <w:rFonts w:ascii="Arial" w:eastAsia="Calibri" w:hAnsi="Arial" w:cs="Arial"/>
                <w:sz w:val="18"/>
                <w:szCs w:val="18"/>
              </w:rPr>
              <w:t xml:space="preserve"> borrow from the central bank in case of shortage. This, in turn, </w:t>
            </w:r>
            <w:r w:rsidR="00367CAE">
              <w:rPr>
                <w:rFonts w:ascii="Arial" w:eastAsia="Calibri" w:hAnsi="Arial" w:cs="Arial"/>
                <w:sz w:val="18"/>
                <w:szCs w:val="18"/>
              </w:rPr>
              <w:t>would</w:t>
            </w:r>
            <w:r w:rsidR="00DF5A71" w:rsidRPr="004D7F49">
              <w:rPr>
                <w:rFonts w:ascii="Arial" w:eastAsia="Calibri" w:hAnsi="Arial" w:cs="Arial"/>
                <w:sz w:val="18"/>
                <w:szCs w:val="18"/>
              </w:rPr>
              <w:t xml:space="preserve"> encourage businesses to invest and individuals to spend through borrowings and will stimulate economic activity. It </w:t>
            </w:r>
            <w:r w:rsidR="00367CAE">
              <w:rPr>
                <w:rFonts w:ascii="Arial" w:eastAsia="Calibri" w:hAnsi="Arial" w:cs="Arial"/>
                <w:sz w:val="18"/>
                <w:szCs w:val="18"/>
              </w:rPr>
              <w:t>would</w:t>
            </w:r>
            <w:r w:rsidR="00DF5A71" w:rsidRPr="004D7F49">
              <w:rPr>
                <w:rFonts w:ascii="Arial" w:eastAsia="Calibri" w:hAnsi="Arial" w:cs="Arial"/>
                <w:sz w:val="18"/>
                <w:szCs w:val="18"/>
              </w:rPr>
              <w:t xml:space="preserve"> also bring inflation in line with the </w:t>
            </w:r>
            <w:r w:rsidR="0055499D">
              <w:rPr>
                <w:rFonts w:ascii="Arial" w:eastAsia="Calibri" w:hAnsi="Arial" w:cs="Arial"/>
                <w:sz w:val="18"/>
                <w:szCs w:val="18"/>
              </w:rPr>
              <w:t>price-stability</w:t>
            </w:r>
            <w:r w:rsidR="00DF5A71" w:rsidRPr="004D7F49">
              <w:rPr>
                <w:rFonts w:ascii="Arial" w:eastAsia="Calibri" w:hAnsi="Arial" w:cs="Arial"/>
                <w:sz w:val="18"/>
                <w:szCs w:val="18"/>
              </w:rPr>
              <w:t xml:space="preserve"> objectives.</w:t>
            </w:r>
          </w:p>
        </w:tc>
      </w:tr>
      <w:tr w:rsidR="00DF5A71" w:rsidRPr="004D7F49" w14:paraId="2ECB49BC" w14:textId="77777777" w:rsidTr="00367CAE">
        <w:trPr>
          <w:cantSplit/>
          <w:jc w:val="center"/>
        </w:trPr>
        <w:tc>
          <w:tcPr>
            <w:tcW w:w="2317" w:type="dxa"/>
            <w:vAlign w:val="center"/>
          </w:tcPr>
          <w:p w14:paraId="405987DF"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Monetary Aggregates</w:t>
            </w:r>
          </w:p>
        </w:tc>
        <w:tc>
          <w:tcPr>
            <w:tcW w:w="6948" w:type="dxa"/>
            <w:shd w:val="clear" w:color="auto" w:fill="auto"/>
          </w:tcPr>
          <w:p w14:paraId="45BE40DD" w14:textId="4AB5CBCD" w:rsidR="00DF5A71" w:rsidRPr="004D7F49" w:rsidRDefault="00F83191" w:rsidP="00F83191">
            <w:pPr>
              <w:jc w:val="both"/>
              <w:rPr>
                <w:rFonts w:ascii="Arial" w:eastAsia="Calibri" w:hAnsi="Arial" w:cs="Arial"/>
                <w:sz w:val="18"/>
                <w:szCs w:val="18"/>
              </w:rPr>
            </w:pPr>
            <w:r w:rsidRPr="004D7F49">
              <w:rPr>
                <w:rFonts w:ascii="Arial" w:eastAsia="Calibri" w:hAnsi="Arial" w:cs="Arial"/>
                <w:sz w:val="18"/>
                <w:szCs w:val="18"/>
              </w:rPr>
              <w:t>This</w:t>
            </w:r>
            <w:r w:rsidR="00DF5A71" w:rsidRPr="004D7F49">
              <w:rPr>
                <w:rFonts w:ascii="Arial" w:eastAsia="Calibri" w:hAnsi="Arial" w:cs="Arial"/>
                <w:sz w:val="18"/>
                <w:szCs w:val="18"/>
              </w:rPr>
              <w:t xml:space="preserve"> is a measure of the amount of money in circulation within a country. Japan defines three monetary aggregates: M1= </w:t>
            </w:r>
            <w:r w:rsidRPr="004D7F49">
              <w:rPr>
                <w:rFonts w:ascii="Arial" w:eastAsia="Calibri" w:hAnsi="Arial" w:cs="Arial"/>
                <w:sz w:val="18"/>
                <w:szCs w:val="18"/>
              </w:rPr>
              <w:t>c</w:t>
            </w:r>
            <w:r w:rsidR="00DF5A71" w:rsidRPr="004D7F49">
              <w:rPr>
                <w:rFonts w:ascii="Arial" w:eastAsia="Calibri" w:hAnsi="Arial" w:cs="Arial"/>
                <w:sz w:val="18"/>
                <w:szCs w:val="18"/>
              </w:rPr>
              <w:t>urrency in circulation + deposi</w:t>
            </w:r>
            <w:r w:rsidR="00724588" w:rsidRPr="004D7F49">
              <w:rPr>
                <w:rFonts w:ascii="Arial" w:eastAsia="Calibri" w:hAnsi="Arial" w:cs="Arial"/>
                <w:sz w:val="18"/>
                <w:szCs w:val="18"/>
              </w:rPr>
              <w:t>t money (i.e.</w:t>
            </w:r>
            <w:r w:rsidRPr="004D7F49">
              <w:rPr>
                <w:rFonts w:ascii="Arial" w:eastAsia="Calibri" w:hAnsi="Arial" w:cs="Arial"/>
                <w:sz w:val="18"/>
                <w:szCs w:val="18"/>
              </w:rPr>
              <w:t>,</w:t>
            </w:r>
            <w:r w:rsidR="00724588" w:rsidRPr="004D7F49">
              <w:rPr>
                <w:rFonts w:ascii="Arial" w:eastAsia="Calibri" w:hAnsi="Arial" w:cs="Arial"/>
                <w:sz w:val="18"/>
                <w:szCs w:val="18"/>
              </w:rPr>
              <w:t xml:space="preserve"> demand deposits—</w:t>
            </w:r>
            <w:r w:rsidR="00DF5A71" w:rsidRPr="004D7F49">
              <w:rPr>
                <w:rFonts w:ascii="Arial" w:eastAsia="Calibri" w:hAnsi="Arial" w:cs="Arial"/>
                <w:sz w:val="18"/>
                <w:szCs w:val="18"/>
              </w:rPr>
              <w:t>cheques and notes held by financial institutions); M2</w:t>
            </w:r>
            <w:r w:rsidR="009F13C1">
              <w:rPr>
                <w:rFonts w:ascii="Arial" w:eastAsia="Calibri" w:hAnsi="Arial" w:cs="Arial"/>
                <w:sz w:val="18"/>
                <w:szCs w:val="18"/>
              </w:rPr>
              <w:t xml:space="preserve"> </w:t>
            </w:r>
            <w:r w:rsidR="00DF5A71" w:rsidRPr="004D7F49">
              <w:rPr>
                <w:rFonts w:ascii="Arial" w:eastAsia="Calibri" w:hAnsi="Arial" w:cs="Arial"/>
                <w:sz w:val="18"/>
                <w:szCs w:val="18"/>
              </w:rPr>
              <w:t xml:space="preserve">= M1 + </w:t>
            </w:r>
            <w:r w:rsidRPr="004D7F49">
              <w:rPr>
                <w:rFonts w:ascii="Arial" w:eastAsia="Calibri" w:hAnsi="Arial" w:cs="Arial"/>
                <w:sz w:val="18"/>
                <w:szCs w:val="18"/>
              </w:rPr>
              <w:t>q</w:t>
            </w:r>
            <w:r w:rsidR="00DF5A71" w:rsidRPr="004D7F49">
              <w:rPr>
                <w:rFonts w:ascii="Arial" w:eastAsia="Calibri" w:hAnsi="Arial" w:cs="Arial"/>
                <w:sz w:val="18"/>
                <w:szCs w:val="18"/>
              </w:rPr>
              <w:t>uasi-</w:t>
            </w:r>
            <w:r w:rsidRPr="004D7F49">
              <w:rPr>
                <w:rFonts w:ascii="Arial" w:eastAsia="Calibri" w:hAnsi="Arial" w:cs="Arial"/>
                <w:sz w:val="18"/>
                <w:szCs w:val="18"/>
              </w:rPr>
              <w:t>m</w:t>
            </w:r>
            <w:r w:rsidR="00DF5A71" w:rsidRPr="004D7F49">
              <w:rPr>
                <w:rFonts w:ascii="Arial" w:eastAsia="Calibri" w:hAnsi="Arial" w:cs="Arial"/>
                <w:sz w:val="18"/>
                <w:szCs w:val="18"/>
              </w:rPr>
              <w:t>oney (i.e.</w:t>
            </w:r>
            <w:r w:rsidRPr="004D7F49">
              <w:rPr>
                <w:rFonts w:ascii="Arial" w:eastAsia="Calibri" w:hAnsi="Arial" w:cs="Arial"/>
                <w:sz w:val="18"/>
                <w:szCs w:val="18"/>
              </w:rPr>
              <w:t>,</w:t>
            </w:r>
            <w:r w:rsidR="00DF5A71" w:rsidRPr="004D7F49">
              <w:rPr>
                <w:rFonts w:ascii="Arial" w:eastAsia="Calibri" w:hAnsi="Arial" w:cs="Arial"/>
                <w:sz w:val="18"/>
                <w:szCs w:val="18"/>
              </w:rPr>
              <w:t xml:space="preserve"> </w:t>
            </w:r>
            <w:r w:rsidR="00DF5A71" w:rsidRPr="00367CAE">
              <w:rPr>
                <w:rFonts w:ascii="Arial" w:eastAsia="Calibri" w:hAnsi="Arial" w:cs="Arial"/>
                <w:sz w:val="18"/>
                <w:szCs w:val="18"/>
              </w:rPr>
              <w:t xml:space="preserve">time deposits, fixed savings, instalment savings, and </w:t>
            </w:r>
            <w:r w:rsidR="009F13C1" w:rsidRPr="00367CAE">
              <w:rPr>
                <w:rFonts w:ascii="Arial" w:eastAsia="Calibri" w:hAnsi="Arial" w:cs="Arial"/>
                <w:sz w:val="18"/>
                <w:szCs w:val="18"/>
              </w:rPr>
              <w:t>foreign-currency</w:t>
            </w:r>
            <w:r w:rsidR="00DF5A71" w:rsidRPr="00367CAE">
              <w:rPr>
                <w:rFonts w:ascii="Arial" w:eastAsia="Calibri" w:hAnsi="Arial" w:cs="Arial"/>
                <w:sz w:val="18"/>
                <w:szCs w:val="18"/>
              </w:rPr>
              <w:t xml:space="preserve"> deposits) + CDs (certificates of deposit); M3</w:t>
            </w:r>
            <w:r w:rsidR="009F13C1" w:rsidRPr="00367CAE">
              <w:rPr>
                <w:rFonts w:ascii="Arial" w:eastAsia="Calibri" w:hAnsi="Arial" w:cs="Arial"/>
                <w:sz w:val="18"/>
                <w:szCs w:val="18"/>
              </w:rPr>
              <w:t xml:space="preserve"> </w:t>
            </w:r>
            <w:r w:rsidR="00DF5A71" w:rsidRPr="00367CAE">
              <w:rPr>
                <w:rFonts w:ascii="Arial" w:eastAsia="Calibri" w:hAnsi="Arial" w:cs="Arial"/>
                <w:sz w:val="18"/>
                <w:szCs w:val="18"/>
              </w:rPr>
              <w:t xml:space="preserve">= </w:t>
            </w:r>
            <w:r w:rsidRPr="00367CAE">
              <w:rPr>
                <w:rFonts w:ascii="Arial" w:eastAsia="Calibri" w:hAnsi="Arial" w:cs="Arial"/>
                <w:sz w:val="18"/>
                <w:szCs w:val="18"/>
              </w:rPr>
              <w:t>c</w:t>
            </w:r>
            <w:r w:rsidR="00DF5A71" w:rsidRPr="00367CAE">
              <w:rPr>
                <w:rFonts w:ascii="Arial" w:eastAsia="Calibri" w:hAnsi="Arial" w:cs="Arial"/>
                <w:sz w:val="18"/>
                <w:szCs w:val="18"/>
              </w:rPr>
              <w:t>urrency in circulation + deposits at depository institutions.</w:t>
            </w:r>
          </w:p>
        </w:tc>
      </w:tr>
      <w:tr w:rsidR="00DF5A71" w:rsidRPr="004D7F49" w14:paraId="4D6BF3E0" w14:textId="77777777" w:rsidTr="00367CAE">
        <w:trPr>
          <w:cantSplit/>
          <w:jc w:val="center"/>
        </w:trPr>
        <w:tc>
          <w:tcPr>
            <w:tcW w:w="2317" w:type="dxa"/>
            <w:vAlign w:val="center"/>
          </w:tcPr>
          <w:p w14:paraId="47D876E8"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Monetary Base</w:t>
            </w:r>
          </w:p>
        </w:tc>
        <w:tc>
          <w:tcPr>
            <w:tcW w:w="6948" w:type="dxa"/>
          </w:tcPr>
          <w:p w14:paraId="5656724E" w14:textId="1682CE30" w:rsidR="00DF5A71" w:rsidRPr="004D7F49" w:rsidRDefault="00DF5A71" w:rsidP="00F83191">
            <w:pPr>
              <w:jc w:val="both"/>
              <w:rPr>
                <w:rFonts w:ascii="Arial" w:eastAsia="Calibri" w:hAnsi="Arial" w:cs="Arial"/>
                <w:spacing w:val="-2"/>
                <w:sz w:val="18"/>
                <w:szCs w:val="18"/>
              </w:rPr>
            </w:pPr>
            <w:r w:rsidRPr="004D7F49">
              <w:rPr>
                <w:rFonts w:ascii="Arial" w:eastAsia="Calibri" w:hAnsi="Arial" w:cs="Arial"/>
                <w:spacing w:val="-2"/>
                <w:sz w:val="18"/>
                <w:szCs w:val="18"/>
              </w:rPr>
              <w:t>The sum of currency (banknotes and coins) in circulation plus banks’ current account balances at the B</w:t>
            </w:r>
            <w:r w:rsidR="00F83191" w:rsidRPr="004D7F49">
              <w:rPr>
                <w:rFonts w:ascii="Arial" w:eastAsia="Calibri" w:hAnsi="Arial" w:cs="Arial"/>
                <w:spacing w:val="-2"/>
                <w:sz w:val="18"/>
                <w:szCs w:val="18"/>
              </w:rPr>
              <w:t>o</w:t>
            </w:r>
            <w:r w:rsidRPr="004D7F49">
              <w:rPr>
                <w:rFonts w:ascii="Arial" w:eastAsia="Calibri" w:hAnsi="Arial" w:cs="Arial"/>
                <w:spacing w:val="-2"/>
                <w:sz w:val="18"/>
                <w:szCs w:val="18"/>
              </w:rPr>
              <w:t>J. An increase in either of these components on the central bank’s liability side would lead to an increase in the economy’s monetary base.</w:t>
            </w:r>
          </w:p>
        </w:tc>
      </w:tr>
      <w:tr w:rsidR="00DF5A71" w:rsidRPr="004D7F49" w14:paraId="7FF1E7AA" w14:textId="77777777" w:rsidTr="00367CAE">
        <w:trPr>
          <w:cantSplit/>
          <w:jc w:val="center"/>
        </w:trPr>
        <w:tc>
          <w:tcPr>
            <w:tcW w:w="2317" w:type="dxa"/>
            <w:vAlign w:val="center"/>
          </w:tcPr>
          <w:p w14:paraId="4177B489" w14:textId="1CDBABCE"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Official Discount Rate</w:t>
            </w:r>
            <w:r w:rsidR="00F83191" w:rsidRPr="004D7F49">
              <w:rPr>
                <w:rFonts w:ascii="Arial" w:eastAsia="Calibri" w:hAnsi="Arial" w:cs="Arial"/>
                <w:b/>
                <w:sz w:val="18"/>
                <w:szCs w:val="18"/>
              </w:rPr>
              <w:t xml:space="preserve"> (ODR)</w:t>
            </w:r>
          </w:p>
        </w:tc>
        <w:tc>
          <w:tcPr>
            <w:tcW w:w="6948" w:type="dxa"/>
          </w:tcPr>
          <w:p w14:paraId="2855D5A5" w14:textId="3B585A3B" w:rsidR="00DF5A71" w:rsidRPr="00586C3F" w:rsidRDefault="00DF5A71" w:rsidP="00F83191">
            <w:pPr>
              <w:jc w:val="both"/>
              <w:rPr>
                <w:rFonts w:ascii="Arial" w:eastAsia="Calibri" w:hAnsi="Arial" w:cs="Arial"/>
                <w:b/>
                <w:spacing w:val="-2"/>
                <w:kern w:val="18"/>
                <w:sz w:val="18"/>
                <w:szCs w:val="18"/>
              </w:rPr>
            </w:pPr>
            <w:r w:rsidRPr="00586C3F">
              <w:rPr>
                <w:rFonts w:ascii="Arial" w:eastAsia="Calibri" w:hAnsi="Arial" w:cs="Arial"/>
                <w:spacing w:val="-2"/>
                <w:kern w:val="18"/>
                <w:sz w:val="18"/>
                <w:szCs w:val="18"/>
              </w:rPr>
              <w:t>Th</w:t>
            </w:r>
            <w:r w:rsidR="00F83191" w:rsidRPr="00586C3F">
              <w:rPr>
                <w:rFonts w:ascii="Arial" w:eastAsia="Calibri" w:hAnsi="Arial" w:cs="Arial"/>
                <w:spacing w:val="-2"/>
                <w:kern w:val="18"/>
                <w:sz w:val="18"/>
                <w:szCs w:val="18"/>
              </w:rPr>
              <w:t>is</w:t>
            </w:r>
            <w:r w:rsidRPr="00586C3F">
              <w:rPr>
                <w:rFonts w:ascii="Arial" w:eastAsia="Calibri" w:hAnsi="Arial" w:cs="Arial"/>
                <w:spacing w:val="-2"/>
                <w:kern w:val="18"/>
                <w:sz w:val="18"/>
                <w:szCs w:val="18"/>
              </w:rPr>
              <w:t xml:space="preserve"> was the representative policy interest rate of the BoJ until 1994, which indicated the basic stance of the monetary policy. It was the rate at which the BoJ lent to financial institutions. In this period when interest rates were regulated, there was a basic link between the ODR and the various interest rates in the economy. Thus, a change in the ODR could be used to affect all other interest rates in the economy as well. With the deregulation of interest rates in 1994, the previous ODR began to be called the </w:t>
            </w:r>
            <w:r w:rsidR="00724588" w:rsidRPr="00586C3F">
              <w:rPr>
                <w:rFonts w:ascii="Arial" w:eastAsia="Calibri" w:hAnsi="Arial" w:cs="Arial"/>
                <w:spacing w:val="-2"/>
                <w:kern w:val="18"/>
                <w:sz w:val="18"/>
                <w:szCs w:val="18"/>
              </w:rPr>
              <w:t>b</w:t>
            </w:r>
            <w:r w:rsidRPr="00586C3F">
              <w:rPr>
                <w:rFonts w:ascii="Arial" w:eastAsia="Calibri" w:hAnsi="Arial" w:cs="Arial"/>
                <w:spacing w:val="-2"/>
                <w:kern w:val="18"/>
                <w:sz w:val="18"/>
                <w:szCs w:val="18"/>
              </w:rPr>
              <w:t xml:space="preserve">asic </w:t>
            </w:r>
            <w:r w:rsidR="00724588" w:rsidRPr="00586C3F">
              <w:rPr>
                <w:rFonts w:ascii="Arial" w:eastAsia="Calibri" w:hAnsi="Arial" w:cs="Arial"/>
                <w:spacing w:val="-2"/>
                <w:kern w:val="18"/>
                <w:sz w:val="18"/>
                <w:szCs w:val="18"/>
              </w:rPr>
              <w:t>l</w:t>
            </w:r>
            <w:r w:rsidR="00261598" w:rsidRPr="00586C3F">
              <w:rPr>
                <w:rFonts w:ascii="Arial" w:eastAsia="Calibri" w:hAnsi="Arial" w:cs="Arial"/>
                <w:spacing w:val="-2"/>
                <w:kern w:val="18"/>
                <w:sz w:val="18"/>
                <w:szCs w:val="18"/>
              </w:rPr>
              <w:t>oan rate,</w:t>
            </w:r>
            <w:r w:rsidRPr="00586C3F">
              <w:rPr>
                <w:rFonts w:ascii="Arial" w:eastAsia="Calibri" w:hAnsi="Arial" w:cs="Arial"/>
                <w:spacing w:val="-2"/>
                <w:kern w:val="18"/>
                <w:sz w:val="18"/>
                <w:szCs w:val="18"/>
              </w:rPr>
              <w:t xml:space="preserve"> the rate at which financial institutions could avail of the </w:t>
            </w:r>
            <w:r w:rsidR="00F83191" w:rsidRPr="00586C3F">
              <w:rPr>
                <w:rFonts w:ascii="Arial" w:eastAsia="Calibri" w:hAnsi="Arial" w:cs="Arial"/>
                <w:spacing w:val="-2"/>
                <w:kern w:val="18"/>
                <w:sz w:val="18"/>
                <w:szCs w:val="18"/>
              </w:rPr>
              <w:t>BoJ</w:t>
            </w:r>
            <w:r w:rsidRPr="00586C3F">
              <w:rPr>
                <w:rFonts w:ascii="Arial" w:eastAsia="Calibri" w:hAnsi="Arial" w:cs="Arial"/>
                <w:spacing w:val="-2"/>
                <w:kern w:val="18"/>
                <w:sz w:val="18"/>
                <w:szCs w:val="18"/>
              </w:rPr>
              <w:t>’s Compl</w:t>
            </w:r>
            <w:r w:rsidR="00724588" w:rsidRPr="00586C3F">
              <w:rPr>
                <w:rFonts w:ascii="Arial" w:eastAsia="Calibri" w:hAnsi="Arial" w:cs="Arial"/>
                <w:spacing w:val="-2"/>
                <w:kern w:val="18"/>
                <w:sz w:val="18"/>
                <w:szCs w:val="18"/>
              </w:rPr>
              <w:t>ementary Lending Facility. The b</w:t>
            </w:r>
            <w:r w:rsidRPr="00586C3F">
              <w:rPr>
                <w:rFonts w:ascii="Arial" w:eastAsia="Calibri" w:hAnsi="Arial" w:cs="Arial"/>
                <w:spacing w:val="-2"/>
                <w:kern w:val="18"/>
                <w:sz w:val="18"/>
                <w:szCs w:val="18"/>
              </w:rPr>
              <w:t xml:space="preserve">asic </w:t>
            </w:r>
            <w:r w:rsidR="00724588" w:rsidRPr="00586C3F">
              <w:rPr>
                <w:rFonts w:ascii="Arial" w:eastAsia="Calibri" w:hAnsi="Arial" w:cs="Arial"/>
                <w:spacing w:val="-2"/>
                <w:kern w:val="18"/>
                <w:sz w:val="18"/>
                <w:szCs w:val="18"/>
              </w:rPr>
              <w:t>l</w:t>
            </w:r>
            <w:r w:rsidRPr="00586C3F">
              <w:rPr>
                <w:rFonts w:ascii="Arial" w:eastAsia="Calibri" w:hAnsi="Arial" w:cs="Arial"/>
                <w:spacing w:val="-2"/>
                <w:kern w:val="18"/>
                <w:sz w:val="18"/>
                <w:szCs w:val="18"/>
              </w:rPr>
              <w:t xml:space="preserve">oan rate acted as a ceiling on the </w:t>
            </w:r>
            <w:r w:rsidR="009F13C1" w:rsidRPr="00586C3F">
              <w:rPr>
                <w:rFonts w:ascii="Arial" w:eastAsia="Calibri" w:hAnsi="Arial" w:cs="Arial"/>
                <w:spacing w:val="-2"/>
                <w:kern w:val="18"/>
                <w:sz w:val="18"/>
                <w:szCs w:val="18"/>
              </w:rPr>
              <w:t>money-market</w:t>
            </w:r>
            <w:r w:rsidRPr="00586C3F">
              <w:rPr>
                <w:rFonts w:ascii="Arial" w:eastAsia="Calibri" w:hAnsi="Arial" w:cs="Arial"/>
                <w:spacing w:val="-2"/>
                <w:kern w:val="18"/>
                <w:sz w:val="18"/>
                <w:szCs w:val="18"/>
              </w:rPr>
              <w:t xml:space="preserve"> interest rates, namely the uncollateralized overnight call rate.</w:t>
            </w:r>
          </w:p>
        </w:tc>
      </w:tr>
      <w:tr w:rsidR="00DF5A71" w:rsidRPr="004D7F49" w14:paraId="3CD34FF8" w14:textId="77777777" w:rsidTr="00367CAE">
        <w:trPr>
          <w:cantSplit/>
          <w:jc w:val="center"/>
        </w:trPr>
        <w:tc>
          <w:tcPr>
            <w:tcW w:w="2317" w:type="dxa"/>
            <w:vAlign w:val="center"/>
          </w:tcPr>
          <w:p w14:paraId="7E5164F5"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Open Market Operations</w:t>
            </w:r>
          </w:p>
        </w:tc>
        <w:tc>
          <w:tcPr>
            <w:tcW w:w="6948" w:type="dxa"/>
            <w:shd w:val="clear" w:color="auto" w:fill="auto"/>
          </w:tcPr>
          <w:p w14:paraId="139B031E" w14:textId="02E9FDED" w:rsidR="00DF5A71" w:rsidRPr="004D7F49" w:rsidRDefault="00F83191" w:rsidP="009E4DC8">
            <w:pPr>
              <w:shd w:val="clear" w:color="auto" w:fill="FFFFFF"/>
              <w:jc w:val="both"/>
              <w:textAlignment w:val="baseline"/>
              <w:rPr>
                <w:rFonts w:ascii="Arial" w:hAnsi="Arial" w:cs="Arial"/>
                <w:sz w:val="18"/>
                <w:szCs w:val="18"/>
                <w:lang w:eastAsia="en-IN"/>
              </w:rPr>
            </w:pPr>
            <w:r w:rsidRPr="00367CAE">
              <w:rPr>
                <w:rFonts w:ascii="Arial" w:hAnsi="Arial" w:cs="Arial"/>
                <w:sz w:val="18"/>
                <w:szCs w:val="18"/>
                <w:lang w:eastAsia="en-IN"/>
              </w:rPr>
              <w:t>This is t</w:t>
            </w:r>
            <w:r w:rsidR="00DF5A71" w:rsidRPr="00367CAE">
              <w:rPr>
                <w:rFonts w:ascii="Arial" w:hAnsi="Arial" w:cs="Arial"/>
                <w:sz w:val="18"/>
                <w:szCs w:val="18"/>
                <w:lang w:eastAsia="en-IN"/>
              </w:rPr>
              <w:t xml:space="preserve">he primary means </w:t>
            </w:r>
            <w:r w:rsidR="005575B6" w:rsidRPr="00367CAE">
              <w:rPr>
                <w:rFonts w:ascii="Arial" w:hAnsi="Arial" w:cs="Arial"/>
                <w:sz w:val="18"/>
                <w:szCs w:val="18"/>
                <w:lang w:eastAsia="en-IN"/>
              </w:rPr>
              <w:t>by which</w:t>
            </w:r>
            <w:r w:rsidR="00DF5A71" w:rsidRPr="00367CAE">
              <w:rPr>
                <w:rFonts w:ascii="Arial" w:hAnsi="Arial" w:cs="Arial"/>
                <w:sz w:val="18"/>
                <w:szCs w:val="18"/>
                <w:lang w:eastAsia="en-IN"/>
              </w:rPr>
              <w:t xml:space="preserve"> the BoJ conduct</w:t>
            </w:r>
            <w:r w:rsidR="005575B6" w:rsidRPr="00367CAE">
              <w:rPr>
                <w:rFonts w:ascii="Arial" w:hAnsi="Arial" w:cs="Arial"/>
                <w:sz w:val="18"/>
                <w:szCs w:val="18"/>
                <w:lang w:eastAsia="en-IN"/>
              </w:rPr>
              <w:t>s</w:t>
            </w:r>
            <w:r w:rsidR="00DF5A71" w:rsidRPr="00367CAE">
              <w:rPr>
                <w:rFonts w:ascii="Arial" w:hAnsi="Arial" w:cs="Arial"/>
                <w:sz w:val="18"/>
                <w:szCs w:val="18"/>
                <w:lang w:eastAsia="en-IN"/>
              </w:rPr>
              <w:t xml:space="preserve"> its </w:t>
            </w:r>
            <w:r w:rsidR="008B7FEC" w:rsidRPr="00367CAE">
              <w:rPr>
                <w:rFonts w:ascii="Arial" w:hAnsi="Arial" w:cs="Arial"/>
                <w:sz w:val="18"/>
                <w:szCs w:val="18"/>
                <w:lang w:eastAsia="en-IN"/>
              </w:rPr>
              <w:t>money-market</w:t>
            </w:r>
            <w:r w:rsidR="00724588" w:rsidRPr="00367CAE">
              <w:rPr>
                <w:rFonts w:ascii="Arial" w:hAnsi="Arial" w:cs="Arial"/>
                <w:sz w:val="18"/>
                <w:szCs w:val="18"/>
                <w:lang w:eastAsia="en-IN"/>
              </w:rPr>
              <w:t xml:space="preserve"> operations to meet the “</w:t>
            </w:r>
            <w:r w:rsidR="00DF5A71" w:rsidRPr="00367CAE">
              <w:rPr>
                <w:rFonts w:ascii="Arial" w:hAnsi="Arial" w:cs="Arial"/>
                <w:sz w:val="18"/>
                <w:szCs w:val="18"/>
                <w:lang w:eastAsia="en-IN"/>
              </w:rPr>
              <w:t>Guidelines for Money Market Operations</w:t>
            </w:r>
            <w:r w:rsidR="00724588" w:rsidRPr="00367CAE">
              <w:rPr>
                <w:rFonts w:ascii="Arial" w:hAnsi="Arial" w:cs="Arial"/>
                <w:sz w:val="18"/>
                <w:szCs w:val="18"/>
                <w:lang w:eastAsia="en-IN"/>
              </w:rPr>
              <w:t>,” the b</w:t>
            </w:r>
            <w:r w:rsidR="00DF5A71" w:rsidRPr="00367CAE">
              <w:rPr>
                <w:rFonts w:ascii="Arial" w:hAnsi="Arial" w:cs="Arial"/>
                <w:sz w:val="18"/>
                <w:szCs w:val="18"/>
                <w:lang w:eastAsia="en-IN"/>
              </w:rPr>
              <w:t xml:space="preserve">ank’s monetary policy stance, decided at the </w:t>
            </w:r>
            <w:r w:rsidR="009E4DC8" w:rsidRPr="00367CAE">
              <w:rPr>
                <w:rFonts w:ascii="Arial" w:hAnsi="Arial" w:cs="Arial"/>
                <w:sz w:val="18"/>
                <w:szCs w:val="18"/>
                <w:lang w:eastAsia="en-IN"/>
              </w:rPr>
              <w:t>m</w:t>
            </w:r>
            <w:r w:rsidR="00DF5A71" w:rsidRPr="00367CAE">
              <w:rPr>
                <w:rFonts w:ascii="Arial" w:hAnsi="Arial" w:cs="Arial"/>
                <w:sz w:val="18"/>
                <w:szCs w:val="18"/>
                <w:lang w:eastAsia="en-IN"/>
              </w:rPr>
              <w:t xml:space="preserve">onetary </w:t>
            </w:r>
            <w:r w:rsidR="009E4DC8" w:rsidRPr="00367CAE">
              <w:rPr>
                <w:rFonts w:ascii="Arial" w:hAnsi="Arial" w:cs="Arial"/>
                <w:sz w:val="18"/>
                <w:szCs w:val="18"/>
                <w:lang w:eastAsia="en-IN"/>
              </w:rPr>
              <w:t>p</w:t>
            </w:r>
            <w:r w:rsidR="00DF5A71" w:rsidRPr="00367CAE">
              <w:rPr>
                <w:rFonts w:ascii="Arial" w:hAnsi="Arial" w:cs="Arial"/>
                <w:sz w:val="18"/>
                <w:szCs w:val="18"/>
                <w:lang w:eastAsia="en-IN"/>
              </w:rPr>
              <w:t xml:space="preserve">olicy meetings. The </w:t>
            </w:r>
            <w:r w:rsidR="00724588" w:rsidRPr="00367CAE">
              <w:rPr>
                <w:rFonts w:ascii="Arial" w:hAnsi="Arial" w:cs="Arial"/>
                <w:sz w:val="18"/>
                <w:szCs w:val="18"/>
                <w:lang w:eastAsia="en-IN"/>
              </w:rPr>
              <w:t>b</w:t>
            </w:r>
            <w:r w:rsidR="00DF5A71" w:rsidRPr="00367CAE">
              <w:rPr>
                <w:rFonts w:ascii="Arial" w:hAnsi="Arial" w:cs="Arial"/>
                <w:sz w:val="18"/>
                <w:szCs w:val="18"/>
                <w:lang w:eastAsia="en-IN"/>
              </w:rPr>
              <w:t xml:space="preserve">ank, through </w:t>
            </w:r>
            <w:r w:rsidRPr="00367CAE">
              <w:rPr>
                <w:rFonts w:ascii="Arial" w:hAnsi="Arial" w:cs="Arial"/>
                <w:sz w:val="18"/>
                <w:szCs w:val="18"/>
                <w:lang w:eastAsia="en-IN"/>
              </w:rPr>
              <w:t>open market operations</w:t>
            </w:r>
            <w:r w:rsidR="00DF5A71" w:rsidRPr="00367CAE">
              <w:rPr>
                <w:rFonts w:ascii="Arial" w:hAnsi="Arial" w:cs="Arial"/>
                <w:sz w:val="18"/>
                <w:szCs w:val="18"/>
                <w:lang w:eastAsia="en-IN"/>
              </w:rPr>
              <w:t>, either provides loans to financial institutions or purchases from or sells to financial institutions financial assets such as Japanese government securities. Under the guidelines, these activities of supplying or absorbing funds in financial markets</w:t>
            </w:r>
            <w:r w:rsidR="00DF5A71" w:rsidRPr="004D7F49">
              <w:rPr>
                <w:rFonts w:ascii="Arial" w:hAnsi="Arial" w:cs="Arial"/>
                <w:sz w:val="18"/>
                <w:szCs w:val="18"/>
                <w:lang w:eastAsia="en-IN"/>
              </w:rPr>
              <w:t xml:space="preserve"> </w:t>
            </w:r>
            <w:r w:rsidR="0063488A" w:rsidRPr="00367CAE">
              <w:rPr>
                <w:rFonts w:ascii="Arial" w:hAnsi="Arial" w:cs="Arial"/>
                <w:sz w:val="18"/>
                <w:szCs w:val="18"/>
                <w:lang w:eastAsia="en-IN"/>
              </w:rPr>
              <w:t>are</w:t>
            </w:r>
            <w:r w:rsidR="00DF5A71" w:rsidRPr="00367CAE">
              <w:rPr>
                <w:rFonts w:ascii="Arial" w:hAnsi="Arial" w:cs="Arial"/>
                <w:sz w:val="18"/>
                <w:szCs w:val="18"/>
                <w:lang w:eastAsia="en-IN"/>
              </w:rPr>
              <w:t xml:space="preserve"> done on a daily basis.</w:t>
            </w:r>
            <w:r w:rsidR="00DF5A71" w:rsidRPr="004D7F49">
              <w:rPr>
                <w:rFonts w:ascii="Arial" w:hAnsi="Arial" w:cs="Arial"/>
                <w:sz w:val="18"/>
                <w:szCs w:val="18"/>
                <w:lang w:eastAsia="en-IN"/>
              </w:rPr>
              <w:t xml:space="preserve"> </w:t>
            </w:r>
          </w:p>
        </w:tc>
      </w:tr>
      <w:tr w:rsidR="00DF5A71" w:rsidRPr="004D7F49" w14:paraId="33FC3C52" w14:textId="77777777" w:rsidTr="00367CAE">
        <w:trPr>
          <w:cantSplit/>
          <w:jc w:val="center"/>
        </w:trPr>
        <w:tc>
          <w:tcPr>
            <w:tcW w:w="2317" w:type="dxa"/>
            <w:vAlign w:val="center"/>
          </w:tcPr>
          <w:p w14:paraId="11AFAE2B"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Operating Target</w:t>
            </w:r>
          </w:p>
        </w:tc>
        <w:tc>
          <w:tcPr>
            <w:tcW w:w="6948" w:type="dxa"/>
          </w:tcPr>
          <w:p w14:paraId="1BB96FA1" w14:textId="638EC532" w:rsidR="00DF5A71" w:rsidRPr="004D7F49" w:rsidRDefault="00724588" w:rsidP="009E4DC8">
            <w:pPr>
              <w:jc w:val="both"/>
              <w:rPr>
                <w:rFonts w:ascii="Arial" w:eastAsia="Calibri" w:hAnsi="Arial" w:cs="Arial"/>
                <w:sz w:val="18"/>
                <w:szCs w:val="18"/>
              </w:rPr>
            </w:pPr>
            <w:r w:rsidRPr="004D7F49">
              <w:rPr>
                <w:rFonts w:ascii="Arial" w:eastAsia="Calibri" w:hAnsi="Arial" w:cs="Arial"/>
                <w:sz w:val="18"/>
                <w:szCs w:val="18"/>
              </w:rPr>
              <w:t>The operating t</w:t>
            </w:r>
            <w:r w:rsidR="00DF5A71" w:rsidRPr="004D7F49">
              <w:rPr>
                <w:rFonts w:ascii="Arial" w:eastAsia="Calibri" w:hAnsi="Arial" w:cs="Arial"/>
                <w:sz w:val="18"/>
                <w:szCs w:val="18"/>
              </w:rPr>
              <w:t>arget of monetary policy is th</w:t>
            </w:r>
            <w:r w:rsidR="009E4DC8" w:rsidRPr="004D7F49">
              <w:rPr>
                <w:rFonts w:ascii="Arial" w:eastAsia="Calibri" w:hAnsi="Arial" w:cs="Arial"/>
                <w:sz w:val="18"/>
                <w:szCs w:val="18"/>
              </w:rPr>
              <w:t>e</w:t>
            </w:r>
            <w:r w:rsidR="00DF5A71" w:rsidRPr="004D7F49">
              <w:rPr>
                <w:rFonts w:ascii="Arial" w:eastAsia="Calibri" w:hAnsi="Arial" w:cs="Arial"/>
                <w:sz w:val="18"/>
                <w:szCs w:val="18"/>
              </w:rPr>
              <w:t xml:space="preserve"> variable </w:t>
            </w:r>
            <w:r w:rsidR="009E4DC8" w:rsidRPr="004D7F49">
              <w:rPr>
                <w:rFonts w:ascii="Arial" w:eastAsia="Calibri" w:hAnsi="Arial" w:cs="Arial"/>
                <w:sz w:val="18"/>
                <w:szCs w:val="18"/>
              </w:rPr>
              <w:t>that</w:t>
            </w:r>
            <w:r w:rsidR="00DF5A71" w:rsidRPr="004D7F49">
              <w:rPr>
                <w:rFonts w:ascii="Arial" w:eastAsia="Calibri" w:hAnsi="Arial" w:cs="Arial"/>
                <w:sz w:val="18"/>
                <w:szCs w:val="18"/>
              </w:rPr>
              <w:t xml:space="preserve"> a central bank controls using its monetary policy instruments to achieve monetary goals.</w:t>
            </w:r>
          </w:p>
        </w:tc>
      </w:tr>
      <w:tr w:rsidR="00DF5A71" w:rsidRPr="004D7F49" w14:paraId="2C677CAF" w14:textId="77777777" w:rsidTr="00367CAE">
        <w:trPr>
          <w:cantSplit/>
          <w:jc w:val="center"/>
        </w:trPr>
        <w:tc>
          <w:tcPr>
            <w:tcW w:w="2317" w:type="dxa"/>
            <w:vAlign w:val="center"/>
          </w:tcPr>
          <w:p w14:paraId="68530354"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Policy Interest Rate</w:t>
            </w:r>
          </w:p>
        </w:tc>
        <w:tc>
          <w:tcPr>
            <w:tcW w:w="6948" w:type="dxa"/>
          </w:tcPr>
          <w:p w14:paraId="53B39BA9" w14:textId="09575FFF" w:rsidR="00DF5A71" w:rsidRPr="004D7F49" w:rsidRDefault="00DF5A71" w:rsidP="009E4DC8">
            <w:pPr>
              <w:jc w:val="both"/>
              <w:rPr>
                <w:rFonts w:ascii="Arial" w:eastAsia="Calibri" w:hAnsi="Arial" w:cs="Arial"/>
                <w:sz w:val="18"/>
                <w:szCs w:val="18"/>
              </w:rPr>
            </w:pPr>
            <w:r w:rsidRPr="004D7F49">
              <w:rPr>
                <w:rFonts w:ascii="Arial" w:eastAsia="Calibri" w:hAnsi="Arial" w:cs="Arial"/>
                <w:sz w:val="18"/>
                <w:szCs w:val="18"/>
              </w:rPr>
              <w:t>The rate that the BoJ directly control</w:t>
            </w:r>
            <w:r w:rsidR="009E4DC8" w:rsidRPr="004D7F49">
              <w:rPr>
                <w:rFonts w:ascii="Arial" w:eastAsia="Calibri" w:hAnsi="Arial" w:cs="Arial"/>
                <w:sz w:val="18"/>
                <w:szCs w:val="18"/>
              </w:rPr>
              <w:t>s</w:t>
            </w:r>
            <w:r w:rsidRPr="004D7F49">
              <w:rPr>
                <w:rFonts w:ascii="Arial" w:eastAsia="Calibri" w:hAnsi="Arial" w:cs="Arial"/>
                <w:sz w:val="18"/>
                <w:szCs w:val="18"/>
              </w:rPr>
              <w:t xml:space="preserve"> to influence the level of inflation (or other policy goals) in the economy.</w:t>
            </w:r>
          </w:p>
        </w:tc>
      </w:tr>
      <w:tr w:rsidR="00DF5A71" w:rsidRPr="004D7F49" w14:paraId="567F69FD" w14:textId="77777777" w:rsidTr="00367CAE">
        <w:trPr>
          <w:cantSplit/>
          <w:jc w:val="center"/>
        </w:trPr>
        <w:tc>
          <w:tcPr>
            <w:tcW w:w="2317" w:type="dxa"/>
            <w:vAlign w:val="center"/>
          </w:tcPr>
          <w:p w14:paraId="19271AB2" w14:textId="7777777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Uncollateralized Overnight Call Rate</w:t>
            </w:r>
          </w:p>
        </w:tc>
        <w:tc>
          <w:tcPr>
            <w:tcW w:w="6948" w:type="dxa"/>
          </w:tcPr>
          <w:p w14:paraId="0C37DF55" w14:textId="65BF15EE" w:rsidR="00DF5A71" w:rsidRPr="004D7F49" w:rsidRDefault="00DF5A71" w:rsidP="009E4DC8">
            <w:pPr>
              <w:jc w:val="both"/>
              <w:rPr>
                <w:rFonts w:ascii="Arial" w:eastAsia="Calibri" w:hAnsi="Arial" w:cs="Arial"/>
                <w:sz w:val="18"/>
                <w:szCs w:val="18"/>
              </w:rPr>
            </w:pPr>
            <w:r w:rsidRPr="004D7F49">
              <w:rPr>
                <w:rFonts w:ascii="Arial" w:eastAsia="Calibri" w:hAnsi="Arial" w:cs="Arial"/>
                <w:sz w:val="18"/>
                <w:szCs w:val="18"/>
              </w:rPr>
              <w:t>The rate at which financial institutions c</w:t>
            </w:r>
            <w:r w:rsidR="009E4DC8" w:rsidRPr="004D7F49">
              <w:rPr>
                <w:rFonts w:ascii="Arial" w:eastAsia="Calibri" w:hAnsi="Arial" w:cs="Arial"/>
                <w:sz w:val="18"/>
                <w:szCs w:val="18"/>
              </w:rPr>
              <w:t>an</w:t>
            </w:r>
            <w:r w:rsidRPr="004D7F49">
              <w:rPr>
                <w:rFonts w:ascii="Arial" w:eastAsia="Calibri" w:hAnsi="Arial" w:cs="Arial"/>
                <w:sz w:val="18"/>
                <w:szCs w:val="18"/>
              </w:rPr>
              <w:t xml:space="preserve"> lend and borrow short-term (overnight) funds. These overnight funds ha</w:t>
            </w:r>
            <w:r w:rsidR="009E4DC8" w:rsidRPr="004D7F49">
              <w:rPr>
                <w:rFonts w:ascii="Arial" w:eastAsia="Calibri" w:hAnsi="Arial" w:cs="Arial"/>
                <w:sz w:val="18"/>
                <w:szCs w:val="18"/>
              </w:rPr>
              <w:t>ve</w:t>
            </w:r>
            <w:r w:rsidRPr="004D7F49">
              <w:rPr>
                <w:rFonts w:ascii="Arial" w:eastAsia="Calibri" w:hAnsi="Arial" w:cs="Arial"/>
                <w:sz w:val="18"/>
                <w:szCs w:val="18"/>
              </w:rPr>
              <w:t xml:space="preserve"> to be repaid by 10</w:t>
            </w:r>
            <w:r w:rsidR="009E4DC8" w:rsidRPr="004D7F49">
              <w:rPr>
                <w:rFonts w:ascii="Arial" w:eastAsia="Calibri" w:hAnsi="Arial" w:cs="Arial"/>
                <w:sz w:val="18"/>
                <w:szCs w:val="18"/>
              </w:rPr>
              <w:t>:00</w:t>
            </w:r>
            <w:r w:rsidRPr="004D7F49">
              <w:rPr>
                <w:rFonts w:ascii="Arial" w:eastAsia="Calibri" w:hAnsi="Arial" w:cs="Arial"/>
                <w:sz w:val="18"/>
                <w:szCs w:val="18"/>
              </w:rPr>
              <w:t xml:space="preserve"> a.m. the next morning and d</w:t>
            </w:r>
            <w:r w:rsidR="009E4DC8" w:rsidRPr="004D7F49">
              <w:rPr>
                <w:rFonts w:ascii="Arial" w:eastAsia="Calibri" w:hAnsi="Arial" w:cs="Arial"/>
                <w:sz w:val="18"/>
                <w:szCs w:val="18"/>
              </w:rPr>
              <w:t>o</w:t>
            </w:r>
            <w:r w:rsidRPr="004D7F49">
              <w:rPr>
                <w:rFonts w:ascii="Arial" w:eastAsia="Calibri" w:hAnsi="Arial" w:cs="Arial"/>
                <w:sz w:val="18"/>
                <w:szCs w:val="18"/>
              </w:rPr>
              <w:t xml:space="preserve"> not require collateral.</w:t>
            </w:r>
            <w:r w:rsidRPr="004D7F49">
              <w:rPr>
                <w:rFonts w:ascii="Helvetica Neue" w:hAnsi="Helvetica Neue"/>
                <w:shd w:val="clear" w:color="auto" w:fill="FFFFFF"/>
                <w:lang w:eastAsia="en-IN"/>
              </w:rPr>
              <w:t xml:space="preserve"> </w:t>
            </w:r>
            <w:r w:rsidRPr="004D7F49">
              <w:rPr>
                <w:rFonts w:ascii="Arial" w:eastAsia="Calibri" w:hAnsi="Arial" w:cs="Arial"/>
                <w:sz w:val="18"/>
                <w:szCs w:val="18"/>
              </w:rPr>
              <w:t xml:space="preserve">From the 1990s, the uncollateralized overnight call rate was the main operating target for the BoJ’s </w:t>
            </w:r>
            <w:r w:rsidR="001D3F36">
              <w:rPr>
                <w:rFonts w:ascii="Arial" w:eastAsia="Calibri" w:hAnsi="Arial" w:cs="Arial"/>
                <w:sz w:val="18"/>
                <w:szCs w:val="18"/>
              </w:rPr>
              <w:t>money-market</w:t>
            </w:r>
            <w:r w:rsidRPr="004D7F49">
              <w:rPr>
                <w:rFonts w:ascii="Arial" w:eastAsia="Calibri" w:hAnsi="Arial" w:cs="Arial"/>
                <w:sz w:val="18"/>
                <w:szCs w:val="18"/>
              </w:rPr>
              <w:t xml:space="preserve"> operations. From 1998, the </w:t>
            </w:r>
            <w:r w:rsidR="00724588" w:rsidRPr="004D7F49">
              <w:rPr>
                <w:rFonts w:ascii="Arial" w:eastAsia="Calibri" w:hAnsi="Arial" w:cs="Arial"/>
                <w:sz w:val="18"/>
                <w:szCs w:val="18"/>
              </w:rPr>
              <w:t>b</w:t>
            </w:r>
            <w:r w:rsidRPr="004D7F49">
              <w:rPr>
                <w:rFonts w:ascii="Arial" w:eastAsia="Calibri" w:hAnsi="Arial" w:cs="Arial"/>
                <w:sz w:val="18"/>
                <w:szCs w:val="18"/>
              </w:rPr>
              <w:t>ank began to control and maintain these call rates at an appropriate level through open market operations.</w:t>
            </w:r>
          </w:p>
        </w:tc>
      </w:tr>
    </w:tbl>
    <w:p w14:paraId="7BF91451" w14:textId="77777777" w:rsidR="009C5217" w:rsidRPr="004D7F49" w:rsidRDefault="009C5217">
      <w:pPr>
        <w:rPr>
          <w:lang w:val="en-GB"/>
        </w:rPr>
      </w:pPr>
      <w:r w:rsidRPr="004D7F49">
        <w:rPr>
          <w:lang w:val="en-GB"/>
        </w:rPr>
        <w:br w:type="page"/>
      </w:r>
    </w:p>
    <w:p w14:paraId="1D8D6995" w14:textId="1C1500BE" w:rsidR="009C5217" w:rsidRPr="004D7F49" w:rsidRDefault="009C5217" w:rsidP="00FA2BD1">
      <w:pPr>
        <w:pStyle w:val="ExhibitHeading"/>
        <w:rPr>
          <w:lang w:val="en-GB"/>
        </w:rPr>
      </w:pPr>
      <w:r w:rsidRPr="004D7F49">
        <w:rPr>
          <w:lang w:val="en-GB"/>
        </w:rPr>
        <w:lastRenderedPageBreak/>
        <w:t>exhibit 1 (continued)</w:t>
      </w:r>
    </w:p>
    <w:p w14:paraId="551830CD" w14:textId="77777777" w:rsidR="009C5217" w:rsidRPr="004D7F49" w:rsidRDefault="009C5217" w:rsidP="00FA2BD1">
      <w:pPr>
        <w:pStyle w:val="ExhibitHeading"/>
        <w:rPr>
          <w:sz w:val="16"/>
          <w:szCs w:val="16"/>
          <w:lang w:val="en-GB"/>
        </w:rPr>
      </w:pPr>
    </w:p>
    <w:tbl>
      <w:tblPr>
        <w:tblStyle w:val="TableGrid1"/>
        <w:tblW w:w="0" w:type="auto"/>
        <w:jc w:val="center"/>
        <w:tblLook w:val="04A0" w:firstRow="1" w:lastRow="0" w:firstColumn="1" w:lastColumn="0" w:noHBand="0" w:noVBand="1"/>
      </w:tblPr>
      <w:tblGrid>
        <w:gridCol w:w="2317"/>
        <w:gridCol w:w="6693"/>
      </w:tblGrid>
      <w:tr w:rsidR="00DF5A71" w:rsidRPr="004D7F49" w14:paraId="54876B08" w14:textId="77777777" w:rsidTr="00921BD7">
        <w:trPr>
          <w:cantSplit/>
          <w:jc w:val="center"/>
        </w:trPr>
        <w:tc>
          <w:tcPr>
            <w:tcW w:w="2317" w:type="dxa"/>
            <w:vAlign w:val="center"/>
          </w:tcPr>
          <w:p w14:paraId="7111EBE5" w14:textId="02C934BE"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Yield Curve (Flat)</w:t>
            </w:r>
          </w:p>
        </w:tc>
        <w:tc>
          <w:tcPr>
            <w:tcW w:w="6693" w:type="dxa"/>
          </w:tcPr>
          <w:p w14:paraId="579399FD" w14:textId="6A71D621" w:rsidR="00DF5A71" w:rsidRPr="004D7F49" w:rsidRDefault="009E4DC8" w:rsidP="009E4DC8">
            <w:pPr>
              <w:jc w:val="both"/>
              <w:rPr>
                <w:rFonts w:ascii="Arial" w:eastAsia="Calibri" w:hAnsi="Arial" w:cs="Arial"/>
                <w:sz w:val="18"/>
                <w:szCs w:val="18"/>
              </w:rPr>
            </w:pPr>
            <w:r w:rsidRPr="004D7F49">
              <w:rPr>
                <w:rFonts w:ascii="Arial" w:eastAsia="Calibri" w:hAnsi="Arial" w:cs="Arial"/>
                <w:sz w:val="18"/>
                <w:szCs w:val="18"/>
              </w:rPr>
              <w:t>This</w:t>
            </w:r>
            <w:r w:rsidR="00DF5A71" w:rsidRPr="004D7F49">
              <w:rPr>
                <w:rFonts w:ascii="Arial" w:eastAsia="Calibri" w:hAnsi="Arial" w:cs="Arial"/>
                <w:sz w:val="18"/>
                <w:szCs w:val="18"/>
              </w:rPr>
              <w:t xml:space="preserve"> is a line that plots the interest rates, at a set point in time, of bonds having equal credit quality but differing maturity dates.</w:t>
            </w:r>
            <w:r w:rsidR="00DF5A71" w:rsidRPr="004D7F49">
              <w:rPr>
                <w:rFonts w:ascii="Arial" w:hAnsi="Arial" w:cs="Arial"/>
                <w:sz w:val="24"/>
                <w:szCs w:val="24"/>
                <w:shd w:val="clear" w:color="auto" w:fill="FFFFFF"/>
                <w:lang w:eastAsia="en-IN"/>
              </w:rPr>
              <w:t xml:space="preserve"> </w:t>
            </w:r>
            <w:r w:rsidR="00DF5A71" w:rsidRPr="004D7F49">
              <w:rPr>
                <w:rFonts w:ascii="Arial" w:hAnsi="Arial" w:cs="Arial"/>
                <w:sz w:val="18"/>
                <w:szCs w:val="18"/>
                <w:shd w:val="clear" w:color="auto" w:fill="FFFFFF"/>
                <w:lang w:eastAsia="en-IN"/>
              </w:rPr>
              <w:t>Yield curve shapes indicate future interest rate changes and the course of economic activity. They may be normal upward sloping, inverted</w:t>
            </w:r>
            <w:r w:rsidRPr="004D7F49">
              <w:rPr>
                <w:rFonts w:ascii="Arial" w:hAnsi="Arial" w:cs="Arial"/>
                <w:sz w:val="18"/>
                <w:szCs w:val="18"/>
                <w:shd w:val="clear" w:color="auto" w:fill="FFFFFF"/>
                <w:lang w:eastAsia="en-IN"/>
              </w:rPr>
              <w:t>,</w:t>
            </w:r>
            <w:r w:rsidR="00DF5A71" w:rsidRPr="004D7F49">
              <w:rPr>
                <w:rFonts w:ascii="Arial" w:hAnsi="Arial" w:cs="Arial"/>
                <w:sz w:val="18"/>
                <w:szCs w:val="18"/>
                <w:shd w:val="clear" w:color="auto" w:fill="FFFFFF"/>
                <w:lang w:eastAsia="en-IN"/>
              </w:rPr>
              <w:t xml:space="preserve"> or flat, indicative of economic expansion, economic recession</w:t>
            </w:r>
            <w:r w:rsidRPr="004D7F49">
              <w:rPr>
                <w:rFonts w:ascii="Arial" w:hAnsi="Arial" w:cs="Arial"/>
                <w:sz w:val="18"/>
                <w:szCs w:val="18"/>
                <w:shd w:val="clear" w:color="auto" w:fill="FFFFFF"/>
                <w:lang w:eastAsia="en-IN"/>
              </w:rPr>
              <w:t>,</w:t>
            </w:r>
            <w:r w:rsidR="00DF5A71" w:rsidRPr="004D7F49">
              <w:rPr>
                <w:rFonts w:ascii="Arial" w:hAnsi="Arial" w:cs="Arial"/>
                <w:sz w:val="18"/>
                <w:szCs w:val="18"/>
                <w:shd w:val="clear" w:color="auto" w:fill="FFFFFF"/>
                <w:lang w:eastAsia="en-IN"/>
              </w:rPr>
              <w:t xml:space="preserve"> </w:t>
            </w:r>
            <w:r w:rsidRPr="004D7F49">
              <w:rPr>
                <w:rFonts w:ascii="Arial" w:hAnsi="Arial" w:cs="Arial"/>
                <w:sz w:val="18"/>
                <w:szCs w:val="18"/>
                <w:shd w:val="clear" w:color="auto" w:fill="FFFFFF"/>
                <w:lang w:eastAsia="en-IN"/>
              </w:rPr>
              <w:t>and</w:t>
            </w:r>
            <w:r w:rsidR="00DF5A71" w:rsidRPr="004D7F49">
              <w:rPr>
                <w:rFonts w:ascii="Arial" w:hAnsi="Arial" w:cs="Arial"/>
                <w:sz w:val="18"/>
                <w:szCs w:val="18"/>
                <w:shd w:val="clear" w:color="auto" w:fill="FFFFFF"/>
                <w:lang w:eastAsia="en-IN"/>
              </w:rPr>
              <w:t xml:space="preserve"> economic transition</w:t>
            </w:r>
            <w:r w:rsidRPr="004D7F49">
              <w:rPr>
                <w:rFonts w:ascii="Arial" w:hAnsi="Arial" w:cs="Arial"/>
                <w:sz w:val="18"/>
                <w:szCs w:val="18"/>
                <w:shd w:val="clear" w:color="auto" w:fill="FFFFFF"/>
                <w:lang w:eastAsia="en-IN"/>
              </w:rPr>
              <w:t>,</w:t>
            </w:r>
            <w:r w:rsidR="00DF5A71" w:rsidRPr="004D7F49">
              <w:rPr>
                <w:rFonts w:ascii="Arial" w:hAnsi="Arial" w:cs="Arial"/>
                <w:sz w:val="18"/>
                <w:szCs w:val="18"/>
                <w:shd w:val="clear" w:color="auto" w:fill="FFFFFF"/>
                <w:lang w:eastAsia="en-IN"/>
              </w:rPr>
              <w:t xml:space="preserve"> respectively.</w:t>
            </w:r>
            <w:r w:rsidR="00DF5A71" w:rsidRPr="004D7F49">
              <w:rPr>
                <w:rFonts w:ascii="Arial" w:eastAsia="Calibri" w:hAnsi="Arial" w:cs="Arial"/>
                <w:sz w:val="18"/>
                <w:szCs w:val="18"/>
              </w:rPr>
              <w:t xml:space="preserve"> A flat yield curve is an indicator of economic transition. As an economy transitions from expansion towards slowdown or even recession, yields on longer-maturity bonds tend to fall</w:t>
            </w:r>
            <w:r w:rsidR="001331AC">
              <w:rPr>
                <w:rFonts w:ascii="Arial" w:eastAsia="Calibri" w:hAnsi="Arial" w:cs="Arial"/>
                <w:sz w:val="18"/>
                <w:szCs w:val="18"/>
              </w:rPr>
              <w:t>,</w:t>
            </w:r>
            <w:r w:rsidR="00DF5A71" w:rsidRPr="004D7F49">
              <w:rPr>
                <w:rFonts w:ascii="Arial" w:eastAsia="Calibri" w:hAnsi="Arial" w:cs="Arial"/>
                <w:sz w:val="18"/>
                <w:szCs w:val="18"/>
              </w:rPr>
              <w:t xml:space="preserve"> and yields on shorter-term securities tend to rise. This leads to the normal yield curve inverting into a flat yield curve. Conversely, when the economy transitions from recession to recovery and potential expansion, yields on longer-maturity bonds are set to rise and yields on shorter-maturity securities are sure to fall, tilting an inverted yield curve toward a flat yield curve.</w:t>
            </w:r>
          </w:p>
        </w:tc>
      </w:tr>
      <w:tr w:rsidR="00DF5A71" w:rsidRPr="004D7F49" w14:paraId="052468D4" w14:textId="77777777" w:rsidTr="00921BD7">
        <w:trPr>
          <w:cantSplit/>
          <w:jc w:val="center"/>
        </w:trPr>
        <w:tc>
          <w:tcPr>
            <w:tcW w:w="2317" w:type="dxa"/>
            <w:vAlign w:val="center"/>
          </w:tcPr>
          <w:p w14:paraId="6A21EFDD" w14:textId="6C4D4187" w:rsidR="00DF5A71" w:rsidRPr="004D7F49" w:rsidRDefault="00DF5A71" w:rsidP="00FA2BD1">
            <w:pPr>
              <w:contextualSpacing/>
              <w:rPr>
                <w:rFonts w:ascii="Arial" w:eastAsia="Calibri" w:hAnsi="Arial" w:cs="Arial"/>
                <w:b/>
                <w:sz w:val="18"/>
                <w:szCs w:val="18"/>
              </w:rPr>
            </w:pPr>
            <w:r w:rsidRPr="004D7F49">
              <w:rPr>
                <w:rFonts w:ascii="Arial" w:eastAsia="Calibri" w:hAnsi="Arial" w:cs="Arial"/>
                <w:b/>
                <w:sz w:val="18"/>
                <w:szCs w:val="18"/>
              </w:rPr>
              <w:t>Zero Lower Bound</w:t>
            </w:r>
          </w:p>
        </w:tc>
        <w:tc>
          <w:tcPr>
            <w:tcW w:w="6693" w:type="dxa"/>
          </w:tcPr>
          <w:p w14:paraId="32FBE8F2" w14:textId="6EB94B70" w:rsidR="00DF5A71" w:rsidRPr="004D7F49" w:rsidRDefault="00AF5625" w:rsidP="00AF5625">
            <w:pPr>
              <w:jc w:val="both"/>
              <w:rPr>
                <w:rFonts w:ascii="Arial" w:eastAsia="Calibri" w:hAnsi="Arial" w:cs="Arial"/>
                <w:sz w:val="18"/>
                <w:szCs w:val="18"/>
              </w:rPr>
            </w:pPr>
            <w:r w:rsidRPr="004D7F49">
              <w:rPr>
                <w:rFonts w:ascii="Arial" w:eastAsia="Calibri" w:hAnsi="Arial" w:cs="Arial"/>
                <w:sz w:val="18"/>
                <w:szCs w:val="18"/>
              </w:rPr>
              <w:t>This is a</w:t>
            </w:r>
            <w:r w:rsidR="009E4DC8" w:rsidRPr="004D7F49">
              <w:rPr>
                <w:rFonts w:ascii="Arial" w:eastAsia="Calibri" w:hAnsi="Arial" w:cs="Arial"/>
                <w:sz w:val="18"/>
                <w:szCs w:val="18"/>
              </w:rPr>
              <w:t xml:space="preserve"> problem that occurs w</w:t>
            </w:r>
            <w:r w:rsidR="00DF5A71" w:rsidRPr="004D7F49">
              <w:rPr>
                <w:rFonts w:ascii="Arial" w:eastAsia="Calibri" w:hAnsi="Arial" w:cs="Arial"/>
                <w:sz w:val="18"/>
                <w:szCs w:val="18"/>
              </w:rPr>
              <w:t xml:space="preserve">hen the central bank of a country finds it difficult to lower nominal interest rates further to achieve monetary policy objectives, </w:t>
            </w:r>
            <w:r w:rsidR="001331AC">
              <w:rPr>
                <w:rFonts w:ascii="Arial" w:eastAsia="Calibri" w:hAnsi="Arial" w:cs="Arial"/>
                <w:sz w:val="18"/>
                <w:szCs w:val="18"/>
              </w:rPr>
              <w:t>as</w:t>
            </w:r>
            <w:r w:rsidR="001331AC" w:rsidRPr="004D7F49">
              <w:rPr>
                <w:rFonts w:ascii="Arial" w:eastAsia="Calibri" w:hAnsi="Arial" w:cs="Arial"/>
                <w:sz w:val="18"/>
                <w:szCs w:val="18"/>
              </w:rPr>
              <w:t xml:space="preserve"> </w:t>
            </w:r>
            <w:r w:rsidR="00DF5A71" w:rsidRPr="004D7F49">
              <w:rPr>
                <w:rFonts w:ascii="Arial" w:eastAsia="Calibri" w:hAnsi="Arial" w:cs="Arial"/>
                <w:sz w:val="18"/>
                <w:szCs w:val="18"/>
              </w:rPr>
              <w:t xml:space="preserve">these interest rates are already close to or at zero. Thus, conventional monetary policies become ineffective when the economy is at the </w:t>
            </w:r>
            <w:r w:rsidR="00F83191" w:rsidRPr="004D7F49">
              <w:rPr>
                <w:rFonts w:ascii="Arial" w:eastAsia="Calibri" w:hAnsi="Arial" w:cs="Arial"/>
                <w:sz w:val="18"/>
                <w:szCs w:val="18"/>
              </w:rPr>
              <w:t>zero lower bound</w:t>
            </w:r>
            <w:r w:rsidR="00DF5A71" w:rsidRPr="004D7F49">
              <w:rPr>
                <w:rFonts w:ascii="Arial" w:eastAsia="Calibri" w:hAnsi="Arial" w:cs="Arial"/>
                <w:sz w:val="18"/>
                <w:szCs w:val="18"/>
              </w:rPr>
              <w:t>.</w:t>
            </w:r>
          </w:p>
        </w:tc>
      </w:tr>
    </w:tbl>
    <w:p w14:paraId="60D6497B" w14:textId="77777777" w:rsidR="00922129" w:rsidRPr="004D7F49" w:rsidRDefault="00922129" w:rsidP="00922129">
      <w:pPr>
        <w:pStyle w:val="ExhibitText"/>
        <w:rPr>
          <w:rFonts w:eastAsia="Calibri"/>
          <w:sz w:val="16"/>
          <w:szCs w:val="16"/>
          <w:lang w:val="en-GB"/>
        </w:rPr>
      </w:pPr>
    </w:p>
    <w:p w14:paraId="7D7B1730" w14:textId="6789C61E" w:rsidR="00F83191" w:rsidRPr="004D7F49" w:rsidRDefault="00F83191" w:rsidP="00922129">
      <w:pPr>
        <w:pStyle w:val="Footnote"/>
        <w:rPr>
          <w:lang w:val="en-GB"/>
        </w:rPr>
      </w:pPr>
      <w:r w:rsidRPr="004D7F49">
        <w:rPr>
          <w:lang w:val="en-GB"/>
        </w:rPr>
        <w:t>Note: BoJ = Bank of Japan</w:t>
      </w:r>
    </w:p>
    <w:p w14:paraId="17CDE3EE" w14:textId="1C451BCF" w:rsidR="00DF5A71" w:rsidRPr="004D7F49" w:rsidRDefault="00DF5A71" w:rsidP="00922129">
      <w:pPr>
        <w:pStyle w:val="Footnote"/>
        <w:rPr>
          <w:spacing w:val="-4"/>
          <w:lang w:val="en-GB"/>
        </w:rPr>
      </w:pPr>
      <w:r w:rsidRPr="004D7F49">
        <w:rPr>
          <w:spacing w:val="-4"/>
          <w:lang w:val="en-GB"/>
        </w:rPr>
        <w:t xml:space="preserve">Source: </w:t>
      </w:r>
      <w:r w:rsidR="009E4DC8" w:rsidRPr="004D7F49">
        <w:rPr>
          <w:spacing w:val="-4"/>
          <w:lang w:val="en-GB"/>
        </w:rPr>
        <w:t>“</w:t>
      </w:r>
      <w:r w:rsidRPr="004D7F49">
        <w:rPr>
          <w:spacing w:val="-4"/>
          <w:lang w:val="en-GB"/>
        </w:rPr>
        <w:t>About Abenomics,</w:t>
      </w:r>
      <w:r w:rsidR="009E4DC8" w:rsidRPr="004D7F49">
        <w:rPr>
          <w:spacing w:val="-4"/>
          <w:lang w:val="en-GB"/>
        </w:rPr>
        <w:t>”</w:t>
      </w:r>
      <w:r w:rsidRPr="004D7F49">
        <w:rPr>
          <w:spacing w:val="-4"/>
          <w:lang w:val="en-GB"/>
        </w:rPr>
        <w:t xml:space="preserve"> </w:t>
      </w:r>
      <w:r w:rsidR="009E4DC8" w:rsidRPr="004D7F49">
        <w:rPr>
          <w:spacing w:val="-4"/>
          <w:lang w:val="en-GB"/>
        </w:rPr>
        <w:t xml:space="preserve">The Government of Japan, </w:t>
      </w:r>
      <w:r w:rsidRPr="004D7F49">
        <w:rPr>
          <w:spacing w:val="-4"/>
          <w:lang w:val="en-GB"/>
        </w:rPr>
        <w:t xml:space="preserve">accessed March 1, 2018, </w:t>
      </w:r>
      <w:hyperlink r:id="rId12" w:history="1">
        <w:r w:rsidRPr="004D7F49">
          <w:rPr>
            <w:spacing w:val="-4"/>
            <w:lang w:val="en-GB"/>
          </w:rPr>
          <w:t>https://www.japan.go.jp/abenomics/about/</w:t>
        </w:r>
      </w:hyperlink>
      <w:r w:rsidRPr="004D7F49">
        <w:rPr>
          <w:spacing w:val="-4"/>
          <w:lang w:val="en-GB"/>
        </w:rPr>
        <w:t>; “</w:t>
      </w:r>
      <w:r w:rsidR="00367CAE">
        <w:rPr>
          <w:spacing w:val="-4"/>
          <w:lang w:val="en-GB"/>
        </w:rPr>
        <w:t>Bank of Japan FAQs: Price Stability and Monetary Policy,” Bank of Japan, accessed March 5, </w:t>
      </w:r>
      <w:r w:rsidRPr="004D7F49">
        <w:rPr>
          <w:spacing w:val="-4"/>
          <w:lang w:val="en-GB"/>
        </w:rPr>
        <w:t>2018,</w:t>
      </w:r>
      <w:r w:rsidR="00367CAE">
        <w:rPr>
          <w:spacing w:val="-4"/>
          <w:lang w:val="en-GB"/>
        </w:rPr>
        <w:t> </w:t>
      </w:r>
      <w:hyperlink r:id="rId13" w:history="1">
        <w:r w:rsidRPr="004D7F49">
          <w:rPr>
            <w:spacing w:val="-4"/>
            <w:lang w:val="en-GB"/>
          </w:rPr>
          <w:t>https://www.boj.or.jp/en/announcements/education/oshiete/seisaku/b38.htm/</w:t>
        </w:r>
      </w:hyperlink>
      <w:r w:rsidRPr="004D7F49">
        <w:rPr>
          <w:spacing w:val="-4"/>
          <w:lang w:val="en-GB"/>
        </w:rPr>
        <w:t xml:space="preserve">; </w:t>
      </w:r>
      <w:r w:rsidR="00DF0DDB" w:rsidRPr="004D7F49">
        <w:rPr>
          <w:spacing w:val="-4"/>
          <w:lang w:val="en-GB"/>
        </w:rPr>
        <w:t>“</w:t>
      </w:r>
      <w:r w:rsidRPr="004D7F49">
        <w:rPr>
          <w:spacing w:val="-4"/>
          <w:lang w:val="en-GB"/>
        </w:rPr>
        <w:t>[Notes on Statistics]</w:t>
      </w:r>
      <w:r w:rsidR="00DF0DDB" w:rsidRPr="004D7F49">
        <w:rPr>
          <w:spacing w:val="-4"/>
          <w:lang w:val="en-GB"/>
        </w:rPr>
        <w:t>:</w:t>
      </w:r>
      <w:r w:rsidRPr="004D7F49">
        <w:rPr>
          <w:spacing w:val="-4"/>
          <w:lang w:val="en-GB"/>
        </w:rPr>
        <w:t xml:space="preserve"> Monetary Aggregates (</w:t>
      </w:r>
      <w:r w:rsidR="00DF0DDB" w:rsidRPr="004D7F49">
        <w:rPr>
          <w:spacing w:val="-4"/>
          <w:lang w:val="en-GB"/>
        </w:rPr>
        <w:t>M</w:t>
      </w:r>
      <w:r w:rsidRPr="004D7F49">
        <w:rPr>
          <w:spacing w:val="-4"/>
          <w:lang w:val="en-GB"/>
        </w:rPr>
        <w:t xml:space="preserve">arket </w:t>
      </w:r>
      <w:r w:rsidR="00DF0DDB" w:rsidRPr="004D7F49">
        <w:rPr>
          <w:spacing w:val="-4"/>
          <w:lang w:val="en-GB"/>
        </w:rPr>
        <w:t>V</w:t>
      </w:r>
      <w:r w:rsidRPr="004D7F49">
        <w:rPr>
          <w:spacing w:val="-4"/>
          <w:lang w:val="en-GB"/>
        </w:rPr>
        <w:t xml:space="preserve">olume, </w:t>
      </w:r>
      <w:r w:rsidR="00DF0DDB" w:rsidRPr="004D7F49">
        <w:rPr>
          <w:spacing w:val="-4"/>
          <w:lang w:val="en-GB"/>
        </w:rPr>
        <w:t>O</w:t>
      </w:r>
      <w:r w:rsidRPr="004D7F49">
        <w:rPr>
          <w:spacing w:val="-4"/>
          <w:lang w:val="en-GB"/>
        </w:rPr>
        <w:t>utstanding)/Currency,</w:t>
      </w:r>
      <w:r w:rsidR="00DF0DDB" w:rsidRPr="004D7F49">
        <w:rPr>
          <w:spacing w:val="-4"/>
          <w:lang w:val="en-GB"/>
        </w:rPr>
        <w:t>” Bank of Japan,</w:t>
      </w:r>
      <w:r w:rsidRPr="004D7F49">
        <w:rPr>
          <w:spacing w:val="-4"/>
          <w:lang w:val="en-GB"/>
        </w:rPr>
        <w:t xml:space="preserve"> accessed March 23, 2018, </w:t>
      </w:r>
      <w:hyperlink r:id="rId14" w:history="1">
        <w:r w:rsidRPr="004D7F49">
          <w:rPr>
            <w:spacing w:val="-4"/>
            <w:lang w:val="en-GB"/>
          </w:rPr>
          <w:t>https://www.boj.or.jp/en/statistics/outline/note/notest31.htm/</w:t>
        </w:r>
      </w:hyperlink>
      <w:r w:rsidRPr="004D7F49">
        <w:rPr>
          <w:spacing w:val="-4"/>
          <w:lang w:val="en-GB"/>
        </w:rPr>
        <w:t>; “</w:t>
      </w:r>
      <w:r w:rsidR="00DF0DDB" w:rsidRPr="004D7F49">
        <w:rPr>
          <w:spacing w:val="-4"/>
          <w:lang w:val="en-GB"/>
        </w:rPr>
        <w:t xml:space="preserve">Bank of Japan FAQs: </w:t>
      </w:r>
      <w:r w:rsidR="00367CAE">
        <w:rPr>
          <w:spacing w:val="-4"/>
          <w:lang w:val="en-GB"/>
        </w:rPr>
        <w:t>Price Stability and </w:t>
      </w:r>
      <w:r w:rsidRPr="004D7F49">
        <w:rPr>
          <w:spacing w:val="-4"/>
          <w:lang w:val="en-GB"/>
        </w:rPr>
        <w:t>Monetar</w:t>
      </w:r>
      <w:r w:rsidR="00367CAE">
        <w:rPr>
          <w:spacing w:val="-4"/>
          <w:lang w:val="en-GB"/>
        </w:rPr>
        <w:t>y Policy,” Bank of Japan, accessed March 5, 2018, </w:t>
      </w:r>
      <w:r w:rsidRPr="004D7F49">
        <w:rPr>
          <w:spacing w:val="-4"/>
          <w:lang w:val="en-GB"/>
        </w:rPr>
        <w:t xml:space="preserve">https://www.boj.or.jp/en/announcements/education/oshiete/seisaku/index.htm/; Daniel Harari, “Japan’s </w:t>
      </w:r>
      <w:r w:rsidR="00DF0DDB" w:rsidRPr="004D7F49">
        <w:rPr>
          <w:spacing w:val="-4"/>
          <w:lang w:val="en-GB"/>
        </w:rPr>
        <w:t>E</w:t>
      </w:r>
      <w:r w:rsidRPr="004D7F49">
        <w:rPr>
          <w:spacing w:val="-4"/>
          <w:lang w:val="en-GB"/>
        </w:rPr>
        <w:t xml:space="preserve">conomy: </w:t>
      </w:r>
      <w:r w:rsidR="00DF0DDB" w:rsidRPr="004D7F49">
        <w:rPr>
          <w:spacing w:val="-4"/>
          <w:lang w:val="en-GB"/>
        </w:rPr>
        <w:t>F</w:t>
      </w:r>
      <w:r w:rsidRPr="004D7F49">
        <w:rPr>
          <w:spacing w:val="-4"/>
          <w:lang w:val="en-GB"/>
        </w:rPr>
        <w:t xml:space="preserve">rom the </w:t>
      </w:r>
      <w:r w:rsidR="00DF0DDB" w:rsidRPr="004D7F49">
        <w:rPr>
          <w:spacing w:val="-4"/>
          <w:lang w:val="en-GB"/>
        </w:rPr>
        <w:t>‘L</w:t>
      </w:r>
      <w:r w:rsidRPr="004D7F49">
        <w:rPr>
          <w:spacing w:val="-4"/>
          <w:lang w:val="en-GB"/>
        </w:rPr>
        <w:t xml:space="preserve">ost </w:t>
      </w:r>
      <w:r w:rsidR="00DF0DDB" w:rsidRPr="004D7F49">
        <w:rPr>
          <w:spacing w:val="-4"/>
          <w:lang w:val="en-GB"/>
        </w:rPr>
        <w:t>D</w:t>
      </w:r>
      <w:r w:rsidRPr="004D7F49">
        <w:rPr>
          <w:spacing w:val="-4"/>
          <w:lang w:val="en-GB"/>
        </w:rPr>
        <w:t>ecade</w:t>
      </w:r>
      <w:r w:rsidR="00DF0DDB" w:rsidRPr="004D7F49">
        <w:rPr>
          <w:spacing w:val="-4"/>
          <w:lang w:val="en-GB"/>
        </w:rPr>
        <w:t>’</w:t>
      </w:r>
      <w:r w:rsidRPr="004D7F49">
        <w:rPr>
          <w:spacing w:val="-4"/>
          <w:lang w:val="en-GB"/>
        </w:rPr>
        <w:t xml:space="preserve"> to Abenomics,” </w:t>
      </w:r>
      <w:r w:rsidR="00DF0DDB" w:rsidRPr="004D7F49">
        <w:rPr>
          <w:spacing w:val="-4"/>
          <w:lang w:val="en-GB"/>
        </w:rPr>
        <w:t xml:space="preserve">House of Commons Library, October 24, 2013, </w:t>
      </w:r>
      <w:r w:rsidRPr="004D7F49">
        <w:rPr>
          <w:spacing w:val="-4"/>
          <w:lang w:val="en-GB"/>
        </w:rPr>
        <w:t xml:space="preserve">accessed March 18, 2018, </w:t>
      </w:r>
      <w:hyperlink r:id="rId15" w:history="1">
        <w:r w:rsidRPr="004D7F49">
          <w:rPr>
            <w:spacing w:val="-4"/>
            <w:lang w:val="en-GB"/>
          </w:rPr>
          <w:t>http://researchbriefings.files.parliament.uk/documents/SN06629/SN06629.pdf</w:t>
        </w:r>
      </w:hyperlink>
      <w:r w:rsidRPr="004D7F49">
        <w:rPr>
          <w:spacing w:val="-4"/>
          <w:lang w:val="en-GB"/>
        </w:rPr>
        <w:t xml:space="preserve">; “Yield Curve,” Investopedia, accessed March 23, 2018, </w:t>
      </w:r>
      <w:hyperlink r:id="rId16" w:history="1">
        <w:r w:rsidRPr="004D7F49">
          <w:rPr>
            <w:spacing w:val="-4"/>
            <w:lang w:val="en-GB"/>
          </w:rPr>
          <w:t>https://www.investopedia.com/terms/y/yieldcurve.asp</w:t>
        </w:r>
      </w:hyperlink>
      <w:r w:rsidRPr="004D7F49">
        <w:rPr>
          <w:spacing w:val="-4"/>
          <w:lang w:val="en-GB"/>
        </w:rPr>
        <w:t xml:space="preserve">; “The Zero Lower Bound Problem,” Macroeconomic Analysis, accessed March 19, 2018, </w:t>
      </w:r>
      <w:hyperlink r:id="rId17" w:history="1">
        <w:r w:rsidRPr="004D7F49">
          <w:rPr>
            <w:spacing w:val="-4"/>
            <w:lang w:val="en-GB"/>
          </w:rPr>
          <w:t>http://macroeconomicanalysis.com/macroeconomics-wikipedia/zero-lower-bound-problem/</w:t>
        </w:r>
      </w:hyperlink>
      <w:r w:rsidR="00922129" w:rsidRPr="004D7F49">
        <w:rPr>
          <w:spacing w:val="-4"/>
          <w:lang w:val="en-GB"/>
        </w:rPr>
        <w:t>.</w:t>
      </w:r>
    </w:p>
    <w:p w14:paraId="1E92572E" w14:textId="5D66BC0C" w:rsidR="00B021D8" w:rsidRPr="004D7F49" w:rsidRDefault="00B021D8" w:rsidP="00922129">
      <w:pPr>
        <w:pStyle w:val="Footnote"/>
        <w:rPr>
          <w:sz w:val="16"/>
          <w:szCs w:val="16"/>
          <w:lang w:val="en-GB"/>
        </w:rPr>
      </w:pPr>
    </w:p>
    <w:p w14:paraId="4948F69E" w14:textId="77777777" w:rsidR="00B021D8" w:rsidRPr="004D7F49" w:rsidRDefault="00B021D8" w:rsidP="00922129">
      <w:pPr>
        <w:pStyle w:val="Footnote"/>
        <w:rPr>
          <w:sz w:val="16"/>
          <w:szCs w:val="16"/>
          <w:lang w:val="en-GB"/>
        </w:rPr>
      </w:pPr>
    </w:p>
    <w:p w14:paraId="385E8665" w14:textId="30E52A99" w:rsidR="00DF5A71" w:rsidRPr="004D7F49" w:rsidRDefault="00DF5A71" w:rsidP="00922129">
      <w:pPr>
        <w:pStyle w:val="ExhibitHeading"/>
        <w:rPr>
          <w:lang w:val="en-GB"/>
        </w:rPr>
      </w:pPr>
      <w:r w:rsidRPr="004D7F49">
        <w:rPr>
          <w:lang w:val="en-GB"/>
        </w:rPr>
        <w:t>EXHIBIT 2: JAPAN</w:t>
      </w:r>
      <w:r w:rsidR="0052342F" w:rsidRPr="004D7F49">
        <w:rPr>
          <w:lang w:val="en-GB"/>
        </w:rPr>
        <w:t>’</w:t>
      </w:r>
      <w:r w:rsidRPr="004D7F49">
        <w:rPr>
          <w:lang w:val="en-GB"/>
        </w:rPr>
        <w:t>s REAL GDP GROWTH RATE AND INFLATION RATE, 1980</w:t>
      </w:r>
      <w:r w:rsidR="00724588" w:rsidRPr="004D7F49">
        <w:rPr>
          <w:lang w:val="en-GB"/>
        </w:rPr>
        <w:t>–</w:t>
      </w:r>
      <w:r w:rsidRPr="004D7F49">
        <w:rPr>
          <w:lang w:val="en-GB"/>
        </w:rPr>
        <w:t xml:space="preserve">2017 </w:t>
      </w:r>
    </w:p>
    <w:p w14:paraId="769BB694" w14:textId="77777777" w:rsidR="00703511" w:rsidRPr="004D7F49" w:rsidRDefault="00703511" w:rsidP="00703511">
      <w:pPr>
        <w:pStyle w:val="ExhibitText"/>
        <w:rPr>
          <w:sz w:val="16"/>
          <w:szCs w:val="16"/>
          <w:lang w:val="en-GB"/>
        </w:rPr>
      </w:pPr>
    </w:p>
    <w:p w14:paraId="629FF111" w14:textId="679F9309" w:rsidR="0058523F" w:rsidRPr="004D7F49" w:rsidRDefault="0058523F" w:rsidP="00922129">
      <w:pPr>
        <w:pStyle w:val="ExhibitHeading"/>
        <w:rPr>
          <w:lang w:val="en-GB"/>
        </w:rPr>
      </w:pPr>
      <w:r w:rsidRPr="004D7F49">
        <w:rPr>
          <w:noProof/>
        </w:rPr>
        <w:drawing>
          <wp:inline distT="0" distB="0" distL="0" distR="0" wp14:anchorId="6FD8B574" wp14:editId="7AD63062">
            <wp:extent cx="4570268" cy="2744355"/>
            <wp:effectExtent l="0" t="0" r="190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55C716" w14:textId="77777777" w:rsidR="00DF5A71" w:rsidRPr="004D7F49" w:rsidRDefault="00DF5A71" w:rsidP="004772A6">
      <w:pPr>
        <w:pStyle w:val="ExhibitText"/>
        <w:rPr>
          <w:sz w:val="16"/>
          <w:szCs w:val="16"/>
          <w:shd w:val="clear" w:color="auto" w:fill="FFFFFF"/>
          <w:lang w:val="en-GB" w:eastAsia="en-IN"/>
        </w:rPr>
      </w:pPr>
    </w:p>
    <w:p w14:paraId="698B5289" w14:textId="061E3CC3" w:rsidR="009E4DC8" w:rsidRPr="004D7F49" w:rsidRDefault="009E4DC8" w:rsidP="00922129">
      <w:pPr>
        <w:pStyle w:val="Footnote"/>
        <w:rPr>
          <w:rFonts w:eastAsia="Calibri"/>
          <w:lang w:val="en-GB"/>
        </w:rPr>
      </w:pPr>
      <w:r w:rsidRPr="004D7F49">
        <w:rPr>
          <w:rFonts w:eastAsia="Calibri"/>
          <w:lang w:val="en-GB"/>
        </w:rPr>
        <w:t>Note: GDP = gross domestic product</w:t>
      </w:r>
    </w:p>
    <w:p w14:paraId="05C36885" w14:textId="559001D2" w:rsidR="00DF5A71" w:rsidRPr="004D7F49" w:rsidRDefault="00DF5A71" w:rsidP="00922129">
      <w:pPr>
        <w:pStyle w:val="Footnote"/>
        <w:rPr>
          <w:spacing w:val="-4"/>
          <w:kern w:val="17"/>
          <w:shd w:val="clear" w:color="auto" w:fill="FFFFFF"/>
          <w:lang w:val="en-GB" w:eastAsia="en-IN"/>
        </w:rPr>
      </w:pPr>
      <w:r w:rsidRPr="004D7F49">
        <w:rPr>
          <w:rFonts w:eastAsia="Calibri"/>
          <w:spacing w:val="-4"/>
          <w:kern w:val="17"/>
          <w:lang w:val="en-GB"/>
        </w:rPr>
        <w:t>Source: Created by</w:t>
      </w:r>
      <w:r w:rsidR="00DF0DDB" w:rsidRPr="004D7F49">
        <w:rPr>
          <w:rFonts w:eastAsia="Calibri"/>
          <w:spacing w:val="-4"/>
          <w:kern w:val="17"/>
          <w:lang w:val="en-GB"/>
        </w:rPr>
        <w:t xml:space="preserve"> the</w:t>
      </w:r>
      <w:r w:rsidRPr="004D7F49">
        <w:rPr>
          <w:rFonts w:eastAsia="Calibri"/>
          <w:spacing w:val="-4"/>
          <w:kern w:val="17"/>
          <w:lang w:val="en-GB"/>
        </w:rPr>
        <w:t xml:space="preserve"> case author based on </w:t>
      </w:r>
      <w:r w:rsidR="00DF0DDB" w:rsidRPr="004D7F49">
        <w:rPr>
          <w:rFonts w:eastAsia="Calibri"/>
          <w:spacing w:val="-4"/>
          <w:kern w:val="17"/>
          <w:lang w:val="en-GB"/>
        </w:rPr>
        <w:t xml:space="preserve">IMF DataMapper, </w:t>
      </w:r>
      <w:r w:rsidR="00DF0DDB" w:rsidRPr="004D7F49">
        <w:rPr>
          <w:spacing w:val="-4"/>
          <w:kern w:val="17"/>
          <w:shd w:val="clear" w:color="auto" w:fill="FFFFFF"/>
          <w:lang w:val="en-GB" w:eastAsia="en-IN"/>
        </w:rPr>
        <w:t>“</w:t>
      </w:r>
      <w:r w:rsidRPr="004D7F49">
        <w:rPr>
          <w:spacing w:val="-4"/>
          <w:kern w:val="17"/>
          <w:shd w:val="clear" w:color="auto" w:fill="FFFFFF"/>
          <w:lang w:val="en-GB" w:eastAsia="en-IN"/>
        </w:rPr>
        <w:t>Real GDP Growth</w:t>
      </w:r>
      <w:r w:rsidR="00DF0DDB" w:rsidRPr="004D7F49">
        <w:rPr>
          <w:spacing w:val="-4"/>
          <w:kern w:val="17"/>
          <w:shd w:val="clear" w:color="auto" w:fill="FFFFFF"/>
          <w:lang w:val="en-GB" w:eastAsia="en-IN"/>
        </w:rPr>
        <w:t>:</w:t>
      </w:r>
      <w:r w:rsidRPr="004D7F49">
        <w:rPr>
          <w:spacing w:val="-4"/>
          <w:kern w:val="17"/>
          <w:shd w:val="clear" w:color="auto" w:fill="FFFFFF"/>
          <w:lang w:val="en-GB" w:eastAsia="en-IN"/>
        </w:rPr>
        <w:t xml:space="preserve"> Annual </w:t>
      </w:r>
      <w:r w:rsidR="00DF0DDB" w:rsidRPr="004D7F49">
        <w:rPr>
          <w:spacing w:val="-4"/>
          <w:kern w:val="17"/>
          <w:shd w:val="clear" w:color="auto" w:fill="FFFFFF"/>
          <w:lang w:val="en-GB" w:eastAsia="en-IN"/>
        </w:rPr>
        <w:t>P</w:t>
      </w:r>
      <w:r w:rsidRPr="004D7F49">
        <w:rPr>
          <w:spacing w:val="-4"/>
          <w:kern w:val="17"/>
          <w:shd w:val="clear" w:color="auto" w:fill="FFFFFF"/>
          <w:lang w:val="en-GB" w:eastAsia="en-IN"/>
        </w:rPr>
        <w:t>ercent Change,</w:t>
      </w:r>
      <w:r w:rsidR="00DF0DDB" w:rsidRPr="004D7F49">
        <w:rPr>
          <w:spacing w:val="-4"/>
          <w:kern w:val="17"/>
          <w:shd w:val="clear" w:color="auto" w:fill="FFFFFF"/>
          <w:lang w:val="en-GB" w:eastAsia="en-IN"/>
        </w:rPr>
        <w:t>”</w:t>
      </w:r>
      <w:r w:rsidR="00921BD7" w:rsidRPr="004D7F49">
        <w:rPr>
          <w:spacing w:val="-4"/>
          <w:kern w:val="17"/>
          <w:shd w:val="clear" w:color="auto" w:fill="FFFFFF"/>
          <w:lang w:val="en-GB" w:eastAsia="en-IN"/>
        </w:rPr>
        <w:t xml:space="preserve"> </w:t>
      </w:r>
      <w:r w:rsidRPr="004D7F49">
        <w:rPr>
          <w:spacing w:val="-4"/>
          <w:kern w:val="17"/>
          <w:shd w:val="clear" w:color="auto" w:fill="FFFFFF"/>
          <w:lang w:val="en-GB" w:eastAsia="en-IN"/>
        </w:rPr>
        <w:t>I</w:t>
      </w:r>
      <w:r w:rsidR="004772A6" w:rsidRPr="004D7F49">
        <w:rPr>
          <w:spacing w:val="-4"/>
          <w:kern w:val="17"/>
          <w:shd w:val="clear" w:color="auto" w:fill="FFFFFF"/>
          <w:lang w:val="en-GB" w:eastAsia="en-IN"/>
        </w:rPr>
        <w:t>nternational Monetary </w:t>
      </w:r>
      <w:r w:rsidR="00DF0DDB" w:rsidRPr="004D7F49">
        <w:rPr>
          <w:spacing w:val="-4"/>
          <w:kern w:val="17"/>
          <w:shd w:val="clear" w:color="auto" w:fill="FFFFFF"/>
          <w:lang w:val="en-GB" w:eastAsia="en-IN"/>
        </w:rPr>
        <w:t>Fund</w:t>
      </w:r>
      <w:r w:rsidR="004772A6" w:rsidRPr="004D7F49">
        <w:rPr>
          <w:spacing w:val="-4"/>
          <w:kern w:val="17"/>
          <w:shd w:val="clear" w:color="auto" w:fill="FFFFFF"/>
          <w:lang w:val="en-GB" w:eastAsia="en-IN"/>
        </w:rPr>
        <w:t>, accessed March 4, </w:t>
      </w:r>
      <w:r w:rsidRPr="004D7F49">
        <w:rPr>
          <w:spacing w:val="-4"/>
          <w:kern w:val="17"/>
          <w:shd w:val="clear" w:color="auto" w:fill="FFFFFF"/>
          <w:lang w:val="en-GB" w:eastAsia="en-IN"/>
        </w:rPr>
        <w:t>2018,</w:t>
      </w:r>
      <w:r w:rsidR="004772A6" w:rsidRPr="004D7F49">
        <w:rPr>
          <w:spacing w:val="-4"/>
          <w:kern w:val="17"/>
          <w:shd w:val="clear" w:color="auto" w:fill="FFFFFF"/>
          <w:lang w:val="en-GB" w:eastAsia="en-IN"/>
        </w:rPr>
        <w:t> </w:t>
      </w:r>
      <w:hyperlink r:id="rId19" w:history="1">
        <w:r w:rsidRPr="004D7F49">
          <w:rPr>
            <w:spacing w:val="-4"/>
            <w:kern w:val="17"/>
            <w:shd w:val="clear" w:color="auto" w:fill="FFFFFF"/>
            <w:lang w:val="en-GB" w:eastAsia="en-IN"/>
          </w:rPr>
          <w:t>www.imf.org/external/datamapper/NGDP_RPCH@WEO/OEMDC/ADVEC/WEOWORLD/JPN/OEMDC/ADVEC/WEOWORLD/JPN?year=2018</w:t>
        </w:r>
      </w:hyperlink>
      <w:r w:rsidRPr="004D7F49">
        <w:rPr>
          <w:spacing w:val="-4"/>
          <w:kern w:val="17"/>
          <w:shd w:val="clear" w:color="auto" w:fill="FFFFFF"/>
          <w:lang w:val="en-GB" w:eastAsia="en-IN"/>
        </w:rPr>
        <w:t>;</w:t>
      </w:r>
      <w:r w:rsidR="00DF0DDB" w:rsidRPr="004D7F49">
        <w:rPr>
          <w:spacing w:val="-4"/>
          <w:kern w:val="17"/>
          <w:shd w:val="clear" w:color="auto" w:fill="FFFFFF"/>
          <w:lang w:val="en-GB" w:eastAsia="en-IN"/>
        </w:rPr>
        <w:t xml:space="preserve"> IMF Data Mapper, “Inflation Rate, Average </w:t>
      </w:r>
      <w:r w:rsidR="004772A6" w:rsidRPr="004D7F49">
        <w:rPr>
          <w:spacing w:val="-4"/>
          <w:kern w:val="17"/>
          <w:shd w:val="clear" w:color="auto" w:fill="FFFFFF"/>
          <w:lang w:val="en-GB" w:eastAsia="en-IN"/>
        </w:rPr>
        <w:t>Consumer Prices: Annual Percent Change,” International Monetary Fund, accessed March 4, </w:t>
      </w:r>
      <w:r w:rsidR="00DF0DDB" w:rsidRPr="004D7F49">
        <w:rPr>
          <w:spacing w:val="-4"/>
          <w:kern w:val="17"/>
          <w:shd w:val="clear" w:color="auto" w:fill="FFFFFF"/>
          <w:lang w:val="en-GB" w:eastAsia="en-IN"/>
        </w:rPr>
        <w:t>2018,</w:t>
      </w:r>
      <w:r w:rsidR="004772A6" w:rsidRPr="004D7F49">
        <w:rPr>
          <w:spacing w:val="-4"/>
          <w:kern w:val="17"/>
          <w:shd w:val="clear" w:color="auto" w:fill="FFFFFF"/>
          <w:lang w:val="en-GB" w:eastAsia="en-IN"/>
        </w:rPr>
        <w:t> </w:t>
      </w:r>
      <w:r w:rsidRPr="004D7F49">
        <w:rPr>
          <w:spacing w:val="-4"/>
          <w:kern w:val="17"/>
          <w:shd w:val="clear" w:color="auto" w:fill="FFFFFF"/>
          <w:lang w:val="en-GB" w:eastAsia="en-IN"/>
        </w:rPr>
        <w:t>www.imf.org/external/datamapper/PCPIPCH@WEO/OEMDC/ADVEC/WEOWORLD/JPN/OEMDC/ADVEC/WEOWORLD/JPN?year=2018.</w:t>
      </w:r>
    </w:p>
    <w:p w14:paraId="2417C06E" w14:textId="31476E82" w:rsidR="00E11BE0" w:rsidRPr="004D7F49" w:rsidRDefault="00E11BE0" w:rsidP="00E11BE0">
      <w:pPr>
        <w:pStyle w:val="ExhibitHeading"/>
        <w:rPr>
          <w:shd w:val="clear" w:color="auto" w:fill="FFFFFF"/>
          <w:lang w:val="en-GB" w:eastAsia="en-IN"/>
        </w:rPr>
      </w:pPr>
      <w:r w:rsidRPr="004D7F49">
        <w:rPr>
          <w:shd w:val="clear" w:color="auto" w:fill="FFFFFF"/>
          <w:lang w:val="en-GB" w:eastAsia="en-IN"/>
        </w:rPr>
        <w:lastRenderedPageBreak/>
        <w:t xml:space="preserve">EXHIBIT 3: SHORT-TERM NOMINAL INTEREST RATES AND LONG-TERM </w:t>
      </w:r>
      <w:r w:rsidR="00724588" w:rsidRPr="004D7F49">
        <w:rPr>
          <w:shd w:val="clear" w:color="auto" w:fill="FFFFFF"/>
          <w:lang w:val="en-GB" w:eastAsia="en-IN"/>
        </w:rPr>
        <w:t>REAL BOND YIELDS IN JAPAN</w:t>
      </w:r>
      <w:r w:rsidR="0052342F" w:rsidRPr="004D7F49">
        <w:rPr>
          <w:shd w:val="clear" w:color="auto" w:fill="FFFFFF"/>
          <w:lang w:val="en-GB" w:eastAsia="en-IN"/>
        </w:rPr>
        <w:t>,</w:t>
      </w:r>
      <w:r w:rsidR="00724588" w:rsidRPr="004D7F49">
        <w:rPr>
          <w:shd w:val="clear" w:color="auto" w:fill="FFFFFF"/>
          <w:lang w:val="en-GB" w:eastAsia="en-IN"/>
        </w:rPr>
        <w:t xml:space="preserve"> 1986–</w:t>
      </w:r>
      <w:r w:rsidRPr="004D7F49">
        <w:rPr>
          <w:shd w:val="clear" w:color="auto" w:fill="FFFFFF"/>
          <w:lang w:val="en-GB" w:eastAsia="en-IN"/>
        </w:rPr>
        <w:t>2018</w:t>
      </w:r>
    </w:p>
    <w:p w14:paraId="7B3ACFA9" w14:textId="77777777" w:rsidR="004772A6" w:rsidRPr="004D7F49" w:rsidRDefault="004772A6" w:rsidP="004772A6">
      <w:pPr>
        <w:pStyle w:val="ExhibitText"/>
        <w:rPr>
          <w:sz w:val="16"/>
          <w:szCs w:val="16"/>
          <w:shd w:val="clear" w:color="auto" w:fill="FFFFFF"/>
          <w:lang w:val="en-GB" w:eastAsia="en-IN"/>
        </w:rPr>
      </w:pPr>
    </w:p>
    <w:p w14:paraId="1C674E97" w14:textId="4D4C353B" w:rsidR="0058523F" w:rsidRPr="004D7F49" w:rsidRDefault="0058523F" w:rsidP="00E11BE0">
      <w:pPr>
        <w:pStyle w:val="ExhibitHeading"/>
        <w:rPr>
          <w:shd w:val="clear" w:color="auto" w:fill="FFFFFF"/>
          <w:lang w:val="en-GB" w:eastAsia="en-IN"/>
        </w:rPr>
      </w:pPr>
      <w:r w:rsidRPr="004D7F49">
        <w:rPr>
          <w:noProof/>
        </w:rPr>
        <w:drawing>
          <wp:inline distT="0" distB="0" distL="0" distR="0" wp14:anchorId="7FA30048" wp14:editId="2559FFBE">
            <wp:extent cx="4563711" cy="2753087"/>
            <wp:effectExtent l="0" t="0" r="889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C61FC7" w14:textId="77777777" w:rsidR="00E11BE0" w:rsidRPr="004D7F49" w:rsidRDefault="00E11BE0" w:rsidP="004772A6">
      <w:pPr>
        <w:pStyle w:val="ExhibitText"/>
        <w:rPr>
          <w:sz w:val="16"/>
          <w:szCs w:val="16"/>
          <w:lang w:val="en-GB"/>
        </w:rPr>
      </w:pPr>
    </w:p>
    <w:p w14:paraId="5ADAE6ED" w14:textId="35A425CD" w:rsidR="00E11BE0" w:rsidRPr="004D7F49" w:rsidRDefault="00E11BE0" w:rsidP="00E11BE0">
      <w:pPr>
        <w:pStyle w:val="Footnote"/>
        <w:rPr>
          <w:rFonts w:eastAsia="Calibri"/>
          <w:spacing w:val="-6"/>
          <w:kern w:val="17"/>
          <w:lang w:val="en-GB"/>
        </w:rPr>
      </w:pPr>
      <w:r w:rsidRPr="004D7F49">
        <w:rPr>
          <w:rFonts w:eastAsia="Calibri"/>
          <w:spacing w:val="-6"/>
          <w:kern w:val="17"/>
          <w:lang w:val="en-GB"/>
        </w:rPr>
        <w:t xml:space="preserve">Source: Created by the </w:t>
      </w:r>
      <w:r w:rsidR="0060402D" w:rsidRPr="004D7F49">
        <w:rPr>
          <w:rFonts w:eastAsia="Calibri"/>
          <w:spacing w:val="-6"/>
          <w:kern w:val="17"/>
          <w:lang w:val="en-GB"/>
        </w:rPr>
        <w:t xml:space="preserve">case </w:t>
      </w:r>
      <w:r w:rsidRPr="004D7F49">
        <w:rPr>
          <w:rFonts w:eastAsia="Calibri"/>
          <w:spacing w:val="-6"/>
          <w:kern w:val="17"/>
          <w:lang w:val="en-GB"/>
        </w:rPr>
        <w:t xml:space="preserve">author based on Organization for Economic Co-operation and Development, </w:t>
      </w:r>
      <w:r w:rsidR="006E6E95" w:rsidRPr="004D7F49">
        <w:rPr>
          <w:rFonts w:eastAsia="Calibri"/>
          <w:spacing w:val="-6"/>
          <w:kern w:val="17"/>
          <w:lang w:val="en-GB"/>
        </w:rPr>
        <w:t>“</w:t>
      </w:r>
      <w:r w:rsidRPr="004D7F49">
        <w:rPr>
          <w:rFonts w:eastAsia="Calibri"/>
          <w:spacing w:val="-6"/>
          <w:kern w:val="17"/>
          <w:lang w:val="en-GB"/>
        </w:rPr>
        <w:t xml:space="preserve">Immediate Rates: Less than 24 Hours: Call Money/Interbank Rate for Japan </w:t>
      </w:r>
      <w:r w:rsidR="006E6E95" w:rsidRPr="004D7F49">
        <w:rPr>
          <w:rFonts w:eastAsia="Calibri"/>
          <w:spacing w:val="-6"/>
          <w:kern w:val="17"/>
          <w:lang w:val="en-GB"/>
        </w:rPr>
        <w:t>(</w:t>
      </w:r>
      <w:r w:rsidRPr="004D7F49">
        <w:rPr>
          <w:rFonts w:eastAsia="Calibri"/>
          <w:spacing w:val="-6"/>
          <w:kern w:val="17"/>
          <w:lang w:val="en-GB"/>
        </w:rPr>
        <w:t>IRSTCI01JPM156N</w:t>
      </w:r>
      <w:r w:rsidR="006E6E95" w:rsidRPr="004D7F49">
        <w:rPr>
          <w:rFonts w:eastAsia="Calibri"/>
          <w:spacing w:val="-6"/>
          <w:kern w:val="17"/>
          <w:lang w:val="en-GB"/>
        </w:rPr>
        <w:t>)</w:t>
      </w:r>
      <w:r w:rsidRPr="004D7F49">
        <w:rPr>
          <w:rFonts w:eastAsia="Calibri"/>
          <w:spacing w:val="-6"/>
          <w:kern w:val="17"/>
          <w:lang w:val="en-GB"/>
        </w:rPr>
        <w:t>,</w:t>
      </w:r>
      <w:r w:rsidR="006E6E95" w:rsidRPr="004D7F49">
        <w:rPr>
          <w:rFonts w:eastAsia="Calibri"/>
          <w:spacing w:val="-6"/>
          <w:kern w:val="17"/>
          <w:lang w:val="en-GB"/>
        </w:rPr>
        <w:t>”</w:t>
      </w:r>
      <w:r w:rsidRPr="004D7F49">
        <w:rPr>
          <w:rFonts w:eastAsia="Calibri"/>
          <w:spacing w:val="-6"/>
          <w:kern w:val="17"/>
          <w:lang w:val="en-GB"/>
        </w:rPr>
        <w:t xml:space="preserve"> FRED</w:t>
      </w:r>
      <w:r w:rsidR="006E6E95" w:rsidRPr="004D7F49">
        <w:rPr>
          <w:rFonts w:eastAsia="Calibri"/>
          <w:spacing w:val="-6"/>
          <w:kern w:val="17"/>
          <w:lang w:val="en-GB"/>
        </w:rPr>
        <w:t xml:space="preserve"> Economic Data</w:t>
      </w:r>
      <w:r w:rsidRPr="004D7F49">
        <w:rPr>
          <w:rFonts w:eastAsia="Calibri"/>
          <w:spacing w:val="-6"/>
          <w:kern w:val="17"/>
          <w:lang w:val="en-GB"/>
        </w:rPr>
        <w:t>, Federal Reserve Bank of St. Louis</w:t>
      </w:r>
      <w:r w:rsidR="006E6E95" w:rsidRPr="004D7F49">
        <w:rPr>
          <w:rFonts w:eastAsia="Calibri"/>
          <w:spacing w:val="-6"/>
          <w:kern w:val="17"/>
          <w:lang w:val="en-GB"/>
        </w:rPr>
        <w:t>,</w:t>
      </w:r>
      <w:r w:rsidRPr="004D7F49">
        <w:rPr>
          <w:rFonts w:eastAsia="Calibri"/>
          <w:spacing w:val="-6"/>
          <w:kern w:val="17"/>
          <w:lang w:val="en-GB"/>
        </w:rPr>
        <w:t xml:space="preserve"> accessed March 6, 2018, </w:t>
      </w:r>
      <w:hyperlink r:id="rId21" w:history="1">
        <w:r w:rsidRPr="004D7F49">
          <w:rPr>
            <w:rFonts w:eastAsia="Calibri"/>
            <w:spacing w:val="-6"/>
            <w:kern w:val="17"/>
            <w:lang w:val="en-GB"/>
          </w:rPr>
          <w:t>https://fred.stlouisfed.org/series/IRSTCI01JPM156N</w:t>
        </w:r>
      </w:hyperlink>
      <w:r w:rsidRPr="004D7F49">
        <w:rPr>
          <w:rFonts w:eastAsia="Calibri"/>
          <w:spacing w:val="-6"/>
          <w:kern w:val="17"/>
          <w:lang w:val="en-GB"/>
        </w:rPr>
        <w:t xml:space="preserve">; </w:t>
      </w:r>
      <w:r w:rsidR="006E6E95" w:rsidRPr="004D7F49">
        <w:rPr>
          <w:rFonts w:eastAsia="Calibri"/>
          <w:spacing w:val="-6"/>
          <w:kern w:val="17"/>
          <w:lang w:val="en-GB"/>
        </w:rPr>
        <w:t>“</w:t>
      </w:r>
      <w:r w:rsidRPr="004D7F49">
        <w:rPr>
          <w:rFonts w:eastAsia="Calibri"/>
          <w:spacing w:val="-6"/>
          <w:kern w:val="17"/>
          <w:lang w:val="en-GB"/>
        </w:rPr>
        <w:t xml:space="preserve">Real Japan 10-year Government Benchmark </w:t>
      </w:r>
      <w:r w:rsidR="006E6E95" w:rsidRPr="004D7F49">
        <w:rPr>
          <w:rFonts w:eastAsia="Calibri"/>
          <w:spacing w:val="-6"/>
          <w:kern w:val="17"/>
          <w:lang w:val="en-GB"/>
        </w:rPr>
        <w:t>B</w:t>
      </w:r>
      <w:r w:rsidRPr="004D7F49">
        <w:rPr>
          <w:rFonts w:eastAsia="Calibri"/>
          <w:spacing w:val="-6"/>
          <w:kern w:val="17"/>
          <w:lang w:val="en-GB"/>
        </w:rPr>
        <w:t xml:space="preserve">ond </w:t>
      </w:r>
      <w:r w:rsidR="006E6E95" w:rsidRPr="004D7F49">
        <w:rPr>
          <w:rFonts w:eastAsia="Calibri"/>
          <w:spacing w:val="-6"/>
          <w:kern w:val="17"/>
          <w:lang w:val="en-GB"/>
        </w:rPr>
        <w:t>Y</w:t>
      </w:r>
      <w:r w:rsidR="004772A6" w:rsidRPr="004D7F49">
        <w:rPr>
          <w:rFonts w:eastAsia="Calibri"/>
          <w:spacing w:val="-6"/>
          <w:kern w:val="17"/>
          <w:lang w:val="en-GB"/>
        </w:rPr>
        <w:t>ield - Yield, </w:t>
      </w:r>
      <w:r w:rsidR="006E6E95" w:rsidRPr="004D7F49">
        <w:rPr>
          <w:rFonts w:eastAsia="Calibri"/>
          <w:spacing w:val="-6"/>
          <w:kern w:val="17"/>
          <w:lang w:val="en-GB"/>
        </w:rPr>
        <w:t>A</w:t>
      </w:r>
      <w:r w:rsidR="004772A6" w:rsidRPr="004D7F49">
        <w:rPr>
          <w:rFonts w:eastAsia="Calibri"/>
          <w:spacing w:val="-6"/>
          <w:kern w:val="17"/>
          <w:lang w:val="en-GB"/>
        </w:rPr>
        <w:t>verage of </w:t>
      </w:r>
      <w:r w:rsidR="006E6E95" w:rsidRPr="004D7F49">
        <w:rPr>
          <w:rFonts w:eastAsia="Calibri"/>
          <w:spacing w:val="-6"/>
          <w:kern w:val="17"/>
          <w:lang w:val="en-GB"/>
        </w:rPr>
        <w:t>O</w:t>
      </w:r>
      <w:r w:rsidR="004772A6" w:rsidRPr="004D7F49">
        <w:rPr>
          <w:rFonts w:eastAsia="Calibri"/>
          <w:spacing w:val="-6"/>
          <w:kern w:val="17"/>
          <w:lang w:val="en-GB"/>
        </w:rPr>
        <w:t>bservations through </w:t>
      </w:r>
      <w:r w:rsidR="006E6E95" w:rsidRPr="004D7F49">
        <w:rPr>
          <w:rFonts w:eastAsia="Calibri"/>
          <w:spacing w:val="-6"/>
          <w:kern w:val="17"/>
          <w:lang w:val="en-GB"/>
        </w:rPr>
        <w:t>P</w:t>
      </w:r>
      <w:r w:rsidRPr="004D7F49">
        <w:rPr>
          <w:rFonts w:eastAsia="Calibri"/>
          <w:spacing w:val="-6"/>
          <w:kern w:val="17"/>
          <w:lang w:val="en-GB"/>
        </w:rPr>
        <w:t>eriod,</w:t>
      </w:r>
      <w:r w:rsidR="006E6E95" w:rsidRPr="004D7F49">
        <w:rPr>
          <w:rFonts w:eastAsia="Calibri"/>
          <w:spacing w:val="-6"/>
          <w:kern w:val="17"/>
          <w:lang w:val="en-GB"/>
        </w:rPr>
        <w:t>”</w:t>
      </w:r>
      <w:r w:rsidR="004772A6" w:rsidRPr="004D7F49">
        <w:rPr>
          <w:rFonts w:eastAsia="Calibri"/>
          <w:spacing w:val="-6"/>
          <w:kern w:val="17"/>
          <w:lang w:val="en-GB"/>
        </w:rPr>
        <w:t> European Central Bank, Statistical Data </w:t>
      </w:r>
      <w:r w:rsidR="006E6E95" w:rsidRPr="004D7F49">
        <w:rPr>
          <w:rFonts w:eastAsia="Calibri"/>
          <w:spacing w:val="-6"/>
          <w:kern w:val="17"/>
          <w:lang w:val="en-GB"/>
        </w:rPr>
        <w:t>Warehouse,</w:t>
      </w:r>
      <w:r w:rsidR="004772A6" w:rsidRPr="004D7F49">
        <w:rPr>
          <w:rFonts w:eastAsia="Calibri"/>
          <w:spacing w:val="-6"/>
          <w:kern w:val="17"/>
          <w:lang w:val="en-GB"/>
        </w:rPr>
        <w:t> accessed March 6, 2018, </w:t>
      </w:r>
      <w:r w:rsidRPr="004D7F49">
        <w:rPr>
          <w:rFonts w:eastAsia="Calibri"/>
          <w:spacing w:val="-6"/>
          <w:kern w:val="17"/>
          <w:lang w:val="en-GB"/>
        </w:rPr>
        <w:t>http://sdw.ecb.europa.eu/quickview.do?SERIES_KEY=143.FM.M.JP.JPY.4F.BB.R_JP10YT_RR.YLDA.</w:t>
      </w:r>
    </w:p>
    <w:p w14:paraId="192F8702" w14:textId="7F3A8335" w:rsidR="00E11BE0" w:rsidRPr="004D7F49" w:rsidRDefault="00E11BE0" w:rsidP="00552077">
      <w:pPr>
        <w:pStyle w:val="ExhibitHeading"/>
        <w:jc w:val="left"/>
        <w:outlineLvl w:val="0"/>
        <w:rPr>
          <w:sz w:val="16"/>
          <w:szCs w:val="16"/>
          <w:shd w:val="clear" w:color="auto" w:fill="FFFFFF"/>
          <w:lang w:val="en-GB" w:eastAsia="en-IN"/>
        </w:rPr>
      </w:pPr>
    </w:p>
    <w:p w14:paraId="7575BCC8" w14:textId="77777777" w:rsidR="00E11BE0" w:rsidRPr="004D7F49" w:rsidRDefault="00E11BE0" w:rsidP="00724588">
      <w:pPr>
        <w:pStyle w:val="ExhibitHeading"/>
        <w:jc w:val="left"/>
        <w:outlineLvl w:val="0"/>
        <w:rPr>
          <w:sz w:val="16"/>
          <w:szCs w:val="16"/>
          <w:shd w:val="clear" w:color="auto" w:fill="FFFFFF"/>
          <w:lang w:val="en-GB" w:eastAsia="en-IN"/>
        </w:rPr>
      </w:pPr>
    </w:p>
    <w:p w14:paraId="309D1141" w14:textId="1F67F8FC" w:rsidR="00DF5A71" w:rsidRPr="004D7F49" w:rsidRDefault="00DF5A71" w:rsidP="00263C98">
      <w:pPr>
        <w:pStyle w:val="ExhibitHeading"/>
        <w:outlineLvl w:val="0"/>
        <w:rPr>
          <w:shd w:val="clear" w:color="auto" w:fill="FFFFFF"/>
          <w:lang w:val="en-GB" w:eastAsia="en-IN"/>
        </w:rPr>
      </w:pPr>
      <w:r w:rsidRPr="004D7F49">
        <w:rPr>
          <w:shd w:val="clear" w:color="auto" w:fill="FFFFFF"/>
          <w:lang w:val="en-GB" w:eastAsia="en-IN"/>
        </w:rPr>
        <w:t xml:space="preserve">EXHIBIT </w:t>
      </w:r>
      <w:r w:rsidR="00E11BE0" w:rsidRPr="004D7F49">
        <w:rPr>
          <w:shd w:val="clear" w:color="auto" w:fill="FFFFFF"/>
          <w:lang w:val="en-GB" w:eastAsia="en-IN"/>
        </w:rPr>
        <w:t>4</w:t>
      </w:r>
      <w:r w:rsidRPr="004D7F49">
        <w:rPr>
          <w:shd w:val="clear" w:color="auto" w:fill="FFFFFF"/>
          <w:lang w:val="en-GB" w:eastAsia="en-IN"/>
        </w:rPr>
        <w:t>: OFFICIAL DISCOUNT RATE</w:t>
      </w:r>
      <w:r w:rsidR="0042007E" w:rsidRPr="004D7F49">
        <w:rPr>
          <w:shd w:val="clear" w:color="auto" w:fill="FFFFFF"/>
          <w:lang w:val="en-GB" w:eastAsia="en-IN"/>
        </w:rPr>
        <w:t xml:space="preserve"> (%)</w:t>
      </w:r>
    </w:p>
    <w:tbl>
      <w:tblPr>
        <w:tblpPr w:leftFromText="180" w:rightFromText="180" w:vertAnchor="text" w:horzAnchor="margin" w:tblpXSpec="right" w:tblpY="251"/>
        <w:tblW w:w="3256" w:type="dxa"/>
        <w:tblLook w:val="04A0" w:firstRow="1" w:lastRow="0" w:firstColumn="1" w:lastColumn="0" w:noHBand="0" w:noVBand="1"/>
      </w:tblPr>
      <w:tblGrid>
        <w:gridCol w:w="1696"/>
        <w:gridCol w:w="1560"/>
      </w:tblGrid>
      <w:tr w:rsidR="00DF5A71" w:rsidRPr="004D7F49" w14:paraId="043FCBE8" w14:textId="77777777" w:rsidTr="00367CAE">
        <w:trPr>
          <w:trHeight w:val="531"/>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BBDA3" w14:textId="19AE6BC7" w:rsidR="00DF5A71" w:rsidRPr="00586C3F" w:rsidRDefault="006C7BBE" w:rsidP="007E03EC">
            <w:pPr>
              <w:jc w:val="center"/>
              <w:rPr>
                <w:rFonts w:ascii="Arial" w:hAnsi="Arial" w:cs="Arial"/>
                <w:b/>
                <w:sz w:val="18"/>
                <w:szCs w:val="18"/>
                <w:lang w:val="en-GB" w:eastAsia="en-IN"/>
              </w:rPr>
            </w:pPr>
            <w:r w:rsidRPr="007E03EC">
              <w:rPr>
                <w:rFonts w:ascii="Arial" w:hAnsi="Arial" w:cs="Arial"/>
                <w:b/>
                <w:sz w:val="18"/>
                <w:szCs w:val="18"/>
                <w:lang w:val="en-GB" w:eastAsia="en-IN"/>
              </w:rPr>
              <w:t>Effective 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B96D395" w14:textId="5F67303C" w:rsidR="00DF5A71" w:rsidRPr="00586C3F" w:rsidRDefault="006C7BBE" w:rsidP="00586C3F">
            <w:pPr>
              <w:jc w:val="center"/>
              <w:rPr>
                <w:rFonts w:ascii="Arial" w:hAnsi="Arial" w:cs="Arial"/>
                <w:b/>
                <w:sz w:val="18"/>
                <w:szCs w:val="18"/>
                <w:lang w:val="en-GB" w:eastAsia="en-IN"/>
              </w:rPr>
            </w:pPr>
            <w:r w:rsidRPr="007E03EC">
              <w:rPr>
                <w:rFonts w:ascii="Arial" w:hAnsi="Arial" w:cs="Arial"/>
                <w:b/>
                <w:sz w:val="18"/>
                <w:szCs w:val="18"/>
                <w:lang w:val="en-GB" w:eastAsia="en-IN"/>
              </w:rPr>
              <w:t xml:space="preserve">Basic Discount </w:t>
            </w:r>
            <w:r w:rsidRPr="006C7BBE">
              <w:rPr>
                <w:rFonts w:ascii="Arial" w:hAnsi="Arial" w:cs="Arial"/>
                <w:b/>
                <w:sz w:val="18"/>
                <w:szCs w:val="18"/>
                <w:lang w:val="en-GB" w:eastAsia="en-IN"/>
              </w:rPr>
              <w:t>Rate &amp; Basic Loan Rate</w:t>
            </w:r>
          </w:p>
        </w:tc>
      </w:tr>
      <w:tr w:rsidR="00DF5A71" w:rsidRPr="004D7F49" w14:paraId="63243BE8"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E7E2F6B"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2001.01.04</w:t>
            </w:r>
          </w:p>
        </w:tc>
        <w:tc>
          <w:tcPr>
            <w:tcW w:w="1560" w:type="dxa"/>
            <w:tcBorders>
              <w:top w:val="nil"/>
              <w:left w:val="nil"/>
              <w:bottom w:val="single" w:sz="4" w:space="0" w:color="auto"/>
              <w:right w:val="single" w:sz="4" w:space="0" w:color="auto"/>
            </w:tcBorders>
            <w:shd w:val="clear" w:color="auto" w:fill="auto"/>
            <w:noWrap/>
            <w:vAlign w:val="bottom"/>
            <w:hideMark/>
          </w:tcPr>
          <w:p w14:paraId="69EDCED2"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0.5</w:t>
            </w:r>
          </w:p>
        </w:tc>
      </w:tr>
      <w:tr w:rsidR="00DF5A71" w:rsidRPr="004D7F49" w14:paraId="0B2181C8"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01B2986"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2001.02.13</w:t>
            </w:r>
          </w:p>
        </w:tc>
        <w:tc>
          <w:tcPr>
            <w:tcW w:w="1560" w:type="dxa"/>
            <w:tcBorders>
              <w:top w:val="nil"/>
              <w:left w:val="nil"/>
              <w:bottom w:val="single" w:sz="4" w:space="0" w:color="auto"/>
              <w:right w:val="single" w:sz="4" w:space="0" w:color="auto"/>
            </w:tcBorders>
            <w:shd w:val="clear" w:color="auto" w:fill="auto"/>
            <w:noWrap/>
            <w:vAlign w:val="bottom"/>
            <w:hideMark/>
          </w:tcPr>
          <w:p w14:paraId="2D149EEC"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0.35</w:t>
            </w:r>
          </w:p>
        </w:tc>
      </w:tr>
      <w:tr w:rsidR="00DF5A71" w:rsidRPr="004D7F49" w14:paraId="02505742"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F7C8071"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2001.03.01</w:t>
            </w:r>
          </w:p>
        </w:tc>
        <w:tc>
          <w:tcPr>
            <w:tcW w:w="1560" w:type="dxa"/>
            <w:tcBorders>
              <w:top w:val="nil"/>
              <w:left w:val="nil"/>
              <w:bottom w:val="single" w:sz="4" w:space="0" w:color="auto"/>
              <w:right w:val="single" w:sz="4" w:space="0" w:color="auto"/>
            </w:tcBorders>
            <w:shd w:val="clear" w:color="auto" w:fill="auto"/>
            <w:noWrap/>
            <w:vAlign w:val="bottom"/>
            <w:hideMark/>
          </w:tcPr>
          <w:p w14:paraId="06583E07"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0.25</w:t>
            </w:r>
          </w:p>
        </w:tc>
      </w:tr>
      <w:tr w:rsidR="00DF5A71" w:rsidRPr="004D7F49" w14:paraId="0121A757"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F3021BE"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2001.09.19</w:t>
            </w:r>
          </w:p>
        </w:tc>
        <w:tc>
          <w:tcPr>
            <w:tcW w:w="1560" w:type="dxa"/>
            <w:tcBorders>
              <w:top w:val="nil"/>
              <w:left w:val="nil"/>
              <w:bottom w:val="single" w:sz="4" w:space="0" w:color="auto"/>
              <w:right w:val="single" w:sz="4" w:space="0" w:color="auto"/>
            </w:tcBorders>
            <w:shd w:val="clear" w:color="auto" w:fill="auto"/>
            <w:noWrap/>
            <w:vAlign w:val="bottom"/>
            <w:hideMark/>
          </w:tcPr>
          <w:p w14:paraId="548B5AA7"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0.1</w:t>
            </w:r>
          </w:p>
        </w:tc>
      </w:tr>
      <w:tr w:rsidR="00DF5A71" w:rsidRPr="004D7F49" w14:paraId="044FCC03"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31D72F3"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2006.07.14</w:t>
            </w:r>
          </w:p>
        </w:tc>
        <w:tc>
          <w:tcPr>
            <w:tcW w:w="1560" w:type="dxa"/>
            <w:tcBorders>
              <w:top w:val="nil"/>
              <w:left w:val="nil"/>
              <w:bottom w:val="single" w:sz="4" w:space="0" w:color="auto"/>
              <w:right w:val="single" w:sz="4" w:space="0" w:color="auto"/>
            </w:tcBorders>
            <w:shd w:val="clear" w:color="auto" w:fill="auto"/>
            <w:noWrap/>
            <w:vAlign w:val="bottom"/>
            <w:hideMark/>
          </w:tcPr>
          <w:p w14:paraId="1BCF8C8D"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0.4</w:t>
            </w:r>
          </w:p>
        </w:tc>
      </w:tr>
      <w:tr w:rsidR="00DF5A71" w:rsidRPr="004D7F49" w14:paraId="6907BC92"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4523E90"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2007.02.21</w:t>
            </w:r>
          </w:p>
        </w:tc>
        <w:tc>
          <w:tcPr>
            <w:tcW w:w="1560" w:type="dxa"/>
            <w:tcBorders>
              <w:top w:val="nil"/>
              <w:left w:val="nil"/>
              <w:bottom w:val="single" w:sz="4" w:space="0" w:color="auto"/>
              <w:right w:val="single" w:sz="4" w:space="0" w:color="auto"/>
            </w:tcBorders>
            <w:shd w:val="clear" w:color="auto" w:fill="auto"/>
            <w:noWrap/>
            <w:vAlign w:val="bottom"/>
            <w:hideMark/>
          </w:tcPr>
          <w:p w14:paraId="6236BD44"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0.75</w:t>
            </w:r>
          </w:p>
        </w:tc>
      </w:tr>
      <w:tr w:rsidR="00DF5A71" w:rsidRPr="004D7F49" w14:paraId="7D71E0CD"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DA0D8B"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2008.10.31</w:t>
            </w:r>
          </w:p>
        </w:tc>
        <w:tc>
          <w:tcPr>
            <w:tcW w:w="1560" w:type="dxa"/>
            <w:tcBorders>
              <w:top w:val="nil"/>
              <w:left w:val="nil"/>
              <w:bottom w:val="single" w:sz="4" w:space="0" w:color="auto"/>
              <w:right w:val="single" w:sz="4" w:space="0" w:color="auto"/>
            </w:tcBorders>
            <w:shd w:val="clear" w:color="auto" w:fill="auto"/>
            <w:noWrap/>
            <w:vAlign w:val="bottom"/>
            <w:hideMark/>
          </w:tcPr>
          <w:p w14:paraId="10468BE7"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0.5</w:t>
            </w:r>
          </w:p>
        </w:tc>
      </w:tr>
      <w:tr w:rsidR="00DF5A71" w:rsidRPr="004D7F49" w14:paraId="05BFB1DA" w14:textId="77777777" w:rsidTr="005830AD">
        <w:trPr>
          <w:trHeight w:val="28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4CA080B"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2008.12.19</w:t>
            </w:r>
          </w:p>
        </w:tc>
        <w:tc>
          <w:tcPr>
            <w:tcW w:w="1560" w:type="dxa"/>
            <w:tcBorders>
              <w:top w:val="nil"/>
              <w:left w:val="nil"/>
              <w:bottom w:val="single" w:sz="4" w:space="0" w:color="auto"/>
              <w:right w:val="single" w:sz="4" w:space="0" w:color="auto"/>
            </w:tcBorders>
            <w:shd w:val="clear" w:color="auto" w:fill="auto"/>
            <w:noWrap/>
            <w:vAlign w:val="bottom"/>
            <w:hideMark/>
          </w:tcPr>
          <w:p w14:paraId="25A3534F" w14:textId="77777777" w:rsidR="00DF5A71" w:rsidRPr="004D7F49" w:rsidRDefault="00DF5A71" w:rsidP="00DF5A71">
            <w:pPr>
              <w:jc w:val="right"/>
              <w:rPr>
                <w:rFonts w:ascii="Arial" w:hAnsi="Arial" w:cs="Arial"/>
                <w:sz w:val="18"/>
                <w:szCs w:val="18"/>
                <w:lang w:val="en-GB" w:eastAsia="en-IN"/>
              </w:rPr>
            </w:pPr>
            <w:r w:rsidRPr="004D7F49">
              <w:rPr>
                <w:rFonts w:ascii="Arial" w:hAnsi="Arial" w:cs="Arial"/>
                <w:sz w:val="18"/>
                <w:szCs w:val="18"/>
                <w:lang w:val="en-GB" w:eastAsia="en-IN"/>
              </w:rPr>
              <w:t>0.3</w:t>
            </w:r>
          </w:p>
        </w:tc>
      </w:tr>
    </w:tbl>
    <w:p w14:paraId="2616BBDC" w14:textId="77777777" w:rsidR="00DF5A71" w:rsidRPr="004D7F49" w:rsidRDefault="00DF5A71" w:rsidP="00DF5A71">
      <w:pPr>
        <w:jc w:val="both"/>
        <w:rPr>
          <w:rFonts w:ascii="Arial" w:hAnsi="Arial" w:cs="Arial"/>
          <w:sz w:val="14"/>
          <w:szCs w:val="14"/>
          <w:shd w:val="clear" w:color="auto" w:fill="FFFFFF"/>
          <w:lang w:val="en-GB" w:eastAsia="en-IN"/>
        </w:rPr>
      </w:pPr>
    </w:p>
    <w:tbl>
      <w:tblPr>
        <w:tblpPr w:leftFromText="180" w:rightFromText="180" w:vertAnchor="text" w:tblpY="1"/>
        <w:tblOverlap w:val="neve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710"/>
        <w:gridCol w:w="1335"/>
        <w:gridCol w:w="1275"/>
      </w:tblGrid>
      <w:tr w:rsidR="00DF5A71" w:rsidRPr="004D7F49" w14:paraId="379BA708" w14:textId="77777777" w:rsidTr="00FA2BD1">
        <w:trPr>
          <w:trHeight w:val="280"/>
        </w:trPr>
        <w:tc>
          <w:tcPr>
            <w:tcW w:w="1345" w:type="dxa"/>
            <w:shd w:val="clear" w:color="auto" w:fill="auto"/>
            <w:noWrap/>
            <w:vAlign w:val="center"/>
          </w:tcPr>
          <w:p w14:paraId="51319B39" w14:textId="64B98D77" w:rsidR="00DF5A71" w:rsidRPr="00586C3F" w:rsidRDefault="006C7BBE" w:rsidP="00922129">
            <w:pPr>
              <w:jc w:val="center"/>
              <w:rPr>
                <w:rFonts w:ascii="Arial" w:hAnsi="Arial" w:cs="Arial"/>
                <w:b/>
                <w:sz w:val="18"/>
                <w:szCs w:val="18"/>
                <w:lang w:val="en-GB" w:eastAsia="en-IN"/>
              </w:rPr>
            </w:pPr>
            <w:r w:rsidRPr="00586C3F">
              <w:rPr>
                <w:rFonts w:ascii="Arial" w:hAnsi="Arial" w:cs="Arial"/>
                <w:b/>
                <w:sz w:val="18"/>
                <w:szCs w:val="18"/>
                <w:lang w:val="en-GB" w:eastAsia="en-IN"/>
              </w:rPr>
              <w:t>Effective Date</w:t>
            </w:r>
          </w:p>
        </w:tc>
        <w:tc>
          <w:tcPr>
            <w:tcW w:w="1710" w:type="dxa"/>
            <w:shd w:val="clear" w:color="auto" w:fill="auto"/>
            <w:noWrap/>
            <w:vAlign w:val="center"/>
          </w:tcPr>
          <w:p w14:paraId="771CAB4D" w14:textId="2321B600" w:rsidR="00DF5A71" w:rsidRPr="00586C3F" w:rsidRDefault="006C7BBE" w:rsidP="00922129">
            <w:pPr>
              <w:jc w:val="center"/>
              <w:rPr>
                <w:rFonts w:ascii="Arial" w:hAnsi="Arial" w:cs="Arial"/>
                <w:b/>
                <w:sz w:val="18"/>
                <w:szCs w:val="18"/>
                <w:lang w:val="en-GB" w:eastAsia="en-IN"/>
              </w:rPr>
            </w:pPr>
            <w:r w:rsidRPr="00586C3F">
              <w:rPr>
                <w:rFonts w:ascii="Arial" w:hAnsi="Arial" w:cs="Arial"/>
                <w:b/>
                <w:sz w:val="18"/>
                <w:szCs w:val="18"/>
                <w:lang w:val="en-GB" w:eastAsia="en-IN"/>
              </w:rPr>
              <w:t>Official Discount Rate</w:t>
            </w:r>
          </w:p>
        </w:tc>
        <w:tc>
          <w:tcPr>
            <w:tcW w:w="1335" w:type="dxa"/>
            <w:vAlign w:val="center"/>
          </w:tcPr>
          <w:p w14:paraId="21E4A1C2" w14:textId="16CD4858" w:rsidR="00DF5A71" w:rsidRPr="00586C3F" w:rsidRDefault="006C7BBE" w:rsidP="00922129">
            <w:pPr>
              <w:jc w:val="center"/>
              <w:rPr>
                <w:rFonts w:ascii="Arial" w:hAnsi="Arial" w:cs="Arial"/>
                <w:b/>
                <w:sz w:val="18"/>
                <w:szCs w:val="18"/>
                <w:lang w:val="en-GB" w:eastAsia="en-IN"/>
              </w:rPr>
            </w:pPr>
            <w:r w:rsidRPr="00586C3F">
              <w:rPr>
                <w:rFonts w:ascii="Arial" w:hAnsi="Arial" w:cs="Arial"/>
                <w:b/>
                <w:sz w:val="18"/>
                <w:szCs w:val="18"/>
                <w:lang w:val="en-GB" w:eastAsia="en-IN"/>
              </w:rPr>
              <w:t>Effective Date</w:t>
            </w:r>
          </w:p>
        </w:tc>
        <w:tc>
          <w:tcPr>
            <w:tcW w:w="1275" w:type="dxa"/>
            <w:vAlign w:val="center"/>
          </w:tcPr>
          <w:p w14:paraId="5B1E61D2" w14:textId="7B97E309" w:rsidR="00DF5A71" w:rsidRPr="00586C3F" w:rsidRDefault="006C7BBE" w:rsidP="00922129">
            <w:pPr>
              <w:jc w:val="center"/>
              <w:rPr>
                <w:rFonts w:ascii="Arial" w:hAnsi="Arial" w:cs="Arial"/>
                <w:b/>
                <w:sz w:val="18"/>
                <w:szCs w:val="18"/>
                <w:lang w:val="en-GB" w:eastAsia="en-IN"/>
              </w:rPr>
            </w:pPr>
            <w:r w:rsidRPr="00586C3F">
              <w:rPr>
                <w:rFonts w:ascii="Arial" w:hAnsi="Arial" w:cs="Arial"/>
                <w:b/>
                <w:sz w:val="18"/>
                <w:szCs w:val="18"/>
                <w:lang w:val="en-GB" w:eastAsia="en-IN"/>
              </w:rPr>
              <w:t>Official Discount Rate</w:t>
            </w:r>
          </w:p>
        </w:tc>
      </w:tr>
      <w:tr w:rsidR="00DF5A71" w:rsidRPr="004D7F49" w14:paraId="765711B5" w14:textId="77777777" w:rsidTr="00FA2BD1">
        <w:trPr>
          <w:trHeight w:val="163"/>
        </w:trPr>
        <w:tc>
          <w:tcPr>
            <w:tcW w:w="1345" w:type="dxa"/>
            <w:shd w:val="clear" w:color="auto" w:fill="auto"/>
            <w:noWrap/>
            <w:vAlign w:val="bottom"/>
            <w:hideMark/>
          </w:tcPr>
          <w:p w14:paraId="6963AD67"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1980.02.19</w:t>
            </w:r>
          </w:p>
        </w:tc>
        <w:tc>
          <w:tcPr>
            <w:tcW w:w="1710" w:type="dxa"/>
            <w:shd w:val="clear" w:color="auto" w:fill="auto"/>
            <w:noWrap/>
            <w:vAlign w:val="center"/>
            <w:hideMark/>
          </w:tcPr>
          <w:p w14:paraId="30003DE8"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7.25</w:t>
            </w:r>
          </w:p>
        </w:tc>
        <w:tc>
          <w:tcPr>
            <w:tcW w:w="1335" w:type="dxa"/>
            <w:vAlign w:val="center"/>
          </w:tcPr>
          <w:p w14:paraId="1453BFEE"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1991.07.01</w:t>
            </w:r>
          </w:p>
        </w:tc>
        <w:tc>
          <w:tcPr>
            <w:tcW w:w="1275" w:type="dxa"/>
            <w:vAlign w:val="center"/>
          </w:tcPr>
          <w:p w14:paraId="6BF6CE59"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5.5</w:t>
            </w:r>
          </w:p>
        </w:tc>
      </w:tr>
      <w:tr w:rsidR="00DF5A71" w:rsidRPr="004D7F49" w14:paraId="49CE62E7" w14:textId="77777777" w:rsidTr="00FA2BD1">
        <w:trPr>
          <w:trHeight w:val="127"/>
        </w:trPr>
        <w:tc>
          <w:tcPr>
            <w:tcW w:w="1345" w:type="dxa"/>
            <w:shd w:val="clear" w:color="auto" w:fill="auto"/>
            <w:noWrap/>
            <w:vAlign w:val="bottom"/>
            <w:hideMark/>
          </w:tcPr>
          <w:p w14:paraId="054F43D2"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1980.03.19</w:t>
            </w:r>
          </w:p>
        </w:tc>
        <w:tc>
          <w:tcPr>
            <w:tcW w:w="1710" w:type="dxa"/>
            <w:shd w:val="clear" w:color="auto" w:fill="auto"/>
            <w:noWrap/>
            <w:vAlign w:val="center"/>
            <w:hideMark/>
          </w:tcPr>
          <w:p w14:paraId="4CE97487"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9</w:t>
            </w:r>
          </w:p>
        </w:tc>
        <w:tc>
          <w:tcPr>
            <w:tcW w:w="1335" w:type="dxa"/>
            <w:vAlign w:val="center"/>
          </w:tcPr>
          <w:p w14:paraId="33284373"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1991.11.14</w:t>
            </w:r>
          </w:p>
        </w:tc>
        <w:tc>
          <w:tcPr>
            <w:tcW w:w="1275" w:type="dxa"/>
            <w:vAlign w:val="center"/>
          </w:tcPr>
          <w:p w14:paraId="2AB0558A"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5</w:t>
            </w:r>
          </w:p>
        </w:tc>
      </w:tr>
      <w:tr w:rsidR="00DF5A71" w:rsidRPr="004D7F49" w14:paraId="706FB3F8" w14:textId="77777777" w:rsidTr="00FA2BD1">
        <w:trPr>
          <w:trHeight w:val="100"/>
        </w:trPr>
        <w:tc>
          <w:tcPr>
            <w:tcW w:w="1345" w:type="dxa"/>
            <w:shd w:val="clear" w:color="auto" w:fill="auto"/>
            <w:noWrap/>
            <w:vAlign w:val="bottom"/>
            <w:hideMark/>
          </w:tcPr>
          <w:p w14:paraId="0DB5149C"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1980.08.20</w:t>
            </w:r>
          </w:p>
        </w:tc>
        <w:tc>
          <w:tcPr>
            <w:tcW w:w="1710" w:type="dxa"/>
            <w:shd w:val="clear" w:color="auto" w:fill="auto"/>
            <w:noWrap/>
            <w:vAlign w:val="center"/>
            <w:hideMark/>
          </w:tcPr>
          <w:p w14:paraId="76E44C3B"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8.25</w:t>
            </w:r>
          </w:p>
        </w:tc>
        <w:tc>
          <w:tcPr>
            <w:tcW w:w="1335" w:type="dxa"/>
            <w:vAlign w:val="center"/>
          </w:tcPr>
          <w:p w14:paraId="2F4D700A"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1991.12.30</w:t>
            </w:r>
          </w:p>
        </w:tc>
        <w:tc>
          <w:tcPr>
            <w:tcW w:w="1275" w:type="dxa"/>
            <w:vAlign w:val="center"/>
          </w:tcPr>
          <w:p w14:paraId="48D00C2B"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4.5</w:t>
            </w:r>
          </w:p>
        </w:tc>
      </w:tr>
      <w:tr w:rsidR="00DF5A71" w:rsidRPr="004D7F49" w14:paraId="79EA9AE6" w14:textId="77777777" w:rsidTr="00FA2BD1">
        <w:trPr>
          <w:trHeight w:val="64"/>
        </w:trPr>
        <w:tc>
          <w:tcPr>
            <w:tcW w:w="1345" w:type="dxa"/>
            <w:shd w:val="clear" w:color="auto" w:fill="auto"/>
            <w:noWrap/>
            <w:vAlign w:val="bottom"/>
            <w:hideMark/>
          </w:tcPr>
          <w:p w14:paraId="085835F2"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1980.11.06</w:t>
            </w:r>
          </w:p>
        </w:tc>
        <w:tc>
          <w:tcPr>
            <w:tcW w:w="1710" w:type="dxa"/>
            <w:shd w:val="clear" w:color="auto" w:fill="auto"/>
            <w:noWrap/>
            <w:vAlign w:val="center"/>
            <w:hideMark/>
          </w:tcPr>
          <w:p w14:paraId="3B1A3A57"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7.25</w:t>
            </w:r>
          </w:p>
        </w:tc>
        <w:tc>
          <w:tcPr>
            <w:tcW w:w="1335" w:type="dxa"/>
            <w:vAlign w:val="center"/>
          </w:tcPr>
          <w:p w14:paraId="783CE2A2"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1992.04.01</w:t>
            </w:r>
          </w:p>
        </w:tc>
        <w:tc>
          <w:tcPr>
            <w:tcW w:w="1275" w:type="dxa"/>
            <w:vAlign w:val="center"/>
          </w:tcPr>
          <w:p w14:paraId="52CF688C"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3.75</w:t>
            </w:r>
          </w:p>
        </w:tc>
      </w:tr>
      <w:tr w:rsidR="00DF5A71" w:rsidRPr="004D7F49" w14:paraId="384ED55F" w14:textId="77777777" w:rsidTr="00FA2BD1">
        <w:trPr>
          <w:trHeight w:val="109"/>
        </w:trPr>
        <w:tc>
          <w:tcPr>
            <w:tcW w:w="1345" w:type="dxa"/>
            <w:shd w:val="clear" w:color="auto" w:fill="auto"/>
            <w:noWrap/>
            <w:vAlign w:val="bottom"/>
            <w:hideMark/>
          </w:tcPr>
          <w:p w14:paraId="384553CE"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1981.03.18</w:t>
            </w:r>
          </w:p>
        </w:tc>
        <w:tc>
          <w:tcPr>
            <w:tcW w:w="1710" w:type="dxa"/>
            <w:shd w:val="clear" w:color="auto" w:fill="auto"/>
            <w:noWrap/>
            <w:vAlign w:val="center"/>
            <w:hideMark/>
          </w:tcPr>
          <w:p w14:paraId="56ACCF31"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6.25</w:t>
            </w:r>
          </w:p>
        </w:tc>
        <w:tc>
          <w:tcPr>
            <w:tcW w:w="1335" w:type="dxa"/>
            <w:vAlign w:val="center"/>
          </w:tcPr>
          <w:p w14:paraId="3E955DF9"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1992.07.27</w:t>
            </w:r>
          </w:p>
        </w:tc>
        <w:tc>
          <w:tcPr>
            <w:tcW w:w="1275" w:type="dxa"/>
            <w:vAlign w:val="center"/>
          </w:tcPr>
          <w:p w14:paraId="0342E4C4"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3.25</w:t>
            </w:r>
          </w:p>
        </w:tc>
      </w:tr>
      <w:tr w:rsidR="00DF5A71" w:rsidRPr="004D7F49" w14:paraId="08511AF5" w14:textId="77777777" w:rsidTr="00FA2BD1">
        <w:trPr>
          <w:trHeight w:val="163"/>
        </w:trPr>
        <w:tc>
          <w:tcPr>
            <w:tcW w:w="1345" w:type="dxa"/>
            <w:shd w:val="clear" w:color="auto" w:fill="auto"/>
            <w:noWrap/>
            <w:vAlign w:val="bottom"/>
            <w:hideMark/>
          </w:tcPr>
          <w:p w14:paraId="435C70C2"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1981.12.11</w:t>
            </w:r>
          </w:p>
        </w:tc>
        <w:tc>
          <w:tcPr>
            <w:tcW w:w="1710" w:type="dxa"/>
            <w:shd w:val="clear" w:color="auto" w:fill="auto"/>
            <w:noWrap/>
            <w:vAlign w:val="center"/>
            <w:hideMark/>
          </w:tcPr>
          <w:p w14:paraId="4C5EABC0"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5.5</w:t>
            </w:r>
          </w:p>
        </w:tc>
        <w:tc>
          <w:tcPr>
            <w:tcW w:w="1335" w:type="dxa"/>
            <w:vAlign w:val="center"/>
          </w:tcPr>
          <w:p w14:paraId="66EFC674"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1993.02.04</w:t>
            </w:r>
          </w:p>
        </w:tc>
        <w:tc>
          <w:tcPr>
            <w:tcW w:w="1275" w:type="dxa"/>
            <w:vAlign w:val="center"/>
          </w:tcPr>
          <w:p w14:paraId="179D4AF3"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2.5</w:t>
            </w:r>
          </w:p>
        </w:tc>
      </w:tr>
      <w:tr w:rsidR="00DF5A71" w:rsidRPr="004D7F49" w14:paraId="0B5955B9" w14:textId="77777777" w:rsidTr="00FA2BD1">
        <w:trPr>
          <w:trHeight w:val="56"/>
        </w:trPr>
        <w:tc>
          <w:tcPr>
            <w:tcW w:w="1345" w:type="dxa"/>
            <w:shd w:val="clear" w:color="auto" w:fill="auto"/>
            <w:noWrap/>
            <w:vAlign w:val="bottom"/>
            <w:hideMark/>
          </w:tcPr>
          <w:p w14:paraId="2A83D1D7"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1983.10.22</w:t>
            </w:r>
          </w:p>
        </w:tc>
        <w:tc>
          <w:tcPr>
            <w:tcW w:w="1710" w:type="dxa"/>
            <w:shd w:val="clear" w:color="auto" w:fill="auto"/>
            <w:noWrap/>
            <w:vAlign w:val="center"/>
            <w:hideMark/>
          </w:tcPr>
          <w:p w14:paraId="1E15FEB9"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5</w:t>
            </w:r>
          </w:p>
        </w:tc>
        <w:tc>
          <w:tcPr>
            <w:tcW w:w="1335" w:type="dxa"/>
            <w:vAlign w:val="center"/>
          </w:tcPr>
          <w:p w14:paraId="4CD9BBF9"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1993.09.21</w:t>
            </w:r>
          </w:p>
        </w:tc>
        <w:tc>
          <w:tcPr>
            <w:tcW w:w="1275" w:type="dxa"/>
            <w:vAlign w:val="center"/>
          </w:tcPr>
          <w:p w14:paraId="580D2535"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1.75</w:t>
            </w:r>
          </w:p>
        </w:tc>
      </w:tr>
      <w:tr w:rsidR="00DF5A71" w:rsidRPr="004D7F49" w14:paraId="7E4E031D" w14:textId="77777777" w:rsidTr="00FA2BD1">
        <w:trPr>
          <w:trHeight w:val="82"/>
        </w:trPr>
        <w:tc>
          <w:tcPr>
            <w:tcW w:w="1345" w:type="dxa"/>
            <w:shd w:val="clear" w:color="auto" w:fill="auto"/>
            <w:noWrap/>
            <w:vAlign w:val="bottom"/>
            <w:hideMark/>
          </w:tcPr>
          <w:p w14:paraId="7D3A4A28"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1986.01.30</w:t>
            </w:r>
          </w:p>
        </w:tc>
        <w:tc>
          <w:tcPr>
            <w:tcW w:w="1710" w:type="dxa"/>
            <w:shd w:val="clear" w:color="auto" w:fill="auto"/>
            <w:noWrap/>
            <w:vAlign w:val="center"/>
            <w:hideMark/>
          </w:tcPr>
          <w:p w14:paraId="403BEA53"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4.5</w:t>
            </w:r>
          </w:p>
        </w:tc>
        <w:tc>
          <w:tcPr>
            <w:tcW w:w="1335" w:type="dxa"/>
            <w:vAlign w:val="center"/>
          </w:tcPr>
          <w:p w14:paraId="55994D7D"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1995.04.14</w:t>
            </w:r>
          </w:p>
        </w:tc>
        <w:tc>
          <w:tcPr>
            <w:tcW w:w="1275" w:type="dxa"/>
            <w:vAlign w:val="center"/>
          </w:tcPr>
          <w:p w14:paraId="753E9E5B"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1</w:t>
            </w:r>
          </w:p>
        </w:tc>
      </w:tr>
      <w:tr w:rsidR="00DF5A71" w:rsidRPr="004D7F49" w14:paraId="421D755A" w14:textId="77777777" w:rsidTr="00FA2BD1">
        <w:trPr>
          <w:trHeight w:val="56"/>
        </w:trPr>
        <w:tc>
          <w:tcPr>
            <w:tcW w:w="1345" w:type="dxa"/>
            <w:shd w:val="clear" w:color="auto" w:fill="auto"/>
            <w:noWrap/>
            <w:vAlign w:val="bottom"/>
            <w:hideMark/>
          </w:tcPr>
          <w:p w14:paraId="11DA6BB2"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1986.03.10</w:t>
            </w:r>
          </w:p>
        </w:tc>
        <w:tc>
          <w:tcPr>
            <w:tcW w:w="1710" w:type="dxa"/>
            <w:shd w:val="clear" w:color="auto" w:fill="auto"/>
            <w:noWrap/>
            <w:vAlign w:val="center"/>
            <w:hideMark/>
          </w:tcPr>
          <w:p w14:paraId="03623E65"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4</w:t>
            </w:r>
          </w:p>
        </w:tc>
        <w:tc>
          <w:tcPr>
            <w:tcW w:w="1335" w:type="dxa"/>
            <w:vAlign w:val="center"/>
          </w:tcPr>
          <w:p w14:paraId="6B005B0A" w14:textId="77777777" w:rsidR="00DF5A71" w:rsidRPr="004D7F49" w:rsidRDefault="00DF5A71" w:rsidP="00586C3F">
            <w:pPr>
              <w:rPr>
                <w:rFonts w:ascii="Arial" w:hAnsi="Arial" w:cs="Arial"/>
                <w:sz w:val="18"/>
                <w:szCs w:val="18"/>
                <w:lang w:val="en-GB" w:eastAsia="en-IN"/>
              </w:rPr>
            </w:pPr>
            <w:r w:rsidRPr="004D7F49">
              <w:rPr>
                <w:rFonts w:ascii="Arial" w:hAnsi="Arial" w:cs="Arial"/>
                <w:sz w:val="18"/>
                <w:szCs w:val="18"/>
                <w:lang w:val="en-GB" w:eastAsia="en-IN"/>
              </w:rPr>
              <w:t>1995.09.08</w:t>
            </w:r>
          </w:p>
        </w:tc>
        <w:tc>
          <w:tcPr>
            <w:tcW w:w="1275" w:type="dxa"/>
            <w:vAlign w:val="center"/>
          </w:tcPr>
          <w:p w14:paraId="07B1913D"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0.5</w:t>
            </w:r>
          </w:p>
        </w:tc>
      </w:tr>
      <w:tr w:rsidR="00DF5A71" w:rsidRPr="004D7F49" w14:paraId="06AA8CE3" w14:textId="77777777" w:rsidTr="00FA2BD1">
        <w:trPr>
          <w:trHeight w:val="109"/>
        </w:trPr>
        <w:tc>
          <w:tcPr>
            <w:tcW w:w="1345" w:type="dxa"/>
            <w:shd w:val="clear" w:color="auto" w:fill="auto"/>
            <w:noWrap/>
            <w:vAlign w:val="bottom"/>
            <w:hideMark/>
          </w:tcPr>
          <w:p w14:paraId="7F2BCD44"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1986.04.21</w:t>
            </w:r>
          </w:p>
        </w:tc>
        <w:tc>
          <w:tcPr>
            <w:tcW w:w="1710" w:type="dxa"/>
            <w:shd w:val="clear" w:color="auto" w:fill="auto"/>
            <w:noWrap/>
            <w:vAlign w:val="center"/>
            <w:hideMark/>
          </w:tcPr>
          <w:p w14:paraId="4E6EA629"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3.5</w:t>
            </w:r>
          </w:p>
        </w:tc>
        <w:tc>
          <w:tcPr>
            <w:tcW w:w="1335" w:type="dxa"/>
          </w:tcPr>
          <w:p w14:paraId="05E94180" w14:textId="77777777" w:rsidR="00DF5A71" w:rsidRPr="004D7F49" w:rsidRDefault="00DF5A71" w:rsidP="00586C3F">
            <w:pPr>
              <w:rPr>
                <w:rFonts w:ascii="Arial" w:hAnsi="Arial" w:cs="Arial"/>
                <w:sz w:val="18"/>
                <w:szCs w:val="18"/>
                <w:lang w:val="en-GB" w:eastAsia="en-IN"/>
              </w:rPr>
            </w:pPr>
          </w:p>
        </w:tc>
        <w:tc>
          <w:tcPr>
            <w:tcW w:w="1275" w:type="dxa"/>
          </w:tcPr>
          <w:p w14:paraId="60826D5E" w14:textId="77777777" w:rsidR="00DF5A71" w:rsidRPr="004D7F49" w:rsidRDefault="00DF5A71" w:rsidP="00DF5A71">
            <w:pPr>
              <w:jc w:val="right"/>
              <w:rPr>
                <w:rFonts w:ascii="Arial" w:hAnsi="Arial" w:cs="Arial"/>
                <w:sz w:val="18"/>
                <w:szCs w:val="18"/>
                <w:lang w:val="en-GB" w:eastAsia="en-IN"/>
              </w:rPr>
            </w:pPr>
          </w:p>
        </w:tc>
      </w:tr>
      <w:tr w:rsidR="00DF5A71" w:rsidRPr="004D7F49" w14:paraId="53922A5D" w14:textId="77777777" w:rsidTr="00FA2BD1">
        <w:trPr>
          <w:trHeight w:val="56"/>
        </w:trPr>
        <w:tc>
          <w:tcPr>
            <w:tcW w:w="1345" w:type="dxa"/>
            <w:shd w:val="clear" w:color="auto" w:fill="auto"/>
            <w:noWrap/>
            <w:vAlign w:val="bottom"/>
            <w:hideMark/>
          </w:tcPr>
          <w:p w14:paraId="57EB9CDB"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1986.11.01</w:t>
            </w:r>
          </w:p>
        </w:tc>
        <w:tc>
          <w:tcPr>
            <w:tcW w:w="1710" w:type="dxa"/>
            <w:shd w:val="clear" w:color="auto" w:fill="auto"/>
            <w:noWrap/>
            <w:vAlign w:val="center"/>
            <w:hideMark/>
          </w:tcPr>
          <w:p w14:paraId="04ED66D6"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3</w:t>
            </w:r>
          </w:p>
        </w:tc>
        <w:tc>
          <w:tcPr>
            <w:tcW w:w="1335" w:type="dxa"/>
          </w:tcPr>
          <w:p w14:paraId="228EDB16" w14:textId="77777777" w:rsidR="00DF5A71" w:rsidRPr="004D7F49" w:rsidRDefault="00DF5A71" w:rsidP="00DF5A71">
            <w:pPr>
              <w:jc w:val="right"/>
              <w:rPr>
                <w:rFonts w:ascii="Arial" w:hAnsi="Arial" w:cs="Arial"/>
                <w:sz w:val="18"/>
                <w:szCs w:val="18"/>
                <w:lang w:val="en-GB" w:eastAsia="en-IN"/>
              </w:rPr>
            </w:pPr>
          </w:p>
        </w:tc>
        <w:tc>
          <w:tcPr>
            <w:tcW w:w="1275" w:type="dxa"/>
          </w:tcPr>
          <w:p w14:paraId="5D77AF6F" w14:textId="77777777" w:rsidR="00DF5A71" w:rsidRPr="004D7F49" w:rsidRDefault="00DF5A71" w:rsidP="00DF5A71">
            <w:pPr>
              <w:jc w:val="right"/>
              <w:rPr>
                <w:rFonts w:ascii="Arial" w:hAnsi="Arial" w:cs="Arial"/>
                <w:sz w:val="18"/>
                <w:szCs w:val="18"/>
                <w:lang w:val="en-GB" w:eastAsia="en-IN"/>
              </w:rPr>
            </w:pPr>
          </w:p>
        </w:tc>
      </w:tr>
      <w:tr w:rsidR="00DF5A71" w:rsidRPr="004D7F49" w14:paraId="2043B5ED" w14:textId="77777777" w:rsidTr="00FA2BD1">
        <w:trPr>
          <w:trHeight w:val="56"/>
        </w:trPr>
        <w:tc>
          <w:tcPr>
            <w:tcW w:w="1345" w:type="dxa"/>
            <w:shd w:val="clear" w:color="auto" w:fill="auto"/>
            <w:noWrap/>
            <w:vAlign w:val="bottom"/>
            <w:hideMark/>
          </w:tcPr>
          <w:p w14:paraId="297000FC"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1987.02.23</w:t>
            </w:r>
          </w:p>
        </w:tc>
        <w:tc>
          <w:tcPr>
            <w:tcW w:w="1710" w:type="dxa"/>
            <w:shd w:val="clear" w:color="auto" w:fill="auto"/>
            <w:noWrap/>
            <w:vAlign w:val="center"/>
            <w:hideMark/>
          </w:tcPr>
          <w:p w14:paraId="48E29D29"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2.5</w:t>
            </w:r>
          </w:p>
        </w:tc>
        <w:tc>
          <w:tcPr>
            <w:tcW w:w="1335" w:type="dxa"/>
          </w:tcPr>
          <w:p w14:paraId="38B41107" w14:textId="77777777" w:rsidR="00DF5A71" w:rsidRPr="004D7F49" w:rsidRDefault="00DF5A71" w:rsidP="00DF5A71">
            <w:pPr>
              <w:jc w:val="right"/>
              <w:rPr>
                <w:rFonts w:ascii="Arial" w:hAnsi="Arial" w:cs="Arial"/>
                <w:sz w:val="18"/>
                <w:szCs w:val="18"/>
                <w:lang w:val="en-GB" w:eastAsia="en-IN"/>
              </w:rPr>
            </w:pPr>
          </w:p>
        </w:tc>
        <w:tc>
          <w:tcPr>
            <w:tcW w:w="1275" w:type="dxa"/>
          </w:tcPr>
          <w:p w14:paraId="6EFDF8EE" w14:textId="77777777" w:rsidR="00DF5A71" w:rsidRPr="004D7F49" w:rsidRDefault="00DF5A71" w:rsidP="00DF5A71">
            <w:pPr>
              <w:jc w:val="right"/>
              <w:rPr>
                <w:rFonts w:ascii="Arial" w:hAnsi="Arial" w:cs="Arial"/>
                <w:sz w:val="18"/>
                <w:szCs w:val="18"/>
                <w:lang w:val="en-GB" w:eastAsia="en-IN"/>
              </w:rPr>
            </w:pPr>
          </w:p>
        </w:tc>
      </w:tr>
      <w:tr w:rsidR="00DF5A71" w:rsidRPr="004D7F49" w14:paraId="6B506DA9" w14:textId="77777777" w:rsidTr="00FA2BD1">
        <w:trPr>
          <w:trHeight w:val="82"/>
        </w:trPr>
        <w:tc>
          <w:tcPr>
            <w:tcW w:w="1345" w:type="dxa"/>
            <w:shd w:val="clear" w:color="auto" w:fill="auto"/>
            <w:noWrap/>
            <w:vAlign w:val="bottom"/>
            <w:hideMark/>
          </w:tcPr>
          <w:p w14:paraId="60A71B7D"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1989.05.31</w:t>
            </w:r>
          </w:p>
        </w:tc>
        <w:tc>
          <w:tcPr>
            <w:tcW w:w="1710" w:type="dxa"/>
            <w:shd w:val="clear" w:color="auto" w:fill="auto"/>
            <w:noWrap/>
            <w:vAlign w:val="center"/>
            <w:hideMark/>
          </w:tcPr>
          <w:p w14:paraId="05D674D0"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3.25</w:t>
            </w:r>
          </w:p>
        </w:tc>
        <w:tc>
          <w:tcPr>
            <w:tcW w:w="1335" w:type="dxa"/>
          </w:tcPr>
          <w:p w14:paraId="0F4C0058" w14:textId="77777777" w:rsidR="00DF5A71" w:rsidRPr="004D7F49" w:rsidRDefault="00DF5A71" w:rsidP="00DF5A71">
            <w:pPr>
              <w:jc w:val="right"/>
              <w:rPr>
                <w:rFonts w:ascii="Arial" w:hAnsi="Arial" w:cs="Arial"/>
                <w:sz w:val="18"/>
                <w:szCs w:val="18"/>
                <w:lang w:val="en-GB" w:eastAsia="en-IN"/>
              </w:rPr>
            </w:pPr>
          </w:p>
        </w:tc>
        <w:tc>
          <w:tcPr>
            <w:tcW w:w="1275" w:type="dxa"/>
          </w:tcPr>
          <w:p w14:paraId="71B5ECF5" w14:textId="77777777" w:rsidR="00DF5A71" w:rsidRPr="004D7F49" w:rsidRDefault="00DF5A71" w:rsidP="00DF5A71">
            <w:pPr>
              <w:jc w:val="right"/>
              <w:rPr>
                <w:rFonts w:ascii="Arial" w:hAnsi="Arial" w:cs="Arial"/>
                <w:sz w:val="18"/>
                <w:szCs w:val="18"/>
                <w:lang w:val="en-GB" w:eastAsia="en-IN"/>
              </w:rPr>
            </w:pPr>
          </w:p>
        </w:tc>
      </w:tr>
      <w:tr w:rsidR="00DF5A71" w:rsidRPr="004D7F49" w14:paraId="2AD55991" w14:textId="77777777" w:rsidTr="00FA2BD1">
        <w:trPr>
          <w:trHeight w:val="56"/>
        </w:trPr>
        <w:tc>
          <w:tcPr>
            <w:tcW w:w="1345" w:type="dxa"/>
            <w:shd w:val="clear" w:color="auto" w:fill="auto"/>
            <w:noWrap/>
            <w:vAlign w:val="bottom"/>
            <w:hideMark/>
          </w:tcPr>
          <w:p w14:paraId="078BD393"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1989.10.11</w:t>
            </w:r>
          </w:p>
        </w:tc>
        <w:tc>
          <w:tcPr>
            <w:tcW w:w="1710" w:type="dxa"/>
            <w:shd w:val="clear" w:color="auto" w:fill="auto"/>
            <w:noWrap/>
            <w:vAlign w:val="center"/>
            <w:hideMark/>
          </w:tcPr>
          <w:p w14:paraId="1A406687"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3.75</w:t>
            </w:r>
          </w:p>
        </w:tc>
        <w:tc>
          <w:tcPr>
            <w:tcW w:w="1335" w:type="dxa"/>
          </w:tcPr>
          <w:p w14:paraId="33A9FE65" w14:textId="77777777" w:rsidR="00DF5A71" w:rsidRPr="004D7F49" w:rsidRDefault="00DF5A71" w:rsidP="00DF5A71">
            <w:pPr>
              <w:jc w:val="right"/>
              <w:rPr>
                <w:rFonts w:ascii="Arial" w:hAnsi="Arial" w:cs="Arial"/>
                <w:sz w:val="18"/>
                <w:szCs w:val="18"/>
                <w:lang w:val="en-GB" w:eastAsia="en-IN"/>
              </w:rPr>
            </w:pPr>
          </w:p>
        </w:tc>
        <w:tc>
          <w:tcPr>
            <w:tcW w:w="1275" w:type="dxa"/>
          </w:tcPr>
          <w:p w14:paraId="1B9128C2" w14:textId="77777777" w:rsidR="00DF5A71" w:rsidRPr="004D7F49" w:rsidRDefault="00DF5A71" w:rsidP="00DF5A71">
            <w:pPr>
              <w:jc w:val="right"/>
              <w:rPr>
                <w:rFonts w:ascii="Arial" w:hAnsi="Arial" w:cs="Arial"/>
                <w:sz w:val="18"/>
                <w:szCs w:val="18"/>
                <w:lang w:val="en-GB" w:eastAsia="en-IN"/>
              </w:rPr>
            </w:pPr>
          </w:p>
        </w:tc>
      </w:tr>
      <w:tr w:rsidR="00DF5A71" w:rsidRPr="004D7F49" w14:paraId="6FD6D264" w14:textId="77777777" w:rsidTr="00FA2BD1">
        <w:trPr>
          <w:trHeight w:val="56"/>
        </w:trPr>
        <w:tc>
          <w:tcPr>
            <w:tcW w:w="1345" w:type="dxa"/>
            <w:shd w:val="clear" w:color="auto" w:fill="auto"/>
            <w:noWrap/>
            <w:vAlign w:val="bottom"/>
            <w:hideMark/>
          </w:tcPr>
          <w:p w14:paraId="55D9E744"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1989.12.25</w:t>
            </w:r>
          </w:p>
        </w:tc>
        <w:tc>
          <w:tcPr>
            <w:tcW w:w="1710" w:type="dxa"/>
            <w:shd w:val="clear" w:color="auto" w:fill="auto"/>
            <w:noWrap/>
            <w:vAlign w:val="center"/>
            <w:hideMark/>
          </w:tcPr>
          <w:p w14:paraId="238A0282"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4.25</w:t>
            </w:r>
          </w:p>
        </w:tc>
        <w:tc>
          <w:tcPr>
            <w:tcW w:w="1335" w:type="dxa"/>
          </w:tcPr>
          <w:p w14:paraId="008EF0CC" w14:textId="77777777" w:rsidR="00DF5A71" w:rsidRPr="004D7F49" w:rsidRDefault="00DF5A71" w:rsidP="00DF5A71">
            <w:pPr>
              <w:jc w:val="right"/>
              <w:rPr>
                <w:rFonts w:ascii="Arial" w:hAnsi="Arial" w:cs="Arial"/>
                <w:sz w:val="18"/>
                <w:szCs w:val="18"/>
                <w:lang w:val="en-GB" w:eastAsia="en-IN"/>
              </w:rPr>
            </w:pPr>
          </w:p>
        </w:tc>
        <w:tc>
          <w:tcPr>
            <w:tcW w:w="1275" w:type="dxa"/>
          </w:tcPr>
          <w:p w14:paraId="06B88519" w14:textId="77777777" w:rsidR="00DF5A71" w:rsidRPr="004D7F49" w:rsidRDefault="00DF5A71" w:rsidP="00DF5A71">
            <w:pPr>
              <w:jc w:val="right"/>
              <w:rPr>
                <w:rFonts w:ascii="Arial" w:hAnsi="Arial" w:cs="Arial"/>
                <w:sz w:val="18"/>
                <w:szCs w:val="18"/>
                <w:lang w:val="en-GB" w:eastAsia="en-IN"/>
              </w:rPr>
            </w:pPr>
          </w:p>
        </w:tc>
      </w:tr>
      <w:tr w:rsidR="00DF5A71" w:rsidRPr="004D7F49" w14:paraId="132D0F1D" w14:textId="77777777" w:rsidTr="00FA2BD1">
        <w:trPr>
          <w:trHeight w:val="56"/>
        </w:trPr>
        <w:tc>
          <w:tcPr>
            <w:tcW w:w="1345" w:type="dxa"/>
            <w:shd w:val="clear" w:color="auto" w:fill="auto"/>
            <w:noWrap/>
            <w:vAlign w:val="bottom"/>
            <w:hideMark/>
          </w:tcPr>
          <w:p w14:paraId="1F524885"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1990.03.20</w:t>
            </w:r>
          </w:p>
        </w:tc>
        <w:tc>
          <w:tcPr>
            <w:tcW w:w="1710" w:type="dxa"/>
            <w:shd w:val="clear" w:color="auto" w:fill="auto"/>
            <w:noWrap/>
            <w:vAlign w:val="center"/>
            <w:hideMark/>
          </w:tcPr>
          <w:p w14:paraId="32B4CDB1"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5.25</w:t>
            </w:r>
          </w:p>
        </w:tc>
        <w:tc>
          <w:tcPr>
            <w:tcW w:w="1335" w:type="dxa"/>
          </w:tcPr>
          <w:p w14:paraId="5D43BBB1" w14:textId="77777777" w:rsidR="00DF5A71" w:rsidRPr="004D7F49" w:rsidRDefault="00DF5A71" w:rsidP="00DF5A71">
            <w:pPr>
              <w:jc w:val="right"/>
              <w:rPr>
                <w:rFonts w:ascii="Arial" w:hAnsi="Arial" w:cs="Arial"/>
                <w:sz w:val="18"/>
                <w:szCs w:val="18"/>
                <w:lang w:val="en-GB" w:eastAsia="en-IN"/>
              </w:rPr>
            </w:pPr>
          </w:p>
        </w:tc>
        <w:tc>
          <w:tcPr>
            <w:tcW w:w="1275" w:type="dxa"/>
          </w:tcPr>
          <w:p w14:paraId="0A845E94" w14:textId="77777777" w:rsidR="00DF5A71" w:rsidRPr="004D7F49" w:rsidRDefault="00DF5A71" w:rsidP="00DF5A71">
            <w:pPr>
              <w:jc w:val="right"/>
              <w:rPr>
                <w:rFonts w:ascii="Arial" w:hAnsi="Arial" w:cs="Arial"/>
                <w:sz w:val="18"/>
                <w:szCs w:val="18"/>
                <w:lang w:val="en-GB" w:eastAsia="en-IN"/>
              </w:rPr>
            </w:pPr>
          </w:p>
        </w:tc>
      </w:tr>
      <w:tr w:rsidR="00DF5A71" w:rsidRPr="004D7F49" w14:paraId="0B758274" w14:textId="77777777" w:rsidTr="00FA2BD1">
        <w:trPr>
          <w:trHeight w:val="56"/>
        </w:trPr>
        <w:tc>
          <w:tcPr>
            <w:tcW w:w="1345" w:type="dxa"/>
            <w:shd w:val="clear" w:color="auto" w:fill="auto"/>
            <w:noWrap/>
            <w:vAlign w:val="bottom"/>
            <w:hideMark/>
          </w:tcPr>
          <w:p w14:paraId="42A9799E" w14:textId="77777777" w:rsidR="00DF5A71" w:rsidRPr="004D7F49" w:rsidRDefault="00DF5A71" w:rsidP="00DF5A71">
            <w:pPr>
              <w:rPr>
                <w:rFonts w:ascii="Arial" w:hAnsi="Arial" w:cs="Arial"/>
                <w:sz w:val="18"/>
                <w:szCs w:val="18"/>
                <w:lang w:val="en-GB" w:eastAsia="en-IN"/>
              </w:rPr>
            </w:pPr>
            <w:r w:rsidRPr="004D7F49">
              <w:rPr>
                <w:rFonts w:ascii="Arial" w:hAnsi="Arial" w:cs="Arial"/>
                <w:sz w:val="18"/>
                <w:szCs w:val="18"/>
                <w:lang w:val="en-GB" w:eastAsia="en-IN"/>
              </w:rPr>
              <w:t>1990.08.30</w:t>
            </w:r>
          </w:p>
        </w:tc>
        <w:tc>
          <w:tcPr>
            <w:tcW w:w="1710" w:type="dxa"/>
            <w:shd w:val="clear" w:color="auto" w:fill="auto"/>
            <w:noWrap/>
            <w:vAlign w:val="center"/>
            <w:hideMark/>
          </w:tcPr>
          <w:p w14:paraId="7AAB7112" w14:textId="77777777" w:rsidR="00DF5A71" w:rsidRPr="004D7F49" w:rsidRDefault="00DF5A71" w:rsidP="00724588">
            <w:pPr>
              <w:jc w:val="right"/>
              <w:rPr>
                <w:rFonts w:ascii="Arial" w:hAnsi="Arial" w:cs="Arial"/>
                <w:sz w:val="18"/>
                <w:szCs w:val="18"/>
                <w:lang w:val="en-GB" w:eastAsia="en-IN"/>
              </w:rPr>
            </w:pPr>
            <w:r w:rsidRPr="004D7F49">
              <w:rPr>
                <w:rFonts w:ascii="Arial" w:hAnsi="Arial" w:cs="Arial"/>
                <w:sz w:val="18"/>
                <w:szCs w:val="18"/>
                <w:lang w:val="en-GB" w:eastAsia="en-IN"/>
              </w:rPr>
              <w:t>6</w:t>
            </w:r>
          </w:p>
        </w:tc>
        <w:tc>
          <w:tcPr>
            <w:tcW w:w="1335" w:type="dxa"/>
          </w:tcPr>
          <w:p w14:paraId="1E1DB51B" w14:textId="77777777" w:rsidR="00DF5A71" w:rsidRPr="004D7F49" w:rsidRDefault="00DF5A71" w:rsidP="00DF5A71">
            <w:pPr>
              <w:jc w:val="right"/>
              <w:rPr>
                <w:rFonts w:ascii="Arial" w:hAnsi="Arial" w:cs="Arial"/>
                <w:sz w:val="18"/>
                <w:szCs w:val="18"/>
                <w:lang w:val="en-GB" w:eastAsia="en-IN"/>
              </w:rPr>
            </w:pPr>
          </w:p>
        </w:tc>
        <w:tc>
          <w:tcPr>
            <w:tcW w:w="1275" w:type="dxa"/>
          </w:tcPr>
          <w:p w14:paraId="74B98022" w14:textId="77777777" w:rsidR="00DF5A71" w:rsidRPr="004D7F49" w:rsidRDefault="00DF5A71" w:rsidP="00DF5A71">
            <w:pPr>
              <w:jc w:val="right"/>
              <w:rPr>
                <w:rFonts w:ascii="Arial" w:hAnsi="Arial" w:cs="Arial"/>
                <w:sz w:val="18"/>
                <w:szCs w:val="18"/>
                <w:lang w:val="en-GB" w:eastAsia="en-IN"/>
              </w:rPr>
            </w:pPr>
          </w:p>
        </w:tc>
      </w:tr>
    </w:tbl>
    <w:p w14:paraId="361A5769" w14:textId="77777777" w:rsidR="00922129" w:rsidRPr="004D7F49" w:rsidRDefault="00922129" w:rsidP="00922129">
      <w:pPr>
        <w:pStyle w:val="Footnote"/>
        <w:rPr>
          <w:shd w:val="clear" w:color="auto" w:fill="FFFFFF"/>
          <w:lang w:val="en-GB" w:eastAsia="en-IN"/>
        </w:rPr>
      </w:pPr>
    </w:p>
    <w:p w14:paraId="2B98249F" w14:textId="77777777" w:rsidR="00922129" w:rsidRPr="004D7F49" w:rsidRDefault="00922129" w:rsidP="00922129">
      <w:pPr>
        <w:pStyle w:val="Footnote"/>
        <w:rPr>
          <w:shd w:val="clear" w:color="auto" w:fill="FFFFFF"/>
          <w:lang w:val="en-GB" w:eastAsia="en-IN"/>
        </w:rPr>
      </w:pPr>
    </w:p>
    <w:p w14:paraId="06C1BA90" w14:textId="77777777" w:rsidR="00922129" w:rsidRPr="004D7F49" w:rsidRDefault="00922129" w:rsidP="00922129">
      <w:pPr>
        <w:pStyle w:val="Footnote"/>
        <w:rPr>
          <w:shd w:val="clear" w:color="auto" w:fill="FFFFFF"/>
          <w:lang w:val="en-GB" w:eastAsia="en-IN"/>
        </w:rPr>
      </w:pPr>
    </w:p>
    <w:p w14:paraId="511ECEC6" w14:textId="77777777" w:rsidR="00922129" w:rsidRPr="004D7F49" w:rsidRDefault="00922129" w:rsidP="00922129">
      <w:pPr>
        <w:pStyle w:val="Footnote"/>
        <w:rPr>
          <w:shd w:val="clear" w:color="auto" w:fill="FFFFFF"/>
          <w:lang w:val="en-GB" w:eastAsia="en-IN"/>
        </w:rPr>
      </w:pPr>
    </w:p>
    <w:p w14:paraId="25EF5F11" w14:textId="77777777" w:rsidR="00922129" w:rsidRPr="004D7F49" w:rsidRDefault="00922129" w:rsidP="00922129">
      <w:pPr>
        <w:pStyle w:val="Footnote"/>
        <w:rPr>
          <w:shd w:val="clear" w:color="auto" w:fill="FFFFFF"/>
          <w:lang w:val="en-GB" w:eastAsia="en-IN"/>
        </w:rPr>
      </w:pPr>
    </w:p>
    <w:p w14:paraId="6B1EE08C" w14:textId="77777777" w:rsidR="00922129" w:rsidRPr="004D7F49" w:rsidRDefault="00922129" w:rsidP="00922129">
      <w:pPr>
        <w:pStyle w:val="Footnote"/>
        <w:rPr>
          <w:shd w:val="clear" w:color="auto" w:fill="FFFFFF"/>
          <w:lang w:val="en-GB" w:eastAsia="en-IN"/>
        </w:rPr>
      </w:pPr>
    </w:p>
    <w:p w14:paraId="1A993EBE" w14:textId="77777777" w:rsidR="00922129" w:rsidRPr="004D7F49" w:rsidRDefault="00922129" w:rsidP="00922129">
      <w:pPr>
        <w:pStyle w:val="Footnote"/>
        <w:rPr>
          <w:sz w:val="16"/>
          <w:szCs w:val="16"/>
          <w:shd w:val="clear" w:color="auto" w:fill="FFFFFF"/>
          <w:lang w:val="en-GB" w:eastAsia="en-IN"/>
        </w:rPr>
      </w:pPr>
    </w:p>
    <w:p w14:paraId="0408B773" w14:textId="10A2B221" w:rsidR="00DF5A71" w:rsidRPr="004D7F49" w:rsidRDefault="00DF5A71" w:rsidP="009C74D0">
      <w:pPr>
        <w:pStyle w:val="Footnote"/>
        <w:rPr>
          <w:shd w:val="clear" w:color="auto" w:fill="FFFFFF"/>
          <w:lang w:val="en-GB" w:eastAsia="en-IN"/>
        </w:rPr>
      </w:pPr>
      <w:r w:rsidRPr="004D7F49">
        <w:rPr>
          <w:shd w:val="clear" w:color="auto" w:fill="FFFFFF"/>
          <w:lang w:val="en-GB" w:eastAsia="en-IN"/>
        </w:rPr>
        <w:t xml:space="preserve">Note: The </w:t>
      </w:r>
      <w:r w:rsidR="0042007E" w:rsidRPr="004D7F49">
        <w:rPr>
          <w:shd w:val="clear" w:color="auto" w:fill="FFFFFF"/>
          <w:lang w:val="en-GB" w:eastAsia="en-IN"/>
        </w:rPr>
        <w:t>o</w:t>
      </w:r>
      <w:r w:rsidRPr="004D7F49">
        <w:rPr>
          <w:shd w:val="clear" w:color="auto" w:fill="FFFFFF"/>
          <w:lang w:val="en-GB" w:eastAsia="en-IN"/>
        </w:rPr>
        <w:t xml:space="preserve">fficial </w:t>
      </w:r>
      <w:r w:rsidR="0042007E" w:rsidRPr="004D7F49">
        <w:rPr>
          <w:shd w:val="clear" w:color="auto" w:fill="FFFFFF"/>
          <w:lang w:val="en-GB" w:eastAsia="en-IN"/>
        </w:rPr>
        <w:t>d</w:t>
      </w:r>
      <w:r w:rsidRPr="004D7F49">
        <w:rPr>
          <w:shd w:val="clear" w:color="auto" w:fill="FFFFFF"/>
          <w:lang w:val="en-GB" w:eastAsia="en-IN"/>
        </w:rPr>
        <w:t xml:space="preserve">iscount </w:t>
      </w:r>
      <w:r w:rsidR="0042007E" w:rsidRPr="004D7F49">
        <w:rPr>
          <w:shd w:val="clear" w:color="auto" w:fill="FFFFFF"/>
          <w:lang w:val="en-GB" w:eastAsia="en-IN"/>
        </w:rPr>
        <w:t>r</w:t>
      </w:r>
      <w:r w:rsidRPr="004D7F49">
        <w:rPr>
          <w:shd w:val="clear" w:color="auto" w:fill="FFFFFF"/>
          <w:lang w:val="en-GB" w:eastAsia="en-IN"/>
        </w:rPr>
        <w:t>ate was the policy interest rate until 1</w:t>
      </w:r>
      <w:r w:rsidR="00921BD7" w:rsidRPr="004D7F49">
        <w:rPr>
          <w:shd w:val="clear" w:color="auto" w:fill="FFFFFF"/>
          <w:lang w:val="en-GB" w:eastAsia="en-IN"/>
        </w:rPr>
        <w:t>995</w:t>
      </w:r>
      <w:r w:rsidR="0042007E" w:rsidRPr="004D7F49">
        <w:rPr>
          <w:shd w:val="clear" w:color="auto" w:fill="FFFFFF"/>
          <w:lang w:val="en-GB" w:eastAsia="en-IN"/>
        </w:rPr>
        <w:t>;</w:t>
      </w:r>
      <w:r w:rsidR="00921BD7" w:rsidRPr="004D7F49">
        <w:rPr>
          <w:shd w:val="clear" w:color="auto" w:fill="FFFFFF"/>
          <w:lang w:val="en-GB" w:eastAsia="en-IN"/>
        </w:rPr>
        <w:t xml:space="preserve"> </w:t>
      </w:r>
      <w:r w:rsidR="0042007E" w:rsidRPr="004D7F49">
        <w:rPr>
          <w:shd w:val="clear" w:color="auto" w:fill="FFFFFF"/>
          <w:lang w:val="en-GB" w:eastAsia="en-IN"/>
        </w:rPr>
        <w:t>i</w:t>
      </w:r>
      <w:r w:rsidR="00921BD7" w:rsidRPr="004D7F49">
        <w:rPr>
          <w:shd w:val="clear" w:color="auto" w:fill="FFFFFF"/>
          <w:lang w:val="en-GB" w:eastAsia="en-IN"/>
        </w:rPr>
        <w:t>n 1996, the uncollateraliz</w:t>
      </w:r>
      <w:r w:rsidRPr="004D7F49">
        <w:rPr>
          <w:shd w:val="clear" w:color="auto" w:fill="FFFFFF"/>
          <w:lang w:val="en-GB" w:eastAsia="en-IN"/>
        </w:rPr>
        <w:t xml:space="preserve">ed </w:t>
      </w:r>
      <w:r w:rsidR="006C7BBE">
        <w:rPr>
          <w:shd w:val="clear" w:color="auto" w:fill="FFFFFF"/>
          <w:lang w:val="en-GB" w:eastAsia="en-IN"/>
        </w:rPr>
        <w:t>call-money</w:t>
      </w:r>
      <w:r w:rsidRPr="004D7F49">
        <w:rPr>
          <w:shd w:val="clear" w:color="auto" w:fill="FFFFFF"/>
          <w:lang w:val="en-GB" w:eastAsia="en-IN"/>
        </w:rPr>
        <w:t xml:space="preserve"> interest rate replaced the </w:t>
      </w:r>
      <w:r w:rsidR="0042007E" w:rsidRPr="004D7F49">
        <w:rPr>
          <w:shd w:val="clear" w:color="auto" w:fill="FFFFFF"/>
          <w:lang w:val="en-GB" w:eastAsia="en-IN"/>
        </w:rPr>
        <w:t>o</w:t>
      </w:r>
      <w:r w:rsidRPr="004D7F49">
        <w:rPr>
          <w:shd w:val="clear" w:color="auto" w:fill="FFFFFF"/>
          <w:lang w:val="en-GB" w:eastAsia="en-IN"/>
        </w:rPr>
        <w:t xml:space="preserve">fficial </w:t>
      </w:r>
      <w:r w:rsidR="0042007E" w:rsidRPr="004D7F49">
        <w:rPr>
          <w:shd w:val="clear" w:color="auto" w:fill="FFFFFF"/>
          <w:lang w:val="en-GB" w:eastAsia="en-IN"/>
        </w:rPr>
        <w:t>d</w:t>
      </w:r>
      <w:r w:rsidRPr="004D7F49">
        <w:rPr>
          <w:shd w:val="clear" w:color="auto" w:fill="FFFFFF"/>
          <w:lang w:val="en-GB" w:eastAsia="en-IN"/>
        </w:rPr>
        <w:t xml:space="preserve">iscount </w:t>
      </w:r>
      <w:r w:rsidR="0042007E" w:rsidRPr="004D7F49">
        <w:rPr>
          <w:shd w:val="clear" w:color="auto" w:fill="FFFFFF"/>
          <w:lang w:val="en-GB" w:eastAsia="en-IN"/>
        </w:rPr>
        <w:t>r</w:t>
      </w:r>
      <w:r w:rsidRPr="004D7F49">
        <w:rPr>
          <w:shd w:val="clear" w:color="auto" w:fill="FFFFFF"/>
          <w:lang w:val="en-GB" w:eastAsia="en-IN"/>
        </w:rPr>
        <w:t>ate as the policy rate. In 2006, the official discount rate was changed to the “Basic Discount Rate and Basic Loan Rate</w:t>
      </w:r>
      <w:r w:rsidR="004772A6" w:rsidRPr="004D7F49">
        <w:rPr>
          <w:shd w:val="clear" w:color="auto" w:fill="FFFFFF"/>
          <w:lang w:val="en-GB" w:eastAsia="en-IN"/>
        </w:rPr>
        <w:t>.</w:t>
      </w:r>
      <w:r w:rsidRPr="004D7F49">
        <w:rPr>
          <w:shd w:val="clear" w:color="auto" w:fill="FFFFFF"/>
          <w:lang w:val="en-GB" w:eastAsia="en-IN"/>
        </w:rPr>
        <w:t>”</w:t>
      </w:r>
    </w:p>
    <w:p w14:paraId="5D7261A3" w14:textId="71338235" w:rsidR="00DF5A71" w:rsidRPr="004D7F49" w:rsidRDefault="00DF5A71" w:rsidP="00922129">
      <w:pPr>
        <w:pStyle w:val="Footnote"/>
        <w:rPr>
          <w:shd w:val="clear" w:color="auto" w:fill="FFFFFF"/>
          <w:lang w:val="en-GB" w:eastAsia="en-IN"/>
        </w:rPr>
      </w:pPr>
      <w:r w:rsidRPr="004D7F49">
        <w:rPr>
          <w:shd w:val="clear" w:color="auto" w:fill="FFFFFF"/>
          <w:lang w:val="en-GB" w:eastAsia="en-IN"/>
        </w:rPr>
        <w:t xml:space="preserve">Source: Created by the </w:t>
      </w:r>
      <w:r w:rsidR="0060402D" w:rsidRPr="004D7F49">
        <w:rPr>
          <w:shd w:val="clear" w:color="auto" w:fill="FFFFFF"/>
          <w:lang w:val="en-GB" w:eastAsia="en-IN"/>
        </w:rPr>
        <w:t xml:space="preserve">case </w:t>
      </w:r>
      <w:r w:rsidRPr="004D7F49">
        <w:rPr>
          <w:shd w:val="clear" w:color="auto" w:fill="FFFFFF"/>
          <w:lang w:val="en-GB" w:eastAsia="en-IN"/>
        </w:rPr>
        <w:t xml:space="preserve">author based on </w:t>
      </w:r>
      <w:r w:rsidR="006E6E95" w:rsidRPr="004D7F49">
        <w:rPr>
          <w:shd w:val="clear" w:color="auto" w:fill="FFFFFF"/>
          <w:lang w:val="en-GB" w:eastAsia="en-IN"/>
        </w:rPr>
        <w:t>“</w:t>
      </w:r>
      <w:r w:rsidRPr="004D7F49">
        <w:rPr>
          <w:shd w:val="clear" w:color="auto" w:fill="FFFFFF"/>
          <w:lang w:val="en-GB" w:eastAsia="en-IN"/>
        </w:rPr>
        <w:t>Statistics</w:t>
      </w:r>
      <w:r w:rsidR="006E6E95" w:rsidRPr="004D7F49">
        <w:rPr>
          <w:shd w:val="clear" w:color="auto" w:fill="FFFFFF"/>
          <w:lang w:val="en-GB" w:eastAsia="en-IN"/>
        </w:rPr>
        <w:t>:</w:t>
      </w:r>
      <w:r w:rsidRPr="004D7F49">
        <w:rPr>
          <w:shd w:val="clear" w:color="auto" w:fill="FFFFFF"/>
          <w:lang w:val="en-GB" w:eastAsia="en-IN"/>
        </w:rPr>
        <w:t xml:space="preserve"> The Basic Discount Rate and Basic Loan Rate (</w:t>
      </w:r>
      <w:r w:rsidR="006E6E95" w:rsidRPr="004D7F49">
        <w:rPr>
          <w:shd w:val="clear" w:color="auto" w:fill="FFFFFF"/>
          <w:lang w:val="en-GB" w:eastAsia="en-IN"/>
        </w:rPr>
        <w:t>Previously Indicated as ‘</w:t>
      </w:r>
      <w:r w:rsidRPr="004D7F49">
        <w:rPr>
          <w:shd w:val="clear" w:color="auto" w:fill="FFFFFF"/>
          <w:lang w:val="en-GB" w:eastAsia="en-IN"/>
        </w:rPr>
        <w:t>Official Discount Rate</w:t>
      </w:r>
      <w:r w:rsidR="006E6E95" w:rsidRPr="004D7F49">
        <w:rPr>
          <w:shd w:val="clear" w:color="auto" w:fill="FFFFFF"/>
          <w:lang w:val="en-GB" w:eastAsia="en-IN"/>
        </w:rPr>
        <w:t>s’</w:t>
      </w:r>
      <w:r w:rsidRPr="004D7F49">
        <w:rPr>
          <w:shd w:val="clear" w:color="auto" w:fill="FFFFFF"/>
          <w:lang w:val="en-GB" w:eastAsia="en-IN"/>
        </w:rPr>
        <w:t>),</w:t>
      </w:r>
      <w:r w:rsidR="007565DA" w:rsidRPr="004D7F49">
        <w:rPr>
          <w:shd w:val="clear" w:color="auto" w:fill="FFFFFF"/>
          <w:lang w:val="en-GB" w:eastAsia="en-IN"/>
        </w:rPr>
        <w:t>”</w:t>
      </w:r>
      <w:r w:rsidRPr="004D7F49">
        <w:rPr>
          <w:shd w:val="clear" w:color="auto" w:fill="FFFFFF"/>
          <w:lang w:val="en-GB" w:eastAsia="en-IN"/>
        </w:rPr>
        <w:t xml:space="preserve"> accessed March 21, 2018, </w:t>
      </w:r>
      <w:hyperlink r:id="rId22" w:history="1">
        <w:r w:rsidRPr="004D7F49">
          <w:rPr>
            <w:shd w:val="clear" w:color="auto" w:fill="FFFFFF"/>
            <w:lang w:val="en-GB" w:eastAsia="en-IN"/>
          </w:rPr>
          <w:t>https://www.boj.or.jp/en/statistics/boj/other/discount/discount.htm/</w:t>
        </w:r>
      </w:hyperlink>
      <w:r w:rsidRPr="004D7F49">
        <w:rPr>
          <w:shd w:val="clear" w:color="auto" w:fill="FFFFFF"/>
          <w:lang w:val="en-GB" w:eastAsia="en-IN"/>
        </w:rPr>
        <w:t>.</w:t>
      </w:r>
    </w:p>
    <w:p w14:paraId="3DD2739B" w14:textId="77777777" w:rsidR="006C7BBE" w:rsidRDefault="006C7BBE">
      <w:pPr>
        <w:spacing w:after="200" w:line="276" w:lineRule="auto"/>
        <w:rPr>
          <w:rFonts w:ascii="Arial" w:eastAsia="Calibri" w:hAnsi="Arial" w:cs="Arial"/>
          <w:b/>
          <w:caps/>
          <w:lang w:val="en-GB"/>
        </w:rPr>
      </w:pPr>
      <w:r>
        <w:rPr>
          <w:rFonts w:eastAsia="Calibri"/>
          <w:lang w:val="en-GB"/>
        </w:rPr>
        <w:br w:type="page"/>
      </w:r>
    </w:p>
    <w:p w14:paraId="08CA9E99" w14:textId="589A9852" w:rsidR="00DF5A71" w:rsidRPr="004D7F49" w:rsidRDefault="00DF5A71" w:rsidP="00263C98">
      <w:pPr>
        <w:pStyle w:val="ExhibitHeading"/>
        <w:outlineLvl w:val="0"/>
        <w:rPr>
          <w:rFonts w:eastAsia="Calibri"/>
          <w:lang w:val="en-GB"/>
        </w:rPr>
      </w:pPr>
      <w:r w:rsidRPr="004D7F49">
        <w:rPr>
          <w:rFonts w:eastAsia="Calibri"/>
          <w:lang w:val="en-GB"/>
        </w:rPr>
        <w:lastRenderedPageBreak/>
        <w:t>EXHIBIT 5: TRANSMISSION MECHANISM UNDER QQE ENVISAGED IN 2013</w:t>
      </w:r>
    </w:p>
    <w:p w14:paraId="603303AF" w14:textId="77777777" w:rsidR="00DF5A71" w:rsidRPr="004D7F49" w:rsidRDefault="00DF5A71" w:rsidP="001B466D">
      <w:pPr>
        <w:pStyle w:val="ExhibitText"/>
        <w:rPr>
          <w:rFonts w:eastAsia="Calibri"/>
          <w:lang w:val="en-GB"/>
        </w:rPr>
      </w:pPr>
    </w:p>
    <w:p w14:paraId="202141F1" w14:textId="4D17D69C" w:rsidR="00DF5A71" w:rsidRPr="004D7F49" w:rsidRDefault="00921BD7" w:rsidP="00DF5A71">
      <w:pPr>
        <w:rPr>
          <w:rFonts w:ascii="Arial" w:eastAsia="Calibri" w:hAnsi="Arial" w:cs="Arial"/>
          <w:lang w:val="en-GB"/>
        </w:rPr>
      </w:pPr>
      <w:r w:rsidRPr="004D7F49">
        <w:rPr>
          <w:rFonts w:ascii="Arial" w:eastAsia="Calibri" w:hAnsi="Arial" w:cs="Arial"/>
          <w:noProof/>
        </w:rPr>
        <mc:AlternateContent>
          <mc:Choice Requires="wpg">
            <w:drawing>
              <wp:anchor distT="0" distB="0" distL="114300" distR="114300" simplePos="0" relativeHeight="251659264" behindDoc="0" locked="0" layoutInCell="1" allowOverlap="1" wp14:anchorId="3FA72470" wp14:editId="68A9D364">
                <wp:simplePos x="0" y="0"/>
                <wp:positionH relativeFrom="column">
                  <wp:posOffset>547867</wp:posOffset>
                </wp:positionH>
                <wp:positionV relativeFrom="paragraph">
                  <wp:posOffset>2391</wp:posOffset>
                </wp:positionV>
                <wp:extent cx="5060950" cy="4213860"/>
                <wp:effectExtent l="0" t="0" r="19050" b="15240"/>
                <wp:wrapNone/>
                <wp:docPr id="7" name="Group 7"/>
                <wp:cNvGraphicFramePr/>
                <a:graphic xmlns:a="http://schemas.openxmlformats.org/drawingml/2006/main">
                  <a:graphicData uri="http://schemas.microsoft.com/office/word/2010/wordprocessingGroup">
                    <wpg:wgp>
                      <wpg:cNvGrpSpPr/>
                      <wpg:grpSpPr>
                        <a:xfrm>
                          <a:off x="0" y="0"/>
                          <a:ext cx="5060950" cy="4213860"/>
                          <a:chOff x="0" y="0"/>
                          <a:chExt cx="5060950" cy="4213860"/>
                        </a:xfrm>
                      </wpg:grpSpPr>
                      <wpg:grpSp>
                        <wpg:cNvPr id="44" name="Group 44"/>
                        <wpg:cNvGrpSpPr/>
                        <wpg:grpSpPr>
                          <a:xfrm>
                            <a:off x="0" y="0"/>
                            <a:ext cx="5060950" cy="4213860"/>
                            <a:chOff x="294211" y="-112650"/>
                            <a:chExt cx="4324552" cy="4214386"/>
                          </a:xfrm>
                        </wpg:grpSpPr>
                        <wps:wsp>
                          <wps:cNvPr id="45" name="Down Arrow 45"/>
                          <wps:cNvSpPr/>
                          <wps:spPr>
                            <a:xfrm>
                              <a:off x="638160" y="497374"/>
                              <a:ext cx="496388" cy="280851"/>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294211" y="-112650"/>
                              <a:ext cx="4324552" cy="4214386"/>
                              <a:chOff x="348529" y="-140633"/>
                              <a:chExt cx="5122949" cy="5261272"/>
                            </a:xfrm>
                          </wpg:grpSpPr>
                          <wpg:grpSp>
                            <wpg:cNvPr id="47" name="Group 47"/>
                            <wpg:cNvGrpSpPr/>
                            <wpg:grpSpPr>
                              <a:xfrm>
                                <a:off x="348529" y="-140633"/>
                                <a:ext cx="5122949" cy="5261272"/>
                                <a:chOff x="348529" y="-140633"/>
                                <a:chExt cx="5122949" cy="5261272"/>
                              </a:xfrm>
                            </wpg:grpSpPr>
                            <wpg:grpSp>
                              <wpg:cNvPr id="48" name="Group 48"/>
                              <wpg:cNvGrpSpPr/>
                              <wpg:grpSpPr>
                                <a:xfrm>
                                  <a:off x="348529" y="-140633"/>
                                  <a:ext cx="5122949" cy="5261272"/>
                                  <a:chOff x="348541" y="-140642"/>
                                  <a:chExt cx="5123120" cy="5261661"/>
                                </a:xfrm>
                              </wpg:grpSpPr>
                              <wpg:grpSp>
                                <wpg:cNvPr id="49" name="Group 49"/>
                                <wpg:cNvGrpSpPr/>
                                <wpg:grpSpPr>
                                  <a:xfrm>
                                    <a:off x="348541" y="-140642"/>
                                    <a:ext cx="5123120" cy="5261661"/>
                                    <a:chOff x="348541" y="-140642"/>
                                    <a:chExt cx="5123120" cy="5261661"/>
                                  </a:xfrm>
                                </wpg:grpSpPr>
                                <wpg:grpSp>
                                  <wpg:cNvPr id="50" name="Group 50"/>
                                  <wpg:cNvGrpSpPr/>
                                  <wpg:grpSpPr>
                                    <a:xfrm>
                                      <a:off x="348541" y="-140642"/>
                                      <a:ext cx="5123120" cy="2994514"/>
                                      <a:chOff x="366404" y="-136070"/>
                                      <a:chExt cx="5385678" cy="2897166"/>
                                    </a:xfrm>
                                  </wpg:grpSpPr>
                                  <wps:wsp>
                                    <wps:cNvPr id="51" name="Rectangle 51"/>
                                    <wps:cNvSpPr/>
                                    <wps:spPr>
                                      <a:xfrm>
                                        <a:off x="2958182" y="-136070"/>
                                        <a:ext cx="2793900" cy="70177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8EA4E3" w14:textId="4FABB691" w:rsidR="00A27D8A" w:rsidRPr="0072341B" w:rsidRDefault="00A27D8A" w:rsidP="00DF5A71">
                                          <w:pPr>
                                            <w:jc w:val="both"/>
                                            <w:rPr>
                                              <w:rFonts w:ascii="Arial" w:hAnsi="Arial" w:cs="Arial"/>
                                              <w:sz w:val="18"/>
                                              <w:szCs w:val="18"/>
                                              <w:lang w:val="en-IN"/>
                                            </w:rPr>
                                          </w:pPr>
                                          <w:r>
                                            <w:rPr>
                                              <w:rFonts w:ascii="Arial" w:hAnsi="Arial" w:cs="Arial"/>
                                              <w:sz w:val="18"/>
                                              <w:szCs w:val="18"/>
                                            </w:rPr>
                                            <w:t xml:space="preserve">2. </w:t>
                                          </w:r>
                                          <w:r w:rsidRPr="0072341B">
                                            <w:rPr>
                                              <w:rFonts w:ascii="Arial" w:hAnsi="Arial" w:cs="Arial"/>
                                              <w:sz w:val="18"/>
                                              <w:szCs w:val="18"/>
                                            </w:rPr>
                                            <w:t xml:space="preserve">Strong and clear commitment to achieving the </w:t>
                                          </w:r>
                                          <w:r w:rsidR="006C7BBE">
                                            <w:rPr>
                                              <w:rFonts w:ascii="Arial" w:hAnsi="Arial" w:cs="Arial"/>
                                              <w:sz w:val="18"/>
                                              <w:szCs w:val="18"/>
                                            </w:rPr>
                                            <w:t>price-stability</w:t>
                                          </w:r>
                                          <w:r w:rsidRPr="0072341B">
                                            <w:rPr>
                                              <w:rFonts w:ascii="Arial" w:hAnsi="Arial" w:cs="Arial"/>
                                              <w:sz w:val="18"/>
                                              <w:szCs w:val="18"/>
                                            </w:rPr>
                                            <w:t xml:space="preserve"> target </w:t>
                                          </w:r>
                                          <w:r w:rsidRPr="004E100E">
                                            <w:rPr>
                                              <w:rFonts w:ascii="Arial" w:hAnsi="Arial" w:cs="Arial"/>
                                              <w:sz w:val="18"/>
                                              <w:szCs w:val="18"/>
                                            </w:rPr>
                                            <w:t>PLUS</w:t>
                                          </w:r>
                                          <w:r>
                                            <w:rPr>
                                              <w:rFonts w:ascii="Arial" w:hAnsi="Arial" w:cs="Arial"/>
                                              <w:sz w:val="18"/>
                                              <w:szCs w:val="18"/>
                                              <w:lang w:val="en-IN"/>
                                            </w:rPr>
                                            <w:t xml:space="preserve"> </w:t>
                                          </w:r>
                                          <w:r>
                                            <w:rPr>
                                              <w:rFonts w:ascii="Arial" w:hAnsi="Arial" w:cs="Arial"/>
                                              <w:sz w:val="18"/>
                                              <w:szCs w:val="18"/>
                                            </w:rPr>
                                            <w:t>t</w:t>
                                          </w:r>
                                          <w:r w:rsidRPr="004E100E">
                                            <w:rPr>
                                              <w:rFonts w:ascii="Arial" w:hAnsi="Arial" w:cs="Arial"/>
                                              <w:sz w:val="18"/>
                                              <w:szCs w:val="18"/>
                                            </w:rPr>
                                            <w:t>he B</w:t>
                                          </w:r>
                                          <w:r>
                                            <w:rPr>
                                              <w:rFonts w:ascii="Arial" w:hAnsi="Arial" w:cs="Arial"/>
                                              <w:sz w:val="18"/>
                                              <w:szCs w:val="18"/>
                                            </w:rPr>
                                            <w:t xml:space="preserve">ank </w:t>
                                          </w:r>
                                          <w:r w:rsidRPr="004E100E">
                                            <w:rPr>
                                              <w:rFonts w:ascii="Arial" w:hAnsi="Arial" w:cs="Arial"/>
                                              <w:sz w:val="18"/>
                                              <w:szCs w:val="18"/>
                                            </w:rPr>
                                            <w:t>o</w:t>
                                          </w:r>
                                          <w:r>
                                            <w:rPr>
                                              <w:rFonts w:ascii="Arial" w:hAnsi="Arial" w:cs="Arial"/>
                                              <w:sz w:val="18"/>
                                              <w:szCs w:val="18"/>
                                            </w:rPr>
                                            <w:t xml:space="preserve">f </w:t>
                                          </w:r>
                                          <w:r w:rsidRPr="004E100E">
                                            <w:rPr>
                                              <w:rFonts w:ascii="Arial" w:hAnsi="Arial" w:cs="Arial"/>
                                              <w:sz w:val="18"/>
                                              <w:szCs w:val="18"/>
                                            </w:rPr>
                                            <w:t>J</w:t>
                                          </w:r>
                                          <w:r>
                                            <w:rPr>
                                              <w:rFonts w:ascii="Arial" w:hAnsi="Arial" w:cs="Arial"/>
                                              <w:sz w:val="18"/>
                                              <w:szCs w:val="18"/>
                                            </w:rPr>
                                            <w:t>apan</w:t>
                                          </w:r>
                                          <w:r w:rsidRPr="004E100E">
                                            <w:rPr>
                                              <w:rFonts w:ascii="Arial" w:hAnsi="Arial" w:cs="Arial"/>
                                              <w:sz w:val="18"/>
                                              <w:szCs w:val="18"/>
                                            </w:rPr>
                                            <w:t>'s large</w:t>
                                          </w:r>
                                          <w:r>
                                            <w:rPr>
                                              <w:rFonts w:ascii="Arial" w:hAnsi="Arial" w:cs="Arial"/>
                                              <w:sz w:val="18"/>
                                              <w:szCs w:val="18"/>
                                            </w:rPr>
                                            <w:t>-</w:t>
                                          </w:r>
                                          <w:r w:rsidRPr="004E100E">
                                            <w:rPr>
                                              <w:rFonts w:ascii="Arial" w:hAnsi="Arial" w:cs="Arial"/>
                                              <w:sz w:val="18"/>
                                              <w:szCs w:val="18"/>
                                            </w:rPr>
                                            <w:t>scale monetary 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828849" y="883579"/>
                                        <a:ext cx="1897889" cy="63714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92221C" w14:textId="77777777" w:rsidR="00A27D8A" w:rsidRPr="00C06589" w:rsidRDefault="00A27D8A" w:rsidP="00DF5A71">
                                          <w:pPr>
                                            <w:jc w:val="both"/>
                                            <w:rPr>
                                              <w:rFonts w:ascii="Arial" w:hAnsi="Arial" w:cs="Arial"/>
                                              <w:sz w:val="18"/>
                                              <w:szCs w:val="18"/>
                                            </w:rPr>
                                          </w:pPr>
                                          <w:r w:rsidRPr="00C06589">
                                            <w:rPr>
                                              <w:rFonts w:ascii="Arial" w:hAnsi="Arial" w:cs="Arial"/>
                                              <w:sz w:val="18"/>
                                              <w:szCs w:val="18"/>
                                            </w:rPr>
                                            <w:t>Increase in people’s inflationary expectations and dispelling of deflationary mindset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848395" y="2068765"/>
                                        <a:ext cx="1874520" cy="69233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4804FF" w14:textId="2DC93A96" w:rsidR="00A27D8A" w:rsidRPr="00C27378" w:rsidRDefault="00A27D8A" w:rsidP="00A5014C">
                                          <w:pPr>
                                            <w:jc w:val="center"/>
                                            <w:rPr>
                                              <w:rFonts w:ascii="Arial" w:hAnsi="Arial" w:cs="Arial"/>
                                              <w:sz w:val="18"/>
                                              <w:szCs w:val="18"/>
                                            </w:rPr>
                                          </w:pPr>
                                          <w:r>
                                            <w:rPr>
                                              <w:rFonts w:ascii="Arial" w:hAnsi="Arial" w:cs="Arial"/>
                                              <w:sz w:val="18"/>
                                              <w:szCs w:val="18"/>
                                            </w:rPr>
                                            <w:t xml:space="preserve">3. </w:t>
                                          </w:r>
                                          <w:r w:rsidRPr="00C27378">
                                            <w:rPr>
                                              <w:rFonts w:ascii="Arial" w:hAnsi="Arial" w:cs="Arial"/>
                                              <w:sz w:val="18"/>
                                              <w:szCs w:val="18"/>
                                            </w:rPr>
                                            <w:t>Decline in real interest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66404" y="-123243"/>
                                        <a:ext cx="1626488" cy="68751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5444F1" w14:textId="0ACBFC3B" w:rsidR="00A27D8A" w:rsidRPr="00C06589" w:rsidRDefault="00A27D8A" w:rsidP="00DF5A71">
                                          <w:pPr>
                                            <w:rPr>
                                              <w:rFonts w:ascii="Arial" w:hAnsi="Arial" w:cs="Arial"/>
                                              <w:sz w:val="18"/>
                                              <w:szCs w:val="18"/>
                                            </w:rPr>
                                          </w:pPr>
                                          <w:r>
                                            <w:rPr>
                                              <w:rFonts w:ascii="Arial" w:hAnsi="Arial" w:cs="Arial"/>
                                              <w:sz w:val="18"/>
                                              <w:szCs w:val="18"/>
                                            </w:rPr>
                                            <w:t xml:space="preserve">1. </w:t>
                                          </w:r>
                                          <w:r w:rsidRPr="00C06589">
                                            <w:rPr>
                                              <w:rFonts w:ascii="Arial" w:hAnsi="Arial" w:cs="Arial"/>
                                              <w:sz w:val="18"/>
                                              <w:szCs w:val="18"/>
                                            </w:rPr>
                                            <w:t>B</w:t>
                                          </w:r>
                                          <w:r>
                                            <w:rPr>
                                              <w:rFonts w:ascii="Arial" w:hAnsi="Arial" w:cs="Arial"/>
                                              <w:sz w:val="18"/>
                                              <w:szCs w:val="18"/>
                                            </w:rPr>
                                            <w:t xml:space="preserve">ank’s purchases of Japanese government bonds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stCxn id="52" idx="2"/>
                                    </wps:cNvCnPr>
                                    <wps:spPr>
                                      <a:xfrm flipH="1">
                                        <a:off x="3721114" y="1520726"/>
                                        <a:ext cx="1056679" cy="735072"/>
                                      </a:xfrm>
                                      <a:prstGeom prst="straightConnector1">
                                        <a:avLst/>
                                      </a:prstGeom>
                                      <a:solidFill>
                                        <a:sysClr val="window" lastClr="FFFFFF"/>
                                      </a:solidFill>
                                      <a:ln w="38100" cap="flat" cmpd="sng" algn="ctr">
                                        <a:solidFill>
                                          <a:sysClr val="windowText" lastClr="000000"/>
                                        </a:solidFill>
                                        <a:prstDash val="solid"/>
                                        <a:miter lim="800000"/>
                                        <a:tailEnd type="triangle"/>
                                      </a:ln>
                                      <a:effectLst/>
                                    </wps:spPr>
                                    <wps:bodyPr/>
                                  </wps:wsp>
                                </wpg:grpSp>
                                <wps:wsp>
                                  <wps:cNvPr id="58" name="Rectangle 58"/>
                                  <wps:cNvSpPr/>
                                  <wps:spPr>
                                    <a:xfrm>
                                      <a:off x="1743891" y="4591934"/>
                                      <a:ext cx="2103248" cy="52908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DF102E" w14:textId="77777777" w:rsidR="00A27D8A" w:rsidRPr="00C27378" w:rsidRDefault="00A27D8A" w:rsidP="00DF5A71">
                                        <w:pPr>
                                          <w:jc w:val="center"/>
                                          <w:rPr>
                                            <w:rFonts w:ascii="Arial" w:hAnsi="Arial" w:cs="Arial"/>
                                            <w:sz w:val="18"/>
                                            <w:szCs w:val="18"/>
                                          </w:rPr>
                                        </w:pPr>
                                        <w:r>
                                          <w:rPr>
                                            <w:rFonts w:ascii="Arial" w:hAnsi="Arial" w:cs="Arial"/>
                                            <w:sz w:val="18"/>
                                            <w:szCs w:val="18"/>
                                          </w:rPr>
                                          <w:t xml:space="preserve">5. </w:t>
                                        </w:r>
                                        <w:r w:rsidRPr="00C27378">
                                          <w:rPr>
                                            <w:rFonts w:ascii="Arial" w:hAnsi="Arial" w:cs="Arial"/>
                                            <w:sz w:val="18"/>
                                            <w:szCs w:val="18"/>
                                          </w:rPr>
                                          <w:t>Observed inflation rate 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ectangle 59"/>
                                <wps:cNvSpPr/>
                                <wps:spPr>
                                  <a:xfrm>
                                    <a:off x="406018" y="1009321"/>
                                    <a:ext cx="1842792" cy="47538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E67D68" w14:textId="77777777" w:rsidR="00A27D8A" w:rsidRPr="00C06589" w:rsidRDefault="00A27D8A" w:rsidP="00DF5A71">
                                      <w:pPr>
                                        <w:rPr>
                                          <w:rFonts w:ascii="Arial" w:hAnsi="Arial" w:cs="Arial"/>
                                          <w:sz w:val="18"/>
                                          <w:szCs w:val="18"/>
                                        </w:rPr>
                                      </w:pPr>
                                      <w:r>
                                        <w:rPr>
                                          <w:rFonts w:ascii="Arial" w:hAnsi="Arial" w:cs="Arial"/>
                                          <w:sz w:val="18"/>
                                          <w:szCs w:val="18"/>
                                        </w:rPr>
                                        <w:t>D</w:t>
                                      </w:r>
                                      <w:r w:rsidRPr="00C06589">
                                        <w:rPr>
                                          <w:rFonts w:ascii="Arial" w:hAnsi="Arial" w:cs="Arial"/>
                                          <w:sz w:val="18"/>
                                          <w:szCs w:val="18"/>
                                        </w:rPr>
                                        <w:t>ecline in nominal</w:t>
                                      </w:r>
                                      <w:r>
                                        <w:rPr>
                                          <w:rFonts w:ascii="Arial" w:hAnsi="Arial" w:cs="Arial"/>
                                          <w:sz w:val="18"/>
                                          <w:szCs w:val="18"/>
                                        </w:rPr>
                                        <w:t xml:space="preserve"> interest rates</w:t>
                                      </w:r>
                                    </w:p>
                                    <w:p w14:paraId="0265A2FA" w14:textId="77777777" w:rsidR="00A27D8A" w:rsidRDefault="00A27D8A" w:rsidP="00DF5A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Down Arrow 60"/>
                              <wps:cNvSpPr/>
                              <wps:spPr>
                                <a:xfrm>
                                  <a:off x="2462349" y="3807823"/>
                                  <a:ext cx="535305" cy="770255"/>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841863" y="2854235"/>
                                <a:ext cx="1795145" cy="972820"/>
                                <a:chOff x="0" y="52251"/>
                                <a:chExt cx="1795690" cy="973182"/>
                              </a:xfrm>
                              <a:solidFill>
                                <a:srgbClr val="E7E6E6"/>
                              </a:solidFill>
                            </wpg:grpSpPr>
                            <wps:wsp>
                              <wps:cNvPr id="63" name="Rectangle 63"/>
                              <wps:cNvSpPr/>
                              <wps:spPr>
                                <a:xfrm>
                                  <a:off x="0" y="496388"/>
                                  <a:ext cx="1795690" cy="529045"/>
                                </a:xfrm>
                                <a:prstGeom prst="rect">
                                  <a:avLst/>
                                </a:prstGeom>
                                <a:grpFill/>
                                <a:ln w="12700" cap="flat" cmpd="sng" algn="ctr">
                                  <a:solidFill>
                                    <a:sysClr val="windowText" lastClr="000000"/>
                                  </a:solidFill>
                                  <a:prstDash val="solid"/>
                                  <a:miter lim="800000"/>
                                </a:ln>
                                <a:effectLst/>
                              </wps:spPr>
                              <wps:txbx>
                                <w:txbxContent>
                                  <w:p w14:paraId="3569F200" w14:textId="24F8D456" w:rsidR="00A27D8A" w:rsidRPr="00C27378" w:rsidRDefault="00A27D8A" w:rsidP="00DF5A71">
                                    <w:pPr>
                                      <w:jc w:val="both"/>
                                      <w:rPr>
                                        <w:rFonts w:ascii="Arial" w:hAnsi="Arial" w:cs="Arial"/>
                                        <w:sz w:val="18"/>
                                        <w:szCs w:val="18"/>
                                      </w:rPr>
                                    </w:pPr>
                                    <w:r>
                                      <w:rPr>
                                        <w:rFonts w:ascii="Arial" w:hAnsi="Arial" w:cs="Arial"/>
                                        <w:sz w:val="18"/>
                                        <w:szCs w:val="18"/>
                                      </w:rPr>
                                      <w:t>4. R</w:t>
                                    </w:r>
                                    <w:r w:rsidRPr="00C27378">
                                      <w:rPr>
                                        <w:rFonts w:ascii="Arial" w:hAnsi="Arial" w:cs="Arial"/>
                                        <w:sz w:val="18"/>
                                        <w:szCs w:val="18"/>
                                      </w:rPr>
                                      <w:t>eduction in output gap</w:t>
                                    </w:r>
                                    <w:r>
                                      <w:rPr>
                                        <w:rFonts w:ascii="Arial" w:hAnsi="Arial" w:cs="Arial"/>
                                        <w:sz w:val="18"/>
                                        <w:szCs w:val="18"/>
                                      </w:rPr>
                                      <w:t xml:space="preserve"> (economic recovery)</w:t>
                                    </w:r>
                                  </w:p>
                                  <w:p w14:paraId="3C75A7D6" w14:textId="77777777" w:rsidR="00A27D8A" w:rsidRDefault="00A27D8A" w:rsidP="00DF5A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own Arrow 64"/>
                              <wps:cNvSpPr/>
                              <wps:spPr>
                                <a:xfrm>
                                  <a:off x="639887" y="52251"/>
                                  <a:ext cx="457394" cy="45693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 name="Group 6"/>
                        <wpg:cNvGrpSpPr/>
                        <wpg:grpSpPr>
                          <a:xfrm>
                            <a:off x="1000462" y="602429"/>
                            <a:ext cx="3437067" cy="3474720"/>
                            <a:chOff x="48410" y="0"/>
                            <a:chExt cx="3437067" cy="3474720"/>
                          </a:xfrm>
                        </wpg:grpSpPr>
                        <wps:wsp>
                          <wps:cNvPr id="2" name="Straight Arrow Connector 2"/>
                          <wps:cNvCnPr/>
                          <wps:spPr>
                            <a:xfrm>
                              <a:off x="48410" y="720762"/>
                              <a:ext cx="683110" cy="505609"/>
                            </a:xfrm>
                            <a:prstGeom prst="straightConnector1">
                              <a:avLst/>
                            </a:prstGeom>
                            <a:noFill/>
                            <a:ln w="38100" cap="flat" cmpd="sng" algn="ctr">
                              <a:solidFill>
                                <a:sysClr val="windowText" lastClr="000000"/>
                              </a:solidFill>
                              <a:prstDash val="solid"/>
                              <a:miter lim="800000"/>
                              <a:tailEnd type="triangle"/>
                            </a:ln>
                            <a:effectLst/>
                          </wps:spPr>
                          <wps:bodyPr/>
                        </wps:wsp>
                        <wps:wsp>
                          <wps:cNvPr id="3" name="Down Arrow 3"/>
                          <wps:cNvSpPr/>
                          <wps:spPr>
                            <a:xfrm>
                              <a:off x="2753957" y="0"/>
                              <a:ext cx="580915" cy="231289"/>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Bent-Up Arrow 5"/>
                          <wps:cNvSpPr/>
                          <wps:spPr>
                            <a:xfrm>
                              <a:off x="2522668" y="774550"/>
                              <a:ext cx="962809" cy="2700170"/>
                            </a:xfrm>
                            <a:prstGeom prst="bentUpArrow">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FA72470" id="Group 7" o:spid="_x0000_s1026" style="position:absolute;margin-left:43.15pt;margin-top:.2pt;width:398.5pt;height:331.8pt;z-index:251659264" coordsize="50609,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">
                <v:group id="Group 44" o:spid="_x0000_s1027" style="position:absolute;width:50609;height:42138" coordorigin="2942,-1126" coordsize="43245,4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28" type="#_x0000_t67" style="position:absolute;left:6381;top:4973;width:4964;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n8YA&#10;AADbAAAADwAAAGRycy9kb3ducmV2LnhtbESPT2vCQBTE74V+h+UVequ7EZWaukoRFMF68N/B2yP7&#10;mqRm3ybZrUm/fbcg9DjMzG+Y2aK3lbhR60vHGpKBAkGcOVNyruF0XL28gvAB2WDlmDT8kIfF/PFh&#10;hqlxHe/pdgi5iBD2KWooQqhTKX1WkEU/cDVx9D5dazFE2ebStNhFuK3kUKmJtFhyXCiwpmVB2fXw&#10;bTV4Spr16Ws1me5U16hrv718nLdaPz/1728gAvXhP3xvb4yG0Rj+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Ln8YAAADbAAAADwAAAAAAAAAAAAAAAACYAgAAZHJz&#10;L2Rvd25yZXYueG1sUEsFBgAAAAAEAAQA9QAAAIsDAAAAAA==&#10;" adj="10800" fillcolor="window" strokecolor="windowText" strokeweight="1pt"/>
                  <v:group id="Group 46" o:spid="_x0000_s1029" style="position:absolute;left:2942;top:-1126;width:43245;height:42143" coordorigin="3485,-1406" coordsize="51229,52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7" o:spid="_x0000_s1030" style="position:absolute;left:3485;top:-1406;width:51229;height:52612" coordorigin="3485,-1406" coordsize="51229,52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031" style="position:absolute;left:3485;top:-1406;width:51229;height:52612" coordorigin="3485,-1406" coordsize="51231,5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32" style="position:absolute;left:3485;top:-1406;width:51231;height:52616" coordorigin="3485,-1406" coordsize="51231,5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50" o:spid="_x0000_s1033" style="position:absolute;left:3485;top:-1406;width:51231;height:29944" coordorigin="3664,-1360" coordsize="53856,28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1" o:spid="_x0000_s1034" style="position:absolute;left:29581;top:-1360;width:27939;height:7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D8MA&#10;AADbAAAADwAAAGRycy9kb3ducmV2LnhtbESPQWvCQBSE70L/w/IK3nRjQWlTN6EUClLwYGp7fmRf&#10;s8Hs25Bd4+qvdwXB4zAz3zDrMtpOjDT41rGCxTwDQVw73XKjYP/zNXsF4QOyxs4xKTiTh7J4mqwx&#10;1+7EOxqr0IgEYZ+jAhNCn0vpa0MW/dz1xMn7d4PFkOTQSD3gKcFtJ1+ybCUttpwWDPb0aag+VEer&#10;4NtfjmOt/TaaaDZvv3/ZpeKDUtPn+PEOIlAMj/C9vdEKlgu4fU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DD8MAAADbAAAADwAAAAAAAAAAAAAAAACYAgAAZHJzL2Rv&#10;d25yZXYueG1sUEsFBgAAAAAEAAQA9QAAAIgDAAAAAA==&#10;" fillcolor="window" strokecolor="windowText" strokeweight="1pt">
                              <v:textbox>
                                <w:txbxContent>
                                  <w:p w14:paraId="748EA4E3" w14:textId="4FABB691" w:rsidR="00A27D8A" w:rsidRPr="0072341B" w:rsidRDefault="00A27D8A" w:rsidP="00DF5A71">
                                    <w:pPr>
                                      <w:jc w:val="both"/>
                                      <w:rPr>
                                        <w:rFonts w:ascii="Arial" w:hAnsi="Arial" w:cs="Arial"/>
                                        <w:sz w:val="18"/>
                                        <w:szCs w:val="18"/>
                                        <w:lang w:val="en-IN"/>
                                      </w:rPr>
                                    </w:pPr>
                                    <w:r>
                                      <w:rPr>
                                        <w:rFonts w:ascii="Arial" w:hAnsi="Arial" w:cs="Arial"/>
                                        <w:sz w:val="18"/>
                                        <w:szCs w:val="18"/>
                                      </w:rPr>
                                      <w:t xml:space="preserve">2. </w:t>
                                    </w:r>
                                    <w:r w:rsidRPr="0072341B">
                                      <w:rPr>
                                        <w:rFonts w:ascii="Arial" w:hAnsi="Arial" w:cs="Arial"/>
                                        <w:sz w:val="18"/>
                                        <w:szCs w:val="18"/>
                                      </w:rPr>
                                      <w:t xml:space="preserve">Strong and clear commitment to achieving the </w:t>
                                    </w:r>
                                    <w:r w:rsidR="006C7BBE">
                                      <w:rPr>
                                        <w:rFonts w:ascii="Arial" w:hAnsi="Arial" w:cs="Arial"/>
                                        <w:sz w:val="18"/>
                                        <w:szCs w:val="18"/>
                                      </w:rPr>
                                      <w:t>price-stability</w:t>
                                    </w:r>
                                    <w:r w:rsidRPr="0072341B">
                                      <w:rPr>
                                        <w:rFonts w:ascii="Arial" w:hAnsi="Arial" w:cs="Arial"/>
                                        <w:sz w:val="18"/>
                                        <w:szCs w:val="18"/>
                                      </w:rPr>
                                      <w:t xml:space="preserve"> target </w:t>
                                    </w:r>
                                    <w:r w:rsidRPr="004E100E">
                                      <w:rPr>
                                        <w:rFonts w:ascii="Arial" w:hAnsi="Arial" w:cs="Arial"/>
                                        <w:sz w:val="18"/>
                                        <w:szCs w:val="18"/>
                                      </w:rPr>
                                      <w:t>PLUS</w:t>
                                    </w:r>
                                    <w:r>
                                      <w:rPr>
                                        <w:rFonts w:ascii="Arial" w:hAnsi="Arial" w:cs="Arial"/>
                                        <w:sz w:val="18"/>
                                        <w:szCs w:val="18"/>
                                        <w:lang w:val="en-IN"/>
                                      </w:rPr>
                                      <w:t xml:space="preserve"> </w:t>
                                    </w:r>
                                    <w:r>
                                      <w:rPr>
                                        <w:rFonts w:ascii="Arial" w:hAnsi="Arial" w:cs="Arial"/>
                                        <w:sz w:val="18"/>
                                        <w:szCs w:val="18"/>
                                      </w:rPr>
                                      <w:t>t</w:t>
                                    </w:r>
                                    <w:r w:rsidRPr="004E100E">
                                      <w:rPr>
                                        <w:rFonts w:ascii="Arial" w:hAnsi="Arial" w:cs="Arial"/>
                                        <w:sz w:val="18"/>
                                        <w:szCs w:val="18"/>
                                      </w:rPr>
                                      <w:t>he B</w:t>
                                    </w:r>
                                    <w:r>
                                      <w:rPr>
                                        <w:rFonts w:ascii="Arial" w:hAnsi="Arial" w:cs="Arial"/>
                                        <w:sz w:val="18"/>
                                        <w:szCs w:val="18"/>
                                      </w:rPr>
                                      <w:t xml:space="preserve">ank </w:t>
                                    </w:r>
                                    <w:r w:rsidRPr="004E100E">
                                      <w:rPr>
                                        <w:rFonts w:ascii="Arial" w:hAnsi="Arial" w:cs="Arial"/>
                                        <w:sz w:val="18"/>
                                        <w:szCs w:val="18"/>
                                      </w:rPr>
                                      <w:t>o</w:t>
                                    </w:r>
                                    <w:r>
                                      <w:rPr>
                                        <w:rFonts w:ascii="Arial" w:hAnsi="Arial" w:cs="Arial"/>
                                        <w:sz w:val="18"/>
                                        <w:szCs w:val="18"/>
                                      </w:rPr>
                                      <w:t xml:space="preserve">f </w:t>
                                    </w:r>
                                    <w:r w:rsidRPr="004E100E">
                                      <w:rPr>
                                        <w:rFonts w:ascii="Arial" w:hAnsi="Arial" w:cs="Arial"/>
                                        <w:sz w:val="18"/>
                                        <w:szCs w:val="18"/>
                                      </w:rPr>
                                      <w:t>J</w:t>
                                    </w:r>
                                    <w:r>
                                      <w:rPr>
                                        <w:rFonts w:ascii="Arial" w:hAnsi="Arial" w:cs="Arial"/>
                                        <w:sz w:val="18"/>
                                        <w:szCs w:val="18"/>
                                      </w:rPr>
                                      <w:t>apan</w:t>
                                    </w:r>
                                    <w:r w:rsidRPr="004E100E">
                                      <w:rPr>
                                        <w:rFonts w:ascii="Arial" w:hAnsi="Arial" w:cs="Arial"/>
                                        <w:sz w:val="18"/>
                                        <w:szCs w:val="18"/>
                                      </w:rPr>
                                      <w:t>'s large</w:t>
                                    </w:r>
                                    <w:r>
                                      <w:rPr>
                                        <w:rFonts w:ascii="Arial" w:hAnsi="Arial" w:cs="Arial"/>
                                        <w:sz w:val="18"/>
                                        <w:szCs w:val="18"/>
                                      </w:rPr>
                                      <w:t>-</w:t>
                                    </w:r>
                                    <w:r w:rsidRPr="004E100E">
                                      <w:rPr>
                                        <w:rFonts w:ascii="Arial" w:hAnsi="Arial" w:cs="Arial"/>
                                        <w:sz w:val="18"/>
                                        <w:szCs w:val="18"/>
                                      </w:rPr>
                                      <w:t>scale monetary easing</w:t>
                                    </w:r>
                                  </w:p>
                                </w:txbxContent>
                              </v:textbox>
                            </v:rect>
                            <v:rect id="Rectangle 52" o:spid="_x0000_s1035" style="position:absolute;left:38288;top:8835;width:18979;height:6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1deMMA&#10;AADbAAAADwAAAGRycy9kb3ducmV2LnhtbESPQWvCQBSE7wX/w/IEb3WjoN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1deMMAAADbAAAADwAAAAAAAAAAAAAAAACYAgAAZHJzL2Rv&#10;d25yZXYueG1sUEsFBgAAAAAEAAQA9QAAAIgDAAAAAA==&#10;" fillcolor="window" strokecolor="windowText" strokeweight="1pt">
                              <v:textbox>
                                <w:txbxContent>
                                  <w:p w14:paraId="2592221C" w14:textId="77777777" w:rsidR="00A27D8A" w:rsidRPr="00C06589" w:rsidRDefault="00A27D8A" w:rsidP="00DF5A71">
                                    <w:pPr>
                                      <w:jc w:val="both"/>
                                      <w:rPr>
                                        <w:rFonts w:ascii="Arial" w:hAnsi="Arial" w:cs="Arial"/>
                                        <w:sz w:val="18"/>
                                        <w:szCs w:val="18"/>
                                      </w:rPr>
                                    </w:pPr>
                                    <w:r w:rsidRPr="00C06589">
                                      <w:rPr>
                                        <w:rFonts w:ascii="Arial" w:hAnsi="Arial" w:cs="Arial"/>
                                        <w:sz w:val="18"/>
                                        <w:szCs w:val="18"/>
                                      </w:rPr>
                                      <w:t>Increase in people’s inflationary expectations and dispelling of deflationary mindset</w:t>
                                    </w:r>
                                  </w:p>
                                </w:txbxContent>
                              </v:textbox>
                            </v:rect>
                            <v:rect id="Rectangle 55" o:spid="_x0000_s1036" style="position:absolute;left:18483;top:20687;width:18746;height:6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FDMMA&#10;AADbAAAADwAAAGRycy9kb3ducmV2LnhtbESPwWrDMBBE74X8g9hAb42cQErjRg4lEAiFHOomPS/W&#10;1jK2VsaSHSVfXxUKPQ4z84bZ7qLtxESDbxwrWC4yEMSV0w3XCs6fh6cXED4ga+wck4IbedgVs4ct&#10;5tpd+YOmMtQiQdjnqMCE0OdS+sqQRb9wPXHyvt1gMSQ51FIPeE1w28lVlj1Liw2nBYM97Q1VbTla&#10;Be/+Pk6V9qdoojluLl/ZveRWqcd5fHsFESiG//Bf+6gVrNfw+yX9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TFDMMAAADbAAAADwAAAAAAAAAAAAAAAACYAgAAZHJzL2Rv&#10;d25yZXYueG1sUEsFBgAAAAAEAAQA9QAAAIgDAAAAAA==&#10;" fillcolor="window" strokecolor="windowText" strokeweight="1pt">
                              <v:textbox>
                                <w:txbxContent>
                                  <w:p w14:paraId="374804FF" w14:textId="2DC93A96" w:rsidR="00A27D8A" w:rsidRPr="00C27378" w:rsidRDefault="00A27D8A" w:rsidP="00A5014C">
                                    <w:pPr>
                                      <w:jc w:val="center"/>
                                      <w:rPr>
                                        <w:rFonts w:ascii="Arial" w:hAnsi="Arial" w:cs="Arial"/>
                                        <w:sz w:val="18"/>
                                        <w:szCs w:val="18"/>
                                      </w:rPr>
                                    </w:pPr>
                                    <w:r>
                                      <w:rPr>
                                        <w:rFonts w:ascii="Arial" w:hAnsi="Arial" w:cs="Arial"/>
                                        <w:sz w:val="18"/>
                                        <w:szCs w:val="18"/>
                                      </w:rPr>
                                      <w:t xml:space="preserve">3. </w:t>
                                    </w:r>
                                    <w:r w:rsidRPr="00C27378">
                                      <w:rPr>
                                        <w:rFonts w:ascii="Arial" w:hAnsi="Arial" w:cs="Arial"/>
                                        <w:sz w:val="18"/>
                                        <w:szCs w:val="18"/>
                                      </w:rPr>
                                      <w:t>Decline in real interest rates</w:t>
                                    </w:r>
                                  </w:p>
                                </w:txbxContent>
                              </v:textbox>
                            </v:rect>
                            <v:rect id="Rectangle 56" o:spid="_x0000_s1037" style="position:absolute;left:3664;top:-1232;width:16264;height:6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be8MA&#10;AADbAAAADwAAAGRycy9kb3ducmV2LnhtbESPQWvCQBSE74L/YXmCN90oVG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Zbe8MAAADbAAAADwAAAAAAAAAAAAAAAACYAgAAZHJzL2Rv&#10;d25yZXYueG1sUEsFBgAAAAAEAAQA9QAAAIgDAAAAAA==&#10;" fillcolor="window" strokecolor="windowText" strokeweight="1pt">
                              <v:textbox>
                                <w:txbxContent>
                                  <w:p w14:paraId="205444F1" w14:textId="0ACBFC3B" w:rsidR="00A27D8A" w:rsidRPr="00C06589" w:rsidRDefault="00A27D8A" w:rsidP="00DF5A71">
                                    <w:pPr>
                                      <w:rPr>
                                        <w:rFonts w:ascii="Arial" w:hAnsi="Arial" w:cs="Arial"/>
                                        <w:sz w:val="18"/>
                                        <w:szCs w:val="18"/>
                                      </w:rPr>
                                    </w:pPr>
                                    <w:r>
                                      <w:rPr>
                                        <w:rFonts w:ascii="Arial" w:hAnsi="Arial" w:cs="Arial"/>
                                        <w:sz w:val="18"/>
                                        <w:szCs w:val="18"/>
                                      </w:rPr>
                                      <w:t xml:space="preserve">1. </w:t>
                                    </w:r>
                                    <w:r w:rsidRPr="00C06589">
                                      <w:rPr>
                                        <w:rFonts w:ascii="Arial" w:hAnsi="Arial" w:cs="Arial"/>
                                        <w:sz w:val="18"/>
                                        <w:szCs w:val="18"/>
                                      </w:rPr>
                                      <w:t>B</w:t>
                                    </w:r>
                                    <w:r>
                                      <w:rPr>
                                        <w:rFonts w:ascii="Arial" w:hAnsi="Arial" w:cs="Arial"/>
                                        <w:sz w:val="18"/>
                                        <w:szCs w:val="18"/>
                                      </w:rPr>
                                      <w:t xml:space="preserve">ank’s purchases of Japanese government bonds </w:t>
                                    </w:r>
                                  </w:p>
                                </w:txbxContent>
                              </v:textbox>
                            </v:rect>
                            <v:shapetype id="_x0000_t32" coordsize="21600,21600" o:spt="32" o:oned="t" path="m,l21600,21600e" filled="f">
                              <v:path arrowok="t" fillok="f" o:connecttype="none"/>
                              <o:lock v:ext="edit" shapetype="t"/>
                            </v:shapetype>
                            <v:shape id="Straight Arrow Connector 57" o:spid="_x0000_s1038" type="#_x0000_t32" style="position:absolute;left:37211;top:15207;width:10566;height:7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vfGsUAAADbAAAADwAAAGRycy9kb3ducmV2LnhtbESPT2vCQBTE7wW/w/IEL0U3VqoSXUWq&#10;Qr34H7w+ss8kJvs2ZFdNv71bKPQ4zMxvmOm8MaV4UO1yywr6vQgEcWJ1zqmC82ndHYNwHlljaZkU&#10;/JCD+az1NsVY2ycf6HH0qQgQdjEqyLyvYildkpFB17MVcfCutjbog6xTqWt8Brgp5UcUDaXBnMNC&#10;hhV9ZZQUx7tRYFfLXTQo9qvL4j0vtpvhbdxsl0p12s1iAsJT4//Df+1vreBzBL9fwg+Qs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vfGsUAAADbAAAADwAAAAAAAAAA&#10;AAAAAAChAgAAZHJzL2Rvd25yZXYueG1sUEsFBgAAAAAEAAQA+QAAAJMDAAAAAA==&#10;" filled="t" fillcolor="window" strokecolor="windowText" strokeweight="3pt">
                              <v:stroke endarrow="block" joinstyle="miter"/>
                            </v:shape>
                          </v:group>
                          <v:rect id="Rectangle 58" o:spid="_x0000_s1039" style="position:absolute;left:17438;top:45919;width:21033;height:5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qksAA&#10;AADbAAAADwAAAGRycy9kb3ducmV2LnhtbERPz2vCMBS+D/wfwht4W9MNNmbXKCIMysDDOt350Tyb&#10;YvNSmthG/3pzGOz48f0uN9H2YqLRd44VPGc5COLG6Y5bBYefz6d3ED4ga+wdk4IredisFw8lFtrN&#10;/E1THVqRQtgXqMCEMBRS+saQRZ+5gThxJzdaDAmOrdQjzinc9vIlz9+kxY5Tg8GBdoaac32xCr78&#10;7TI12u+jiaZaHX/zW81npZaPcfsBIlAM/+I/d6UVvKax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VqksAAAADbAAAADwAAAAAAAAAAAAAAAACYAgAAZHJzL2Rvd25y&#10;ZXYueG1sUEsFBgAAAAAEAAQA9QAAAIUDAAAAAA==&#10;" fillcolor="window" strokecolor="windowText" strokeweight="1pt">
                            <v:textbox>
                              <w:txbxContent>
                                <w:p w14:paraId="11DF102E" w14:textId="77777777" w:rsidR="00A27D8A" w:rsidRPr="00C27378" w:rsidRDefault="00A27D8A" w:rsidP="00DF5A71">
                                  <w:pPr>
                                    <w:jc w:val="center"/>
                                    <w:rPr>
                                      <w:rFonts w:ascii="Arial" w:hAnsi="Arial" w:cs="Arial"/>
                                      <w:sz w:val="18"/>
                                      <w:szCs w:val="18"/>
                                    </w:rPr>
                                  </w:pPr>
                                  <w:r>
                                    <w:rPr>
                                      <w:rFonts w:ascii="Arial" w:hAnsi="Arial" w:cs="Arial"/>
                                      <w:sz w:val="18"/>
                                      <w:szCs w:val="18"/>
                                    </w:rPr>
                                    <w:t xml:space="preserve">5. </w:t>
                                  </w:r>
                                  <w:r w:rsidRPr="00C27378">
                                    <w:rPr>
                                      <w:rFonts w:ascii="Arial" w:hAnsi="Arial" w:cs="Arial"/>
                                      <w:sz w:val="18"/>
                                      <w:szCs w:val="18"/>
                                    </w:rPr>
                                    <w:t>Observed inflation rate increases</w:t>
                                  </w:r>
                                </w:p>
                              </w:txbxContent>
                            </v:textbox>
                          </v:rect>
                        </v:group>
                        <v:rect id="Rectangle 59" o:spid="_x0000_s1040" style="position:absolute;left:4060;top:10093;width:18428;height:4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PCcMA&#10;AADbAAAADwAAAGRycy9kb3ducmV2LnhtbESPQWvCQBSE74L/YXlCb7qp0FJTN1IEQYQeTNXzI/ua&#10;Dcm+Ddk1bv31bqHQ4zAz3zDrTbSdGGnwjWMFz4sMBHHldMO1gtPXbv4GwgdkjZ1jUvBDHjbFdLLG&#10;XLsbH2ksQy0ShH2OCkwIfS6lrwxZ9AvXEyfv2w0WQ5JDLfWAtwS3nVxm2au02HBaMNjT1lDVller&#10;4ODv17HS/jOaaPar8yW7l9wq9TSLH+8gAsXwH/5r77WClxX8fk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nPCcMAAADbAAAADwAAAAAAAAAAAAAAAACYAgAAZHJzL2Rv&#10;d25yZXYueG1sUEsFBgAAAAAEAAQA9QAAAIgDAAAAAA==&#10;" fillcolor="window" strokecolor="windowText" strokeweight="1pt">
                          <v:textbox>
                            <w:txbxContent>
                              <w:p w14:paraId="01E67D68" w14:textId="77777777" w:rsidR="00A27D8A" w:rsidRPr="00C06589" w:rsidRDefault="00A27D8A" w:rsidP="00DF5A71">
                                <w:pPr>
                                  <w:rPr>
                                    <w:rFonts w:ascii="Arial" w:hAnsi="Arial" w:cs="Arial"/>
                                    <w:sz w:val="18"/>
                                    <w:szCs w:val="18"/>
                                  </w:rPr>
                                </w:pPr>
                                <w:r>
                                  <w:rPr>
                                    <w:rFonts w:ascii="Arial" w:hAnsi="Arial" w:cs="Arial"/>
                                    <w:sz w:val="18"/>
                                    <w:szCs w:val="18"/>
                                  </w:rPr>
                                  <w:t>D</w:t>
                                </w:r>
                                <w:r w:rsidRPr="00C06589">
                                  <w:rPr>
                                    <w:rFonts w:ascii="Arial" w:hAnsi="Arial" w:cs="Arial"/>
                                    <w:sz w:val="18"/>
                                    <w:szCs w:val="18"/>
                                  </w:rPr>
                                  <w:t>ecline in nominal</w:t>
                                </w:r>
                                <w:r>
                                  <w:rPr>
                                    <w:rFonts w:ascii="Arial" w:hAnsi="Arial" w:cs="Arial"/>
                                    <w:sz w:val="18"/>
                                    <w:szCs w:val="18"/>
                                  </w:rPr>
                                  <w:t xml:space="preserve"> interest rates</w:t>
                                </w:r>
                              </w:p>
                              <w:p w14:paraId="0265A2FA" w14:textId="77777777" w:rsidR="00A27D8A" w:rsidRDefault="00A27D8A" w:rsidP="00DF5A71"/>
                            </w:txbxContent>
                          </v:textbox>
                        </v:rect>
                      </v:group>
                      <v:shape id="Down Arrow 60" o:spid="_x0000_s1041" type="#_x0000_t67" style="position:absolute;left:24623;top:38078;width:5353;height:7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8V8EA&#10;AADbAAAADwAAAGRycy9kb3ducmV2LnhtbERPz2vCMBS+D/wfwhN2GZp2DJVqFFEEmYeh1vuzeTbF&#10;5qU0sXb//XIQdvz4fi9Wva1FR62vHCtIxwkI4sLpiksF+Xk3moHwAVlj7ZgU/JKH1XLwtsBMuycf&#10;qTuFUsQQ9hkqMCE0mZS+MGTRj11DHLmbay2GCNtS6hafMdzW8jNJJtJixbHBYEMbQ8X99LAKvmb3&#10;/fSQdn1++dl+nNPvq8ntVan3Yb+egwjUh3/xy73XCiZxffw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CvFfBAAAA2wAAAA8AAAAAAAAAAAAAAAAAmAIAAGRycy9kb3du&#10;cmV2LnhtbFBLBQYAAAAABAAEAPUAAACGAwAAAAA=&#10;" adj="14094" fillcolor="window" strokecolor="windowText" strokeweight="1pt"/>
                    </v:group>
                    <v:group id="Group 62" o:spid="_x0000_s1042" style="position:absolute;left:18418;top:28542;width:17952;height:9728" coordorigin=",522" coordsize="17956,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43" style="position:absolute;top:4963;width:17956;height:5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Dh8MA&#10;AADbAAAADwAAAGRycy9kb3ducmV2LnhtbESPQWvCQBSE7wX/w/IEb3W3CkFSV5FCQKgXowi9PbOv&#10;Seju25DdJum/7xYKHoeZ+YbZ7idnxUB9aD1reFkqEMSVNy3XGq6X4nkDIkRkg9YzafihAPvd7GmL&#10;ufEjn2koYy0ShEOOGpoYu1zKUDXkMCx9R5y8T987jEn2tTQ9jgnurFwplUmHLaeFBjt6a6j6Kr+d&#10;hrO63N7daa0+7up6C4Wz9+FgtV7Mp8MriEhTfIT/20ejIVv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wDh8MAAADbAAAADwAAAAAAAAAAAAAAAACYAgAAZHJzL2Rv&#10;d25yZXYueG1sUEsFBgAAAAAEAAQA9QAAAIgDAAAAAA==&#10;" filled="f" strokecolor="windowText" strokeweight="1pt">
                        <v:textbox>
                          <w:txbxContent>
                            <w:p w14:paraId="3569F200" w14:textId="24F8D456" w:rsidR="00A27D8A" w:rsidRPr="00C27378" w:rsidRDefault="00A27D8A" w:rsidP="00DF5A71">
                              <w:pPr>
                                <w:jc w:val="both"/>
                                <w:rPr>
                                  <w:rFonts w:ascii="Arial" w:hAnsi="Arial" w:cs="Arial"/>
                                  <w:sz w:val="18"/>
                                  <w:szCs w:val="18"/>
                                </w:rPr>
                              </w:pPr>
                              <w:r>
                                <w:rPr>
                                  <w:rFonts w:ascii="Arial" w:hAnsi="Arial" w:cs="Arial"/>
                                  <w:sz w:val="18"/>
                                  <w:szCs w:val="18"/>
                                </w:rPr>
                                <w:t>4. R</w:t>
                              </w:r>
                              <w:r w:rsidRPr="00C27378">
                                <w:rPr>
                                  <w:rFonts w:ascii="Arial" w:hAnsi="Arial" w:cs="Arial"/>
                                  <w:sz w:val="18"/>
                                  <w:szCs w:val="18"/>
                                </w:rPr>
                                <w:t>eduction in output gap</w:t>
                              </w:r>
                              <w:r>
                                <w:rPr>
                                  <w:rFonts w:ascii="Arial" w:hAnsi="Arial" w:cs="Arial"/>
                                  <w:sz w:val="18"/>
                                  <w:szCs w:val="18"/>
                                </w:rPr>
                                <w:t xml:space="preserve"> (economic recovery)</w:t>
                              </w:r>
                            </w:p>
                            <w:p w14:paraId="3C75A7D6" w14:textId="77777777" w:rsidR="00A27D8A" w:rsidRDefault="00A27D8A" w:rsidP="00DF5A71">
                              <w:pPr>
                                <w:jc w:val="center"/>
                              </w:pPr>
                            </w:p>
                          </w:txbxContent>
                        </v:textbox>
                      </v:rect>
                      <v:shape id="Down Arrow 64" o:spid="_x0000_s1044" type="#_x0000_t67" style="position:absolute;left:6398;top:522;width:4574;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9yZMUA&#10;AADbAAAADwAAAGRycy9kb3ducmV2LnhtbESPT2vCQBTE70K/w/IEb7qrSGhTV5GCImgP/umht0f2&#10;NUnNvo3Z1cRv3xUKHoeZ+Q0zW3S2EjdqfOlYw3ikQBBnzpScazgdV8NXED4gG6wck4Y7eVjMX3oz&#10;TI1reU+3Q8hFhLBPUUMRQp1K6bOCLPqRq4mj9+MaiyHKJpemwTbCbSUnSiXSYslxocCaPgrKzoer&#10;1eBpfFmfflfJ26dqL+rcbb93X1utB/1u+Q4iUBee4f/2xmhIpvD4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3JkxQAAANsAAAAPAAAAAAAAAAAAAAAAAJgCAABkcnMv&#10;ZG93bnJldi54bWxQSwUGAAAAAAQABAD1AAAAigMAAAAA&#10;" adj="10800" fillcolor="window" strokecolor="windowText" strokeweight="1pt"/>
                    </v:group>
                  </v:group>
                </v:group>
                <v:group id="Group 6" o:spid="_x0000_s1045" style="position:absolute;left:10004;top:6024;width:34371;height:34747" coordorigin="484" coordsize="34370,34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2" o:spid="_x0000_s1046" type="#_x0000_t32" style="position:absolute;left:484;top:7207;width:6831;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IKDsQAAADaAAAADwAAAGRycy9kb3ducmV2LnhtbESPQWvCQBSE7wX/w/KE3upGKVKiq4ig&#10;9lAP2qB4e2SfSTD7Nu6uJvrru4VCj8PMfMNM552pxZ2crywrGA4SEMS51RUXCrLv1dsHCB+QNdaW&#10;ScGDPMxnvZcpptq2vKP7PhQiQtinqKAMoUml9HlJBv3ANsTRO1tnMETpCqkdthFuajlKkrE0WHFc&#10;KLGhZUn5ZX8zCtbhnD0PK7d739jWfp22WB+zq1Kv/W4xARGoC//hv/anVjCC3yvxBs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sgoOxAAAANoAAAAPAAAAAAAAAAAA&#10;AAAAAKECAABkcnMvZG93bnJldi54bWxQSwUGAAAAAAQABAD5AAAAkgMAAAAA&#10;" strokecolor="windowText" strokeweight="3pt">
                    <v:stroke endarrow="block" joinstyle="miter"/>
                  </v:shape>
                  <v:shape id="Down Arrow 3" o:spid="_x0000_s1047" type="#_x0000_t67" style="position:absolute;left:27539;width:5809;height:2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WxAsQA&#10;AADaAAAADwAAAGRycy9kb3ducmV2LnhtbESPT2sCMRTE70K/Q3gFb5pYQepqlFKwCOqh/jl4e2ye&#10;u6ubl3UT3fXbm0LB4zAzv2Gm89aW4k61LxxrGPQVCOLUmYIzDfvdovcJwgdkg6Vj0vAgD/PZW2eK&#10;iXEN/9J9GzIRIewT1JCHUCVS+jQni77vKuLonVxtMURZZ9LU2ES4LeWHUiNpseC4kGNF3zmll+3N&#10;avA0uP7sz4vReKOaq7q0q+P6sNK6+95+TUAEasMr/N9eGg1D+LsSb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FsQLEAAAA2gAAAA8AAAAAAAAAAAAAAAAAmAIAAGRycy9k&#10;b3ducmV2LnhtbFBLBQYAAAAABAAEAPUAAACJAwAAAAA=&#10;" adj="10800" fillcolor="window" strokecolor="windowText" strokeweight="1pt"/>
                  <v:shape id="Bent-Up Arrow 5" o:spid="_x0000_s1048" style="position:absolute;left:25226;top:7745;width:9628;height:27002;visibility:visible;mso-wrap-style:square;v-text-anchor:middle" coordsize="962809,270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GLFcEA&#10;AADaAAAADwAAAGRycy9kb3ducmV2LnhtbESPT4vCMBTE74LfITzBm6YqLtI1FhEqHtc/oHt7NM+2&#10;2LyUJNr67TcLC3scZuY3zDrrTSNe5HxtWcFsmoAgLqyuuVRwOeeTFQgfkDU2lknBmzxkm+Fgjam2&#10;HR/pdQqliBD2KSqoQmhTKX1RkUE/tS1x9O7WGQxRulJqh12Em0bOk+RDGqw5LlTY0q6i4nF6GgX5&#10;tynM893XbnHtzvuv28onrVdqPOq3nyAC9eE//Nc+aAVL+L0Sb4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ixXBAAAA2gAAAA8AAAAAAAAAAAAAAAAAmAIAAGRycy9kb3du&#10;cmV2LnhtbFBLBQYAAAAABAAEAPUAAACGAwAAAAA=&#10;" path="m,2459468r601756,l601756,240702r-120351,l722107,,962809,240702r-120351,l842458,2700170,,2700170,,2459468xe" fillcolor="#d0cece" strokecolor="windowText" strokeweight="1pt">
                    <v:stroke joinstyle="miter"/>
                    <v:path arrowok="t" o:connecttype="custom" o:connectlocs="0,2459468;601756,2459468;601756,240702;481405,240702;722107,0;962809,240702;842458,240702;842458,2700170;0,2700170;0,2459468" o:connectangles="0,0,0,0,0,0,0,0,0,0"/>
                  </v:shape>
                </v:group>
              </v:group>
            </w:pict>
          </mc:Fallback>
        </mc:AlternateContent>
      </w:r>
    </w:p>
    <w:p w14:paraId="36EB8D92" w14:textId="76F917ED" w:rsidR="00DF5A71" w:rsidRPr="004D7F49" w:rsidRDefault="00DF5A71" w:rsidP="00DF5A71">
      <w:pPr>
        <w:rPr>
          <w:rFonts w:ascii="Arial" w:eastAsia="Calibri" w:hAnsi="Arial" w:cs="Arial"/>
          <w:noProof/>
          <w:lang w:val="en-GB"/>
        </w:rPr>
      </w:pPr>
    </w:p>
    <w:p w14:paraId="05A2FDC6" w14:textId="0875D46A" w:rsidR="00DF5A71" w:rsidRPr="004D7F49" w:rsidRDefault="00DF5A71" w:rsidP="00DF5A71">
      <w:pPr>
        <w:rPr>
          <w:rFonts w:ascii="Arial" w:eastAsia="Calibri" w:hAnsi="Arial" w:cs="Arial"/>
          <w:noProof/>
          <w:lang w:val="en-GB"/>
        </w:rPr>
      </w:pPr>
    </w:p>
    <w:p w14:paraId="58EE3F57" w14:textId="520B824A" w:rsidR="00DF5A71" w:rsidRPr="004D7F49" w:rsidRDefault="00DF5A71" w:rsidP="00DF5A71">
      <w:pPr>
        <w:rPr>
          <w:rFonts w:ascii="Arial" w:eastAsia="Calibri" w:hAnsi="Arial" w:cs="Arial"/>
          <w:noProof/>
          <w:lang w:val="en-GB"/>
        </w:rPr>
      </w:pPr>
    </w:p>
    <w:p w14:paraId="4700BF1A" w14:textId="77777777" w:rsidR="00DF5A71" w:rsidRPr="004D7F49" w:rsidRDefault="00DF5A71" w:rsidP="00DF5A71">
      <w:pPr>
        <w:rPr>
          <w:rFonts w:ascii="Arial" w:eastAsia="Calibri" w:hAnsi="Arial" w:cs="Arial"/>
          <w:noProof/>
          <w:lang w:val="en-GB"/>
        </w:rPr>
      </w:pPr>
    </w:p>
    <w:p w14:paraId="02B021C4" w14:textId="77777777" w:rsidR="00DF5A71" w:rsidRPr="004D7F49" w:rsidRDefault="00DF5A71" w:rsidP="00DF5A71">
      <w:pPr>
        <w:rPr>
          <w:rFonts w:ascii="Arial" w:eastAsia="Calibri" w:hAnsi="Arial" w:cs="Arial"/>
          <w:noProof/>
          <w:lang w:val="en-GB"/>
        </w:rPr>
      </w:pPr>
    </w:p>
    <w:p w14:paraId="3A0BFD19" w14:textId="77777777" w:rsidR="00DF5A71" w:rsidRPr="004D7F49" w:rsidRDefault="00DF5A71" w:rsidP="00DF5A71">
      <w:pPr>
        <w:rPr>
          <w:rFonts w:ascii="Arial" w:eastAsia="Calibri" w:hAnsi="Arial" w:cs="Arial"/>
          <w:noProof/>
          <w:lang w:val="en-GB"/>
        </w:rPr>
      </w:pPr>
    </w:p>
    <w:p w14:paraId="78F977F4" w14:textId="77777777" w:rsidR="00DF5A71" w:rsidRPr="004D7F49" w:rsidRDefault="00DF5A71" w:rsidP="00DF5A71">
      <w:pPr>
        <w:rPr>
          <w:rFonts w:ascii="Arial" w:eastAsia="Calibri" w:hAnsi="Arial" w:cs="Arial"/>
          <w:noProof/>
          <w:lang w:val="en-GB"/>
        </w:rPr>
      </w:pPr>
    </w:p>
    <w:p w14:paraId="157BD49D" w14:textId="77777777" w:rsidR="00DF5A71" w:rsidRPr="004D7F49" w:rsidRDefault="00DF5A71" w:rsidP="00DF5A71">
      <w:pPr>
        <w:rPr>
          <w:rFonts w:ascii="Arial" w:eastAsia="Calibri" w:hAnsi="Arial" w:cs="Arial"/>
          <w:noProof/>
          <w:lang w:val="en-GB"/>
        </w:rPr>
      </w:pPr>
    </w:p>
    <w:p w14:paraId="4A984002" w14:textId="77777777" w:rsidR="00DF5A71" w:rsidRPr="004D7F49" w:rsidRDefault="00DF5A71" w:rsidP="00DF5A71">
      <w:pPr>
        <w:rPr>
          <w:rFonts w:ascii="Arial" w:eastAsia="Calibri" w:hAnsi="Arial" w:cs="Arial"/>
          <w:noProof/>
          <w:lang w:val="en-GB"/>
        </w:rPr>
      </w:pPr>
    </w:p>
    <w:p w14:paraId="4DDC76AD" w14:textId="77777777" w:rsidR="00DF5A71" w:rsidRPr="004D7F49" w:rsidRDefault="00DF5A71" w:rsidP="00DF5A71">
      <w:pPr>
        <w:rPr>
          <w:rFonts w:ascii="Arial" w:eastAsia="Calibri" w:hAnsi="Arial" w:cs="Arial"/>
          <w:noProof/>
          <w:lang w:val="en-GB"/>
        </w:rPr>
      </w:pPr>
    </w:p>
    <w:p w14:paraId="1DC19E8C" w14:textId="77777777" w:rsidR="00DF5A71" w:rsidRPr="004D7F49" w:rsidRDefault="00DF5A71" w:rsidP="00DF5A71">
      <w:pPr>
        <w:rPr>
          <w:rFonts w:ascii="Arial" w:eastAsia="Calibri" w:hAnsi="Arial" w:cs="Arial"/>
          <w:noProof/>
          <w:lang w:val="en-GB"/>
        </w:rPr>
      </w:pPr>
    </w:p>
    <w:p w14:paraId="27EC1037" w14:textId="77777777" w:rsidR="00DF5A71" w:rsidRPr="004D7F49" w:rsidRDefault="00DF5A71" w:rsidP="00DF5A71">
      <w:pPr>
        <w:rPr>
          <w:rFonts w:ascii="Arial" w:eastAsia="Calibri" w:hAnsi="Arial" w:cs="Arial"/>
          <w:noProof/>
          <w:lang w:val="en-GB"/>
        </w:rPr>
      </w:pPr>
    </w:p>
    <w:p w14:paraId="2636E007" w14:textId="77777777" w:rsidR="00DF5A71" w:rsidRPr="004D7F49" w:rsidRDefault="00DF5A71" w:rsidP="00DF5A71">
      <w:pPr>
        <w:rPr>
          <w:rFonts w:ascii="Arial" w:eastAsia="Calibri" w:hAnsi="Arial" w:cs="Arial"/>
          <w:noProof/>
          <w:lang w:val="en-GB"/>
        </w:rPr>
      </w:pPr>
    </w:p>
    <w:p w14:paraId="223D426A" w14:textId="77777777" w:rsidR="00DF5A71" w:rsidRPr="004D7F49" w:rsidRDefault="00DF5A71" w:rsidP="00DF5A71">
      <w:pPr>
        <w:rPr>
          <w:rFonts w:ascii="Arial" w:eastAsia="Calibri" w:hAnsi="Arial" w:cs="Arial"/>
          <w:noProof/>
          <w:lang w:val="en-GB"/>
        </w:rPr>
      </w:pPr>
    </w:p>
    <w:p w14:paraId="23299621" w14:textId="77777777" w:rsidR="00DF5A71" w:rsidRPr="004D7F49" w:rsidRDefault="00DF5A71" w:rsidP="00DF5A71">
      <w:pPr>
        <w:rPr>
          <w:rFonts w:ascii="Arial" w:eastAsia="Calibri" w:hAnsi="Arial" w:cs="Arial"/>
          <w:noProof/>
          <w:lang w:val="en-GB"/>
        </w:rPr>
      </w:pPr>
    </w:p>
    <w:p w14:paraId="0D713D9E" w14:textId="77777777" w:rsidR="00DF5A71" w:rsidRPr="004D7F49" w:rsidRDefault="00DF5A71" w:rsidP="00DF5A71">
      <w:pPr>
        <w:rPr>
          <w:rFonts w:ascii="Arial" w:eastAsia="Calibri" w:hAnsi="Arial" w:cs="Arial"/>
          <w:noProof/>
          <w:lang w:val="en-GB"/>
        </w:rPr>
      </w:pPr>
    </w:p>
    <w:p w14:paraId="4C5590C4" w14:textId="77777777" w:rsidR="00DF5A71" w:rsidRPr="004D7F49" w:rsidRDefault="00DF5A71" w:rsidP="00DF5A71">
      <w:pPr>
        <w:rPr>
          <w:rFonts w:ascii="Arial" w:eastAsia="Calibri" w:hAnsi="Arial" w:cs="Arial"/>
          <w:noProof/>
          <w:lang w:val="en-GB"/>
        </w:rPr>
      </w:pPr>
    </w:p>
    <w:p w14:paraId="099F9C27" w14:textId="77777777" w:rsidR="00DF5A71" w:rsidRPr="004D7F49" w:rsidRDefault="00DF5A71" w:rsidP="00DF5A71">
      <w:pPr>
        <w:rPr>
          <w:rFonts w:ascii="Arial" w:eastAsia="Calibri" w:hAnsi="Arial" w:cs="Arial"/>
          <w:noProof/>
          <w:lang w:val="en-GB"/>
        </w:rPr>
      </w:pPr>
    </w:p>
    <w:p w14:paraId="4B363BB1" w14:textId="77777777" w:rsidR="00DF5A71" w:rsidRPr="004D7F49" w:rsidRDefault="00DF5A71" w:rsidP="00DF5A71">
      <w:pPr>
        <w:rPr>
          <w:rFonts w:ascii="Arial" w:eastAsia="Calibri" w:hAnsi="Arial" w:cs="Arial"/>
          <w:noProof/>
          <w:lang w:val="en-GB"/>
        </w:rPr>
      </w:pPr>
    </w:p>
    <w:p w14:paraId="7A9CBFA0" w14:textId="77777777" w:rsidR="00DF5A71" w:rsidRPr="004D7F49" w:rsidRDefault="00DF5A71" w:rsidP="00DF5A71">
      <w:pPr>
        <w:rPr>
          <w:rFonts w:ascii="Arial" w:eastAsia="Calibri" w:hAnsi="Arial" w:cs="Arial"/>
          <w:noProof/>
          <w:lang w:val="en-GB"/>
        </w:rPr>
      </w:pPr>
    </w:p>
    <w:p w14:paraId="6A706485" w14:textId="77777777" w:rsidR="00DF5A71" w:rsidRPr="004D7F49" w:rsidRDefault="00DF5A71" w:rsidP="00DF5A71">
      <w:pPr>
        <w:rPr>
          <w:rFonts w:ascii="Arial" w:eastAsia="Calibri" w:hAnsi="Arial" w:cs="Arial"/>
          <w:noProof/>
          <w:lang w:val="en-GB"/>
        </w:rPr>
      </w:pPr>
    </w:p>
    <w:p w14:paraId="74CD24D8" w14:textId="77777777" w:rsidR="00DF5A71" w:rsidRPr="004D7F49" w:rsidRDefault="00DF5A71" w:rsidP="00DF5A71">
      <w:pPr>
        <w:rPr>
          <w:rFonts w:ascii="Arial" w:eastAsia="Calibri" w:hAnsi="Arial" w:cs="Arial"/>
          <w:noProof/>
          <w:lang w:val="en-GB"/>
        </w:rPr>
      </w:pPr>
    </w:p>
    <w:p w14:paraId="7D0B6D33" w14:textId="77777777" w:rsidR="00DF5A71" w:rsidRPr="004D7F49" w:rsidRDefault="00DF5A71" w:rsidP="00DF5A71">
      <w:pPr>
        <w:rPr>
          <w:rFonts w:ascii="Arial" w:eastAsia="Calibri" w:hAnsi="Arial" w:cs="Arial"/>
          <w:noProof/>
          <w:lang w:val="en-GB"/>
        </w:rPr>
      </w:pPr>
    </w:p>
    <w:p w14:paraId="3A692BBF" w14:textId="77777777" w:rsidR="00DF5A71" w:rsidRPr="004D7F49" w:rsidRDefault="00DF5A71" w:rsidP="00DF5A71">
      <w:pPr>
        <w:rPr>
          <w:rFonts w:ascii="Arial" w:eastAsia="Calibri" w:hAnsi="Arial" w:cs="Arial"/>
          <w:noProof/>
          <w:lang w:val="en-GB"/>
        </w:rPr>
      </w:pPr>
    </w:p>
    <w:p w14:paraId="6FC01FB7" w14:textId="77777777" w:rsidR="00DF5A71" w:rsidRPr="004D7F49" w:rsidRDefault="00DF5A71" w:rsidP="00DF5A71">
      <w:pPr>
        <w:rPr>
          <w:rFonts w:ascii="Arial" w:eastAsia="Calibri" w:hAnsi="Arial" w:cs="Arial"/>
          <w:noProof/>
          <w:lang w:val="en-GB"/>
        </w:rPr>
      </w:pPr>
    </w:p>
    <w:p w14:paraId="388DADCF" w14:textId="77777777" w:rsidR="00DF5A71" w:rsidRPr="004D7F49" w:rsidRDefault="00DF5A71" w:rsidP="00DF5A71">
      <w:pPr>
        <w:jc w:val="both"/>
        <w:rPr>
          <w:rFonts w:ascii="Arial" w:eastAsia="Calibri" w:hAnsi="Arial" w:cs="Arial"/>
          <w:b/>
          <w:lang w:val="en-GB"/>
        </w:rPr>
      </w:pPr>
    </w:p>
    <w:p w14:paraId="2E51C1A1" w14:textId="77777777" w:rsidR="00DF5A71" w:rsidRPr="004D7F49" w:rsidRDefault="00DF5A71" w:rsidP="00DF5A71">
      <w:pPr>
        <w:jc w:val="both"/>
        <w:rPr>
          <w:rFonts w:ascii="Arial" w:eastAsia="Calibri" w:hAnsi="Arial" w:cs="Arial"/>
          <w:lang w:val="en-GB"/>
        </w:rPr>
      </w:pPr>
    </w:p>
    <w:p w14:paraId="117E18C1" w14:textId="77777777" w:rsidR="00DF5A71" w:rsidRPr="004D7F49" w:rsidRDefault="00DF5A71" w:rsidP="00DF5A71">
      <w:pPr>
        <w:jc w:val="both"/>
        <w:rPr>
          <w:rFonts w:ascii="Arial" w:eastAsia="Calibri" w:hAnsi="Arial" w:cs="Arial"/>
          <w:lang w:val="en-GB"/>
        </w:rPr>
      </w:pPr>
    </w:p>
    <w:p w14:paraId="2D8860BB" w14:textId="77777777" w:rsidR="00DF5A71" w:rsidRPr="004D7F49" w:rsidRDefault="00DF5A71" w:rsidP="00DF5A71">
      <w:pPr>
        <w:jc w:val="both"/>
        <w:rPr>
          <w:rFonts w:ascii="Arial" w:eastAsia="Calibri" w:hAnsi="Arial" w:cs="Arial"/>
          <w:lang w:val="en-GB"/>
        </w:rPr>
      </w:pPr>
    </w:p>
    <w:p w14:paraId="63F3BDBF" w14:textId="77777777" w:rsidR="00DF5A71" w:rsidRPr="004D7F49" w:rsidRDefault="00DF5A71" w:rsidP="00DF5A71">
      <w:pPr>
        <w:jc w:val="both"/>
        <w:rPr>
          <w:rFonts w:ascii="Arial" w:eastAsia="Calibri" w:hAnsi="Arial" w:cs="Arial"/>
          <w:lang w:val="en-GB"/>
        </w:rPr>
      </w:pPr>
    </w:p>
    <w:p w14:paraId="381FF584" w14:textId="35D09128" w:rsidR="0042007E" w:rsidRPr="004D7F49" w:rsidRDefault="0042007E" w:rsidP="001B466D">
      <w:pPr>
        <w:pStyle w:val="Footnote"/>
        <w:rPr>
          <w:rFonts w:eastAsia="Calibri"/>
          <w:lang w:val="en-GB"/>
        </w:rPr>
      </w:pPr>
      <w:r w:rsidRPr="004D7F49">
        <w:rPr>
          <w:rFonts w:eastAsia="Calibri"/>
          <w:lang w:val="en-GB"/>
        </w:rPr>
        <w:t xml:space="preserve">Note: QQE = </w:t>
      </w:r>
      <w:r w:rsidR="00212129" w:rsidRPr="004D7F49">
        <w:rPr>
          <w:rFonts w:eastAsia="Calibri"/>
          <w:lang w:val="en-GB"/>
        </w:rPr>
        <w:t xml:space="preserve">quantitative and </w:t>
      </w:r>
      <w:r w:rsidRPr="004D7F49">
        <w:rPr>
          <w:rFonts w:eastAsia="Calibri"/>
          <w:lang w:val="en-GB"/>
        </w:rPr>
        <w:t>qualitative monetary easing</w:t>
      </w:r>
    </w:p>
    <w:p w14:paraId="18C34419" w14:textId="6FCC08A3" w:rsidR="00DF5A71" w:rsidRPr="004D7F49" w:rsidRDefault="00DF5A71" w:rsidP="001B466D">
      <w:pPr>
        <w:pStyle w:val="Footnote"/>
        <w:rPr>
          <w:rFonts w:eastAsia="Calibri"/>
          <w:lang w:val="en-GB"/>
        </w:rPr>
      </w:pPr>
      <w:r w:rsidRPr="004D7F49">
        <w:rPr>
          <w:rFonts w:eastAsia="Calibri"/>
          <w:lang w:val="en-GB"/>
        </w:rPr>
        <w:t xml:space="preserve">Source: Adapted by </w:t>
      </w:r>
      <w:r w:rsidR="00212129" w:rsidRPr="004D7F49">
        <w:rPr>
          <w:rFonts w:eastAsia="Calibri"/>
          <w:lang w:val="en-GB"/>
        </w:rPr>
        <w:t xml:space="preserve">the </w:t>
      </w:r>
      <w:r w:rsidRPr="004D7F49">
        <w:rPr>
          <w:rFonts w:eastAsia="Calibri"/>
          <w:lang w:val="en-GB"/>
        </w:rPr>
        <w:t xml:space="preserve">case author from “Comprehensive Assessment: Developments in Economic Activity and Prices as well as Policy Effects since the Introduction of Quantitative and Qualitative Monetary Easing (QQE),” </w:t>
      </w:r>
      <w:r w:rsidR="00212129" w:rsidRPr="004D7F49">
        <w:rPr>
          <w:rFonts w:eastAsia="Calibri"/>
          <w:lang w:val="en-GB"/>
        </w:rPr>
        <w:t xml:space="preserve">Bank of Japan, </w:t>
      </w:r>
      <w:r w:rsidRPr="004D7F49">
        <w:rPr>
          <w:rFonts w:eastAsia="Calibri"/>
          <w:lang w:val="en-GB"/>
        </w:rPr>
        <w:t xml:space="preserve">September 21, 2016, accessed April 21, 2018, </w:t>
      </w:r>
      <w:hyperlink r:id="rId23" w:history="1">
        <w:r w:rsidRPr="004D7F49">
          <w:rPr>
            <w:rFonts w:eastAsia="Calibri"/>
            <w:lang w:val="en-GB"/>
          </w:rPr>
          <w:t>https://www.boj.or.jp/en/announcements/release_2016/k160921b.pdf</w:t>
        </w:r>
      </w:hyperlink>
      <w:r w:rsidR="00212129" w:rsidRPr="004D7F49">
        <w:rPr>
          <w:rFonts w:eastAsia="Calibri"/>
          <w:lang w:val="en-GB"/>
        </w:rPr>
        <w:t>.</w:t>
      </w:r>
    </w:p>
    <w:p w14:paraId="1618224A" w14:textId="77777777" w:rsidR="00DF5A71" w:rsidRPr="004D7F49" w:rsidRDefault="00DF5A71" w:rsidP="001B466D">
      <w:pPr>
        <w:pStyle w:val="ExhibitText"/>
        <w:rPr>
          <w:rFonts w:eastAsia="Calibri"/>
          <w:lang w:val="en-GB"/>
        </w:rPr>
      </w:pPr>
    </w:p>
    <w:p w14:paraId="36E834FE" w14:textId="77777777" w:rsidR="001B466D" w:rsidRPr="004D7F49" w:rsidRDefault="001B466D">
      <w:pPr>
        <w:spacing w:after="200" w:line="276" w:lineRule="auto"/>
        <w:rPr>
          <w:rFonts w:ascii="Arial" w:eastAsia="Calibri" w:hAnsi="Arial" w:cs="Arial"/>
          <w:lang w:val="en-GB"/>
        </w:rPr>
      </w:pPr>
      <w:r w:rsidRPr="004D7F49">
        <w:rPr>
          <w:rFonts w:eastAsia="Calibri"/>
          <w:lang w:val="en-GB"/>
        </w:rPr>
        <w:br w:type="page"/>
      </w:r>
    </w:p>
    <w:p w14:paraId="0545D263" w14:textId="77777777" w:rsidR="00DF5A71" w:rsidRPr="004D7F49" w:rsidRDefault="00DF5A71" w:rsidP="00263C98">
      <w:pPr>
        <w:pStyle w:val="ExhibitHeading"/>
        <w:outlineLvl w:val="0"/>
        <w:rPr>
          <w:rFonts w:eastAsia="Calibri"/>
          <w:lang w:val="en-GB"/>
        </w:rPr>
      </w:pPr>
      <w:r w:rsidRPr="004D7F49">
        <w:rPr>
          <w:rFonts w:eastAsia="Calibri"/>
          <w:lang w:val="en-GB"/>
        </w:rPr>
        <w:lastRenderedPageBreak/>
        <w:t>EXHIBIT 6: QQE WITH NEGATIVE INTEREST RATE: THREE DIMENSIONS</w:t>
      </w:r>
    </w:p>
    <w:p w14:paraId="62A4D8D5" w14:textId="77777777" w:rsidR="00DF5A71" w:rsidRPr="004D7F49" w:rsidRDefault="00DF5A71" w:rsidP="00DF5A71">
      <w:pPr>
        <w:rPr>
          <w:rFonts w:ascii="Arial" w:eastAsia="Calibri" w:hAnsi="Arial" w:cs="Arial"/>
          <w:b/>
          <w:lang w:val="en-GB"/>
        </w:rPr>
      </w:pPr>
    </w:p>
    <w:p w14:paraId="691F5E69" w14:textId="77777777" w:rsidR="00DF5A71" w:rsidRPr="004D7F49" w:rsidRDefault="00DF5A71" w:rsidP="00921BD7">
      <w:pPr>
        <w:jc w:val="center"/>
        <w:rPr>
          <w:rFonts w:ascii="Arial" w:eastAsia="Calibri" w:hAnsi="Arial" w:cs="Arial"/>
          <w:b/>
          <w:lang w:val="en-GB"/>
        </w:rPr>
      </w:pPr>
      <w:r w:rsidRPr="004D7F49">
        <w:rPr>
          <w:rFonts w:ascii="Arial" w:eastAsia="Calibri" w:hAnsi="Arial" w:cs="Arial"/>
          <w:b/>
          <w:noProof/>
        </w:rPr>
        <w:drawing>
          <wp:inline distT="0" distB="0" distL="0" distR="0" wp14:anchorId="13D1EC79" wp14:editId="5F025D73">
            <wp:extent cx="5786323" cy="1913890"/>
            <wp:effectExtent l="19050" t="0" r="24130" b="10160"/>
            <wp:docPr id="70" name="Diagram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375C5B9" w14:textId="77777777" w:rsidR="001B466D" w:rsidRPr="004D7F49" w:rsidRDefault="001B466D" w:rsidP="00DF5A71">
      <w:pPr>
        <w:rPr>
          <w:rFonts w:ascii="Arial" w:eastAsia="Calibri" w:hAnsi="Arial" w:cs="Arial"/>
          <w:b/>
          <w:lang w:val="en-GB"/>
        </w:rPr>
      </w:pPr>
    </w:p>
    <w:p w14:paraId="082F3369" w14:textId="7D63F8A5" w:rsidR="00DF5A71" w:rsidRPr="004D7F49" w:rsidRDefault="00DF5A71" w:rsidP="001B466D">
      <w:pPr>
        <w:pStyle w:val="Footnote"/>
        <w:rPr>
          <w:lang w:val="en-GB"/>
        </w:rPr>
      </w:pPr>
      <w:r w:rsidRPr="004D7F49">
        <w:rPr>
          <w:lang w:val="en-GB"/>
        </w:rPr>
        <w:t xml:space="preserve">Note: </w:t>
      </w:r>
      <w:r w:rsidR="00212129" w:rsidRPr="004D7F49">
        <w:rPr>
          <w:lang w:val="en-GB"/>
        </w:rPr>
        <w:t>QQE = quantitative and qualitative monetary easing</w:t>
      </w:r>
      <w:r w:rsidR="00A13E7E" w:rsidRPr="004D7F49">
        <w:rPr>
          <w:lang w:val="en-GB"/>
        </w:rPr>
        <w:t>;</w:t>
      </w:r>
      <w:r w:rsidR="00212129" w:rsidRPr="004D7F49">
        <w:rPr>
          <w:lang w:val="en-GB"/>
        </w:rPr>
        <w:t xml:space="preserve"> </w:t>
      </w:r>
      <w:r w:rsidR="00A13E7E" w:rsidRPr="004D7F49">
        <w:rPr>
          <w:rStyle w:val="FootnoteChar"/>
          <w:rFonts w:eastAsia="Calibri"/>
          <w:lang w:val="en-GB"/>
        </w:rPr>
        <w:t xml:space="preserve">¥ = JPY = Japanese yen; US$1 = ¥109.18 on January 31, 2018; JGBs = Japanese government bonds; ETFs = exchange-traded funds; J-REITs = Japanese real estate investment trusts. </w:t>
      </w:r>
      <w:r w:rsidR="00A13E7E" w:rsidRPr="004D7F49">
        <w:rPr>
          <w:lang w:val="en-GB"/>
        </w:rPr>
        <w:t>R</w:t>
      </w:r>
      <w:r w:rsidRPr="004D7F49">
        <w:rPr>
          <w:lang w:val="en-GB"/>
        </w:rPr>
        <w:t xml:space="preserve">equired reserves constituted the </w:t>
      </w:r>
      <w:r w:rsidR="00212129" w:rsidRPr="004D7F49">
        <w:rPr>
          <w:lang w:val="en-GB"/>
        </w:rPr>
        <w:t>m</w:t>
      </w:r>
      <w:r w:rsidRPr="004D7F49">
        <w:rPr>
          <w:lang w:val="en-GB"/>
        </w:rPr>
        <w:t xml:space="preserve">acro </w:t>
      </w:r>
      <w:r w:rsidR="00212129" w:rsidRPr="004D7F49">
        <w:rPr>
          <w:lang w:val="en-GB"/>
        </w:rPr>
        <w:t>a</w:t>
      </w:r>
      <w:r w:rsidRPr="004D7F49">
        <w:rPr>
          <w:lang w:val="en-GB"/>
        </w:rPr>
        <w:t xml:space="preserve">dd-on </w:t>
      </w:r>
      <w:r w:rsidR="00212129" w:rsidRPr="004D7F49">
        <w:rPr>
          <w:lang w:val="en-GB"/>
        </w:rPr>
        <w:t>b</w:t>
      </w:r>
      <w:r w:rsidRPr="004D7F49">
        <w:rPr>
          <w:lang w:val="en-GB"/>
        </w:rPr>
        <w:t xml:space="preserve">alances. Current account balances </w:t>
      </w:r>
      <w:r w:rsidR="0032138F">
        <w:rPr>
          <w:lang w:val="en-GB"/>
        </w:rPr>
        <w:t>that</w:t>
      </w:r>
      <w:r w:rsidR="0032138F" w:rsidRPr="004D7F49">
        <w:rPr>
          <w:lang w:val="en-GB"/>
        </w:rPr>
        <w:t xml:space="preserve"> </w:t>
      </w:r>
      <w:r w:rsidRPr="004D7F49">
        <w:rPr>
          <w:lang w:val="en-GB"/>
        </w:rPr>
        <w:t xml:space="preserve">financial institutions held during benchmark reserve maintenance periods from January 2015 to December 2015 corresponded to the existing balance and were regarded as </w:t>
      </w:r>
      <w:r w:rsidR="00212129" w:rsidRPr="004D7F49">
        <w:rPr>
          <w:lang w:val="en-GB"/>
        </w:rPr>
        <w:t>b</w:t>
      </w:r>
      <w:r w:rsidRPr="004D7F49">
        <w:rPr>
          <w:lang w:val="en-GB"/>
        </w:rPr>
        <w:t xml:space="preserve">asic </w:t>
      </w:r>
      <w:r w:rsidR="00212129" w:rsidRPr="004D7F49">
        <w:rPr>
          <w:lang w:val="en-GB"/>
        </w:rPr>
        <w:t>b</w:t>
      </w:r>
      <w:r w:rsidRPr="004D7F49">
        <w:rPr>
          <w:lang w:val="en-GB"/>
        </w:rPr>
        <w:t xml:space="preserve">alances. Reserves in excess of macro add-on and basic balances constituted the </w:t>
      </w:r>
      <w:r w:rsidR="0032138F">
        <w:rPr>
          <w:lang w:val="en-GB"/>
        </w:rPr>
        <w:t>policy-rate</w:t>
      </w:r>
      <w:r w:rsidRPr="004D7F49">
        <w:rPr>
          <w:lang w:val="en-GB"/>
        </w:rPr>
        <w:t xml:space="preserve"> </w:t>
      </w:r>
      <w:r w:rsidR="00212129" w:rsidRPr="004D7F49">
        <w:rPr>
          <w:lang w:val="en-GB"/>
        </w:rPr>
        <w:t>b</w:t>
      </w:r>
      <w:r w:rsidRPr="004D7F49">
        <w:rPr>
          <w:lang w:val="en-GB"/>
        </w:rPr>
        <w:t xml:space="preserve">alances. </w:t>
      </w:r>
    </w:p>
    <w:p w14:paraId="15D3F786" w14:textId="03A46A50" w:rsidR="00DF5A71" w:rsidRPr="004D7F49" w:rsidRDefault="00DF5A71" w:rsidP="001B466D">
      <w:pPr>
        <w:pStyle w:val="Footnote"/>
        <w:rPr>
          <w:lang w:val="en-GB"/>
        </w:rPr>
      </w:pPr>
      <w:r w:rsidRPr="004D7F49">
        <w:rPr>
          <w:lang w:val="en-GB"/>
        </w:rPr>
        <w:t xml:space="preserve">Source: Created by the </w:t>
      </w:r>
      <w:r w:rsidR="0060402D" w:rsidRPr="004D7F49">
        <w:rPr>
          <w:lang w:val="en-GB"/>
        </w:rPr>
        <w:t xml:space="preserve">case </w:t>
      </w:r>
      <w:r w:rsidR="00212129" w:rsidRPr="004D7F49">
        <w:rPr>
          <w:lang w:val="en-GB"/>
        </w:rPr>
        <w:t>a</w:t>
      </w:r>
      <w:r w:rsidRPr="004D7F49">
        <w:rPr>
          <w:lang w:val="en-GB"/>
        </w:rPr>
        <w:t xml:space="preserve">uthor based on “Introduction of </w:t>
      </w:r>
      <w:r w:rsidR="00212129" w:rsidRPr="004D7F49">
        <w:rPr>
          <w:lang w:val="en-GB"/>
        </w:rPr>
        <w:t>‘</w:t>
      </w:r>
      <w:r w:rsidRPr="004D7F49">
        <w:rPr>
          <w:lang w:val="en-GB"/>
        </w:rPr>
        <w:t xml:space="preserve">Quantitative and Qualitative Monetary </w:t>
      </w:r>
      <w:r w:rsidR="004772A6" w:rsidRPr="004D7F49">
        <w:rPr>
          <w:lang w:val="en-GB"/>
        </w:rPr>
        <w:t>Easing with a Negative Interest </w:t>
      </w:r>
      <w:r w:rsidRPr="004D7F49">
        <w:rPr>
          <w:lang w:val="en-GB"/>
        </w:rPr>
        <w:t>Rate</w:t>
      </w:r>
      <w:r w:rsidR="00212129" w:rsidRPr="004D7F49">
        <w:rPr>
          <w:lang w:val="en-GB"/>
        </w:rPr>
        <w:t>,’”</w:t>
      </w:r>
      <w:r w:rsidR="004772A6" w:rsidRPr="004D7F49">
        <w:rPr>
          <w:lang w:val="en-GB"/>
        </w:rPr>
        <w:t> Bank of </w:t>
      </w:r>
      <w:r w:rsidR="00212129" w:rsidRPr="004D7F49">
        <w:rPr>
          <w:lang w:val="en-GB"/>
        </w:rPr>
        <w:t>Japan,</w:t>
      </w:r>
      <w:r w:rsidR="004772A6" w:rsidRPr="004D7F49">
        <w:rPr>
          <w:lang w:val="en-GB"/>
        </w:rPr>
        <w:t> January 29, 2016, accessed April 22, </w:t>
      </w:r>
      <w:r w:rsidRPr="004D7F49">
        <w:rPr>
          <w:lang w:val="en-GB"/>
        </w:rPr>
        <w:t>2018,</w:t>
      </w:r>
      <w:r w:rsidR="004772A6" w:rsidRPr="004D7F49">
        <w:rPr>
          <w:lang w:val="en-GB"/>
        </w:rPr>
        <w:t> </w:t>
      </w:r>
      <w:hyperlink r:id="rId29" w:history="1">
        <w:r w:rsidRPr="004D7F49">
          <w:rPr>
            <w:lang w:val="en-GB"/>
          </w:rPr>
          <w:t>https://www.boj.or.jp/en/announcements/release_2016/k160129a.pdf</w:t>
        </w:r>
      </w:hyperlink>
      <w:r w:rsidRPr="004D7F49">
        <w:rPr>
          <w:lang w:val="en-GB"/>
        </w:rPr>
        <w:t>.</w:t>
      </w:r>
    </w:p>
    <w:p w14:paraId="7FCB81E1" w14:textId="77777777" w:rsidR="00DF5A71" w:rsidRPr="004D7F49" w:rsidRDefault="00DF5A71" w:rsidP="00FA2BD1">
      <w:pPr>
        <w:pStyle w:val="Footnote"/>
        <w:rPr>
          <w:rFonts w:eastAsia="Calibri"/>
          <w:lang w:val="en-GB"/>
        </w:rPr>
      </w:pPr>
    </w:p>
    <w:p w14:paraId="3D428967" w14:textId="77777777" w:rsidR="001B466D" w:rsidRPr="004D7F49" w:rsidRDefault="001B466D" w:rsidP="00FA2BD1">
      <w:pPr>
        <w:pStyle w:val="Footnote"/>
        <w:rPr>
          <w:rFonts w:eastAsia="Calibri"/>
          <w:lang w:val="en-GB"/>
        </w:rPr>
      </w:pPr>
    </w:p>
    <w:p w14:paraId="3C9E0737" w14:textId="7F46BF1C" w:rsidR="00DF5A71" w:rsidRPr="004D7F49" w:rsidRDefault="00DF5A71" w:rsidP="00263C98">
      <w:pPr>
        <w:pStyle w:val="ExhibitHeading"/>
        <w:outlineLvl w:val="0"/>
        <w:rPr>
          <w:rFonts w:eastAsia="Calibri"/>
          <w:lang w:val="en-GB"/>
        </w:rPr>
      </w:pPr>
      <w:r w:rsidRPr="004D7F49">
        <w:rPr>
          <w:rFonts w:eastAsia="Calibri"/>
          <w:lang w:val="en-GB"/>
        </w:rPr>
        <w:t>EXHIBIT 7: JAPANESE MONETARY BA</w:t>
      </w:r>
      <w:r w:rsidR="00261598" w:rsidRPr="004D7F49">
        <w:rPr>
          <w:rFonts w:eastAsia="Calibri"/>
          <w:lang w:val="en-GB"/>
        </w:rPr>
        <w:t>SE AND MONEY SUPPLY (M2)</w:t>
      </w:r>
      <w:r w:rsidR="0060402D" w:rsidRPr="004D7F49">
        <w:rPr>
          <w:rFonts w:eastAsia="Calibri"/>
          <w:lang w:val="en-GB"/>
        </w:rPr>
        <w:t>,</w:t>
      </w:r>
      <w:r w:rsidR="00261598" w:rsidRPr="004D7F49">
        <w:rPr>
          <w:rFonts w:eastAsia="Calibri"/>
          <w:lang w:val="en-GB"/>
        </w:rPr>
        <w:t xml:space="preserve"> 2012–</w:t>
      </w:r>
      <w:r w:rsidR="0053501D">
        <w:rPr>
          <w:rFonts w:eastAsia="Calibri"/>
          <w:lang w:val="en-GB"/>
        </w:rPr>
        <w:t>2017</w:t>
      </w:r>
    </w:p>
    <w:p w14:paraId="158797CF" w14:textId="77777777" w:rsidR="001B466D" w:rsidRPr="004D7F49" w:rsidRDefault="001B466D" w:rsidP="001B466D">
      <w:pPr>
        <w:pStyle w:val="ExhibitText"/>
        <w:rPr>
          <w:rFonts w:eastAsia="Calibri"/>
          <w:lang w:val="en-GB"/>
        </w:rPr>
      </w:pPr>
    </w:p>
    <w:p w14:paraId="0DD796FA" w14:textId="77777777" w:rsidR="00DF5A71" w:rsidRPr="004D7F49" w:rsidRDefault="00DF5A71" w:rsidP="001B466D">
      <w:pPr>
        <w:jc w:val="center"/>
        <w:rPr>
          <w:rFonts w:ascii="Arial" w:eastAsia="Calibri" w:hAnsi="Arial" w:cs="Arial"/>
          <w:lang w:val="en-GB"/>
        </w:rPr>
      </w:pPr>
      <w:r w:rsidRPr="004D7F49">
        <w:rPr>
          <w:rFonts w:ascii="Calibri" w:eastAsia="Calibri" w:hAnsi="Calibri"/>
          <w:noProof/>
          <w:sz w:val="24"/>
          <w:szCs w:val="24"/>
        </w:rPr>
        <w:drawing>
          <wp:inline distT="0" distB="0" distL="0" distR="0" wp14:anchorId="28227F51" wp14:editId="4E7B10AE">
            <wp:extent cx="4572000" cy="2743200"/>
            <wp:effectExtent l="0" t="0" r="12700" b="1270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2C79FD5" w14:textId="77777777" w:rsidR="001B466D" w:rsidRPr="004D7F49" w:rsidRDefault="001B466D" w:rsidP="00DF5A71">
      <w:pPr>
        <w:rPr>
          <w:rFonts w:ascii="Arial" w:eastAsia="Calibri" w:hAnsi="Arial" w:cs="Arial"/>
          <w:sz w:val="18"/>
          <w:szCs w:val="18"/>
          <w:lang w:val="en-GB"/>
        </w:rPr>
      </w:pPr>
    </w:p>
    <w:p w14:paraId="5F4B6BE5" w14:textId="7F31C925" w:rsidR="00DF5A71" w:rsidRPr="004D7F49" w:rsidRDefault="00DF5A71" w:rsidP="001B466D">
      <w:pPr>
        <w:pStyle w:val="Footnote"/>
        <w:rPr>
          <w:lang w:val="en-GB"/>
        </w:rPr>
      </w:pPr>
      <w:r w:rsidRPr="004D7F49">
        <w:rPr>
          <w:lang w:val="en-GB"/>
        </w:rPr>
        <w:t xml:space="preserve">Source: Created by </w:t>
      </w:r>
      <w:r w:rsidR="0060402D" w:rsidRPr="004D7F49">
        <w:rPr>
          <w:lang w:val="en-GB"/>
        </w:rPr>
        <w:t xml:space="preserve">the </w:t>
      </w:r>
      <w:r w:rsidRPr="004D7F49">
        <w:rPr>
          <w:lang w:val="en-GB"/>
        </w:rPr>
        <w:t xml:space="preserve">case author based on “Introduction of </w:t>
      </w:r>
      <w:r w:rsidR="0060402D" w:rsidRPr="004D7F49">
        <w:rPr>
          <w:lang w:val="en-GB"/>
        </w:rPr>
        <w:t>‘</w:t>
      </w:r>
      <w:r w:rsidRPr="004D7F49">
        <w:rPr>
          <w:lang w:val="en-GB"/>
        </w:rPr>
        <w:t xml:space="preserve">Quantitative and Qualitative Monetary </w:t>
      </w:r>
      <w:r w:rsidR="00E7719C">
        <w:rPr>
          <w:lang w:val="en-GB"/>
        </w:rPr>
        <w:t>Easing with a Negative Interest </w:t>
      </w:r>
      <w:r w:rsidRPr="004D7F49">
        <w:rPr>
          <w:lang w:val="en-GB"/>
        </w:rPr>
        <w:t>Rate</w:t>
      </w:r>
      <w:r w:rsidR="00E7719C">
        <w:rPr>
          <w:lang w:val="en-GB"/>
        </w:rPr>
        <w:t>,’” Bank of </w:t>
      </w:r>
      <w:r w:rsidR="0060402D" w:rsidRPr="004D7F49">
        <w:rPr>
          <w:lang w:val="en-GB"/>
        </w:rPr>
        <w:t>Japan,</w:t>
      </w:r>
      <w:r w:rsidR="00E7719C">
        <w:rPr>
          <w:lang w:val="en-GB"/>
        </w:rPr>
        <w:t> January 29, 2016, accessed April 22, </w:t>
      </w:r>
      <w:r w:rsidRPr="004D7F49">
        <w:rPr>
          <w:lang w:val="en-GB"/>
        </w:rPr>
        <w:t>2018,</w:t>
      </w:r>
      <w:r w:rsidR="00E7719C">
        <w:rPr>
          <w:lang w:val="en-GB"/>
        </w:rPr>
        <w:t> </w:t>
      </w:r>
      <w:hyperlink r:id="rId31" w:history="1">
        <w:r w:rsidRPr="004D7F49">
          <w:rPr>
            <w:lang w:val="en-GB"/>
          </w:rPr>
          <w:t>https://www.boj.or.jp/en/announcements/release_2016/k160129a.pdf</w:t>
        </w:r>
      </w:hyperlink>
      <w:r w:rsidRPr="004D7F49">
        <w:rPr>
          <w:lang w:val="en-GB"/>
        </w:rPr>
        <w:t>.</w:t>
      </w:r>
    </w:p>
    <w:p w14:paraId="6B770EE6" w14:textId="77777777" w:rsidR="00DF5A71" w:rsidRPr="004D7F49" w:rsidRDefault="00DF5A71">
      <w:pPr>
        <w:spacing w:after="200" w:line="276" w:lineRule="auto"/>
        <w:rPr>
          <w:sz w:val="22"/>
          <w:szCs w:val="22"/>
          <w:lang w:val="en-GB"/>
        </w:rPr>
      </w:pPr>
      <w:r w:rsidRPr="004D7F49">
        <w:rPr>
          <w:lang w:val="en-GB"/>
        </w:rPr>
        <w:br w:type="page"/>
      </w:r>
    </w:p>
    <w:p w14:paraId="51837E2C" w14:textId="77777777" w:rsidR="00465348" w:rsidRPr="004D7F49" w:rsidRDefault="00DF5A71" w:rsidP="00263C98">
      <w:pPr>
        <w:pStyle w:val="ExhibitHeading"/>
        <w:jc w:val="left"/>
        <w:outlineLvl w:val="0"/>
        <w:rPr>
          <w:lang w:val="en-GB"/>
        </w:rPr>
      </w:pPr>
      <w:r w:rsidRPr="004D7F49">
        <w:rPr>
          <w:lang w:val="en-GB"/>
        </w:rPr>
        <w:lastRenderedPageBreak/>
        <w:t>ENDNOTES</w:t>
      </w:r>
    </w:p>
    <w:sectPr w:rsidR="00465348" w:rsidRPr="004D7F49" w:rsidSect="001B466D">
      <w:headerReference w:type="default" r:id="rId32"/>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D0EE2" w16cid:durableId="1F524D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078B2" w14:textId="77777777" w:rsidR="00C96A5A" w:rsidRDefault="00C96A5A" w:rsidP="00D75295">
      <w:r>
        <w:separator/>
      </w:r>
    </w:p>
  </w:endnote>
  <w:endnote w:type="continuationSeparator" w:id="0">
    <w:p w14:paraId="7048B057" w14:textId="77777777" w:rsidR="00C96A5A" w:rsidRDefault="00C96A5A" w:rsidP="00D75295">
      <w:r>
        <w:continuationSeparator/>
      </w:r>
    </w:p>
  </w:endnote>
  <w:endnote w:id="1">
    <w:p w14:paraId="5053214F" w14:textId="3FB8C895" w:rsidR="00A27D8A" w:rsidRPr="00316BE7" w:rsidRDefault="00A27D8A" w:rsidP="00FA2BD1">
      <w:pPr>
        <w:pStyle w:val="Footnote"/>
        <w:rPr>
          <w:lang w:val="en-GB"/>
        </w:rPr>
      </w:pPr>
      <w:r w:rsidRPr="00316BE7">
        <w:rPr>
          <w:rStyle w:val="EndnoteReference"/>
          <w:lang w:val="en-GB"/>
        </w:rPr>
        <w:endnoteRef/>
      </w:r>
      <w:r w:rsidRPr="00316BE7">
        <w:rPr>
          <w:lang w:val="en-GB"/>
        </w:rPr>
        <w:t xml:space="preserve"> This case has been written on the basis of published sources only. Consequently, the interpretation and perspectives presented in this case are not necessarily those of the Bank of Japan or any of its employees.</w:t>
      </w:r>
    </w:p>
  </w:endnote>
  <w:endnote w:id="2">
    <w:p w14:paraId="1C1339CF" w14:textId="48EE7107" w:rsidR="00773C51" w:rsidRPr="00316BE7" w:rsidRDefault="00773C51" w:rsidP="00773C51">
      <w:pPr>
        <w:pStyle w:val="EndnoteText"/>
        <w:jc w:val="both"/>
        <w:rPr>
          <w:rFonts w:ascii="Arial" w:hAnsi="Arial" w:cs="Arial"/>
          <w:sz w:val="17"/>
          <w:szCs w:val="17"/>
          <w:lang w:val="en-GB"/>
        </w:rPr>
      </w:pPr>
      <w:r w:rsidRPr="00586C3F">
        <w:rPr>
          <w:rStyle w:val="FootnoteChar"/>
          <w:rFonts w:eastAsia="Calibri"/>
          <w:vertAlign w:val="superscript"/>
          <w:lang w:val="en-GB"/>
        </w:rPr>
        <w:endnoteRef/>
      </w:r>
      <w:r w:rsidRPr="00316BE7">
        <w:rPr>
          <w:lang w:val="en-GB"/>
        </w:rPr>
        <w:t xml:space="preserve"> </w:t>
      </w:r>
      <w:r w:rsidRPr="00316BE7">
        <w:rPr>
          <w:rFonts w:ascii="Arial" w:hAnsi="Arial" w:cs="Arial"/>
          <w:spacing w:val="-2"/>
          <w:sz w:val="17"/>
          <w:szCs w:val="17"/>
          <w:lang w:val="en-GB"/>
        </w:rPr>
        <w:t xml:space="preserve">Takatoshi Ito, “Moment of Truth for the Bank of Japan,” </w:t>
      </w:r>
      <w:r w:rsidRPr="00316BE7">
        <w:rPr>
          <w:rFonts w:ascii="Arial" w:hAnsi="Arial" w:cs="Arial"/>
          <w:i/>
          <w:spacing w:val="-2"/>
          <w:sz w:val="17"/>
          <w:szCs w:val="17"/>
          <w:lang w:val="en-GB"/>
        </w:rPr>
        <w:t>Japan Times</w:t>
      </w:r>
      <w:r w:rsidRPr="00316BE7">
        <w:rPr>
          <w:rFonts w:ascii="Arial" w:hAnsi="Arial" w:cs="Arial"/>
          <w:spacing w:val="-2"/>
          <w:sz w:val="17"/>
          <w:szCs w:val="17"/>
          <w:lang w:val="en-GB"/>
        </w:rPr>
        <w:t>, January 26, 2018, a</w:t>
      </w:r>
      <w:r w:rsidR="00E7719C">
        <w:rPr>
          <w:rFonts w:ascii="Arial" w:hAnsi="Arial" w:cs="Arial"/>
          <w:spacing w:val="-2"/>
          <w:sz w:val="17"/>
          <w:szCs w:val="17"/>
          <w:lang w:val="en-GB"/>
        </w:rPr>
        <w:t xml:space="preserve">ccessed April 23, 2018, </w:t>
      </w:r>
      <w:r w:rsidRPr="00316BE7">
        <w:rPr>
          <w:rFonts w:ascii="Arial" w:hAnsi="Arial" w:cs="Arial"/>
          <w:spacing w:val="-2"/>
          <w:sz w:val="17"/>
          <w:szCs w:val="17"/>
          <w:lang w:val="en-GB"/>
        </w:rPr>
        <w:t>www.japantimes.co.jp/opinion/2018/01/26/commentary/japan-commentary/moment-truth-bank-japan/#.Wt9n37aB0_V.</w:t>
      </w:r>
    </w:p>
  </w:endnote>
  <w:endnote w:id="3">
    <w:p w14:paraId="0AA9AD7D" w14:textId="2655ACA5" w:rsidR="00A27D8A" w:rsidRPr="00316BE7" w:rsidRDefault="00A27D8A" w:rsidP="00552077">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Sayuri Shirai, “Declining </w:t>
      </w:r>
      <w:r w:rsidRPr="00316BE7">
        <w:rPr>
          <w:rFonts w:ascii="Arial" w:hAnsi="Arial" w:cs="Arial"/>
          <w:bCs/>
          <w:sz w:val="17"/>
          <w:szCs w:val="17"/>
          <w:lang w:val="en-GB"/>
        </w:rPr>
        <w:t>Long</w:t>
      </w:r>
      <w:r w:rsidR="0053501D" w:rsidRPr="00316BE7">
        <w:rPr>
          <w:rFonts w:ascii="Arial" w:hAnsi="Arial" w:cs="Arial"/>
          <w:bCs/>
          <w:sz w:val="17"/>
          <w:szCs w:val="17"/>
          <w:lang w:val="en-GB"/>
        </w:rPr>
        <w:t>-Term</w:t>
      </w:r>
      <w:r w:rsidRPr="00316BE7">
        <w:rPr>
          <w:rFonts w:ascii="Arial" w:hAnsi="Arial" w:cs="Arial"/>
          <w:bCs/>
          <w:sz w:val="17"/>
          <w:szCs w:val="17"/>
          <w:lang w:val="en-GB"/>
        </w:rPr>
        <w:t xml:space="preserve"> Interest Rates and Implications for Monetary Policy: The Case of Japan,” Vox, October 26, 2017, accessed March 25, 2018, https://voxeu.org/article/declining-japanese-long-term-interest-rates-and-implications-monetary-policy.</w:t>
      </w:r>
    </w:p>
  </w:endnote>
  <w:endnote w:id="4">
    <w:p w14:paraId="2A713B00" w14:textId="75578E8C"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Shigeaki Fujiwara, Yuto Iwasaki, Ichiro Muto, Kenji Nishizaki, and Nao Sudo, “Developments in </w:t>
      </w:r>
      <w:r w:rsidR="00586C3F">
        <w:rPr>
          <w:rFonts w:ascii="Arial" w:hAnsi="Arial" w:cs="Arial"/>
          <w:sz w:val="17"/>
          <w:szCs w:val="17"/>
          <w:lang w:val="en-GB"/>
        </w:rPr>
        <w:t xml:space="preserve">the Natural Rate of Interest in Japan,” Bank of Japan Review, 2016-E-12, October 2016, accessed April 23, 2018, www.boj.or.jp/en/research/wps_rev/re </w:t>
      </w:r>
      <w:r w:rsidRPr="00316BE7">
        <w:rPr>
          <w:rFonts w:ascii="Arial" w:hAnsi="Arial" w:cs="Arial"/>
          <w:sz w:val="17"/>
          <w:szCs w:val="17"/>
          <w:lang w:val="en-GB"/>
        </w:rPr>
        <w:t>v_2016/data/rev16e12.pdf.</w:t>
      </w:r>
    </w:p>
  </w:endnote>
  <w:endnote w:id="5">
    <w:p w14:paraId="54F13761" w14:textId="34CFCC46"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Benjamin M. Friedman, “Targets and Instruments of Monetary Policy,” NBER Working Paper Series, Working Paper No. 2668, National Bureau of Economic Research, July 1988, accessed March 24, 2018, www.nber.org/papers/w2668.pdf; Michael Geiger, “Instruments of Monetary Policy in China and </w:t>
      </w:r>
      <w:r w:rsidR="0053501D" w:rsidRPr="00316BE7">
        <w:rPr>
          <w:rFonts w:ascii="Arial" w:hAnsi="Arial" w:cs="Arial"/>
          <w:sz w:val="17"/>
          <w:szCs w:val="17"/>
          <w:lang w:val="en-GB"/>
        </w:rPr>
        <w:t xml:space="preserve">Their </w:t>
      </w:r>
      <w:r w:rsidRPr="00316BE7">
        <w:rPr>
          <w:rFonts w:ascii="Arial" w:hAnsi="Arial" w:cs="Arial"/>
          <w:sz w:val="17"/>
          <w:szCs w:val="17"/>
          <w:lang w:val="en-GB"/>
        </w:rPr>
        <w:t>Effectiveness: 1994</w:t>
      </w:r>
      <w:r w:rsidR="0053501D" w:rsidRPr="00316BE7">
        <w:rPr>
          <w:rFonts w:ascii="Arial" w:hAnsi="Arial" w:cs="Arial"/>
          <w:sz w:val="17"/>
          <w:szCs w:val="17"/>
          <w:lang w:val="en-GB"/>
        </w:rPr>
        <w:t>–</w:t>
      </w:r>
      <w:r w:rsidRPr="00316BE7">
        <w:rPr>
          <w:rFonts w:ascii="Arial" w:hAnsi="Arial" w:cs="Arial"/>
          <w:sz w:val="17"/>
          <w:szCs w:val="17"/>
          <w:lang w:val="en-GB"/>
        </w:rPr>
        <w:t>2006,” UNCTAD Discussion Papers, No. 187, February 2008, accessed March 24, 2018, http://unctad.org/en/Docs/osgdp20082_en.pdf.</w:t>
      </w:r>
    </w:p>
  </w:endnote>
  <w:endnote w:id="6">
    <w:p w14:paraId="44E66FE9" w14:textId="1D70CB70"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Lorenzo Bini Smaghi, “Conventional and Unconventional Monetary Policy,” </w:t>
      </w:r>
      <w:r w:rsidRPr="00316BE7">
        <w:rPr>
          <w:rFonts w:ascii="Arial" w:hAnsi="Arial" w:cs="Arial"/>
          <w:bCs/>
          <w:sz w:val="17"/>
          <w:szCs w:val="17"/>
          <w:lang w:val="en-GB"/>
        </w:rPr>
        <w:t>Keynote Lecture at the International Center for Monetary and Banking Studies,</w:t>
      </w:r>
      <w:r w:rsidRPr="00316BE7">
        <w:rPr>
          <w:rFonts w:ascii="Arial" w:hAnsi="Arial" w:cs="Arial"/>
          <w:sz w:val="17"/>
          <w:szCs w:val="17"/>
          <w:lang w:val="en-GB"/>
        </w:rPr>
        <w:t> European Central Bank, </w:t>
      </w:r>
      <w:r w:rsidRPr="00316BE7">
        <w:rPr>
          <w:rFonts w:ascii="Arial" w:hAnsi="Arial" w:cs="Arial"/>
          <w:bCs/>
          <w:sz w:val="17"/>
          <w:szCs w:val="17"/>
          <w:lang w:val="en-GB"/>
        </w:rPr>
        <w:t>April 28, 2009, a</w:t>
      </w:r>
      <w:r w:rsidR="00E7719C">
        <w:rPr>
          <w:rFonts w:ascii="Arial" w:hAnsi="Arial" w:cs="Arial"/>
          <w:bCs/>
          <w:sz w:val="17"/>
          <w:szCs w:val="17"/>
          <w:lang w:val="en-GB"/>
        </w:rPr>
        <w:t>ccessed March 23, 2018, </w:t>
      </w:r>
      <w:r w:rsidRPr="00316BE7">
        <w:rPr>
          <w:rFonts w:ascii="Arial" w:hAnsi="Arial" w:cs="Arial"/>
          <w:bCs/>
          <w:sz w:val="17"/>
          <w:szCs w:val="17"/>
          <w:lang w:val="en-GB"/>
        </w:rPr>
        <w:t>www.ecb.europa.eu/press/key/date/2009/html/sp090428.en.html.</w:t>
      </w:r>
      <w:r w:rsidRPr="00316BE7">
        <w:rPr>
          <w:rFonts w:ascii="Arial" w:hAnsi="Arial" w:cs="Arial"/>
          <w:sz w:val="17"/>
          <w:szCs w:val="17"/>
          <w:lang w:val="en-GB"/>
        </w:rPr>
        <w:t xml:space="preserve"> </w:t>
      </w:r>
    </w:p>
  </w:endnote>
  <w:endnote w:id="7">
    <w:p w14:paraId="57601828" w14:textId="1739BF06"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Nominal policy rates referred to policy rates of interest that did not take into account inflation, whereas real interest rates took inflation into account; real interest rate = nominal interest rate − inflation.</w:t>
      </w:r>
    </w:p>
  </w:endnote>
  <w:endnote w:id="8">
    <w:p w14:paraId="1C8BA08F" w14:textId="7E2510E6"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Smaghi, op. cit</w:t>
      </w:r>
      <w:r w:rsidRPr="00316BE7">
        <w:rPr>
          <w:rFonts w:ascii="Arial" w:hAnsi="Arial" w:cs="Arial"/>
          <w:bCs/>
          <w:sz w:val="17"/>
          <w:szCs w:val="17"/>
          <w:lang w:val="en-GB"/>
        </w:rPr>
        <w:t>.</w:t>
      </w:r>
    </w:p>
  </w:endnote>
  <w:endnote w:id="9">
    <w:p w14:paraId="339B4240" w14:textId="77777777"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For instance, by purchasing assets other than government securities, such as corporate bonds or stocks or foreign government bonds.</w:t>
      </w:r>
    </w:p>
  </w:endnote>
  <w:endnote w:id="10">
    <w:p w14:paraId="2DD3499A" w14:textId="77777777" w:rsidR="00E7719C" w:rsidRDefault="00A27D8A" w:rsidP="00DF5A71">
      <w:pPr>
        <w:jc w:val="both"/>
        <w:rPr>
          <w:rFonts w:ascii="Arial" w:hAnsi="Arial" w:cs="Arial"/>
          <w:i/>
          <w:sz w:val="17"/>
          <w:szCs w:val="17"/>
          <w:lang w:val="en-GB" w:eastAsia="en-IN"/>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Ben S. Bernanke and Vincent R. Reinhart, “Conducting Monetary Policy at Very Low Short-</w:t>
      </w:r>
      <w:r w:rsidR="0053501D" w:rsidRPr="00316BE7">
        <w:rPr>
          <w:rFonts w:ascii="Arial" w:hAnsi="Arial" w:cs="Arial"/>
          <w:sz w:val="17"/>
          <w:szCs w:val="17"/>
          <w:lang w:val="en-GB"/>
        </w:rPr>
        <w:t xml:space="preserve">Term </w:t>
      </w:r>
      <w:r w:rsidRPr="00316BE7">
        <w:rPr>
          <w:rFonts w:ascii="Arial" w:hAnsi="Arial" w:cs="Arial"/>
          <w:sz w:val="17"/>
          <w:szCs w:val="17"/>
          <w:lang w:val="en-GB"/>
        </w:rPr>
        <w:t xml:space="preserve">Interest Rates,” </w:t>
      </w:r>
      <w:r w:rsidR="00E7719C">
        <w:rPr>
          <w:rFonts w:ascii="Arial" w:hAnsi="Arial" w:cs="Arial"/>
          <w:i/>
          <w:sz w:val="17"/>
          <w:szCs w:val="17"/>
          <w:lang w:val="en-GB" w:eastAsia="en-IN"/>
        </w:rPr>
        <w:t>American</w:t>
      </w:r>
    </w:p>
    <w:p w14:paraId="326AA6A1" w14:textId="7B25DAC2" w:rsidR="00E7719C" w:rsidRDefault="00A27D8A" w:rsidP="00DF5A71">
      <w:pPr>
        <w:jc w:val="both"/>
        <w:rPr>
          <w:rFonts w:ascii="Arial" w:hAnsi="Arial" w:cs="Arial"/>
          <w:sz w:val="17"/>
          <w:szCs w:val="17"/>
          <w:lang w:val="en-GB" w:eastAsia="en-IN"/>
        </w:rPr>
      </w:pPr>
      <w:r w:rsidRPr="00316BE7">
        <w:rPr>
          <w:rFonts w:ascii="Arial" w:hAnsi="Arial" w:cs="Arial"/>
          <w:i/>
          <w:sz w:val="17"/>
          <w:szCs w:val="17"/>
          <w:lang w:val="en-GB" w:eastAsia="en-IN"/>
        </w:rPr>
        <w:t>Economic Review</w:t>
      </w:r>
      <w:r w:rsidRPr="00316BE7">
        <w:rPr>
          <w:rFonts w:ascii="Arial" w:hAnsi="Arial" w:cs="Arial"/>
          <w:sz w:val="17"/>
          <w:szCs w:val="17"/>
          <w:lang w:val="en-GB" w:eastAsia="en-IN"/>
        </w:rPr>
        <w:t> 94, no. 2 (2004): 85–90, accessed March 23, 2018,</w:t>
      </w:r>
      <w:r w:rsidR="00E7719C">
        <w:rPr>
          <w:rFonts w:ascii="Arial" w:hAnsi="Arial" w:cs="Arial"/>
          <w:sz w:val="17"/>
          <w:szCs w:val="17"/>
          <w:lang w:val="en-GB" w:eastAsia="en-IN"/>
        </w:rPr>
        <w:t xml:space="preserve"> http”//public.econ.duke.edu/~staff/wrkshop_papers/20</w:t>
      </w:r>
    </w:p>
    <w:p w14:paraId="664962D8" w14:textId="02B402B8" w:rsidR="00A27D8A" w:rsidRPr="00316BE7" w:rsidRDefault="00A27D8A" w:rsidP="00DF5A71">
      <w:pPr>
        <w:jc w:val="both"/>
        <w:rPr>
          <w:rFonts w:ascii="Arial" w:hAnsi="Arial" w:cs="Arial"/>
          <w:sz w:val="17"/>
          <w:szCs w:val="17"/>
          <w:lang w:val="en-GB" w:eastAsia="en-IN"/>
        </w:rPr>
      </w:pPr>
      <w:r w:rsidRPr="00316BE7">
        <w:rPr>
          <w:rFonts w:ascii="Arial" w:hAnsi="Arial" w:cs="Arial"/>
          <w:sz w:val="17"/>
          <w:szCs w:val="17"/>
          <w:lang w:val="en-GB" w:eastAsia="en-IN"/>
        </w:rPr>
        <w:t>08-2009%20Papers/Bernanke_Reinhart_AER_2004.pdf.</w:t>
      </w:r>
    </w:p>
  </w:endnote>
  <w:endnote w:id="11">
    <w:p w14:paraId="4862A21E" w14:textId="38C8B0CB" w:rsidR="00A27D8A" w:rsidRPr="00316BE7" w:rsidRDefault="00A27D8A" w:rsidP="001621F5">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Masahiro Takada, “Japan’s Economic Miracle: Underlying Factors and Strategies for the Growth,” March 23, 1999, accessed March 3, 2018, www.lehigh.edu/~rfw1/courses/1999/spring/ir163/Papers/pdf/mat5.pdf.</w:t>
      </w:r>
    </w:p>
  </w:endnote>
  <w:endnote w:id="12">
    <w:p w14:paraId="46FB69D0" w14:textId="235B0A02" w:rsidR="00A27D8A" w:rsidRPr="00316BE7" w:rsidRDefault="00A27D8A" w:rsidP="002C70C9">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Jesse Colombo, “Japan’s Bubble Economy of the 1980s,” The Bubble, June 4, 2012, accessed March 4, 2018, www.thebubblebubble.com/japan-bubble/.</w:t>
      </w:r>
    </w:p>
  </w:endnote>
  <w:endnote w:id="13">
    <w:p w14:paraId="72D1DC44" w14:textId="28702BDC" w:rsidR="00A27D8A" w:rsidRPr="00316BE7" w:rsidRDefault="00A27D8A" w:rsidP="001621F5">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Takatoshi Ito and Frederic S. Mishkin, “Two Decades of Japanese Monetary Policy and the Deflation Problem,” NBER Working Paper Series, Working Paper 10878, National Bureau of Economic Research, October 2004, accessed March 19, 2018, www.nber.org/papers/w10878.pdf.</w:t>
      </w:r>
    </w:p>
  </w:endnote>
  <w:endnote w:id="14">
    <w:p w14:paraId="77FC1123" w14:textId="5EB9921F" w:rsidR="00A27D8A" w:rsidRPr="00316BE7" w:rsidRDefault="00A27D8A" w:rsidP="00696C6F">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Shirai, op. cit.</w:t>
      </w:r>
    </w:p>
  </w:endnote>
  <w:endnote w:id="15">
    <w:p w14:paraId="2861F141" w14:textId="77777777" w:rsidR="00A27D8A" w:rsidRPr="00316BE7" w:rsidRDefault="00A27D8A" w:rsidP="00DF5A71">
      <w:pPr>
        <w:pStyle w:val="EndnoteText"/>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For a detailed discussion of these factors, refer to Shirai, op. cit.</w:t>
      </w:r>
    </w:p>
  </w:endnote>
  <w:endnote w:id="16">
    <w:p w14:paraId="50711CF5" w14:textId="5A69DD98"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The long-term interest rates were the average of the future short-term interest rates plus the term premium. Thus, the long-term interest rates could be </w:t>
      </w:r>
      <w:r w:rsidR="006F5F66" w:rsidRPr="00316BE7">
        <w:rPr>
          <w:rFonts w:ascii="Arial" w:hAnsi="Arial" w:cs="Arial"/>
          <w:sz w:val="17"/>
          <w:szCs w:val="17"/>
          <w:lang w:val="en-GB"/>
        </w:rPr>
        <w:t xml:space="preserve">affected </w:t>
      </w:r>
      <w:r w:rsidRPr="00316BE7">
        <w:rPr>
          <w:rFonts w:ascii="Arial" w:hAnsi="Arial" w:cs="Arial"/>
          <w:sz w:val="17"/>
          <w:szCs w:val="17"/>
          <w:lang w:val="en-GB"/>
        </w:rPr>
        <w:t xml:space="preserve">either through the BoJ reducing the term premium through longer-term lending and/or purchasing government bonds, or through committing to keeping the short-term interest rates low and ensuring it happened. Such commitments were called the </w:t>
      </w:r>
      <w:bookmarkStart w:id="1" w:name="_Hlk525489167"/>
      <w:r w:rsidR="006F5F66" w:rsidRPr="00316BE7">
        <w:rPr>
          <w:rFonts w:ascii="Arial" w:hAnsi="Arial" w:cs="Arial"/>
          <w:sz w:val="17"/>
          <w:szCs w:val="17"/>
          <w:lang w:val="en-GB"/>
        </w:rPr>
        <w:t>policy-duration</w:t>
      </w:r>
      <w:r w:rsidRPr="00316BE7">
        <w:rPr>
          <w:rFonts w:ascii="Arial" w:hAnsi="Arial" w:cs="Arial"/>
          <w:sz w:val="17"/>
          <w:szCs w:val="17"/>
          <w:lang w:val="en-GB"/>
        </w:rPr>
        <w:t xml:space="preserve"> </w:t>
      </w:r>
      <w:bookmarkEnd w:id="1"/>
      <w:r w:rsidRPr="00316BE7">
        <w:rPr>
          <w:rFonts w:ascii="Arial" w:hAnsi="Arial" w:cs="Arial"/>
          <w:sz w:val="17"/>
          <w:szCs w:val="17"/>
          <w:lang w:val="en-GB"/>
        </w:rPr>
        <w:t>effect or forward guidance.</w:t>
      </w:r>
    </w:p>
  </w:endnote>
  <w:endnote w:id="17">
    <w:p w14:paraId="1E70D4BF" w14:textId="0531E5DF" w:rsidR="00A27D8A" w:rsidRPr="00316BE7" w:rsidRDefault="00A27D8A" w:rsidP="00DF5A71">
      <w:pPr>
        <w:pStyle w:val="EndnoteText"/>
        <w:jc w:val="both"/>
        <w:rPr>
          <w:rFonts w:ascii="Arial" w:hAnsi="Arial" w:cs="Arial"/>
          <w:sz w:val="17"/>
          <w:szCs w:val="17"/>
          <w:lang w:val="en-GB"/>
        </w:rPr>
      </w:pPr>
      <w:r w:rsidRPr="00586C3F">
        <w:rPr>
          <w:rStyle w:val="FootnoteChar"/>
          <w:rFonts w:eastAsia="Calibri"/>
          <w:vertAlign w:val="superscript"/>
          <w:lang w:val="en-GB"/>
        </w:rPr>
        <w:endnoteRef/>
      </w:r>
      <w:r w:rsidRPr="00316BE7">
        <w:rPr>
          <w:rStyle w:val="FootnoteChar"/>
          <w:rFonts w:eastAsia="Calibri"/>
          <w:vertAlign w:val="superscript"/>
          <w:lang w:val="en-GB"/>
        </w:rPr>
        <w:t xml:space="preserve"> </w:t>
      </w:r>
      <w:r w:rsidRPr="00316BE7">
        <w:rPr>
          <w:rFonts w:ascii="Arial" w:hAnsi="Arial" w:cs="Arial"/>
          <w:sz w:val="17"/>
          <w:szCs w:val="17"/>
          <w:lang w:val="en-GB"/>
        </w:rPr>
        <w:t>Hiroshi Nakaso, “Evolving Monetary Policy</w:t>
      </w:r>
      <w:r w:rsidR="006F5F66" w:rsidRPr="00316BE7">
        <w:rPr>
          <w:rFonts w:ascii="Arial" w:hAnsi="Arial" w:cs="Arial"/>
          <w:sz w:val="17"/>
          <w:szCs w:val="17"/>
          <w:lang w:val="en-GB"/>
        </w:rPr>
        <w:t>—</w:t>
      </w:r>
      <w:r w:rsidRPr="00316BE7">
        <w:rPr>
          <w:rFonts w:ascii="Arial" w:hAnsi="Arial" w:cs="Arial"/>
          <w:sz w:val="17"/>
          <w:szCs w:val="17"/>
          <w:lang w:val="en-GB"/>
        </w:rPr>
        <w:t xml:space="preserve">The Bank of Japan’s Experience,” Bank for International Settlements, </w:t>
      </w:r>
      <w:r w:rsidRPr="00316BE7">
        <w:rPr>
          <w:rFonts w:ascii="Arial" w:hAnsi="Arial" w:cs="Arial"/>
          <w:color w:val="372F32"/>
          <w:sz w:val="17"/>
          <w:szCs w:val="17"/>
          <w:shd w:val="clear" w:color="auto" w:fill="FFFFFF"/>
          <w:lang w:val="en-GB"/>
        </w:rPr>
        <w:t>October 20, 2017, a</w:t>
      </w:r>
      <w:r w:rsidR="00E7719C">
        <w:rPr>
          <w:rFonts w:ascii="Arial" w:hAnsi="Arial" w:cs="Arial"/>
          <w:color w:val="372F32"/>
          <w:sz w:val="17"/>
          <w:szCs w:val="17"/>
          <w:shd w:val="clear" w:color="auto" w:fill="FFFFFF"/>
          <w:lang w:val="en-GB"/>
        </w:rPr>
        <w:t xml:space="preserve">ccessed March 23, 2018, </w:t>
      </w:r>
      <w:r w:rsidRPr="00316BE7">
        <w:rPr>
          <w:rFonts w:ascii="Arial" w:hAnsi="Arial" w:cs="Arial"/>
          <w:color w:val="372F32"/>
          <w:sz w:val="17"/>
          <w:szCs w:val="17"/>
          <w:shd w:val="clear" w:color="auto" w:fill="FFFFFF"/>
          <w:lang w:val="en-GB"/>
        </w:rPr>
        <w:t>www.bis.org/review/r171020d.htm.</w:t>
      </w:r>
    </w:p>
  </w:endnote>
  <w:endnote w:id="18">
    <w:p w14:paraId="699E72E2" w14:textId="6456DE11"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Ibid.</w:t>
      </w:r>
    </w:p>
  </w:endnote>
  <w:endnote w:id="19">
    <w:p w14:paraId="7EAA3D96" w14:textId="5B60C473"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Michael M. Hutchison, Takatoshi Ito, and Frank Westermann, “The Great Japanese Stagnation: Lessons for Industrial Countries,” EPRU Working Paper Series, No. 2005-13, Economic Policy Research Unit, University of Copenhagen, December 2005, accessed March 5, 2018, http://citeseerx.ist.psu.edu/viewdoc/download?doi=10.1.1.848.7044&amp;rep=rep1&amp;type=pdf.</w:t>
      </w:r>
    </w:p>
  </w:endnote>
  <w:endnote w:id="20">
    <w:p w14:paraId="64099C80" w14:textId="122866EF"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Organization for Economic Co-operation and Development, “Immediate Rates: Less than 24 Hours: Call Money/Interbank Rate for Japan (IRSTCI01JPM156N),” FRED Economic Data, Federal Reserve Bank of St. Louis, accessed March 6, 2018, https://fred.stlouisfed.org/series/IRSTCI01JPM156N.</w:t>
      </w:r>
    </w:p>
  </w:endnote>
  <w:endnote w:id="21">
    <w:p w14:paraId="6CE7C423" w14:textId="51000707" w:rsidR="00A27D8A" w:rsidRPr="00316BE7" w:rsidRDefault="00A27D8A">
      <w:pPr>
        <w:pStyle w:val="EndnoteText"/>
        <w:rPr>
          <w:lang w:val="en-GB"/>
        </w:rPr>
      </w:pPr>
      <w:r w:rsidRPr="00586C3F">
        <w:rPr>
          <w:rStyle w:val="FootnoteChar"/>
          <w:rFonts w:eastAsia="Calibri"/>
          <w:vertAlign w:val="superscript"/>
          <w:lang w:val="en-GB"/>
        </w:rPr>
        <w:endnoteRef/>
      </w:r>
      <w:r w:rsidRPr="00316BE7">
        <w:rPr>
          <w:lang w:val="en-GB"/>
        </w:rPr>
        <w:t xml:space="preserve"> </w:t>
      </w:r>
      <w:r w:rsidR="00E7719C">
        <w:rPr>
          <w:rStyle w:val="FootnoteChar"/>
          <w:rFonts w:eastAsia="Calibri"/>
          <w:lang w:val="en-GB"/>
        </w:rPr>
        <w:t xml:space="preserve">¥ = JPY = Japanese yen; </w:t>
      </w:r>
      <w:r w:rsidR="00E7719C" w:rsidRPr="00316BE7">
        <w:rPr>
          <w:rStyle w:val="FootnoteChar"/>
          <w:rFonts w:eastAsia="Calibri"/>
          <w:lang w:val="en-GB"/>
        </w:rPr>
        <w:t>¥</w:t>
      </w:r>
      <w:r w:rsidR="00E7719C">
        <w:rPr>
          <w:rStyle w:val="FootnoteChar"/>
          <w:rFonts w:eastAsia="Calibri"/>
          <w:lang w:val="en-GB"/>
        </w:rPr>
        <w:t>1 = US0.01</w:t>
      </w:r>
      <w:r w:rsidRPr="00316BE7">
        <w:rPr>
          <w:rStyle w:val="FootnoteChar"/>
          <w:rFonts w:eastAsia="Calibri"/>
          <w:lang w:val="en-GB"/>
        </w:rPr>
        <w:t xml:space="preserve"> on January 31, 2018.</w:t>
      </w:r>
    </w:p>
  </w:endnote>
  <w:endnote w:id="22">
    <w:p w14:paraId="5FC5C1D3" w14:textId="54D3216A"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Hutchison, Ito, and Westermann, op. cit.; Mark M. Spiegel, “Did Quantitative Easing by the Bank of Japan ‘Work’?,” Federal Reserve Bank of San Francisco, October 20, 2006, a</w:t>
      </w:r>
      <w:r w:rsidR="00E7719C">
        <w:rPr>
          <w:rFonts w:ascii="Arial" w:hAnsi="Arial" w:cs="Arial"/>
          <w:sz w:val="17"/>
          <w:szCs w:val="17"/>
          <w:lang w:val="en-GB"/>
        </w:rPr>
        <w:t xml:space="preserve">ccessed March 20, 2018, </w:t>
      </w:r>
      <w:r w:rsidRPr="00316BE7">
        <w:rPr>
          <w:rFonts w:ascii="Arial" w:hAnsi="Arial" w:cs="Arial"/>
          <w:sz w:val="17"/>
          <w:szCs w:val="17"/>
          <w:lang w:val="en-GB"/>
        </w:rPr>
        <w:t>www.frbsf.org/economic-research/publications/economic-letter/2006/october/did-quantitative-easing-by-the-bank-of-japan-work/.</w:t>
      </w:r>
    </w:p>
  </w:endnote>
  <w:endnote w:id="23">
    <w:p w14:paraId="40A9A800" w14:textId="400E7F91"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Takatoshi Ito, “Japanese Monetary Policy: 1998</w:t>
      </w:r>
      <w:r w:rsidR="006F5F66" w:rsidRPr="00316BE7">
        <w:rPr>
          <w:rFonts w:ascii="Arial" w:hAnsi="Arial" w:cs="Arial"/>
          <w:sz w:val="17"/>
          <w:szCs w:val="17"/>
          <w:lang w:val="en-GB"/>
        </w:rPr>
        <w:t>–</w:t>
      </w:r>
      <w:r w:rsidRPr="00316BE7">
        <w:rPr>
          <w:rFonts w:ascii="Arial" w:hAnsi="Arial" w:cs="Arial"/>
          <w:sz w:val="17"/>
          <w:szCs w:val="17"/>
          <w:lang w:val="en-GB"/>
        </w:rPr>
        <w:t xml:space="preserve">2005 and Beyond,” in </w:t>
      </w:r>
      <w:r w:rsidRPr="00316BE7">
        <w:rPr>
          <w:rFonts w:ascii="Arial" w:hAnsi="Arial" w:cs="Arial"/>
          <w:i/>
          <w:sz w:val="17"/>
          <w:szCs w:val="17"/>
          <w:lang w:val="en-GB"/>
        </w:rPr>
        <w:t>Monetary Policy in Asia: Approaches and Implementation</w:t>
      </w:r>
      <w:r w:rsidRPr="00316BE7">
        <w:rPr>
          <w:rFonts w:ascii="Arial" w:hAnsi="Arial" w:cs="Arial"/>
          <w:sz w:val="17"/>
          <w:szCs w:val="17"/>
          <w:lang w:val="en-GB"/>
        </w:rPr>
        <w:t xml:space="preserve"> (Bank for International Settlements, 2006): 105–132, a</w:t>
      </w:r>
      <w:r w:rsidR="00E7719C">
        <w:rPr>
          <w:rFonts w:ascii="Arial" w:hAnsi="Arial" w:cs="Arial"/>
          <w:sz w:val="17"/>
          <w:szCs w:val="17"/>
          <w:lang w:val="en-GB"/>
        </w:rPr>
        <w:t xml:space="preserve">ccessed March 23, 2018, </w:t>
      </w:r>
      <w:r w:rsidRPr="00316BE7">
        <w:rPr>
          <w:rFonts w:ascii="Arial" w:hAnsi="Arial" w:cs="Arial"/>
          <w:sz w:val="17"/>
          <w:szCs w:val="17"/>
          <w:lang w:val="en-GB"/>
        </w:rPr>
        <w:t>www.bis.org/pub</w:t>
      </w:r>
      <w:r w:rsidR="00E7719C">
        <w:rPr>
          <w:rFonts w:ascii="Arial" w:hAnsi="Arial" w:cs="Arial"/>
          <w:sz w:val="17"/>
          <w:szCs w:val="17"/>
          <w:lang w:val="en-GB"/>
        </w:rPr>
        <w:t xml:space="preserve">l/bppdf/bispap31i.pdf; </w:t>
      </w:r>
      <w:r w:rsidRPr="00316BE7">
        <w:rPr>
          <w:rFonts w:ascii="Arial" w:hAnsi="Arial" w:cs="Arial"/>
          <w:sz w:val="17"/>
          <w:szCs w:val="17"/>
          <w:lang w:val="en-GB"/>
        </w:rPr>
        <w:t>Haruhiko Kuroda, “The Battle against Deflation: The Evolution of Monetary Policy and Japan’s Experience,” Bank of Japan, April 13, 2016, a</w:t>
      </w:r>
      <w:r w:rsidR="00E7719C">
        <w:rPr>
          <w:rFonts w:ascii="Arial" w:hAnsi="Arial" w:cs="Arial"/>
          <w:sz w:val="17"/>
          <w:szCs w:val="17"/>
          <w:lang w:val="en-GB"/>
        </w:rPr>
        <w:t xml:space="preserve">ccessed March 23, 2018, </w:t>
      </w:r>
      <w:r w:rsidRPr="00316BE7">
        <w:rPr>
          <w:rFonts w:ascii="Arial" w:hAnsi="Arial" w:cs="Arial"/>
          <w:sz w:val="17"/>
          <w:szCs w:val="17"/>
          <w:lang w:val="en-GB"/>
        </w:rPr>
        <w:t>www.boj.or.jp/en/announcements/press/koen_2016/data/ko160414a1.pdf.</w:t>
      </w:r>
    </w:p>
  </w:endnote>
  <w:endnote w:id="24">
    <w:p w14:paraId="334B1DCC" w14:textId="21AAD6FA"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Ito, “Japanese Monetary Policy,” op. cit.</w:t>
      </w:r>
    </w:p>
  </w:endnote>
  <w:endnote w:id="25">
    <w:p w14:paraId="63C2F924" w14:textId="57475235"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w:t>
      </w:r>
      <w:r w:rsidRPr="00316BE7">
        <w:rPr>
          <w:rFonts w:ascii="Arial" w:hAnsi="Arial" w:cs="Arial"/>
          <w:bCs/>
          <w:sz w:val="17"/>
          <w:szCs w:val="17"/>
          <w:lang w:val="en-GB"/>
        </w:rPr>
        <w:t xml:space="preserve">Change in the Guideline for Money Market Operations,” Bank of Japan, March 9, 2006, accessed </w:t>
      </w:r>
      <w:r w:rsidR="003F72BC">
        <w:rPr>
          <w:rFonts w:ascii="Arial" w:hAnsi="Arial" w:cs="Arial"/>
          <w:bCs/>
          <w:sz w:val="17"/>
          <w:szCs w:val="17"/>
          <w:lang w:val="en-GB"/>
        </w:rPr>
        <w:t xml:space="preserve">March 24, 2018, </w:t>
      </w:r>
      <w:r w:rsidRPr="00316BE7">
        <w:rPr>
          <w:rFonts w:ascii="Arial" w:hAnsi="Arial" w:cs="Arial"/>
          <w:bCs/>
          <w:sz w:val="17"/>
          <w:szCs w:val="17"/>
          <w:lang w:val="en-GB"/>
        </w:rPr>
        <w:t>www.boj.or.jp/en/announcements/release_2006/k060309.htm/.</w:t>
      </w:r>
    </w:p>
  </w:endnote>
  <w:endnote w:id="26">
    <w:p w14:paraId="49DCD8B5" w14:textId="6443CBA6"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“Change in the Guideline for Money Market Operations,” Bank of Japan, July 14, 2006, accessed March 24, 2018, www.boj.or.jp/en/announcements/release_2006/k060714.pdf.</w:t>
      </w:r>
    </w:p>
  </w:endnote>
  <w:endnote w:id="27">
    <w:p w14:paraId="3872708B" w14:textId="5E3C7687"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“Enhancement of Easy Monetary Conditions,” Bank of Japan, December 1, 2009, a</w:t>
      </w:r>
      <w:r w:rsidR="003F72BC">
        <w:rPr>
          <w:rFonts w:ascii="Arial" w:hAnsi="Arial" w:cs="Arial"/>
          <w:sz w:val="17"/>
          <w:szCs w:val="17"/>
          <w:lang w:val="en-GB"/>
        </w:rPr>
        <w:t xml:space="preserve">ccessed March 24, 2018, </w:t>
      </w:r>
      <w:r w:rsidRPr="00316BE7">
        <w:rPr>
          <w:rFonts w:ascii="Arial" w:hAnsi="Arial" w:cs="Arial"/>
          <w:sz w:val="17"/>
          <w:szCs w:val="17"/>
          <w:lang w:val="en-GB"/>
        </w:rPr>
        <w:t>www.boj.or.jp/en/announcements/release_2009/k091</w:t>
      </w:r>
      <w:r w:rsidR="003F72BC">
        <w:rPr>
          <w:rFonts w:ascii="Arial" w:hAnsi="Arial" w:cs="Arial"/>
          <w:sz w:val="17"/>
          <w:szCs w:val="17"/>
          <w:lang w:val="en-GB"/>
        </w:rPr>
        <w:t>201.pdf.</w:t>
      </w:r>
    </w:p>
  </w:endnote>
  <w:endnote w:id="28">
    <w:p w14:paraId="195467B4" w14:textId="0B42C873"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“Comprehensive Monetary Easing,” Bank of Japan, October 5, 2010, a</w:t>
      </w:r>
      <w:r w:rsidR="003F72BC">
        <w:rPr>
          <w:rFonts w:ascii="Arial" w:hAnsi="Arial" w:cs="Arial"/>
          <w:sz w:val="17"/>
          <w:szCs w:val="17"/>
          <w:lang w:val="en-GB"/>
        </w:rPr>
        <w:t xml:space="preserve">ccessed March 25, 2018, </w:t>
      </w:r>
      <w:r w:rsidRPr="00316BE7">
        <w:rPr>
          <w:rFonts w:ascii="Arial" w:hAnsi="Arial" w:cs="Arial"/>
          <w:sz w:val="17"/>
          <w:szCs w:val="17"/>
          <w:lang w:val="en-GB"/>
        </w:rPr>
        <w:t>www.boj.or.jp/en/announcements/release_2010/k101005.pdf.</w:t>
      </w:r>
    </w:p>
  </w:endnote>
  <w:endnote w:id="29">
    <w:p w14:paraId="561B2ABF" w14:textId="14053608"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“Enhancement of Monetary Easing,” Bank of Japan, March 14, 2011, </w:t>
      </w:r>
      <w:r w:rsidR="003F72BC">
        <w:rPr>
          <w:rFonts w:ascii="Arial" w:hAnsi="Arial" w:cs="Arial"/>
          <w:sz w:val="17"/>
          <w:szCs w:val="17"/>
          <w:lang w:val="en-GB"/>
        </w:rPr>
        <w:t xml:space="preserve">accessed March 25, 2018, </w:t>
      </w:r>
      <w:r w:rsidRPr="00316BE7">
        <w:rPr>
          <w:rFonts w:ascii="Arial" w:hAnsi="Arial" w:cs="Arial"/>
          <w:sz w:val="17"/>
          <w:szCs w:val="17"/>
          <w:lang w:val="en-GB"/>
        </w:rPr>
        <w:t>www.boj.or.jp/en/announcements/release_2011/k1</w:t>
      </w:r>
      <w:r w:rsidR="003F72BC">
        <w:rPr>
          <w:rFonts w:ascii="Arial" w:hAnsi="Arial" w:cs="Arial"/>
          <w:sz w:val="17"/>
          <w:szCs w:val="17"/>
          <w:lang w:val="en-GB"/>
        </w:rPr>
        <w:t xml:space="preserve">10314a.pdf; Nakaso, op. cit. </w:t>
      </w:r>
    </w:p>
  </w:endnote>
  <w:endnote w:id="30">
    <w:p w14:paraId="6B43D0BA" w14:textId="13B4C0A2" w:rsidR="00A27D8A" w:rsidRPr="00316BE7" w:rsidRDefault="00A27D8A" w:rsidP="00586C3F">
      <w:pPr>
        <w:pStyle w:val="Footnote"/>
        <w:rPr>
          <w:lang w:val="en-GB"/>
        </w:rPr>
      </w:pPr>
      <w:r w:rsidRPr="00316BE7">
        <w:rPr>
          <w:rStyle w:val="EndnoteReference"/>
          <w:lang w:val="en-GB"/>
        </w:rPr>
        <w:endnoteRef/>
      </w:r>
      <w:r w:rsidRPr="00316BE7">
        <w:rPr>
          <w:lang w:val="en-GB"/>
        </w:rPr>
        <w:t xml:space="preserve"> “Statements on Monetary Policy 2011, 2012, 2013,” Bank of Japan, accessed March 25, 2018, </w:t>
      </w:r>
      <w:r w:rsidR="008B58D2" w:rsidRPr="00586C3F">
        <w:rPr>
          <w:lang w:val="en-GB"/>
        </w:rPr>
        <w:t>www.boj.or.jp/en/mopo/mpmdeci/state_2</w:t>
      </w:r>
      <w:r w:rsidR="003F72BC">
        <w:rPr>
          <w:lang w:val="en-GB"/>
        </w:rPr>
        <w:t>011/index.htm/.</w:t>
      </w:r>
    </w:p>
  </w:endnote>
  <w:endnote w:id="31">
    <w:p w14:paraId="23AB6CA1" w14:textId="5B3B6834"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“The ‘Price Stability Target’ under the Framework for the Conduct of Monetary Policy,” Bank of Japan, January 22, 2013, a</w:t>
      </w:r>
      <w:r w:rsidR="003F72BC">
        <w:rPr>
          <w:rFonts w:ascii="Arial" w:hAnsi="Arial" w:cs="Arial"/>
          <w:sz w:val="17"/>
          <w:szCs w:val="17"/>
          <w:lang w:val="en-GB"/>
        </w:rPr>
        <w:t xml:space="preserve">ccessed April 20, 2018, </w:t>
      </w:r>
      <w:r w:rsidRPr="00316BE7">
        <w:rPr>
          <w:rFonts w:ascii="Arial" w:hAnsi="Arial" w:cs="Arial"/>
          <w:sz w:val="17"/>
          <w:szCs w:val="17"/>
          <w:lang w:val="en-GB"/>
        </w:rPr>
        <w:t>www.boj.or.jp/en/announcements/release</w:t>
      </w:r>
      <w:r w:rsidR="003F72BC">
        <w:rPr>
          <w:rFonts w:ascii="Arial" w:hAnsi="Arial" w:cs="Arial"/>
          <w:sz w:val="17"/>
          <w:szCs w:val="17"/>
          <w:lang w:val="en-GB"/>
        </w:rPr>
        <w:t>_2013/k130122b.pdf.</w:t>
      </w:r>
    </w:p>
  </w:endnote>
  <w:endnote w:id="32">
    <w:p w14:paraId="1423FDCD" w14:textId="41FBF9FF" w:rsidR="00A27D8A" w:rsidRPr="0004607E" w:rsidRDefault="00A27D8A" w:rsidP="00DF5A71">
      <w:pPr>
        <w:pStyle w:val="EndnoteText"/>
        <w:jc w:val="both"/>
        <w:rPr>
          <w:rFonts w:ascii="Arial" w:hAnsi="Arial" w:cs="Arial"/>
          <w:spacing w:val="-6"/>
          <w:kern w:val="17"/>
          <w:sz w:val="17"/>
          <w:szCs w:val="17"/>
          <w:lang w:val="en-GB"/>
        </w:rPr>
      </w:pPr>
      <w:r w:rsidRPr="0004607E">
        <w:rPr>
          <w:rStyle w:val="EndnoteReference"/>
          <w:rFonts w:ascii="Arial" w:hAnsi="Arial" w:cs="Arial"/>
          <w:spacing w:val="-6"/>
          <w:kern w:val="17"/>
          <w:sz w:val="17"/>
          <w:szCs w:val="17"/>
          <w:lang w:val="en-GB"/>
        </w:rPr>
        <w:endnoteRef/>
      </w:r>
      <w:r w:rsidR="0004607E">
        <w:rPr>
          <w:rFonts w:ascii="Arial" w:hAnsi="Arial" w:cs="Arial"/>
          <w:spacing w:val="-6"/>
          <w:kern w:val="17"/>
          <w:sz w:val="17"/>
          <w:szCs w:val="17"/>
          <w:lang w:val="en-GB"/>
        </w:rPr>
        <w:t> Ichiro Fukunaga, Naoya Kato, and Junko Koeda, “Maturity Structure and Supply Factors in Japanese Government Bond </w:t>
      </w:r>
      <w:r w:rsidRPr="0004607E">
        <w:rPr>
          <w:rFonts w:ascii="Arial" w:hAnsi="Arial" w:cs="Arial"/>
          <w:spacing w:val="-6"/>
          <w:kern w:val="17"/>
          <w:sz w:val="17"/>
          <w:szCs w:val="17"/>
          <w:lang w:val="en-GB"/>
        </w:rPr>
        <w:t>Markets,” Bank of Japan, June 12, 2015, accessed April</w:t>
      </w:r>
      <w:r w:rsidR="003F72BC" w:rsidRPr="0004607E">
        <w:rPr>
          <w:rFonts w:ascii="Arial" w:hAnsi="Arial" w:cs="Arial"/>
          <w:spacing w:val="-6"/>
          <w:kern w:val="17"/>
          <w:sz w:val="17"/>
          <w:szCs w:val="17"/>
          <w:lang w:val="en-GB"/>
        </w:rPr>
        <w:t> 25, 2018, </w:t>
      </w:r>
      <w:r w:rsidRPr="0004607E">
        <w:rPr>
          <w:rFonts w:ascii="Arial" w:hAnsi="Arial" w:cs="Arial"/>
          <w:spacing w:val="-6"/>
          <w:kern w:val="17"/>
          <w:sz w:val="17"/>
          <w:szCs w:val="17"/>
          <w:lang w:val="en-GB"/>
        </w:rPr>
        <w:t xml:space="preserve">www.imes.boj.or.jp/english/publication/conf/2015/Session4_Fukunaga.pdf. </w:t>
      </w:r>
    </w:p>
  </w:endnote>
  <w:endnote w:id="33">
    <w:p w14:paraId="43CC5BD8" w14:textId="6F284D2E" w:rsidR="00A27D8A" w:rsidRPr="0004607E" w:rsidRDefault="00A27D8A" w:rsidP="003F72BC">
      <w:pPr>
        <w:pStyle w:val="Footnote"/>
        <w:rPr>
          <w:spacing w:val="-6"/>
          <w:kern w:val="17"/>
          <w:lang w:val="en-GB"/>
        </w:rPr>
      </w:pPr>
      <w:r w:rsidRPr="0004607E">
        <w:rPr>
          <w:rStyle w:val="EndnoteReference"/>
          <w:spacing w:val="-6"/>
          <w:kern w:val="17"/>
          <w:lang w:val="en-GB"/>
        </w:rPr>
        <w:endnoteRef/>
      </w:r>
      <w:r w:rsidR="0004607E">
        <w:rPr>
          <w:spacing w:val="-6"/>
          <w:kern w:val="17"/>
          <w:lang w:val="en-GB"/>
        </w:rPr>
        <w:t> “Introduction of Quantitative and Qualitative Easing,” Bank of Japan, April 4, 2013, accessed April 20, 2018, </w:t>
      </w:r>
      <w:r w:rsidR="0004607E" w:rsidRPr="0004607E">
        <w:rPr>
          <w:spacing w:val="-6"/>
          <w:kern w:val="17"/>
          <w:lang w:val="en-GB"/>
        </w:rPr>
        <w:t>https://www.boj.or.jp/en/announcements/release_2013/k130404a.pdf</w:t>
      </w:r>
      <w:r w:rsidRPr="0004607E">
        <w:rPr>
          <w:spacing w:val="-6"/>
          <w:kern w:val="17"/>
          <w:lang w:val="en-GB"/>
        </w:rPr>
        <w:t>;</w:t>
      </w:r>
      <w:r w:rsidR="0004607E">
        <w:rPr>
          <w:spacing w:val="-6"/>
          <w:kern w:val="17"/>
          <w:lang w:val="en-GB"/>
        </w:rPr>
        <w:t> “Expansion of the </w:t>
      </w:r>
      <w:r w:rsidRPr="0004607E">
        <w:rPr>
          <w:spacing w:val="-6"/>
          <w:kern w:val="17"/>
          <w:lang w:val="en-GB"/>
        </w:rPr>
        <w:t>Quanti</w:t>
      </w:r>
      <w:r w:rsidR="0004607E">
        <w:rPr>
          <w:spacing w:val="-6"/>
          <w:kern w:val="17"/>
          <w:lang w:val="en-GB"/>
        </w:rPr>
        <w:t>tative and Qualitative </w:t>
      </w:r>
      <w:r w:rsidR="00586C3F" w:rsidRPr="0004607E">
        <w:rPr>
          <w:spacing w:val="-6"/>
          <w:kern w:val="17"/>
          <w:lang w:val="en-GB"/>
        </w:rPr>
        <w:t>Monetary Easing,” Bank of Japan, October 31, 2014, accessed April 20, 2018, </w:t>
      </w:r>
      <w:r w:rsidRPr="0004607E">
        <w:rPr>
          <w:spacing w:val="-6"/>
          <w:kern w:val="17"/>
          <w:lang w:val="en-GB"/>
        </w:rPr>
        <w:t>www.boj.or.jp/en/announcements/release_2014/k141031a.pdf.</w:t>
      </w:r>
    </w:p>
  </w:endnote>
  <w:endnote w:id="34">
    <w:p w14:paraId="11EC4B0F" w14:textId="21810083"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Government of Japan, Ministry of Finance, “</w:t>
      </w:r>
      <w:r w:rsidRPr="00316BE7">
        <w:rPr>
          <w:rFonts w:ascii="Arial" w:hAnsi="Arial" w:cs="Arial"/>
          <w:bCs/>
          <w:sz w:val="17"/>
          <w:szCs w:val="17"/>
          <w:lang w:val="en-GB"/>
        </w:rPr>
        <w:t xml:space="preserve">Minutes of the Meeting of JGB Market Special Participants (58th Round),” November 21, 2014, </w:t>
      </w:r>
      <w:r w:rsidR="003F72BC">
        <w:rPr>
          <w:rFonts w:ascii="Arial" w:hAnsi="Arial" w:cs="Arial"/>
          <w:bCs/>
          <w:sz w:val="17"/>
          <w:szCs w:val="17"/>
          <w:lang w:val="en-GB"/>
        </w:rPr>
        <w:t xml:space="preserve">accessed July 11, 2018, </w:t>
      </w:r>
      <w:r w:rsidRPr="00316BE7">
        <w:rPr>
          <w:rFonts w:ascii="Arial" w:hAnsi="Arial" w:cs="Arial"/>
          <w:bCs/>
          <w:sz w:val="17"/>
          <w:szCs w:val="17"/>
          <w:lang w:val="en-GB"/>
        </w:rPr>
        <w:t>www.mof.go.jp/english/about_mof/councils/jgbsp/58thpd.pdf.</w:t>
      </w:r>
    </w:p>
  </w:endnote>
  <w:endnote w:id="35">
    <w:p w14:paraId="31082CE8" w14:textId="7E141FB5"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“Introduction of Quantitative and Qualitative Easing,” op. cit.</w:t>
      </w:r>
    </w:p>
  </w:endnote>
  <w:endnote w:id="36">
    <w:p w14:paraId="21AF8B70" w14:textId="09B30261"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Ibid.</w:t>
      </w:r>
    </w:p>
  </w:endnote>
  <w:endnote w:id="37">
    <w:p w14:paraId="17B55FA5" w14:textId="335556D7"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“Introduction of ‘Quantitative and Qualitative Monetary Easing with a Negative Interest Rate,’” Bank of Japan, January 29, 2016, a</w:t>
      </w:r>
      <w:r w:rsidR="003F72BC">
        <w:rPr>
          <w:rFonts w:ascii="Arial" w:hAnsi="Arial" w:cs="Arial"/>
          <w:sz w:val="17"/>
          <w:szCs w:val="17"/>
          <w:lang w:val="en-GB"/>
        </w:rPr>
        <w:t xml:space="preserve">ccessed April 22, 2018, </w:t>
      </w:r>
      <w:r w:rsidRPr="00316BE7">
        <w:rPr>
          <w:rFonts w:ascii="Arial" w:hAnsi="Arial" w:cs="Arial"/>
          <w:sz w:val="17"/>
          <w:szCs w:val="17"/>
          <w:lang w:val="en-GB"/>
        </w:rPr>
        <w:t>www.boj.or.jp/en/announcements/release_2016/k160129a.pdf.</w:t>
      </w:r>
    </w:p>
  </w:endnote>
  <w:endnote w:id="38">
    <w:p w14:paraId="24230E77" w14:textId="032313DC"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“Bank of Japan,” Systemic Risk and Systemic Value, accessed April 24, 2018, www.sr-sv.com/non-conventional-monetary-policy/bank-of-japan/.</w:t>
      </w:r>
    </w:p>
  </w:endnote>
  <w:endnote w:id="39">
    <w:p w14:paraId="6FEEB6AE" w14:textId="6559CB0B" w:rsidR="00A27D8A" w:rsidRPr="00316BE7" w:rsidRDefault="00A27D8A" w:rsidP="001B466D">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00586C3F">
        <w:rPr>
          <w:rFonts w:ascii="Arial" w:hAnsi="Arial" w:cs="Arial"/>
          <w:sz w:val="17"/>
          <w:szCs w:val="17"/>
          <w:lang w:val="en-GB"/>
        </w:rPr>
        <w:t> “Comprehensive </w:t>
      </w:r>
      <w:r w:rsidRPr="00316BE7">
        <w:rPr>
          <w:rFonts w:ascii="Arial" w:hAnsi="Arial" w:cs="Arial"/>
          <w:sz w:val="17"/>
          <w:szCs w:val="17"/>
          <w:lang w:val="en-GB"/>
        </w:rPr>
        <w:t>Assessment:</w:t>
      </w:r>
      <w:r w:rsidR="00586C3F">
        <w:rPr>
          <w:rFonts w:ascii="Arial" w:hAnsi="Arial" w:cs="Arial"/>
          <w:sz w:val="17"/>
          <w:szCs w:val="17"/>
          <w:lang w:val="en-GB" w:eastAsia="en-IN"/>
        </w:rPr>
        <w:t> </w:t>
      </w:r>
      <w:r w:rsidR="00586C3F">
        <w:rPr>
          <w:rFonts w:ascii="Arial" w:hAnsi="Arial" w:cs="Arial"/>
          <w:sz w:val="17"/>
          <w:szCs w:val="17"/>
          <w:lang w:val="en-GB"/>
        </w:rPr>
        <w:t>Developments in Economic Activity and Prices </w:t>
      </w:r>
      <w:r w:rsidRPr="00316BE7">
        <w:rPr>
          <w:rFonts w:ascii="Arial" w:hAnsi="Arial" w:cs="Arial"/>
          <w:sz w:val="17"/>
          <w:szCs w:val="17"/>
          <w:lang w:val="en-GB"/>
        </w:rPr>
        <w:t>as well as Policy Effects since the Introduction of Quantitative and Qualitative Monetary Easing (QQE),” Bank of Japan, September 21, 2016, a</w:t>
      </w:r>
      <w:r w:rsidR="003F72BC">
        <w:rPr>
          <w:rFonts w:ascii="Arial" w:hAnsi="Arial" w:cs="Arial"/>
          <w:sz w:val="17"/>
          <w:szCs w:val="17"/>
          <w:lang w:val="en-GB"/>
        </w:rPr>
        <w:t xml:space="preserve">ccessed April 21, 2018, </w:t>
      </w:r>
      <w:r w:rsidRPr="00316BE7">
        <w:rPr>
          <w:rFonts w:ascii="Arial" w:hAnsi="Arial" w:cs="Arial"/>
          <w:sz w:val="17"/>
          <w:szCs w:val="17"/>
          <w:lang w:val="en-GB"/>
        </w:rPr>
        <w:t>www.boj.or.jp/en/announcements/release_2016/k160921b.pdf.</w:t>
      </w:r>
    </w:p>
  </w:endnote>
  <w:endnote w:id="40">
    <w:p w14:paraId="33E32E0B" w14:textId="30BD727D"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Ibid.</w:t>
      </w:r>
    </w:p>
  </w:endnote>
  <w:endnote w:id="41">
    <w:p w14:paraId="2D6A2727" w14:textId="088F08B6"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Ibid.</w:t>
      </w:r>
    </w:p>
  </w:endnote>
  <w:endnote w:id="42">
    <w:p w14:paraId="5C6CBDC3" w14:textId="758DD823" w:rsidR="00A27D8A" w:rsidRPr="003F72BC" w:rsidRDefault="00A27D8A" w:rsidP="00DF5A71">
      <w:pPr>
        <w:pStyle w:val="EndnoteText"/>
        <w:rPr>
          <w:spacing w:val="-4"/>
          <w:kern w:val="17"/>
          <w:lang w:val="en-GB"/>
        </w:rPr>
      </w:pPr>
      <w:r w:rsidRPr="003F72BC">
        <w:rPr>
          <w:rStyle w:val="FootnoteChar"/>
          <w:rFonts w:eastAsia="Calibri"/>
          <w:spacing w:val="-4"/>
          <w:kern w:val="17"/>
          <w:vertAlign w:val="superscript"/>
        </w:rPr>
        <w:endnoteRef/>
      </w:r>
      <w:r w:rsidRPr="003F72BC">
        <w:rPr>
          <w:spacing w:val="-4"/>
          <w:kern w:val="17"/>
          <w:lang w:val="en-GB"/>
        </w:rPr>
        <w:t xml:space="preserve"> </w:t>
      </w:r>
      <w:r w:rsidRPr="003F72BC">
        <w:rPr>
          <w:rFonts w:ascii="Arial" w:hAnsi="Arial" w:cs="Arial"/>
          <w:spacing w:val="-4"/>
          <w:kern w:val="17"/>
          <w:sz w:val="17"/>
          <w:szCs w:val="17"/>
          <w:lang w:val="en-GB"/>
        </w:rPr>
        <w:t>“New Framework for Strengthening Monetary Easing: ‘Quantitative and Qualitative Monetary Easing with Yield Curve Control,’” Bank of Japan, September 21, 2016, accessed April 21, 2018,</w:t>
      </w:r>
      <w:r w:rsidR="003F72BC" w:rsidRPr="003F72BC">
        <w:rPr>
          <w:rFonts w:ascii="Arial" w:hAnsi="Arial" w:cs="Arial"/>
          <w:spacing w:val="-4"/>
          <w:kern w:val="17"/>
          <w:sz w:val="17"/>
          <w:szCs w:val="17"/>
          <w:lang w:val="en-GB"/>
        </w:rPr>
        <w:t xml:space="preserve"> www.boj.or.jp/en/announcements/release_2016/k1</w:t>
      </w:r>
      <w:r w:rsidRPr="003F72BC">
        <w:rPr>
          <w:rFonts w:ascii="Arial" w:hAnsi="Arial" w:cs="Arial"/>
          <w:spacing w:val="-4"/>
          <w:kern w:val="17"/>
          <w:sz w:val="17"/>
          <w:szCs w:val="17"/>
          <w:lang w:val="en-GB"/>
        </w:rPr>
        <w:t>60921a.pdf.</w:t>
      </w:r>
    </w:p>
  </w:endnote>
  <w:endnote w:id="43">
    <w:p w14:paraId="52B8BD54" w14:textId="67BF85C1"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003F72BC">
        <w:rPr>
          <w:rFonts w:ascii="Arial" w:hAnsi="Arial" w:cs="Arial"/>
          <w:sz w:val="17"/>
          <w:szCs w:val="17"/>
          <w:lang w:val="en-GB"/>
        </w:rPr>
        <w:t xml:space="preserve"> Ibid. </w:t>
      </w:r>
    </w:p>
  </w:endnote>
  <w:endnote w:id="44">
    <w:p w14:paraId="1444110A" w14:textId="44B8E2F5" w:rsidR="00A27D8A" w:rsidRPr="00316BE7" w:rsidRDefault="00A27D8A" w:rsidP="00FA2BD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Jeff Cox, “CNBC Explains: The Bank of Japan’s ‘Yield Curve Control,’” CNBC, September 21, 2016, a</w:t>
      </w:r>
      <w:r w:rsidR="003F72BC">
        <w:rPr>
          <w:rFonts w:ascii="Arial" w:hAnsi="Arial" w:cs="Arial"/>
          <w:sz w:val="17"/>
          <w:szCs w:val="17"/>
          <w:lang w:val="en-GB"/>
        </w:rPr>
        <w:t xml:space="preserve">ccessed April 23, 2018, </w:t>
      </w:r>
      <w:r w:rsidRPr="00316BE7">
        <w:rPr>
          <w:rFonts w:ascii="Arial" w:hAnsi="Arial" w:cs="Arial"/>
          <w:sz w:val="17"/>
          <w:szCs w:val="17"/>
          <w:lang w:val="en-GB"/>
        </w:rPr>
        <w:t>www.cnbc.com/2016/09/21/cnbc-explains-the-bank-of-japan-yield-curve-control.html.</w:t>
      </w:r>
    </w:p>
  </w:endnote>
  <w:endnote w:id="45">
    <w:p w14:paraId="124E7817" w14:textId="65CD3BCB"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“New Framework for Strengthening Monetary Easing</w:t>
      </w:r>
      <w:r w:rsidR="008B58D2" w:rsidRPr="00316BE7">
        <w:rPr>
          <w:rFonts w:ascii="Arial" w:hAnsi="Arial" w:cs="Arial"/>
          <w:sz w:val="17"/>
          <w:szCs w:val="17"/>
          <w:lang w:val="en-GB"/>
        </w:rPr>
        <w:t xml:space="preserve">,” </w:t>
      </w:r>
      <w:r w:rsidRPr="00316BE7">
        <w:rPr>
          <w:rFonts w:ascii="Arial" w:hAnsi="Arial" w:cs="Arial"/>
          <w:sz w:val="17"/>
          <w:szCs w:val="17"/>
          <w:lang w:val="en-GB"/>
        </w:rPr>
        <w:t>op. cit.</w:t>
      </w:r>
    </w:p>
  </w:endnote>
  <w:endnote w:id="46">
    <w:p w14:paraId="6761BA75" w14:textId="27CBF8E8" w:rsidR="00A27D8A" w:rsidRPr="0004607E" w:rsidRDefault="00A27D8A" w:rsidP="00552077">
      <w:pPr>
        <w:pStyle w:val="EndnoteText"/>
        <w:jc w:val="both"/>
        <w:rPr>
          <w:rFonts w:ascii="Arial" w:hAnsi="Arial" w:cs="Arial"/>
          <w:spacing w:val="-4"/>
          <w:kern w:val="17"/>
          <w:sz w:val="17"/>
          <w:szCs w:val="17"/>
          <w:lang w:val="en-GB"/>
        </w:rPr>
      </w:pPr>
      <w:r w:rsidRPr="0004607E">
        <w:rPr>
          <w:rStyle w:val="EndnoteReference"/>
          <w:rFonts w:ascii="Arial" w:hAnsi="Arial" w:cs="Arial"/>
          <w:spacing w:val="-4"/>
          <w:kern w:val="17"/>
          <w:sz w:val="17"/>
          <w:szCs w:val="17"/>
          <w:lang w:val="en-GB"/>
        </w:rPr>
        <w:endnoteRef/>
      </w:r>
      <w:r w:rsidR="0004607E" w:rsidRPr="0004607E">
        <w:rPr>
          <w:rFonts w:ascii="Arial" w:hAnsi="Arial" w:cs="Arial"/>
          <w:spacing w:val="-4"/>
          <w:kern w:val="17"/>
          <w:sz w:val="17"/>
          <w:szCs w:val="17"/>
          <w:lang w:val="en-GB"/>
        </w:rPr>
        <w:t> Kikuo Iwata, “Japan’s Economy and Monetary Policy,” Bank of Japan, January 31, 2018, </w:t>
      </w:r>
      <w:r w:rsidRPr="0004607E">
        <w:rPr>
          <w:rFonts w:ascii="Arial" w:hAnsi="Arial" w:cs="Arial"/>
          <w:spacing w:val="-4"/>
          <w:kern w:val="17"/>
          <w:sz w:val="17"/>
          <w:szCs w:val="17"/>
          <w:lang w:val="en-GB"/>
        </w:rPr>
        <w:t>a</w:t>
      </w:r>
      <w:r w:rsidR="0004607E" w:rsidRPr="0004607E">
        <w:rPr>
          <w:rFonts w:ascii="Arial" w:hAnsi="Arial" w:cs="Arial"/>
          <w:spacing w:val="-4"/>
          <w:kern w:val="17"/>
          <w:sz w:val="17"/>
          <w:szCs w:val="17"/>
          <w:lang w:val="en-GB"/>
        </w:rPr>
        <w:t>ccessed April 21, 2018, www.boj.or.jp/en/announcements/press/koen_2018/data/ko180131a1.pdf; Edward Chancellor, “The </w:t>
      </w:r>
      <w:r w:rsidRPr="0004607E">
        <w:rPr>
          <w:rFonts w:ascii="Arial" w:hAnsi="Arial" w:cs="Arial"/>
          <w:spacing w:val="-4"/>
          <w:kern w:val="17"/>
          <w:sz w:val="17"/>
          <w:szCs w:val="17"/>
          <w:lang w:val="en-GB"/>
        </w:rPr>
        <w:t>Long-</w:t>
      </w:r>
      <w:r w:rsidR="0004607E" w:rsidRPr="0004607E">
        <w:rPr>
          <w:rFonts w:ascii="Arial" w:hAnsi="Arial" w:cs="Arial"/>
          <w:spacing w:val="-4"/>
          <w:kern w:val="17"/>
          <w:sz w:val="17"/>
          <w:szCs w:val="17"/>
          <w:lang w:val="en-GB"/>
        </w:rPr>
        <w:t xml:space="preserve">Term Impact of Low Rates,” </w:t>
      </w:r>
      <w:r w:rsidR="0004607E" w:rsidRPr="0004607E">
        <w:rPr>
          <w:rFonts w:ascii="Arial" w:hAnsi="Arial" w:cs="Arial"/>
          <w:i/>
          <w:spacing w:val="-4"/>
          <w:kern w:val="17"/>
          <w:sz w:val="17"/>
          <w:szCs w:val="17"/>
          <w:lang w:val="en-GB"/>
        </w:rPr>
        <w:t>Financial Times</w:t>
      </w:r>
      <w:r w:rsidR="0004607E">
        <w:rPr>
          <w:rFonts w:ascii="Arial" w:hAnsi="Arial" w:cs="Arial"/>
          <w:spacing w:val="-4"/>
          <w:kern w:val="17"/>
          <w:sz w:val="17"/>
          <w:szCs w:val="17"/>
          <w:lang w:val="en-GB"/>
        </w:rPr>
        <w:t>, </w:t>
      </w:r>
      <w:r w:rsidR="0004607E" w:rsidRPr="0004607E">
        <w:rPr>
          <w:rFonts w:ascii="Arial" w:hAnsi="Arial" w:cs="Arial"/>
          <w:spacing w:val="-4"/>
          <w:kern w:val="17"/>
          <w:sz w:val="17"/>
          <w:szCs w:val="17"/>
          <w:lang w:val="en-GB"/>
        </w:rPr>
        <w:t>September 9, 2012, accessed August 3, 2018, </w:t>
      </w:r>
      <w:r w:rsidRPr="0004607E">
        <w:rPr>
          <w:rFonts w:ascii="Arial" w:hAnsi="Arial" w:cs="Arial"/>
          <w:spacing w:val="-4"/>
          <w:kern w:val="17"/>
          <w:sz w:val="17"/>
          <w:szCs w:val="17"/>
          <w:lang w:val="en-GB"/>
        </w:rPr>
        <w:t>https://www.ft.com/content/9a797d52-f8b8-11e1-8d92-00144feabdc0.</w:t>
      </w:r>
    </w:p>
  </w:endnote>
  <w:endnote w:id="47">
    <w:p w14:paraId="755A8349" w14:textId="39B0B8A8" w:rsidR="00A27D8A" w:rsidRPr="00316BE7" w:rsidRDefault="00A27D8A" w:rsidP="00552077">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“Fifth Year for BoJ Monetary Easing,” </w:t>
      </w:r>
      <w:r w:rsidRPr="00316BE7">
        <w:rPr>
          <w:rFonts w:ascii="Arial" w:hAnsi="Arial" w:cs="Arial"/>
          <w:i/>
          <w:sz w:val="17"/>
          <w:szCs w:val="17"/>
          <w:lang w:val="en-GB"/>
        </w:rPr>
        <w:t>Japan Times</w:t>
      </w:r>
      <w:r w:rsidRPr="00316BE7">
        <w:rPr>
          <w:rFonts w:ascii="Arial" w:hAnsi="Arial" w:cs="Arial"/>
          <w:sz w:val="17"/>
          <w:szCs w:val="17"/>
          <w:lang w:val="en-GB"/>
        </w:rPr>
        <w:t>, April 7, 2017, a</w:t>
      </w:r>
      <w:r w:rsidR="003F72BC">
        <w:rPr>
          <w:rFonts w:ascii="Arial" w:hAnsi="Arial" w:cs="Arial"/>
          <w:sz w:val="17"/>
          <w:szCs w:val="17"/>
          <w:lang w:val="en-GB"/>
        </w:rPr>
        <w:t xml:space="preserve">ccessed August 3, 2018, </w:t>
      </w:r>
      <w:r w:rsidRPr="00316BE7">
        <w:rPr>
          <w:rFonts w:ascii="Arial" w:hAnsi="Arial" w:cs="Arial"/>
          <w:sz w:val="17"/>
          <w:szCs w:val="17"/>
          <w:lang w:val="en-GB"/>
        </w:rPr>
        <w:t xml:space="preserve">www.japantimes.co.jp/opinion/2017/04/07/editorials/fifth-year-boj-monetary-easing/#.W2Ot3NgzZ-U. </w:t>
      </w:r>
    </w:p>
  </w:endnote>
  <w:endnote w:id="48">
    <w:p w14:paraId="0864CE1B" w14:textId="73B488F7" w:rsidR="00A27D8A" w:rsidRPr="00316BE7" w:rsidRDefault="00A27D8A">
      <w:pPr>
        <w:pStyle w:val="EndnoteText"/>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Chancellor, op. cit.</w:t>
      </w:r>
    </w:p>
  </w:endnote>
  <w:endnote w:id="49">
    <w:p w14:paraId="2B3B0BDF" w14:textId="7ED28593" w:rsidR="00A27D8A" w:rsidRPr="00316BE7" w:rsidRDefault="00A27D8A" w:rsidP="00DF5A71">
      <w:pPr>
        <w:pStyle w:val="EndnoteText"/>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Iwata, op. cit.</w:t>
      </w:r>
    </w:p>
  </w:endnote>
  <w:endnote w:id="50">
    <w:p w14:paraId="20D104C5" w14:textId="642986A4" w:rsidR="00A27D8A" w:rsidRPr="00316BE7" w:rsidRDefault="00A27D8A" w:rsidP="00552077">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Takatoshi Ito, Kazumasa Iwata, Colin McKenzie, and Shujiro Urata, “Did Abenomics Succeed?: Editors’ Overview,” </w:t>
      </w:r>
      <w:r w:rsidRPr="00316BE7">
        <w:rPr>
          <w:rFonts w:ascii="Arial" w:hAnsi="Arial" w:cs="Arial"/>
          <w:i/>
          <w:sz w:val="17"/>
          <w:szCs w:val="17"/>
          <w:lang w:val="en-GB"/>
        </w:rPr>
        <w:t>Asian Economic Policy Review</w:t>
      </w:r>
      <w:r w:rsidRPr="00316BE7">
        <w:rPr>
          <w:rFonts w:ascii="Arial" w:hAnsi="Arial" w:cs="Arial"/>
          <w:sz w:val="17"/>
          <w:szCs w:val="17"/>
          <w:lang w:val="en-GB"/>
        </w:rPr>
        <w:t> 13 (2018): 1–22, https://</w:t>
      </w:r>
      <w:r w:rsidRPr="00316BE7">
        <w:rPr>
          <w:rFonts w:ascii="Arial" w:eastAsia="Times New Roman" w:hAnsi="Arial" w:cs="Arial"/>
          <w:sz w:val="17"/>
          <w:szCs w:val="17"/>
          <w:lang w:val="en-GB" w:eastAsia="en-US"/>
        </w:rPr>
        <w:t xml:space="preserve"> </w:t>
      </w:r>
      <w:r w:rsidRPr="00316BE7">
        <w:rPr>
          <w:rFonts w:ascii="Arial" w:hAnsi="Arial" w:cs="Arial"/>
          <w:sz w:val="17"/>
          <w:szCs w:val="17"/>
          <w:lang w:val="en-GB"/>
        </w:rPr>
        <w:t>onlinelibrary.wiley.com/doi/epdf/10.1111/aepr.12215.</w:t>
      </w:r>
    </w:p>
  </w:endnote>
  <w:endnote w:id="51">
    <w:p w14:paraId="13433D09" w14:textId="2A04B0F8"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“General Government Debt and Asset,” Japan Macro Advisors, June 27, 2018, a</w:t>
      </w:r>
      <w:r w:rsidR="003F72BC">
        <w:rPr>
          <w:rFonts w:ascii="Arial" w:hAnsi="Arial" w:cs="Arial"/>
          <w:sz w:val="17"/>
          <w:szCs w:val="17"/>
          <w:lang w:val="en-GB"/>
        </w:rPr>
        <w:t xml:space="preserve">ccessed August 3, 2018, </w:t>
      </w:r>
      <w:r w:rsidRPr="00316BE7">
        <w:rPr>
          <w:rFonts w:ascii="Arial" w:hAnsi="Arial" w:cs="Arial"/>
          <w:sz w:val="17"/>
          <w:szCs w:val="17"/>
          <w:lang w:val="en-GB"/>
        </w:rPr>
        <w:t>www.japanmacroadvisors.com/page/category/economic-indicators/balancesheets/general-government/.</w:t>
      </w:r>
    </w:p>
  </w:endnote>
  <w:endnote w:id="52">
    <w:p w14:paraId="15893FA4" w14:textId="283BB9BD"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w:t>
      </w:r>
      <w:r w:rsidRPr="00316BE7">
        <w:rPr>
          <w:rFonts w:ascii="Arial" w:hAnsi="Arial" w:cs="Arial"/>
          <w:bCs/>
          <w:sz w:val="17"/>
          <w:szCs w:val="17"/>
          <w:lang w:val="en-GB"/>
        </w:rPr>
        <w:t xml:space="preserve">Reiji Yoshida and Cory Baird, “BOJ Chief Faces Tougher Second Term as Reality of Monetary Easing Program Sinks In,” </w:t>
      </w:r>
      <w:r w:rsidRPr="00316BE7">
        <w:rPr>
          <w:rFonts w:ascii="Arial" w:hAnsi="Arial" w:cs="Arial"/>
          <w:bCs/>
          <w:i/>
          <w:sz w:val="17"/>
          <w:szCs w:val="17"/>
          <w:lang w:val="en-GB"/>
        </w:rPr>
        <w:t>Japan Times</w:t>
      </w:r>
      <w:r w:rsidRPr="00316BE7">
        <w:rPr>
          <w:rFonts w:ascii="Arial" w:hAnsi="Arial" w:cs="Arial"/>
          <w:bCs/>
          <w:sz w:val="17"/>
          <w:szCs w:val="17"/>
          <w:lang w:val="en-GB"/>
        </w:rPr>
        <w:t>, March 5, 2018, a</w:t>
      </w:r>
      <w:r w:rsidR="003F72BC">
        <w:rPr>
          <w:rFonts w:ascii="Arial" w:hAnsi="Arial" w:cs="Arial"/>
          <w:bCs/>
          <w:sz w:val="17"/>
          <w:szCs w:val="17"/>
          <w:lang w:val="en-GB"/>
        </w:rPr>
        <w:t>ccessed April 22, 2018, </w:t>
      </w:r>
      <w:r w:rsidRPr="00316BE7">
        <w:rPr>
          <w:rFonts w:ascii="Arial" w:hAnsi="Arial" w:cs="Arial"/>
          <w:bCs/>
          <w:sz w:val="17"/>
          <w:szCs w:val="17"/>
          <w:lang w:val="en-GB"/>
        </w:rPr>
        <w:t>www.japantimes.co.jp/news/2018/03/05/business/economy-business/boj-chief-faces-tougher-second-term-reality-easing-program-sinks/#.Wt4eEbaB3Uo.</w:t>
      </w:r>
    </w:p>
  </w:endnote>
  <w:endnote w:id="53">
    <w:p w14:paraId="4D5B20FD" w14:textId="4E431455"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Ito, “Moment of Truth for the Bank of Japan,” op. cit.</w:t>
      </w:r>
    </w:p>
  </w:endnote>
  <w:endnote w:id="54">
    <w:p w14:paraId="3C0D5C68" w14:textId="45103712" w:rsidR="00A27D8A" w:rsidRPr="00316BE7" w:rsidRDefault="00A27D8A" w:rsidP="00DF5A71">
      <w:pPr>
        <w:pStyle w:val="EndnoteText"/>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Money supply</w:t>
      </w:r>
      <w:r w:rsidR="005C7867" w:rsidRPr="00316BE7">
        <w:rPr>
          <w:rFonts w:ascii="Arial" w:hAnsi="Arial" w:cs="Arial"/>
          <w:sz w:val="17"/>
          <w:szCs w:val="17"/>
          <w:lang w:val="en-GB"/>
        </w:rPr>
        <w:t xml:space="preserve"> </w:t>
      </w:r>
      <w:r w:rsidRPr="00316BE7">
        <w:rPr>
          <w:rFonts w:ascii="Arial" w:hAnsi="Arial" w:cs="Arial"/>
          <w:sz w:val="17"/>
          <w:szCs w:val="17"/>
          <w:lang w:val="en-GB"/>
        </w:rPr>
        <w:t>= k × monetary base, where k refers to the money multiplier.</w:t>
      </w:r>
    </w:p>
  </w:endnote>
  <w:endnote w:id="55">
    <w:p w14:paraId="679EDB18" w14:textId="2648BDF2"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w:t>
      </w:r>
      <w:r w:rsidRPr="00316BE7">
        <w:rPr>
          <w:rFonts w:ascii="Arial" w:hAnsi="Arial" w:cs="Arial"/>
          <w:bCs/>
          <w:sz w:val="17"/>
          <w:szCs w:val="17"/>
          <w:lang w:val="en-GB"/>
        </w:rPr>
        <w:t>Yoshida and</w:t>
      </w:r>
      <w:r w:rsidR="005C7867" w:rsidRPr="00316BE7">
        <w:rPr>
          <w:rFonts w:ascii="Arial" w:hAnsi="Arial" w:cs="Arial"/>
          <w:bCs/>
          <w:sz w:val="17"/>
          <w:szCs w:val="17"/>
          <w:lang w:val="en-GB"/>
        </w:rPr>
        <w:t xml:space="preserve"> </w:t>
      </w:r>
      <w:r w:rsidRPr="00316BE7">
        <w:rPr>
          <w:rFonts w:ascii="Arial" w:hAnsi="Arial" w:cs="Arial"/>
          <w:bCs/>
          <w:sz w:val="17"/>
          <w:szCs w:val="17"/>
          <w:lang w:val="en-GB"/>
        </w:rPr>
        <w:t>Baird, op. cit.</w:t>
      </w:r>
    </w:p>
  </w:endnote>
  <w:endnote w:id="56">
    <w:p w14:paraId="54481557" w14:textId="3C0844FA"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w:t>
      </w:r>
      <w:r w:rsidRPr="00316BE7">
        <w:rPr>
          <w:rFonts w:ascii="Arial" w:hAnsi="Arial" w:cs="Arial"/>
          <w:bCs/>
          <w:sz w:val="17"/>
          <w:szCs w:val="17"/>
          <w:lang w:val="en-GB"/>
        </w:rPr>
        <w:t>Ibid.</w:t>
      </w:r>
    </w:p>
  </w:endnote>
  <w:endnote w:id="57">
    <w:p w14:paraId="6C677A7A" w14:textId="45A9DBA3" w:rsidR="00A27D8A" w:rsidRPr="00316BE7" w:rsidRDefault="00A27D8A" w:rsidP="00DF5A71">
      <w:pPr>
        <w:pStyle w:val="EndnoteText"/>
        <w:jc w:val="both"/>
        <w:rPr>
          <w:rFonts w:ascii="Arial" w:hAnsi="Arial" w:cs="Arial"/>
          <w:spacing w:val="-4"/>
          <w:kern w:val="17"/>
          <w:sz w:val="17"/>
          <w:szCs w:val="17"/>
          <w:lang w:val="en-GB"/>
        </w:rPr>
      </w:pPr>
      <w:r w:rsidRPr="00316BE7">
        <w:rPr>
          <w:rStyle w:val="EndnoteReference"/>
          <w:rFonts w:ascii="Arial" w:hAnsi="Arial" w:cs="Arial"/>
          <w:spacing w:val="-4"/>
          <w:kern w:val="17"/>
          <w:sz w:val="17"/>
          <w:szCs w:val="17"/>
          <w:lang w:val="en-GB"/>
        </w:rPr>
        <w:endnoteRef/>
      </w:r>
      <w:r w:rsidRPr="00316BE7">
        <w:rPr>
          <w:rFonts w:ascii="Arial" w:hAnsi="Arial" w:cs="Arial"/>
          <w:spacing w:val="-4"/>
          <w:kern w:val="17"/>
          <w:sz w:val="17"/>
          <w:szCs w:val="17"/>
          <w:lang w:val="en-GB"/>
        </w:rPr>
        <w:t xml:space="preserve"> “U.S. Dollar to Japanese Yen Spot Exchange Rates for 2013 from the Bank of England,” Pound Sterling Live, a</w:t>
      </w:r>
      <w:r w:rsidR="003F72BC">
        <w:rPr>
          <w:rFonts w:ascii="Arial" w:hAnsi="Arial" w:cs="Arial"/>
          <w:spacing w:val="-4"/>
          <w:kern w:val="17"/>
          <w:sz w:val="17"/>
          <w:szCs w:val="17"/>
          <w:lang w:val="en-GB"/>
        </w:rPr>
        <w:t xml:space="preserve">ccessed April 23, 2018, </w:t>
      </w:r>
      <w:r w:rsidRPr="00316BE7">
        <w:rPr>
          <w:rFonts w:ascii="Arial" w:hAnsi="Arial" w:cs="Arial"/>
          <w:spacing w:val="-4"/>
          <w:kern w:val="17"/>
          <w:sz w:val="17"/>
          <w:szCs w:val="17"/>
          <w:lang w:val="en-GB"/>
        </w:rPr>
        <w:t xml:space="preserve">www.poundsterlinglive.com/bank-of-england-spot/historical-spot-exchange-rates/usd/USD-to-JPY-2013. </w:t>
      </w:r>
    </w:p>
  </w:endnote>
  <w:endnote w:id="58">
    <w:p w14:paraId="38ED015D" w14:textId="5F4F13C3" w:rsidR="00A27D8A" w:rsidRPr="00316BE7" w:rsidRDefault="00A27D8A" w:rsidP="008323CB">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w:t>
      </w:r>
      <w:r w:rsidRPr="00316BE7">
        <w:rPr>
          <w:rFonts w:ascii="Arial" w:hAnsi="Arial" w:cs="Arial"/>
          <w:bCs/>
          <w:sz w:val="17"/>
          <w:szCs w:val="17"/>
          <w:lang w:val="en-GB"/>
        </w:rPr>
        <w:t>Yoshida and Baird, op. cit.</w:t>
      </w:r>
    </w:p>
  </w:endnote>
  <w:endnote w:id="59">
    <w:p w14:paraId="14EC7C7F" w14:textId="1166E442" w:rsidR="00A27D8A" w:rsidRPr="00316BE7" w:rsidRDefault="00A27D8A" w:rsidP="00552077">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Richard Smith, “Will 2018 Be the Year Abenomics Finally Comes of Age?,” </w:t>
      </w:r>
      <w:r w:rsidRPr="00586C3F">
        <w:rPr>
          <w:rFonts w:ascii="Arial" w:hAnsi="Arial" w:cs="Arial"/>
          <w:i/>
          <w:sz w:val="17"/>
          <w:szCs w:val="17"/>
          <w:lang w:val="en-GB"/>
        </w:rPr>
        <w:t>The National</w:t>
      </w:r>
      <w:r w:rsidRPr="00316BE7">
        <w:rPr>
          <w:rFonts w:ascii="Arial" w:hAnsi="Arial" w:cs="Arial"/>
          <w:sz w:val="17"/>
          <w:szCs w:val="17"/>
          <w:lang w:val="en-GB"/>
        </w:rPr>
        <w:t>, January 3, 2018, accessed August 3, 2018, https://www.thenational.ae/business/economy/will-2018-be-the-year-abenomics-finally-comes-of-age-1.692574.</w:t>
      </w:r>
    </w:p>
  </w:endnote>
  <w:endnote w:id="60">
    <w:p w14:paraId="58D28C49" w14:textId="2C27C148" w:rsidR="00A27D8A" w:rsidRPr="00316BE7" w:rsidRDefault="00A27D8A" w:rsidP="00DF5A71">
      <w:pPr>
        <w:pStyle w:val="EndnoteText"/>
        <w:jc w:val="both"/>
        <w:rPr>
          <w:rFonts w:ascii="Arial" w:hAnsi="Arial" w:cs="Arial"/>
          <w:bCs/>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w:t>
      </w:r>
      <w:r w:rsidRPr="00316BE7">
        <w:rPr>
          <w:rFonts w:ascii="Arial" w:hAnsi="Arial" w:cs="Arial"/>
          <w:bCs/>
          <w:sz w:val="17"/>
          <w:szCs w:val="17"/>
          <w:lang w:val="en-GB"/>
        </w:rPr>
        <w:t xml:space="preserve">Yoshida and Baird, op. cit. </w:t>
      </w:r>
    </w:p>
  </w:endnote>
  <w:endnote w:id="61">
    <w:p w14:paraId="205CB100" w14:textId="47EFCA02"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Ito, “Moment of Truth for the Bank of Japan,” op. cit.</w:t>
      </w:r>
    </w:p>
  </w:endnote>
  <w:endnote w:id="62">
    <w:p w14:paraId="1EFF16BB" w14:textId="32C90959" w:rsidR="00A27D8A" w:rsidRPr="00316BE7" w:rsidRDefault="00A27D8A" w:rsidP="00DF5A7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Ibid.</w:t>
      </w:r>
    </w:p>
  </w:endnote>
  <w:endnote w:id="63">
    <w:p w14:paraId="3B17D395" w14:textId="02BF5360" w:rsidR="00A27D8A" w:rsidRPr="00316BE7" w:rsidRDefault="00A27D8A" w:rsidP="00FA2BD1">
      <w:pPr>
        <w:pStyle w:val="EndnoteText"/>
        <w:jc w:val="both"/>
        <w:rPr>
          <w:rFonts w:ascii="Arial" w:hAnsi="Arial" w:cs="Arial"/>
          <w:sz w:val="17"/>
          <w:szCs w:val="17"/>
          <w:lang w:val="en-GB"/>
        </w:rPr>
      </w:pPr>
      <w:r w:rsidRPr="00316BE7">
        <w:rPr>
          <w:rStyle w:val="EndnoteReference"/>
          <w:rFonts w:ascii="Arial" w:hAnsi="Arial" w:cs="Arial"/>
          <w:sz w:val="17"/>
          <w:szCs w:val="17"/>
          <w:lang w:val="en-GB"/>
        </w:rPr>
        <w:endnoteRef/>
      </w:r>
      <w:r w:rsidRPr="00316BE7">
        <w:rPr>
          <w:rFonts w:ascii="Arial" w:hAnsi="Arial" w:cs="Arial"/>
          <w:sz w:val="17"/>
          <w:szCs w:val="17"/>
          <w:lang w:val="en-GB"/>
        </w:rPr>
        <w:t xml:space="preserve"> Daniel Shane, “Why Japan’s Economy Still Needs Help after $3 Trillion Binge,” CNN Money, March 9, 2018, accessed May 21, 2018, http://money.cnn.com/2018/03/09/news/economy/japan-economy-central-bank-stimulus/index.html.</w:t>
      </w:r>
    </w:p>
  </w:endnote>
  <w:endnote w:id="64">
    <w:p w14:paraId="1FA7E657" w14:textId="78A0B819" w:rsidR="00F40180" w:rsidRPr="00F40180" w:rsidRDefault="00F40180" w:rsidP="00F40180">
      <w:pPr>
        <w:pStyle w:val="Footnote"/>
      </w:pPr>
      <w:r>
        <w:rPr>
          <w:rStyle w:val="EndnoteReference"/>
        </w:rPr>
        <w:endnoteRef/>
      </w:r>
      <w:r>
        <w:t xml:space="preserve"> </w:t>
      </w:r>
      <w:r w:rsidRPr="00F40180">
        <w:rPr>
          <w:lang w:val="en-GB"/>
        </w:rPr>
        <w:t xml:space="preserve">To understand this better and to see the extent of exposure as a result of monetary easing, </w:t>
      </w:r>
      <w:r>
        <w:rPr>
          <w:lang w:val="en-GB"/>
        </w:rPr>
        <w:t xml:space="preserve">compare </w:t>
      </w:r>
      <w:r w:rsidRPr="00F40180">
        <w:rPr>
          <w:lang w:val="en-GB"/>
        </w:rPr>
        <w:t>Japan</w:t>
      </w:r>
      <w:r>
        <w:rPr>
          <w:lang w:val="en-GB"/>
        </w:rPr>
        <w:t xml:space="preserve"> </w:t>
      </w:r>
      <w:bookmarkStart w:id="4" w:name="_GoBack"/>
      <w:bookmarkEnd w:id="4"/>
      <w:r w:rsidRPr="00F40180">
        <w:rPr>
          <w:lang w:val="en-GB"/>
        </w:rPr>
        <w:t>with the case of the United States, where the Federal Reserve System’s balance sheet was only 23 per cent of US GDP.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6D537" w14:textId="77777777" w:rsidR="00C96A5A" w:rsidRDefault="00C96A5A" w:rsidP="00D75295">
      <w:r>
        <w:separator/>
      </w:r>
    </w:p>
  </w:footnote>
  <w:footnote w:type="continuationSeparator" w:id="0">
    <w:p w14:paraId="15092B89" w14:textId="77777777" w:rsidR="00C96A5A" w:rsidRDefault="00C96A5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CD64" w14:textId="607CA7B5" w:rsidR="00A27D8A" w:rsidRPr="00C92CC4" w:rsidRDefault="00A27D8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40180">
      <w:rPr>
        <w:rFonts w:ascii="Arial" w:hAnsi="Arial"/>
        <w:b/>
        <w:noProof/>
      </w:rPr>
      <w:t>12</w:t>
    </w:r>
    <w:r>
      <w:rPr>
        <w:rFonts w:ascii="Arial" w:hAnsi="Arial"/>
        <w:b/>
      </w:rPr>
      <w:fldChar w:fldCharType="end"/>
    </w:r>
    <w:r w:rsidR="00586C3F">
      <w:rPr>
        <w:rFonts w:ascii="Arial" w:hAnsi="Arial"/>
        <w:b/>
      </w:rPr>
      <w:tab/>
      <w:t>9B18M148</w:t>
    </w:r>
  </w:p>
  <w:p w14:paraId="28823E3C" w14:textId="77777777" w:rsidR="00A27D8A" w:rsidRDefault="00A27D8A" w:rsidP="00D13667">
    <w:pPr>
      <w:pStyle w:val="Header"/>
      <w:tabs>
        <w:tab w:val="clear" w:pos="4680"/>
      </w:tabs>
      <w:rPr>
        <w:sz w:val="18"/>
        <w:szCs w:val="18"/>
      </w:rPr>
    </w:pPr>
  </w:p>
  <w:p w14:paraId="279A5386" w14:textId="77777777" w:rsidR="00A27D8A" w:rsidRPr="00C92CC4" w:rsidRDefault="00A27D8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72E65"/>
    <w:multiLevelType w:val="hybridMultilevel"/>
    <w:tmpl w:val="F2B6D8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2C1"/>
    <w:rsid w:val="00006895"/>
    <w:rsid w:val="00013299"/>
    <w:rsid w:val="00013360"/>
    <w:rsid w:val="00016759"/>
    <w:rsid w:val="000216CE"/>
    <w:rsid w:val="00024ED4"/>
    <w:rsid w:val="00025DC7"/>
    <w:rsid w:val="00027177"/>
    <w:rsid w:val="00033D37"/>
    <w:rsid w:val="00035F09"/>
    <w:rsid w:val="00044ECC"/>
    <w:rsid w:val="0004607E"/>
    <w:rsid w:val="00050EC9"/>
    <w:rsid w:val="000531D3"/>
    <w:rsid w:val="0005646B"/>
    <w:rsid w:val="000648E9"/>
    <w:rsid w:val="0008102D"/>
    <w:rsid w:val="000839A1"/>
    <w:rsid w:val="00086301"/>
    <w:rsid w:val="000933CC"/>
    <w:rsid w:val="00094C0E"/>
    <w:rsid w:val="000C5C85"/>
    <w:rsid w:val="000D3813"/>
    <w:rsid w:val="000D46B6"/>
    <w:rsid w:val="000D7091"/>
    <w:rsid w:val="000E0317"/>
    <w:rsid w:val="000F0C22"/>
    <w:rsid w:val="000F6B09"/>
    <w:rsid w:val="000F6FDC"/>
    <w:rsid w:val="00102656"/>
    <w:rsid w:val="00104567"/>
    <w:rsid w:val="00104916"/>
    <w:rsid w:val="00104AA7"/>
    <w:rsid w:val="0012732D"/>
    <w:rsid w:val="00131CCC"/>
    <w:rsid w:val="001331AC"/>
    <w:rsid w:val="00143F25"/>
    <w:rsid w:val="001501A7"/>
    <w:rsid w:val="00152682"/>
    <w:rsid w:val="00154FC9"/>
    <w:rsid w:val="00155A0C"/>
    <w:rsid w:val="001621F5"/>
    <w:rsid w:val="0019241A"/>
    <w:rsid w:val="00197A03"/>
    <w:rsid w:val="001A1CCE"/>
    <w:rsid w:val="001A22D1"/>
    <w:rsid w:val="001A752D"/>
    <w:rsid w:val="001A757E"/>
    <w:rsid w:val="001B23A8"/>
    <w:rsid w:val="001B3C0D"/>
    <w:rsid w:val="001B466D"/>
    <w:rsid w:val="001B5032"/>
    <w:rsid w:val="001C26CE"/>
    <w:rsid w:val="001C7777"/>
    <w:rsid w:val="001D09F8"/>
    <w:rsid w:val="001D3F36"/>
    <w:rsid w:val="001E364F"/>
    <w:rsid w:val="001E6985"/>
    <w:rsid w:val="001F1405"/>
    <w:rsid w:val="001F4222"/>
    <w:rsid w:val="001F4F4E"/>
    <w:rsid w:val="00203AA1"/>
    <w:rsid w:val="00203B0C"/>
    <w:rsid w:val="0021129C"/>
    <w:rsid w:val="00212129"/>
    <w:rsid w:val="00213E98"/>
    <w:rsid w:val="00217E63"/>
    <w:rsid w:val="0023081A"/>
    <w:rsid w:val="00256B28"/>
    <w:rsid w:val="00261598"/>
    <w:rsid w:val="00263C98"/>
    <w:rsid w:val="00282476"/>
    <w:rsid w:val="00295E9A"/>
    <w:rsid w:val="002A460A"/>
    <w:rsid w:val="002C70C9"/>
    <w:rsid w:val="002E0A99"/>
    <w:rsid w:val="002F460C"/>
    <w:rsid w:val="002F48D6"/>
    <w:rsid w:val="002F6D64"/>
    <w:rsid w:val="00316BE7"/>
    <w:rsid w:val="00317391"/>
    <w:rsid w:val="0032138F"/>
    <w:rsid w:val="003234F1"/>
    <w:rsid w:val="00326216"/>
    <w:rsid w:val="00336580"/>
    <w:rsid w:val="0034571A"/>
    <w:rsid w:val="003505F6"/>
    <w:rsid w:val="00352C3D"/>
    <w:rsid w:val="00354899"/>
    <w:rsid w:val="00355FD6"/>
    <w:rsid w:val="00364A5C"/>
    <w:rsid w:val="00364EFA"/>
    <w:rsid w:val="00367CAE"/>
    <w:rsid w:val="00373FB1"/>
    <w:rsid w:val="003932D3"/>
    <w:rsid w:val="00396B6C"/>
    <w:rsid w:val="00396C76"/>
    <w:rsid w:val="003A20D7"/>
    <w:rsid w:val="003A5A08"/>
    <w:rsid w:val="003B0E77"/>
    <w:rsid w:val="003B30D8"/>
    <w:rsid w:val="003B7EF2"/>
    <w:rsid w:val="003C3FA4"/>
    <w:rsid w:val="003D0BA1"/>
    <w:rsid w:val="003D448D"/>
    <w:rsid w:val="003F2B0C"/>
    <w:rsid w:val="003F5DC2"/>
    <w:rsid w:val="003F72BC"/>
    <w:rsid w:val="004105B2"/>
    <w:rsid w:val="00412900"/>
    <w:rsid w:val="0042007E"/>
    <w:rsid w:val="004221E4"/>
    <w:rsid w:val="0042254F"/>
    <w:rsid w:val="00423DDE"/>
    <w:rsid w:val="004273F8"/>
    <w:rsid w:val="00431D11"/>
    <w:rsid w:val="00433373"/>
    <w:rsid w:val="00433EDD"/>
    <w:rsid w:val="004355A3"/>
    <w:rsid w:val="00446546"/>
    <w:rsid w:val="00452769"/>
    <w:rsid w:val="00457B2E"/>
    <w:rsid w:val="00465348"/>
    <w:rsid w:val="00471E80"/>
    <w:rsid w:val="004772A6"/>
    <w:rsid w:val="00482A87"/>
    <w:rsid w:val="0048450D"/>
    <w:rsid w:val="00487E71"/>
    <w:rsid w:val="004A23D3"/>
    <w:rsid w:val="004A48CB"/>
    <w:rsid w:val="004A7028"/>
    <w:rsid w:val="004B1CCB"/>
    <w:rsid w:val="004B40E6"/>
    <w:rsid w:val="004B632F"/>
    <w:rsid w:val="004D3FB1"/>
    <w:rsid w:val="004D6F21"/>
    <w:rsid w:val="004D73A5"/>
    <w:rsid w:val="004D7F49"/>
    <w:rsid w:val="004E0F1B"/>
    <w:rsid w:val="004E2D70"/>
    <w:rsid w:val="004F2C13"/>
    <w:rsid w:val="005022AC"/>
    <w:rsid w:val="00503188"/>
    <w:rsid w:val="0050671F"/>
    <w:rsid w:val="005115F1"/>
    <w:rsid w:val="005158D7"/>
    <w:rsid w:val="005160F1"/>
    <w:rsid w:val="0052342F"/>
    <w:rsid w:val="00524F2F"/>
    <w:rsid w:val="00527E5C"/>
    <w:rsid w:val="00530EA6"/>
    <w:rsid w:val="00532CF5"/>
    <w:rsid w:val="0053501D"/>
    <w:rsid w:val="00545A0B"/>
    <w:rsid w:val="00546F51"/>
    <w:rsid w:val="00547494"/>
    <w:rsid w:val="00552077"/>
    <w:rsid w:val="005528CB"/>
    <w:rsid w:val="0055499D"/>
    <w:rsid w:val="005575B6"/>
    <w:rsid w:val="00566771"/>
    <w:rsid w:val="00574F82"/>
    <w:rsid w:val="00581E2E"/>
    <w:rsid w:val="005830AD"/>
    <w:rsid w:val="00584105"/>
    <w:rsid w:val="00584F15"/>
    <w:rsid w:val="0058523F"/>
    <w:rsid w:val="00586C3F"/>
    <w:rsid w:val="005943E2"/>
    <w:rsid w:val="005947E1"/>
    <w:rsid w:val="0059514B"/>
    <w:rsid w:val="0059659D"/>
    <w:rsid w:val="005A1B0F"/>
    <w:rsid w:val="005A535E"/>
    <w:rsid w:val="005C7419"/>
    <w:rsid w:val="005C7867"/>
    <w:rsid w:val="0060402D"/>
    <w:rsid w:val="0061272B"/>
    <w:rsid w:val="006163F7"/>
    <w:rsid w:val="006217D0"/>
    <w:rsid w:val="00627C63"/>
    <w:rsid w:val="0063084D"/>
    <w:rsid w:val="00631DCF"/>
    <w:rsid w:val="0063350B"/>
    <w:rsid w:val="0063488A"/>
    <w:rsid w:val="00647CB0"/>
    <w:rsid w:val="0065172A"/>
    <w:rsid w:val="00652606"/>
    <w:rsid w:val="00661EE4"/>
    <w:rsid w:val="00663564"/>
    <w:rsid w:val="00666F46"/>
    <w:rsid w:val="00680E80"/>
    <w:rsid w:val="006946EE"/>
    <w:rsid w:val="00696C6F"/>
    <w:rsid w:val="006A58A9"/>
    <w:rsid w:val="006A606D"/>
    <w:rsid w:val="006C0371"/>
    <w:rsid w:val="006C08B6"/>
    <w:rsid w:val="006C0B1A"/>
    <w:rsid w:val="006C6065"/>
    <w:rsid w:val="006C7BBE"/>
    <w:rsid w:val="006C7F9F"/>
    <w:rsid w:val="006E2F6D"/>
    <w:rsid w:val="006E58F6"/>
    <w:rsid w:val="006E6E95"/>
    <w:rsid w:val="006E77E1"/>
    <w:rsid w:val="006F131D"/>
    <w:rsid w:val="006F5F66"/>
    <w:rsid w:val="00700E88"/>
    <w:rsid w:val="00703511"/>
    <w:rsid w:val="00707B51"/>
    <w:rsid w:val="00711642"/>
    <w:rsid w:val="00724588"/>
    <w:rsid w:val="00744275"/>
    <w:rsid w:val="007507C6"/>
    <w:rsid w:val="00751E0B"/>
    <w:rsid w:val="00752BCD"/>
    <w:rsid w:val="007565DA"/>
    <w:rsid w:val="00763DFA"/>
    <w:rsid w:val="00766DA1"/>
    <w:rsid w:val="00773C51"/>
    <w:rsid w:val="00775841"/>
    <w:rsid w:val="00780D94"/>
    <w:rsid w:val="007866A6"/>
    <w:rsid w:val="00786A71"/>
    <w:rsid w:val="00794FE2"/>
    <w:rsid w:val="007A130D"/>
    <w:rsid w:val="007B3A2A"/>
    <w:rsid w:val="007D1A2D"/>
    <w:rsid w:val="007D4102"/>
    <w:rsid w:val="007E03EC"/>
    <w:rsid w:val="007E20C9"/>
    <w:rsid w:val="007F3DE6"/>
    <w:rsid w:val="007F43B7"/>
    <w:rsid w:val="00821FFC"/>
    <w:rsid w:val="008271CA"/>
    <w:rsid w:val="008323CB"/>
    <w:rsid w:val="00844887"/>
    <w:rsid w:val="008467D5"/>
    <w:rsid w:val="00855B94"/>
    <w:rsid w:val="00865300"/>
    <w:rsid w:val="00874EB7"/>
    <w:rsid w:val="00885248"/>
    <w:rsid w:val="00897156"/>
    <w:rsid w:val="008A2742"/>
    <w:rsid w:val="008A4DC4"/>
    <w:rsid w:val="008B438C"/>
    <w:rsid w:val="008B43C1"/>
    <w:rsid w:val="008B502A"/>
    <w:rsid w:val="008B58D2"/>
    <w:rsid w:val="008B7FEC"/>
    <w:rsid w:val="008D06CA"/>
    <w:rsid w:val="008D3A46"/>
    <w:rsid w:val="008E2DAD"/>
    <w:rsid w:val="008E734D"/>
    <w:rsid w:val="009067A4"/>
    <w:rsid w:val="00921BD7"/>
    <w:rsid w:val="00922129"/>
    <w:rsid w:val="00930885"/>
    <w:rsid w:val="00933D68"/>
    <w:rsid w:val="009340DB"/>
    <w:rsid w:val="0094618C"/>
    <w:rsid w:val="0095684B"/>
    <w:rsid w:val="00956E42"/>
    <w:rsid w:val="009620D3"/>
    <w:rsid w:val="00972498"/>
    <w:rsid w:val="0097481F"/>
    <w:rsid w:val="00974CC6"/>
    <w:rsid w:val="00976AD4"/>
    <w:rsid w:val="00980E28"/>
    <w:rsid w:val="00991603"/>
    <w:rsid w:val="009944E0"/>
    <w:rsid w:val="00995547"/>
    <w:rsid w:val="009A312F"/>
    <w:rsid w:val="009A5348"/>
    <w:rsid w:val="009B0AB7"/>
    <w:rsid w:val="009C5217"/>
    <w:rsid w:val="009C74D0"/>
    <w:rsid w:val="009C76D5"/>
    <w:rsid w:val="009D76FC"/>
    <w:rsid w:val="009E43D0"/>
    <w:rsid w:val="009E4DC8"/>
    <w:rsid w:val="009F13C1"/>
    <w:rsid w:val="009F453C"/>
    <w:rsid w:val="009F7981"/>
    <w:rsid w:val="009F7AA4"/>
    <w:rsid w:val="00A01249"/>
    <w:rsid w:val="00A0357D"/>
    <w:rsid w:val="00A04953"/>
    <w:rsid w:val="00A10AD7"/>
    <w:rsid w:val="00A13E7E"/>
    <w:rsid w:val="00A15497"/>
    <w:rsid w:val="00A21E43"/>
    <w:rsid w:val="00A261BF"/>
    <w:rsid w:val="00A27D8A"/>
    <w:rsid w:val="00A37FE1"/>
    <w:rsid w:val="00A5014C"/>
    <w:rsid w:val="00A551D6"/>
    <w:rsid w:val="00A559DB"/>
    <w:rsid w:val="00A569EA"/>
    <w:rsid w:val="00A56BBF"/>
    <w:rsid w:val="00A60539"/>
    <w:rsid w:val="00A64BFF"/>
    <w:rsid w:val="00AB2776"/>
    <w:rsid w:val="00AC1DAB"/>
    <w:rsid w:val="00AF3068"/>
    <w:rsid w:val="00AF35FC"/>
    <w:rsid w:val="00AF5556"/>
    <w:rsid w:val="00AF5625"/>
    <w:rsid w:val="00B021D8"/>
    <w:rsid w:val="00B03639"/>
    <w:rsid w:val="00B05762"/>
    <w:rsid w:val="00B0652A"/>
    <w:rsid w:val="00B10DDD"/>
    <w:rsid w:val="00B343E8"/>
    <w:rsid w:val="00B40937"/>
    <w:rsid w:val="00B423EF"/>
    <w:rsid w:val="00B453DE"/>
    <w:rsid w:val="00B72597"/>
    <w:rsid w:val="00B866FC"/>
    <w:rsid w:val="00B87B21"/>
    <w:rsid w:val="00B901F9"/>
    <w:rsid w:val="00B9383D"/>
    <w:rsid w:val="00BB789F"/>
    <w:rsid w:val="00BD6EFB"/>
    <w:rsid w:val="00BD749D"/>
    <w:rsid w:val="00BE069F"/>
    <w:rsid w:val="00C00841"/>
    <w:rsid w:val="00C1584D"/>
    <w:rsid w:val="00C15BE2"/>
    <w:rsid w:val="00C16074"/>
    <w:rsid w:val="00C3447F"/>
    <w:rsid w:val="00C5228A"/>
    <w:rsid w:val="00C64D6B"/>
    <w:rsid w:val="00C67102"/>
    <w:rsid w:val="00C81491"/>
    <w:rsid w:val="00C81676"/>
    <w:rsid w:val="00C85C5D"/>
    <w:rsid w:val="00C92CC4"/>
    <w:rsid w:val="00C96A5A"/>
    <w:rsid w:val="00CA0AFB"/>
    <w:rsid w:val="00CA2CE1"/>
    <w:rsid w:val="00CA3976"/>
    <w:rsid w:val="00CA50E3"/>
    <w:rsid w:val="00CA757B"/>
    <w:rsid w:val="00CC1787"/>
    <w:rsid w:val="00CC182C"/>
    <w:rsid w:val="00CD0824"/>
    <w:rsid w:val="00CD2908"/>
    <w:rsid w:val="00CE4FDC"/>
    <w:rsid w:val="00D03A82"/>
    <w:rsid w:val="00D067C2"/>
    <w:rsid w:val="00D13667"/>
    <w:rsid w:val="00D14AAF"/>
    <w:rsid w:val="00D15344"/>
    <w:rsid w:val="00D23F57"/>
    <w:rsid w:val="00D23FEF"/>
    <w:rsid w:val="00D31BEC"/>
    <w:rsid w:val="00D35739"/>
    <w:rsid w:val="00D40E96"/>
    <w:rsid w:val="00D63150"/>
    <w:rsid w:val="00D636BA"/>
    <w:rsid w:val="00D64A32"/>
    <w:rsid w:val="00D64EFC"/>
    <w:rsid w:val="00D75295"/>
    <w:rsid w:val="00D76CE9"/>
    <w:rsid w:val="00D83F29"/>
    <w:rsid w:val="00D97F12"/>
    <w:rsid w:val="00DA6095"/>
    <w:rsid w:val="00DA7910"/>
    <w:rsid w:val="00DB42E7"/>
    <w:rsid w:val="00DD3DD8"/>
    <w:rsid w:val="00DD699B"/>
    <w:rsid w:val="00DE01A6"/>
    <w:rsid w:val="00DE1B4A"/>
    <w:rsid w:val="00DE7A98"/>
    <w:rsid w:val="00DF0DDB"/>
    <w:rsid w:val="00DF2E19"/>
    <w:rsid w:val="00DF32C2"/>
    <w:rsid w:val="00DF5A11"/>
    <w:rsid w:val="00DF5A71"/>
    <w:rsid w:val="00E07CD0"/>
    <w:rsid w:val="00E11BE0"/>
    <w:rsid w:val="00E16371"/>
    <w:rsid w:val="00E1709B"/>
    <w:rsid w:val="00E3664C"/>
    <w:rsid w:val="00E44883"/>
    <w:rsid w:val="00E471A7"/>
    <w:rsid w:val="00E544B5"/>
    <w:rsid w:val="00E635CF"/>
    <w:rsid w:val="00E7719C"/>
    <w:rsid w:val="00E97685"/>
    <w:rsid w:val="00EC3B85"/>
    <w:rsid w:val="00EC6E0A"/>
    <w:rsid w:val="00ED38D0"/>
    <w:rsid w:val="00ED4E18"/>
    <w:rsid w:val="00EE1F37"/>
    <w:rsid w:val="00EF44BA"/>
    <w:rsid w:val="00F0159C"/>
    <w:rsid w:val="00F04155"/>
    <w:rsid w:val="00F04FDC"/>
    <w:rsid w:val="00F05663"/>
    <w:rsid w:val="00F105B7"/>
    <w:rsid w:val="00F11198"/>
    <w:rsid w:val="00F13220"/>
    <w:rsid w:val="00F17A21"/>
    <w:rsid w:val="00F37B27"/>
    <w:rsid w:val="00F37EA1"/>
    <w:rsid w:val="00F40180"/>
    <w:rsid w:val="00F46556"/>
    <w:rsid w:val="00F50E91"/>
    <w:rsid w:val="00F57D29"/>
    <w:rsid w:val="00F72319"/>
    <w:rsid w:val="00F74010"/>
    <w:rsid w:val="00F83191"/>
    <w:rsid w:val="00F96201"/>
    <w:rsid w:val="00FA2BD1"/>
    <w:rsid w:val="00FC4C6F"/>
    <w:rsid w:val="00FD0B18"/>
    <w:rsid w:val="00FD171A"/>
    <w:rsid w:val="00FD2FAD"/>
    <w:rsid w:val="00FD54B0"/>
    <w:rsid w:val="00FE714F"/>
    <w:rsid w:val="00FF0F54"/>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43F5F6"/>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qForma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DF5A71"/>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56E42"/>
    <w:rPr>
      <w:color w:val="808080"/>
      <w:shd w:val="clear" w:color="auto" w:fill="E6E6E6"/>
    </w:rPr>
  </w:style>
  <w:style w:type="character" w:customStyle="1" w:styleId="UnresolvedMention">
    <w:name w:val="Unresolved Mention"/>
    <w:basedOn w:val="DefaultParagraphFont"/>
    <w:uiPriority w:val="99"/>
    <w:semiHidden/>
    <w:unhideWhenUsed/>
    <w:rsid w:val="006127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9046">
      <w:bodyDiv w:val="1"/>
      <w:marLeft w:val="0"/>
      <w:marRight w:val="0"/>
      <w:marTop w:val="0"/>
      <w:marBottom w:val="0"/>
      <w:divBdr>
        <w:top w:val="none" w:sz="0" w:space="0" w:color="auto"/>
        <w:left w:val="none" w:sz="0" w:space="0" w:color="auto"/>
        <w:bottom w:val="none" w:sz="0" w:space="0" w:color="auto"/>
        <w:right w:val="none" w:sz="0" w:space="0" w:color="auto"/>
      </w:divBdr>
    </w:div>
    <w:div w:id="270280397">
      <w:bodyDiv w:val="1"/>
      <w:marLeft w:val="0"/>
      <w:marRight w:val="0"/>
      <w:marTop w:val="0"/>
      <w:marBottom w:val="0"/>
      <w:divBdr>
        <w:top w:val="none" w:sz="0" w:space="0" w:color="auto"/>
        <w:left w:val="none" w:sz="0" w:space="0" w:color="auto"/>
        <w:bottom w:val="none" w:sz="0" w:space="0" w:color="auto"/>
        <w:right w:val="none" w:sz="0" w:space="0" w:color="auto"/>
      </w:divBdr>
      <w:divsChild>
        <w:div w:id="955216210">
          <w:marLeft w:val="0"/>
          <w:marRight w:val="0"/>
          <w:marTop w:val="0"/>
          <w:marBottom w:val="0"/>
          <w:divBdr>
            <w:top w:val="none" w:sz="0" w:space="0" w:color="auto"/>
            <w:left w:val="none" w:sz="0" w:space="0" w:color="auto"/>
            <w:bottom w:val="none" w:sz="0" w:space="0" w:color="auto"/>
            <w:right w:val="none" w:sz="0" w:space="0" w:color="auto"/>
          </w:divBdr>
        </w:div>
        <w:div w:id="117920122">
          <w:marLeft w:val="0"/>
          <w:marRight w:val="0"/>
          <w:marTop w:val="0"/>
          <w:marBottom w:val="0"/>
          <w:divBdr>
            <w:top w:val="none" w:sz="0" w:space="0" w:color="auto"/>
            <w:left w:val="none" w:sz="0" w:space="0" w:color="auto"/>
            <w:bottom w:val="none" w:sz="0" w:space="0" w:color="auto"/>
            <w:right w:val="none" w:sz="0" w:space="0" w:color="auto"/>
          </w:divBdr>
        </w:div>
        <w:div w:id="1300185968">
          <w:marLeft w:val="0"/>
          <w:marRight w:val="0"/>
          <w:marTop w:val="0"/>
          <w:marBottom w:val="0"/>
          <w:divBdr>
            <w:top w:val="none" w:sz="0" w:space="0" w:color="auto"/>
            <w:left w:val="none" w:sz="0" w:space="0" w:color="auto"/>
            <w:bottom w:val="none" w:sz="0" w:space="0" w:color="auto"/>
            <w:right w:val="none" w:sz="0" w:space="0" w:color="auto"/>
          </w:divBdr>
        </w:div>
        <w:div w:id="859662517">
          <w:marLeft w:val="0"/>
          <w:marRight w:val="0"/>
          <w:marTop w:val="0"/>
          <w:marBottom w:val="0"/>
          <w:divBdr>
            <w:top w:val="none" w:sz="0" w:space="0" w:color="auto"/>
            <w:left w:val="none" w:sz="0" w:space="0" w:color="auto"/>
            <w:bottom w:val="none" w:sz="0" w:space="0" w:color="auto"/>
            <w:right w:val="none" w:sz="0" w:space="0" w:color="auto"/>
          </w:divBdr>
        </w:div>
      </w:divsChild>
    </w:div>
    <w:div w:id="326054616">
      <w:bodyDiv w:val="1"/>
      <w:marLeft w:val="0"/>
      <w:marRight w:val="0"/>
      <w:marTop w:val="0"/>
      <w:marBottom w:val="0"/>
      <w:divBdr>
        <w:top w:val="none" w:sz="0" w:space="0" w:color="auto"/>
        <w:left w:val="none" w:sz="0" w:space="0" w:color="auto"/>
        <w:bottom w:val="none" w:sz="0" w:space="0" w:color="auto"/>
        <w:right w:val="none" w:sz="0" w:space="0" w:color="auto"/>
      </w:divBdr>
    </w:div>
    <w:div w:id="344334273">
      <w:bodyDiv w:val="1"/>
      <w:marLeft w:val="0"/>
      <w:marRight w:val="0"/>
      <w:marTop w:val="0"/>
      <w:marBottom w:val="0"/>
      <w:divBdr>
        <w:top w:val="none" w:sz="0" w:space="0" w:color="auto"/>
        <w:left w:val="none" w:sz="0" w:space="0" w:color="auto"/>
        <w:bottom w:val="none" w:sz="0" w:space="0" w:color="auto"/>
        <w:right w:val="none" w:sz="0" w:space="0" w:color="auto"/>
      </w:divBdr>
    </w:div>
    <w:div w:id="577640336">
      <w:bodyDiv w:val="1"/>
      <w:marLeft w:val="0"/>
      <w:marRight w:val="0"/>
      <w:marTop w:val="0"/>
      <w:marBottom w:val="0"/>
      <w:divBdr>
        <w:top w:val="none" w:sz="0" w:space="0" w:color="auto"/>
        <w:left w:val="none" w:sz="0" w:space="0" w:color="auto"/>
        <w:bottom w:val="none" w:sz="0" w:space="0" w:color="auto"/>
        <w:right w:val="none" w:sz="0" w:space="0" w:color="auto"/>
      </w:divBdr>
    </w:div>
    <w:div w:id="803082140">
      <w:bodyDiv w:val="1"/>
      <w:marLeft w:val="0"/>
      <w:marRight w:val="0"/>
      <w:marTop w:val="0"/>
      <w:marBottom w:val="0"/>
      <w:divBdr>
        <w:top w:val="none" w:sz="0" w:space="0" w:color="auto"/>
        <w:left w:val="none" w:sz="0" w:space="0" w:color="auto"/>
        <w:bottom w:val="none" w:sz="0" w:space="0" w:color="auto"/>
        <w:right w:val="none" w:sz="0" w:space="0" w:color="auto"/>
      </w:divBdr>
    </w:div>
    <w:div w:id="812217673">
      <w:bodyDiv w:val="1"/>
      <w:marLeft w:val="0"/>
      <w:marRight w:val="0"/>
      <w:marTop w:val="0"/>
      <w:marBottom w:val="0"/>
      <w:divBdr>
        <w:top w:val="none" w:sz="0" w:space="0" w:color="auto"/>
        <w:left w:val="none" w:sz="0" w:space="0" w:color="auto"/>
        <w:bottom w:val="none" w:sz="0" w:space="0" w:color="auto"/>
        <w:right w:val="none" w:sz="0" w:space="0" w:color="auto"/>
      </w:divBdr>
    </w:div>
    <w:div w:id="991912983">
      <w:bodyDiv w:val="1"/>
      <w:marLeft w:val="0"/>
      <w:marRight w:val="0"/>
      <w:marTop w:val="0"/>
      <w:marBottom w:val="0"/>
      <w:divBdr>
        <w:top w:val="none" w:sz="0" w:space="0" w:color="auto"/>
        <w:left w:val="none" w:sz="0" w:space="0" w:color="auto"/>
        <w:bottom w:val="none" w:sz="0" w:space="0" w:color="auto"/>
        <w:right w:val="none" w:sz="0" w:space="0" w:color="auto"/>
      </w:divBdr>
      <w:divsChild>
        <w:div w:id="1516337838">
          <w:marLeft w:val="0"/>
          <w:marRight w:val="0"/>
          <w:marTop w:val="0"/>
          <w:marBottom w:val="0"/>
          <w:divBdr>
            <w:top w:val="none" w:sz="0" w:space="0" w:color="auto"/>
            <w:left w:val="none" w:sz="0" w:space="0" w:color="auto"/>
            <w:bottom w:val="none" w:sz="0" w:space="0" w:color="auto"/>
            <w:right w:val="none" w:sz="0" w:space="0" w:color="auto"/>
          </w:divBdr>
        </w:div>
        <w:div w:id="582297015">
          <w:marLeft w:val="0"/>
          <w:marRight w:val="0"/>
          <w:marTop w:val="0"/>
          <w:marBottom w:val="0"/>
          <w:divBdr>
            <w:top w:val="none" w:sz="0" w:space="0" w:color="auto"/>
            <w:left w:val="none" w:sz="0" w:space="0" w:color="auto"/>
            <w:bottom w:val="none" w:sz="0" w:space="0" w:color="auto"/>
            <w:right w:val="none" w:sz="0" w:space="0" w:color="auto"/>
          </w:divBdr>
        </w:div>
        <w:div w:id="1636255104">
          <w:marLeft w:val="0"/>
          <w:marRight w:val="0"/>
          <w:marTop w:val="0"/>
          <w:marBottom w:val="0"/>
          <w:divBdr>
            <w:top w:val="none" w:sz="0" w:space="0" w:color="auto"/>
            <w:left w:val="none" w:sz="0" w:space="0" w:color="auto"/>
            <w:bottom w:val="none" w:sz="0" w:space="0" w:color="auto"/>
            <w:right w:val="none" w:sz="0" w:space="0" w:color="auto"/>
          </w:divBdr>
        </w:div>
        <w:div w:id="1426801487">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oj.or.jp/en/announcements/education/oshiete/seisaku/b38.htm/" TargetMode="External"/><Relationship Id="rId18" Type="http://schemas.openxmlformats.org/officeDocument/2006/relationships/chart" Target="charts/chart1.xm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fred.stlouisfed.org/series/IRSTCI01JPM156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pan.go.jp/abenomics/about/" TargetMode="External"/><Relationship Id="rId17" Type="http://schemas.openxmlformats.org/officeDocument/2006/relationships/hyperlink" Target="http://macroeconomicanalysis.com/macroeconomics-wikipedia/zero-lower-bound-problem/" TargetMode="External"/><Relationship Id="rId25" Type="http://schemas.openxmlformats.org/officeDocument/2006/relationships/diagramLayout" Target="diagrams/layou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y/yieldcurve.asp" TargetMode="External"/><Relationship Id="rId20" Type="http://schemas.openxmlformats.org/officeDocument/2006/relationships/chart" Target="charts/chart2.xml"/><Relationship Id="rId29" Type="http://schemas.openxmlformats.org/officeDocument/2006/relationships/hyperlink" Target="https://www.boj.or.jp/en/announcements/release_2016/k160129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diagramData" Target="diagrams/data1.xml"/><Relationship Id="rId32" Type="http://schemas.openxmlformats.org/officeDocument/2006/relationships/header" Target="header1.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researchbriefings.files.parliament.uk/documents/SN06629/SN06629.pdf" TargetMode="External"/><Relationship Id="rId23" Type="http://schemas.openxmlformats.org/officeDocument/2006/relationships/hyperlink" Target="https://www.boj.or.jp/en/announcements/release_2016/k160921b.pdf" TargetMode="External"/><Relationship Id="rId28" Type="http://schemas.microsoft.com/office/2007/relationships/diagramDrawing" Target="diagrams/drawing1.xml"/><Relationship Id="rId10" Type="http://schemas.openxmlformats.org/officeDocument/2006/relationships/hyperlink" Target="mailto:cases@ivey.ca" TargetMode="External"/><Relationship Id="rId19" Type="http://schemas.openxmlformats.org/officeDocument/2006/relationships/hyperlink" Target="http://www.imf.org/external/datamapper/NGDP_RPCH@WEO/OEMDC/ADVEC/WEOWORLD/JPN/OEMDC/ADVEC/WEOWORLD/JPN?year=2018" TargetMode="External"/><Relationship Id="rId31" Type="http://schemas.openxmlformats.org/officeDocument/2006/relationships/hyperlink" Target="https://www.boj.or.jp/en/announcements/release_2016/k160129a.pdf" TargetMode="External"/><Relationship Id="rId4" Type="http://schemas.openxmlformats.org/officeDocument/2006/relationships/settings" Target="settings.xml"/><Relationship Id="rId9" Type="http://schemas.openxmlformats.org/officeDocument/2006/relationships/hyperlink" Target="https://iveypubs.my.salesforce.com/003A000001EUF89" TargetMode="External"/><Relationship Id="rId14" Type="http://schemas.openxmlformats.org/officeDocument/2006/relationships/hyperlink" Target="https://www.boj.or.jp/en/statistics/outline/note/notest31.htm/" TargetMode="External"/><Relationship Id="rId22" Type="http://schemas.openxmlformats.org/officeDocument/2006/relationships/hyperlink" Target="https://www.boj.or.jp/en/statistics/boj/other/discount/discount.htm/" TargetMode="External"/><Relationship Id="rId27" Type="http://schemas.openxmlformats.org/officeDocument/2006/relationships/diagramColors" Target="diagrams/colors1.xm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Users\tulsi\Documents\Documents\TULSI%20FILES%20NOV%202014\CASES\WIP\JAPAN\Japanese%20economy%20case\CASE%20DATA%20JAPAN.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tulsi\Documents\Documents\TULSI%20FILES%20NOV%202014\CASES\WIP\JAPAN\Japanese%20economy%20case\CASE%20DATA%20JAPAN.xl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tulsi\Documents\Documents\TULSI%20FILES%20NOV%202014\CASES\WIP\JAPAN\Japanese%20economy%20case\CASE%20DATA%20JAPA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'[CASE DATA JAPAN.xls]Inflation'!$B$1</c:f>
              <c:strCache>
                <c:ptCount val="1"/>
                <c:pt idx="0">
                  <c:v>Real GDP growth (annual per cent change)</c:v>
                </c:pt>
              </c:strCache>
            </c:strRef>
          </c:tx>
          <c:spPr>
            <a:ln w="19050" cap="rnd">
              <a:solidFill>
                <a:schemeClr val="tx1"/>
              </a:solidFill>
              <a:round/>
            </a:ln>
            <a:effectLst/>
          </c:spPr>
          <c:marker>
            <c:symbol val="none"/>
          </c:marker>
          <c:cat>
            <c:numRef>
              <c:f>'[CASE DATA JAPAN.xls]Inflation'!$A$2:$A$40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'[CASE DATA JAPAN.xls]Inflation'!$B$2:$B$40</c:f>
              <c:numCache>
                <c:formatCode>General</c:formatCode>
                <c:ptCount val="39"/>
                <c:pt idx="0">
                  <c:v>3.2</c:v>
                </c:pt>
                <c:pt idx="1">
                  <c:v>4.5</c:v>
                </c:pt>
                <c:pt idx="2">
                  <c:v>3.6</c:v>
                </c:pt>
                <c:pt idx="3">
                  <c:v>3</c:v>
                </c:pt>
                <c:pt idx="4">
                  <c:v>4.5</c:v>
                </c:pt>
                <c:pt idx="5">
                  <c:v>6.2</c:v>
                </c:pt>
                <c:pt idx="6">
                  <c:v>3.2</c:v>
                </c:pt>
                <c:pt idx="7">
                  <c:v>4</c:v>
                </c:pt>
                <c:pt idx="8">
                  <c:v>7.1</c:v>
                </c:pt>
                <c:pt idx="9">
                  <c:v>5.4</c:v>
                </c:pt>
                <c:pt idx="10">
                  <c:v>5.3</c:v>
                </c:pt>
                <c:pt idx="11">
                  <c:v>3.4</c:v>
                </c:pt>
                <c:pt idx="12">
                  <c:v>0.9</c:v>
                </c:pt>
                <c:pt idx="13">
                  <c:v>0.2</c:v>
                </c:pt>
                <c:pt idx="14">
                  <c:v>1</c:v>
                </c:pt>
                <c:pt idx="15">
                  <c:v>2.7</c:v>
                </c:pt>
                <c:pt idx="16">
                  <c:v>3.1</c:v>
                </c:pt>
                <c:pt idx="17">
                  <c:v>1.1000000000000001</c:v>
                </c:pt>
                <c:pt idx="18">
                  <c:v>-1.1000000000000001</c:v>
                </c:pt>
                <c:pt idx="19">
                  <c:v>-0.3</c:v>
                </c:pt>
                <c:pt idx="20">
                  <c:v>2.8</c:v>
                </c:pt>
                <c:pt idx="21">
                  <c:v>0.4</c:v>
                </c:pt>
                <c:pt idx="22">
                  <c:v>0.1</c:v>
                </c:pt>
                <c:pt idx="23">
                  <c:v>1.5</c:v>
                </c:pt>
                <c:pt idx="24">
                  <c:v>2.2000000000000002</c:v>
                </c:pt>
                <c:pt idx="25">
                  <c:v>1.7</c:v>
                </c:pt>
                <c:pt idx="26">
                  <c:v>1.4</c:v>
                </c:pt>
                <c:pt idx="27">
                  <c:v>1.7</c:v>
                </c:pt>
                <c:pt idx="28">
                  <c:v>-1.1000000000000001</c:v>
                </c:pt>
                <c:pt idx="29">
                  <c:v>-5.4</c:v>
                </c:pt>
                <c:pt idx="30">
                  <c:v>4.2</c:v>
                </c:pt>
                <c:pt idx="31">
                  <c:v>-0.1</c:v>
                </c:pt>
                <c:pt idx="32">
                  <c:v>1.5</c:v>
                </c:pt>
                <c:pt idx="33">
                  <c:v>2</c:v>
                </c:pt>
                <c:pt idx="34">
                  <c:v>0.3</c:v>
                </c:pt>
                <c:pt idx="35">
                  <c:v>1.1000000000000001</c:v>
                </c:pt>
                <c:pt idx="36">
                  <c:v>1</c:v>
                </c:pt>
                <c:pt idx="37">
                  <c:v>1.5</c:v>
                </c:pt>
                <c:pt idx="38">
                  <c:v>0.7</c:v>
                </c:pt>
              </c:numCache>
            </c:numRef>
          </c:val>
          <c:smooth val="0"/>
          <c:extLst xmlns:c16r2="http://schemas.microsoft.com/office/drawing/2015/06/chart">
            <c:ext xmlns:c16="http://schemas.microsoft.com/office/drawing/2014/chart" uri="{C3380CC4-5D6E-409C-BE32-E72D297353CC}">
              <c16:uniqueId val="{00000000-DD7E-7242-AE5F-6409B47B5A4F}"/>
            </c:ext>
          </c:extLst>
        </c:ser>
        <c:ser>
          <c:idx val="1"/>
          <c:order val="1"/>
          <c:tx>
            <c:strRef>
              <c:f>'[CASE DATA JAPAN.xls]Inflation'!$C$1</c:f>
              <c:strCache>
                <c:ptCount val="1"/>
                <c:pt idx="0">
                  <c:v>Inflation rate, average consumer prices (annual per cent change)</c:v>
                </c:pt>
              </c:strCache>
            </c:strRef>
          </c:tx>
          <c:spPr>
            <a:ln w="19050" cap="rnd">
              <a:solidFill>
                <a:schemeClr val="bg1">
                  <a:lumMod val="50000"/>
                </a:schemeClr>
              </a:solidFill>
              <a:round/>
            </a:ln>
            <a:effectLst/>
          </c:spPr>
          <c:marker>
            <c:symbol val="none"/>
          </c:marker>
          <c:cat>
            <c:numRef>
              <c:f>'[CASE DATA JAPAN.xls]Inflation'!$A$2:$A$40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'[CASE DATA JAPAN.xls]Inflation'!$C$2:$C$40</c:f>
              <c:numCache>
                <c:formatCode>General</c:formatCode>
                <c:ptCount val="39"/>
                <c:pt idx="0">
                  <c:v>7.8</c:v>
                </c:pt>
                <c:pt idx="1">
                  <c:v>4.9000000000000004</c:v>
                </c:pt>
                <c:pt idx="2">
                  <c:v>2.7</c:v>
                </c:pt>
                <c:pt idx="3">
                  <c:v>1.9</c:v>
                </c:pt>
                <c:pt idx="4">
                  <c:v>2.2999999999999998</c:v>
                </c:pt>
                <c:pt idx="5">
                  <c:v>2</c:v>
                </c:pt>
                <c:pt idx="6">
                  <c:v>0.6</c:v>
                </c:pt>
                <c:pt idx="7">
                  <c:v>0.1</c:v>
                </c:pt>
                <c:pt idx="8">
                  <c:v>0.7</c:v>
                </c:pt>
                <c:pt idx="9">
                  <c:v>2.2999999999999998</c:v>
                </c:pt>
                <c:pt idx="10">
                  <c:v>3.1</c:v>
                </c:pt>
                <c:pt idx="11">
                  <c:v>3.3</c:v>
                </c:pt>
                <c:pt idx="12">
                  <c:v>1.8</c:v>
                </c:pt>
                <c:pt idx="13">
                  <c:v>1.2</c:v>
                </c:pt>
                <c:pt idx="14">
                  <c:v>0.7</c:v>
                </c:pt>
                <c:pt idx="15">
                  <c:v>-0.1</c:v>
                </c:pt>
                <c:pt idx="16">
                  <c:v>0.1</c:v>
                </c:pt>
                <c:pt idx="17">
                  <c:v>1.7</c:v>
                </c:pt>
                <c:pt idx="18">
                  <c:v>0.7</c:v>
                </c:pt>
                <c:pt idx="19">
                  <c:v>-0.3</c:v>
                </c:pt>
                <c:pt idx="20">
                  <c:v>-0.7</c:v>
                </c:pt>
                <c:pt idx="21">
                  <c:v>-0.7</c:v>
                </c:pt>
                <c:pt idx="22">
                  <c:v>-0.9</c:v>
                </c:pt>
                <c:pt idx="23">
                  <c:v>-0.3</c:v>
                </c:pt>
                <c:pt idx="24">
                  <c:v>0</c:v>
                </c:pt>
                <c:pt idx="25">
                  <c:v>-0.3</c:v>
                </c:pt>
                <c:pt idx="26">
                  <c:v>0.3</c:v>
                </c:pt>
                <c:pt idx="27">
                  <c:v>0.1</c:v>
                </c:pt>
                <c:pt idx="28">
                  <c:v>1.4</c:v>
                </c:pt>
                <c:pt idx="29">
                  <c:v>-1.3</c:v>
                </c:pt>
                <c:pt idx="30">
                  <c:v>-0.7</c:v>
                </c:pt>
                <c:pt idx="31">
                  <c:v>-0.3</c:v>
                </c:pt>
                <c:pt idx="32">
                  <c:v>-0.1</c:v>
                </c:pt>
                <c:pt idx="33">
                  <c:v>0.3</c:v>
                </c:pt>
                <c:pt idx="34">
                  <c:v>2.8</c:v>
                </c:pt>
                <c:pt idx="35">
                  <c:v>0.8</c:v>
                </c:pt>
                <c:pt idx="36">
                  <c:v>-0.1</c:v>
                </c:pt>
                <c:pt idx="37">
                  <c:v>0.4</c:v>
                </c:pt>
                <c:pt idx="38">
                  <c:v>0.5</c:v>
                </c:pt>
              </c:numCache>
            </c:numRef>
          </c:val>
          <c:smooth val="0"/>
          <c:extLst xmlns:c16r2="http://schemas.microsoft.com/office/drawing/2015/06/chart">
            <c:ext xmlns:c16="http://schemas.microsoft.com/office/drawing/2014/chart" uri="{C3380CC4-5D6E-409C-BE32-E72D297353CC}">
              <c16:uniqueId val="{00000001-DD7E-7242-AE5F-6409B47B5A4F}"/>
            </c:ext>
          </c:extLst>
        </c:ser>
        <c:dLbls>
          <c:showLegendKey val="0"/>
          <c:showVal val="0"/>
          <c:showCatName val="0"/>
          <c:showSerName val="0"/>
          <c:showPercent val="0"/>
          <c:showBubbleSize val="0"/>
        </c:dLbls>
        <c:smooth val="0"/>
        <c:axId val="386881080"/>
        <c:axId val="386879512"/>
      </c:lineChart>
      <c:catAx>
        <c:axId val="386881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vert="horz"/>
          <a:lstStyle/>
          <a:p>
            <a:pPr>
              <a:defRPr sz="900" b="0" i="0" u="none" strike="noStrike" baseline="0">
                <a:solidFill>
                  <a:srgbClr val="333333"/>
                </a:solidFill>
                <a:latin typeface="Calibri"/>
                <a:ea typeface="Calibri"/>
                <a:cs typeface="Calibri"/>
              </a:defRPr>
            </a:pPr>
            <a:endParaRPr lang="en-US"/>
          </a:p>
        </c:txPr>
        <c:crossAx val="386879512"/>
        <c:crosses val="autoZero"/>
        <c:auto val="1"/>
        <c:lblAlgn val="ctr"/>
        <c:lblOffset val="100"/>
        <c:noMultiLvlLbl val="0"/>
      </c:catAx>
      <c:valAx>
        <c:axId val="386879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IN"/>
                  <a:t>Real GDP growth and inflation rate (%)</a:t>
                </a: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386881080"/>
        <c:crosses val="autoZero"/>
        <c:crossBetween val="between"/>
      </c:valAx>
      <c:spPr>
        <a:noFill/>
        <a:ln w="25400">
          <a:noFill/>
        </a:ln>
      </c:spPr>
    </c:plotArea>
    <c:legend>
      <c:legendPos val="b"/>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'[CASE DATA JAPAN.xls]Sheet4'!$B$47</c:f>
              <c:strCache>
                <c:ptCount val="1"/>
                <c:pt idx="0">
                  <c:v>Overnight call money rate</c:v>
                </c:pt>
              </c:strCache>
            </c:strRef>
          </c:tx>
          <c:spPr>
            <a:ln w="28575" cap="rnd" cmpd="sng" algn="ctr">
              <a:solidFill>
                <a:schemeClr val="dk1">
                  <a:tint val="88500"/>
                  <a:shade val="95000"/>
                  <a:satMod val="105000"/>
                </a:schemeClr>
              </a:solidFill>
              <a:prstDash val="solid"/>
              <a:round/>
            </a:ln>
            <a:effectLst/>
          </c:spPr>
          <c:marker>
            <c:symbol val="none"/>
          </c:marker>
          <c:cat>
            <c:numRef>
              <c:f>'[CASE DATA JAPAN.xls]Sheet4'!$A$48:$A$80</c:f>
              <c:numCache>
                <c:formatCode>General</c:formatCode>
                <c:ptCount val="33"/>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numCache>
            </c:numRef>
          </c:cat>
          <c:val>
            <c:numRef>
              <c:f>'[CASE DATA JAPAN.xls]Sheet4'!$B$48:$B$80</c:f>
              <c:numCache>
                <c:formatCode>0.00</c:formatCode>
                <c:ptCount val="33"/>
                <c:pt idx="0">
                  <c:v>4.9613300000000002</c:v>
                </c:pt>
                <c:pt idx="1">
                  <c:v>3.66879</c:v>
                </c:pt>
                <c:pt idx="2">
                  <c:v>3.8347799999999999</c:v>
                </c:pt>
                <c:pt idx="3">
                  <c:v>5.1170999999999998</c:v>
                </c:pt>
                <c:pt idx="4">
                  <c:v>7.3978999999999999</c:v>
                </c:pt>
                <c:pt idx="5">
                  <c:v>7.5253399999999999</c:v>
                </c:pt>
                <c:pt idx="6">
                  <c:v>4.6598100000000002</c:v>
                </c:pt>
                <c:pt idx="7">
                  <c:v>3.0593499999999998</c:v>
                </c:pt>
                <c:pt idx="8">
                  <c:v>2.1957100000000001</c:v>
                </c:pt>
                <c:pt idx="9">
                  <c:v>1.21347</c:v>
                </c:pt>
                <c:pt idx="10">
                  <c:v>0.46981000000000001</c:v>
                </c:pt>
                <c:pt idx="11">
                  <c:v>0.48404000000000003</c:v>
                </c:pt>
                <c:pt idx="12">
                  <c:v>0.37147000000000002</c:v>
                </c:pt>
                <c:pt idx="13">
                  <c:v>5.8560000000000001E-2</c:v>
                </c:pt>
                <c:pt idx="14">
                  <c:v>0.10838</c:v>
                </c:pt>
                <c:pt idx="15">
                  <c:v>5.7959999999999998E-2</c:v>
                </c:pt>
                <c:pt idx="16">
                  <c:v>1.9300000000000001E-3</c:v>
                </c:pt>
                <c:pt idx="17">
                  <c:v>1.33E-3</c:v>
                </c:pt>
                <c:pt idx="18">
                  <c:v>7.5000000000000002E-4</c:v>
                </c:pt>
                <c:pt idx="19">
                  <c:v>1.08E-3</c:v>
                </c:pt>
                <c:pt idx="20">
                  <c:v>0.1245</c:v>
                </c:pt>
                <c:pt idx="21">
                  <c:v>0.47266999999999998</c:v>
                </c:pt>
                <c:pt idx="22">
                  <c:v>0.46150000000000002</c:v>
                </c:pt>
                <c:pt idx="23">
                  <c:v>0.10525</c:v>
                </c:pt>
                <c:pt idx="24">
                  <c:v>9.35E-2</c:v>
                </c:pt>
                <c:pt idx="25">
                  <c:v>7.775E-2</c:v>
                </c:pt>
                <c:pt idx="26">
                  <c:v>8.2669999999999993E-2</c:v>
                </c:pt>
                <c:pt idx="27">
                  <c:v>7.2749999999999995E-2</c:v>
                </c:pt>
                <c:pt idx="28">
                  <c:v>6.8330000000000002E-2</c:v>
                </c:pt>
                <c:pt idx="29">
                  <c:v>7.2499999999999995E-2</c:v>
                </c:pt>
                <c:pt idx="30">
                  <c:v>-2.6749999999999999E-2</c:v>
                </c:pt>
                <c:pt idx="31">
                  <c:v>-4.8000000000000001E-2</c:v>
                </c:pt>
                <c:pt idx="32">
                  <c:v>1.33</c:v>
                </c:pt>
              </c:numCache>
            </c:numRef>
          </c:val>
          <c:smooth val="0"/>
          <c:extLst xmlns:c16r2="http://schemas.microsoft.com/office/drawing/2015/06/chart">
            <c:ext xmlns:c16="http://schemas.microsoft.com/office/drawing/2014/chart" uri="{C3380CC4-5D6E-409C-BE32-E72D297353CC}">
              <c16:uniqueId val="{00000000-3A1D-F749-B44A-C2FBB3AAA51C}"/>
            </c:ext>
          </c:extLst>
        </c:ser>
        <c:ser>
          <c:idx val="1"/>
          <c:order val="1"/>
          <c:tx>
            <c:strRef>
              <c:f>'[CASE DATA JAPAN.xls]Sheet4'!$C$47</c:f>
              <c:strCache>
                <c:ptCount val="1"/>
                <c:pt idx="0">
                  <c:v>Real Japan 10-year government benchmark bond yield</c:v>
                </c:pt>
              </c:strCache>
            </c:strRef>
          </c:tx>
          <c:spPr>
            <a:ln w="28575" cap="rnd" cmpd="sng" algn="ctr">
              <a:solidFill>
                <a:schemeClr val="dk1">
                  <a:tint val="55000"/>
                  <a:shade val="95000"/>
                  <a:satMod val="105000"/>
                </a:schemeClr>
              </a:solidFill>
              <a:prstDash val="solid"/>
              <a:round/>
            </a:ln>
            <a:effectLst/>
          </c:spPr>
          <c:marker>
            <c:symbol val="none"/>
          </c:marker>
          <c:cat>
            <c:numRef>
              <c:f>'[CASE DATA JAPAN.xls]Sheet4'!$A$48:$A$80</c:f>
              <c:numCache>
                <c:formatCode>General</c:formatCode>
                <c:ptCount val="33"/>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numCache>
            </c:numRef>
          </c:cat>
          <c:val>
            <c:numRef>
              <c:f>'[CASE DATA JAPAN.xls]Sheet4'!$C$48:$C$80</c:f>
              <c:numCache>
                <c:formatCode>General</c:formatCode>
                <c:ptCount val="33"/>
                <c:pt idx="0">
                  <c:v>4.29</c:v>
                </c:pt>
                <c:pt idx="1">
                  <c:v>6.09</c:v>
                </c:pt>
                <c:pt idx="2">
                  <c:v>3.41</c:v>
                </c:pt>
                <c:pt idx="3">
                  <c:v>3.76</c:v>
                </c:pt>
                <c:pt idx="4">
                  <c:v>3.09</c:v>
                </c:pt>
                <c:pt idx="5">
                  <c:v>2.58</c:v>
                </c:pt>
                <c:pt idx="6">
                  <c:v>3.46</c:v>
                </c:pt>
                <c:pt idx="7">
                  <c:v>3.44</c:v>
                </c:pt>
                <c:pt idx="8">
                  <c:v>1.98</c:v>
                </c:pt>
                <c:pt idx="9">
                  <c:v>4.17</c:v>
                </c:pt>
                <c:pt idx="10">
                  <c:v>3.64</c:v>
                </c:pt>
                <c:pt idx="11">
                  <c:v>1.94</c:v>
                </c:pt>
                <c:pt idx="12">
                  <c:v>0.11</c:v>
                </c:pt>
                <c:pt idx="13">
                  <c:v>1.87</c:v>
                </c:pt>
                <c:pt idx="14">
                  <c:v>2.4300000000000002</c:v>
                </c:pt>
                <c:pt idx="15">
                  <c:v>1.85</c:v>
                </c:pt>
                <c:pt idx="16">
                  <c:v>2.83</c:v>
                </c:pt>
                <c:pt idx="17">
                  <c:v>1.26</c:v>
                </c:pt>
                <c:pt idx="18">
                  <c:v>1.64</c:v>
                </c:pt>
                <c:pt idx="19">
                  <c:v>1.17</c:v>
                </c:pt>
                <c:pt idx="20">
                  <c:v>1.58</c:v>
                </c:pt>
                <c:pt idx="21">
                  <c:v>1.71</c:v>
                </c:pt>
                <c:pt idx="22">
                  <c:v>0.72</c:v>
                </c:pt>
                <c:pt idx="23">
                  <c:v>1.26</c:v>
                </c:pt>
                <c:pt idx="24">
                  <c:v>2.36</c:v>
                </c:pt>
                <c:pt idx="25">
                  <c:v>1.73</c:v>
                </c:pt>
                <c:pt idx="26">
                  <c:v>0.89</c:v>
                </c:pt>
                <c:pt idx="27">
                  <c:v>1.0900000000000001</c:v>
                </c:pt>
                <c:pt idx="28">
                  <c:v>-0.68</c:v>
                </c:pt>
                <c:pt idx="29">
                  <c:v>-2.1</c:v>
                </c:pt>
                <c:pt idx="30">
                  <c:v>0.32</c:v>
                </c:pt>
                <c:pt idx="31">
                  <c:v>-0.43</c:v>
                </c:pt>
                <c:pt idx="32">
                  <c:v>-1.22</c:v>
                </c:pt>
              </c:numCache>
            </c:numRef>
          </c:val>
          <c:smooth val="0"/>
          <c:extLst xmlns:c16r2="http://schemas.microsoft.com/office/drawing/2015/06/chart">
            <c:ext xmlns:c16="http://schemas.microsoft.com/office/drawing/2014/chart" uri="{C3380CC4-5D6E-409C-BE32-E72D297353CC}">
              <c16:uniqueId val="{00000001-3A1D-F749-B44A-C2FBB3AAA51C}"/>
            </c:ext>
          </c:extLst>
        </c:ser>
        <c:dLbls>
          <c:showLegendKey val="0"/>
          <c:showVal val="0"/>
          <c:showCatName val="0"/>
          <c:showSerName val="0"/>
          <c:showPercent val="0"/>
          <c:showBubbleSize val="0"/>
        </c:dLbls>
        <c:smooth val="0"/>
        <c:axId val="391637304"/>
        <c:axId val="394581792"/>
      </c:lineChart>
      <c:catAx>
        <c:axId val="391637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2700000" spcFirstLastPara="1" vertOverflow="ellipsis" wrap="square" anchor="ctr" anchorCtr="1"/>
          <a:lstStyle/>
          <a:p>
            <a:pPr>
              <a:defRPr sz="900" b="0" i="0" u="none" strike="noStrike" kern="1200" baseline="0">
                <a:solidFill>
                  <a:srgbClr val="000000"/>
                </a:solidFill>
                <a:latin typeface="Calibri"/>
                <a:ea typeface="Calibri"/>
                <a:cs typeface="Calibri"/>
              </a:defRPr>
            </a:pPr>
            <a:endParaRPr lang="en-US"/>
          </a:p>
        </c:txPr>
        <c:crossAx val="394581792"/>
        <c:crosses val="autoZero"/>
        <c:auto val="1"/>
        <c:lblAlgn val="ctr"/>
        <c:lblOffset val="100"/>
        <c:noMultiLvlLbl val="0"/>
      </c:catAx>
      <c:valAx>
        <c:axId val="39458179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rgbClr val="000000"/>
                    </a:solidFill>
                    <a:latin typeface="Calibri"/>
                    <a:ea typeface="Calibri"/>
                    <a:cs typeface="Calibri"/>
                  </a:defRPr>
                </a:pPr>
                <a:r>
                  <a:rPr lang="en-US"/>
                  <a:t>Rates</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rgbClr val="000000"/>
                  </a:solidFill>
                  <a:latin typeface="Calibri"/>
                  <a:ea typeface="Calibri"/>
                  <a:cs typeface="Calibri"/>
                </a:defRPr>
              </a:pPr>
              <a:endParaRPr lang="en-US"/>
            </a:p>
          </c:txPr>
        </c:title>
        <c:numFmt formatCode="0.00" sourceLinked="1"/>
        <c:majorTickMark val="none"/>
        <c:minorTickMark val="none"/>
        <c:tickLblPos val="nextTo"/>
        <c:spPr>
          <a:noFill/>
          <a:ln w="6350" cap="flat" cmpd="sng" algn="ctr">
            <a:noFill/>
            <a:prstDash val="solid"/>
            <a:round/>
          </a:ln>
          <a:effectLst/>
        </c:spPr>
        <c:txPr>
          <a:bodyPr rot="0" spcFirstLastPara="1" vertOverflow="ellipsis" wrap="square" anchor="ctr" anchorCtr="1"/>
          <a:lstStyle/>
          <a:p>
            <a:pPr>
              <a:defRPr sz="900" b="0" i="0" u="none" strike="noStrike" kern="1200" baseline="0">
                <a:solidFill>
                  <a:srgbClr val="000000"/>
                </a:solidFill>
                <a:latin typeface="Calibri"/>
                <a:ea typeface="Calibri"/>
                <a:cs typeface="Calibri"/>
              </a:defRPr>
            </a:pPr>
            <a:endParaRPr lang="en-US"/>
          </a:p>
        </c:txPr>
        <c:crossAx val="391637304"/>
        <c:crosses val="autoZero"/>
        <c:crossBetween val="between"/>
      </c:valAx>
      <c:spPr>
        <a:noFill/>
        <a:ln w="25400">
          <a:noFill/>
        </a:ln>
        <a:effectLst/>
      </c:spPr>
    </c:plotArea>
    <c:legend>
      <c:legendPos val="b"/>
      <c:layout/>
      <c:overlay val="0"/>
      <c:spPr>
        <a:noFill/>
        <a:ln w="25400">
          <a:noFill/>
        </a:ln>
        <a:effectLst/>
      </c:spPr>
      <c:txPr>
        <a:bodyPr rot="0" spcFirstLastPara="1" vertOverflow="ellipsis" vert="horz" wrap="square" anchor="ctr" anchorCtr="1"/>
        <a:lstStyle/>
        <a:p>
          <a:pPr>
            <a:defRPr sz="825" b="0" i="0" u="none" strike="noStrike" kern="1200" baseline="0">
              <a:solidFill>
                <a:srgbClr val="000000"/>
              </a:solidFill>
              <a:latin typeface="Calibri"/>
              <a:ea typeface="Calibri"/>
              <a:cs typeface="Calibri"/>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sz="1000" b="0" i="0" u="none" strike="noStrike" baseline="0">
          <a:solidFill>
            <a:srgbClr val="000000"/>
          </a:solidFill>
          <a:latin typeface="Calibri"/>
          <a:ea typeface="Calibri"/>
          <a:cs typeface="Calibri"/>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'[CASE DATA JAPAN.xls]Monetary base and money stock'!$B$26</c:f>
              <c:strCache>
                <c:ptCount val="1"/>
                <c:pt idx="0">
                  <c:v>Monetary Base</c:v>
                </c:pt>
              </c:strCache>
            </c:strRef>
          </c:tx>
          <c:spPr>
            <a:ln w="31750" cap="rnd">
              <a:solidFill>
                <a:schemeClr val="tx1"/>
              </a:solidFill>
              <a:round/>
            </a:ln>
            <a:effectLst/>
          </c:spPr>
          <c:marker>
            <c:symbol val="circle"/>
            <c:size val="17"/>
            <c:spPr>
              <a:solidFill>
                <a:schemeClr val="accent1"/>
              </a:solidFill>
              <a:ln>
                <a:solidFill>
                  <a:schemeClr val="tx1"/>
                </a:solidFill>
              </a:ln>
              <a:effectLst/>
            </c:spPr>
          </c:marker>
          <c:dLbls>
            <c:spPr>
              <a:solidFill>
                <a:schemeClr val="bg2">
                  <a:lumMod val="90000"/>
                </a:schemeClr>
              </a:solidFill>
              <a:ln>
                <a:solidFill>
                  <a:schemeClr val="tx1"/>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'[CASE DATA JAPAN.xls]Monetary base and money stock'!$A$27:$A$32</c:f>
              <c:numCache>
                <c:formatCode>General</c:formatCode>
                <c:ptCount val="6"/>
                <c:pt idx="0">
                  <c:v>2012</c:v>
                </c:pt>
                <c:pt idx="1">
                  <c:v>2013</c:v>
                </c:pt>
                <c:pt idx="2">
                  <c:v>2014</c:v>
                </c:pt>
                <c:pt idx="3">
                  <c:v>2015</c:v>
                </c:pt>
                <c:pt idx="4">
                  <c:v>2016</c:v>
                </c:pt>
                <c:pt idx="5">
                  <c:v>2017</c:v>
                </c:pt>
              </c:numCache>
            </c:numRef>
          </c:cat>
          <c:val>
            <c:numRef>
              <c:f>'[CASE DATA JAPAN.xls]Monetary base and money stock'!$B$27:$B$32</c:f>
              <c:numCache>
                <c:formatCode>0.00</c:formatCode>
                <c:ptCount val="6"/>
                <c:pt idx="0">
                  <c:v>8.7833333333333297</c:v>
                </c:pt>
                <c:pt idx="1">
                  <c:v>43.674999999999997</c:v>
                </c:pt>
                <c:pt idx="2">
                  <c:v>39.691666666666698</c:v>
                </c:pt>
                <c:pt idx="3">
                  <c:v>32.258333333333297</c:v>
                </c:pt>
                <c:pt idx="4">
                  <c:v>23.358333333333299</c:v>
                </c:pt>
                <c:pt idx="5">
                  <c:v>14.233333333333301</c:v>
                </c:pt>
              </c:numCache>
            </c:numRef>
          </c:val>
          <c:smooth val="0"/>
          <c:extLst xmlns:c16r2="http://schemas.microsoft.com/office/drawing/2015/06/chart">
            <c:ext xmlns:c16="http://schemas.microsoft.com/office/drawing/2014/chart" uri="{C3380CC4-5D6E-409C-BE32-E72D297353CC}">
              <c16:uniqueId val="{00000000-3B7B-314F-AF95-A5AA07E73038}"/>
            </c:ext>
          </c:extLst>
        </c:ser>
        <c:ser>
          <c:idx val="1"/>
          <c:order val="1"/>
          <c:tx>
            <c:strRef>
              <c:f>'[CASE DATA JAPAN.xls]Monetary base and money stock'!$C$26</c:f>
              <c:strCache>
                <c:ptCount val="1"/>
                <c:pt idx="0">
                  <c:v>M2</c:v>
                </c:pt>
              </c:strCache>
            </c:strRef>
          </c:tx>
          <c:spPr>
            <a:ln w="12700" cap="flat" cmpd="sng" algn="ctr">
              <a:solidFill>
                <a:schemeClr val="dk1"/>
              </a:solidFill>
              <a:prstDash val="solid"/>
              <a:miter lim="800000"/>
            </a:ln>
            <a:effectLst/>
          </c:spPr>
          <c:marker>
            <c:symbol val="circle"/>
            <c:size val="17"/>
            <c:spPr>
              <a:solidFill>
                <a:schemeClr val="lt1"/>
              </a:solidFill>
              <a:ln w="12700" cap="flat" cmpd="sng" algn="ctr">
                <a:solidFill>
                  <a:schemeClr val="dk1"/>
                </a:solidFill>
                <a:prstDash val="solid"/>
                <a:miter lim="800000"/>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'[CASE DATA JAPAN.xls]Monetary base and money stock'!$A$27:$A$32</c:f>
              <c:numCache>
                <c:formatCode>General</c:formatCode>
                <c:ptCount val="6"/>
                <c:pt idx="0">
                  <c:v>2012</c:v>
                </c:pt>
                <c:pt idx="1">
                  <c:v>2013</c:v>
                </c:pt>
                <c:pt idx="2">
                  <c:v>2014</c:v>
                </c:pt>
                <c:pt idx="3">
                  <c:v>2015</c:v>
                </c:pt>
                <c:pt idx="4">
                  <c:v>2016</c:v>
                </c:pt>
                <c:pt idx="5">
                  <c:v>2017</c:v>
                </c:pt>
              </c:numCache>
            </c:numRef>
          </c:cat>
          <c:val>
            <c:numRef>
              <c:f>'[CASE DATA JAPAN.xls]Monetary base and money stock'!$C$27:$C$32</c:f>
              <c:numCache>
                <c:formatCode>0.00</c:formatCode>
                <c:ptCount val="6"/>
                <c:pt idx="0">
                  <c:v>2.4833333333333298</c:v>
                </c:pt>
                <c:pt idx="1">
                  <c:v>3.85</c:v>
                </c:pt>
                <c:pt idx="2">
                  <c:v>3.2749999999999999</c:v>
                </c:pt>
                <c:pt idx="3">
                  <c:v>3.54</c:v>
                </c:pt>
                <c:pt idx="4">
                  <c:v>3.6</c:v>
                </c:pt>
                <c:pt idx="5">
                  <c:v>3.77</c:v>
                </c:pt>
              </c:numCache>
            </c:numRef>
          </c:val>
          <c:smooth val="0"/>
          <c:extLst xmlns:c16r2="http://schemas.microsoft.com/office/drawing/2015/06/chart">
            <c:ext xmlns:c16="http://schemas.microsoft.com/office/drawing/2014/chart" uri="{C3380CC4-5D6E-409C-BE32-E72D297353CC}">
              <c16:uniqueId val="{00000001-3B7B-314F-AF95-A5AA07E73038}"/>
            </c:ext>
          </c:extLst>
        </c:ser>
        <c:dLbls>
          <c:dLblPos val="ctr"/>
          <c:showLegendKey val="0"/>
          <c:showVal val="1"/>
          <c:showCatName val="0"/>
          <c:showSerName val="0"/>
          <c:showPercent val="0"/>
          <c:showBubbleSize val="0"/>
        </c:dLbls>
        <c:marker val="1"/>
        <c:smooth val="0"/>
        <c:axId val="394951024"/>
        <c:axId val="394090880"/>
      </c:lineChart>
      <c:catAx>
        <c:axId val="3949510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crossAx val="394090880"/>
        <c:crosses val="autoZero"/>
        <c:auto val="1"/>
        <c:lblAlgn val="ctr"/>
        <c:lblOffset val="100"/>
        <c:noMultiLvlLbl val="0"/>
      </c:catAx>
      <c:valAx>
        <c:axId val="3940908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394951024"/>
        <c:crosses val="autoZero"/>
        <c:crossBetween val="between"/>
      </c:valAx>
      <c:spPr>
        <a:solidFill>
          <a:sysClr val="window" lastClr="FFFFFF"/>
        </a:solid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5">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1AE7DF-BC02-2E4A-BBDB-43B12B0950C3}" type="doc">
      <dgm:prSet loTypeId="urn:microsoft.com/office/officeart/2005/8/layout/hList1" loCatId="hierarchy" qsTypeId="urn:microsoft.com/office/officeart/2005/8/quickstyle/simple1" qsCatId="simple" csTypeId="urn:microsoft.com/office/officeart/2005/8/colors/accent1_2" csCatId="accent1" phldr="1"/>
      <dgm:spPr/>
      <dgm:t>
        <a:bodyPr/>
        <a:lstStyle/>
        <a:p>
          <a:endParaRPr lang="en-US"/>
        </a:p>
      </dgm:t>
    </dgm:pt>
    <dgm:pt modelId="{3400A80B-FA06-C44D-BB7C-41790D3680A6}">
      <dgm:prSet phldrT="[Text]" custT="1">
        <dgm:style>
          <a:lnRef idx="2">
            <a:schemeClr val="dk1"/>
          </a:lnRef>
          <a:fillRef idx="1">
            <a:schemeClr val="lt1"/>
          </a:fillRef>
          <a:effectRef idx="0">
            <a:schemeClr val="dk1"/>
          </a:effectRef>
          <a:fontRef idx="minor">
            <a:schemeClr val="dk1"/>
          </a:fontRef>
        </dgm:style>
      </dgm:prSet>
      <dgm:spPr>
        <a:xfrm>
          <a:off x="1450" y="555"/>
          <a:ext cx="1413796" cy="489600"/>
        </a:xfrm>
        <a:solidFill>
          <a:sysClr val="window" lastClr="FFFFFF"/>
        </a:solidFill>
        <a:ln w="12700" cap="flat" cmpd="sng" algn="ctr">
          <a:solidFill>
            <a:sysClr val="windowText" lastClr="000000"/>
          </a:solidFill>
          <a:prstDash val="solid"/>
          <a:miter lim="800000"/>
        </a:ln>
        <a:effectLst/>
      </dgm:spPr>
      <dgm:t>
        <a:bodyPr/>
        <a:lstStyle/>
        <a:p>
          <a:r>
            <a:rPr lang="en-US" sz="1000" b="1">
              <a:solidFill>
                <a:sysClr val="windowText" lastClr="000000"/>
              </a:solidFill>
              <a:latin typeface="Arial" panose="020B0604020202020204" pitchFamily="34" charset="0"/>
              <a:ea typeface="+mn-ea"/>
              <a:cs typeface="Arial" panose="020B0604020202020204" pitchFamily="34" charset="0"/>
            </a:rPr>
            <a:t>Quantity Dimension</a:t>
          </a:r>
        </a:p>
      </dgm:t>
    </dgm:pt>
    <dgm:pt modelId="{C244E41A-DC76-1E47-81EA-01CE11B6CC75}" type="parTrans" cxnId="{FFB30F13-9D73-DF42-B79E-571B277D9E83}">
      <dgm:prSet/>
      <dgm:spPr/>
      <dgm:t>
        <a:bodyPr/>
        <a:lstStyle/>
        <a:p>
          <a:endParaRPr lang="en-US"/>
        </a:p>
      </dgm:t>
    </dgm:pt>
    <dgm:pt modelId="{74313C24-A4BB-B142-93EE-20A76A57726F}" type="sibTrans" cxnId="{FFB30F13-9D73-DF42-B79E-571B277D9E83}">
      <dgm:prSet/>
      <dgm:spPr/>
      <dgm:t>
        <a:bodyPr/>
        <a:lstStyle/>
        <a:p>
          <a:endParaRPr lang="en-US"/>
        </a:p>
      </dgm:t>
    </dgm:pt>
    <dgm:pt modelId="{DB88B88C-1676-774F-B78E-8E4BC0308C1C}">
      <dgm:prSet phldrT="[Text]" custT="1">
        <dgm:style>
          <a:lnRef idx="2">
            <a:schemeClr val="dk1"/>
          </a:lnRef>
          <a:fillRef idx="1">
            <a:schemeClr val="lt1"/>
          </a:fillRef>
          <a:effectRef idx="0">
            <a:schemeClr val="dk1"/>
          </a:effectRef>
          <a:fontRef idx="minor">
            <a:schemeClr val="dk1"/>
          </a:fontRef>
        </dgm:style>
      </dgm:prSet>
      <dgm:spPr>
        <a:xfrm>
          <a:off x="1450"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Increase in the monetary base at </a:t>
          </a:r>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t>
          </a: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80 trillion</a:t>
          </a:r>
        </a:p>
      </dgm:t>
    </dgm:pt>
    <dgm:pt modelId="{2C097BD8-A96A-D049-81AA-F3298EE755E0}" type="parTrans" cxnId="{7BE031A8-2EC9-A04F-A245-C233B05C3C96}">
      <dgm:prSet/>
      <dgm:spPr/>
      <dgm:t>
        <a:bodyPr/>
        <a:lstStyle/>
        <a:p>
          <a:endParaRPr lang="en-US"/>
        </a:p>
      </dgm:t>
    </dgm:pt>
    <dgm:pt modelId="{5D3FDAE2-1F92-1D40-A38D-B1ADFECC1A3D}" type="sibTrans" cxnId="{7BE031A8-2EC9-A04F-A245-C233B05C3C96}">
      <dgm:prSet/>
      <dgm:spPr/>
      <dgm:t>
        <a:bodyPr/>
        <a:lstStyle/>
        <a:p>
          <a:endParaRPr lang="en-US"/>
        </a:p>
      </dgm:t>
    </dgm:pt>
    <dgm:pt modelId="{D07CAACA-BF22-6648-9EB2-30A81C35922B}">
      <dgm:prSet phldrT="[Text]" custT="1">
        <dgm:style>
          <a:lnRef idx="2">
            <a:schemeClr val="dk1"/>
          </a:lnRef>
          <a:fillRef idx="1">
            <a:schemeClr val="lt1"/>
          </a:fillRef>
          <a:effectRef idx="0">
            <a:schemeClr val="dk1"/>
          </a:effectRef>
          <a:fontRef idx="minor">
            <a:schemeClr val="dk1"/>
          </a:fontRef>
        </dgm:style>
      </dgm:prSet>
      <dgm:spPr>
        <a:xfrm>
          <a:off x="1613178" y="555"/>
          <a:ext cx="1413796" cy="489600"/>
        </a:xfrm>
        <a:solidFill>
          <a:sysClr val="window" lastClr="FFFFFF"/>
        </a:solidFill>
        <a:ln w="12700" cap="flat" cmpd="sng" algn="ctr">
          <a:solidFill>
            <a:sysClr val="windowText" lastClr="000000"/>
          </a:solidFill>
          <a:prstDash val="solid"/>
          <a:miter lim="800000"/>
        </a:ln>
        <a:effectLst/>
      </dgm:spPr>
      <dgm:t>
        <a:bodyPr/>
        <a:lstStyle/>
        <a:p>
          <a:r>
            <a:rPr lang="en-US" sz="1000" b="1">
              <a:solidFill>
                <a:sysClr val="windowText" lastClr="000000"/>
              </a:solidFill>
              <a:latin typeface="Arial" panose="020B0604020202020204" pitchFamily="34" charset="0"/>
              <a:ea typeface="+mn-ea"/>
              <a:cs typeface="Arial" panose="020B0604020202020204" pitchFamily="34" charset="0"/>
            </a:rPr>
            <a:t>Quality Dimension</a:t>
          </a:r>
        </a:p>
      </dgm:t>
    </dgm:pt>
    <dgm:pt modelId="{B54BDA6A-4099-0640-AB47-D7D08FE1D86C}" type="parTrans" cxnId="{966348D5-7A49-F248-87F5-72C95A5EE988}">
      <dgm:prSet/>
      <dgm:spPr/>
      <dgm:t>
        <a:bodyPr/>
        <a:lstStyle/>
        <a:p>
          <a:endParaRPr lang="en-US"/>
        </a:p>
      </dgm:t>
    </dgm:pt>
    <dgm:pt modelId="{DAA85A3B-9666-F241-A9F1-D147E262A96B}" type="sibTrans" cxnId="{966348D5-7A49-F248-87F5-72C95A5EE988}">
      <dgm:prSet/>
      <dgm:spPr/>
      <dgm:t>
        <a:bodyPr/>
        <a:lstStyle/>
        <a:p>
          <a:endParaRPr lang="en-US"/>
        </a:p>
      </dgm:t>
    </dgm:pt>
    <dgm:pt modelId="{7C44B649-A724-334B-8FC2-2DB678C6605A}">
      <dgm:prSet phldrT="[Text]" custT="1">
        <dgm:style>
          <a:lnRef idx="2">
            <a:schemeClr val="dk1"/>
          </a:lnRef>
          <a:fillRef idx="1">
            <a:schemeClr val="lt1"/>
          </a:fillRef>
          <a:effectRef idx="0">
            <a:schemeClr val="dk1"/>
          </a:effectRef>
          <a:fontRef idx="minor">
            <a:schemeClr val="dk1"/>
          </a:fontRef>
        </dgm:style>
      </dgm:prSet>
      <dgm:spPr>
        <a:xfrm>
          <a:off x="1613178"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Purchase of JGBs at a pace of about ¥80 trillion</a:t>
          </a: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F624E982-6982-2441-BCCC-1968BC7000A9}" type="parTrans" cxnId="{5ED7AEEE-E008-6F49-9E40-C62A4C543257}">
      <dgm:prSet/>
      <dgm:spPr/>
      <dgm:t>
        <a:bodyPr/>
        <a:lstStyle/>
        <a:p>
          <a:endParaRPr lang="en-US"/>
        </a:p>
      </dgm:t>
    </dgm:pt>
    <dgm:pt modelId="{1AFF1BA3-5799-E748-A238-6A6AC86857C9}" type="sibTrans" cxnId="{5ED7AEEE-E008-6F49-9E40-C62A4C543257}">
      <dgm:prSet/>
      <dgm:spPr/>
      <dgm:t>
        <a:bodyPr/>
        <a:lstStyle/>
        <a:p>
          <a:endParaRPr lang="en-US"/>
        </a:p>
      </dgm:t>
    </dgm:pt>
    <dgm:pt modelId="{F73D7EC6-AAA3-F04F-AEA7-A0DBB7A6E932}">
      <dgm:prSet phldrT="[Text]" custT="1">
        <dgm:style>
          <a:lnRef idx="2">
            <a:schemeClr val="dk1"/>
          </a:lnRef>
          <a:fillRef idx="1">
            <a:schemeClr val="lt1"/>
          </a:fillRef>
          <a:effectRef idx="0">
            <a:schemeClr val="dk1"/>
          </a:effectRef>
          <a:fontRef idx="minor">
            <a:schemeClr val="dk1"/>
          </a:fontRef>
        </dgm:style>
      </dgm:prSet>
      <dgm:spPr>
        <a:xfrm>
          <a:off x="3224907" y="555"/>
          <a:ext cx="1413796" cy="489600"/>
        </a:xfrm>
        <a:solidFill>
          <a:sysClr val="window" lastClr="FFFFFF"/>
        </a:solidFill>
        <a:ln w="12700" cap="flat" cmpd="sng" algn="ctr">
          <a:solidFill>
            <a:sysClr val="windowText" lastClr="000000"/>
          </a:solidFill>
          <a:prstDash val="solid"/>
          <a:miter lim="800000"/>
        </a:ln>
        <a:effectLst/>
      </dgm:spPr>
      <dgm:t>
        <a:bodyPr/>
        <a:lstStyle/>
        <a:p>
          <a:r>
            <a:rPr lang="en-US" sz="1000" b="1">
              <a:solidFill>
                <a:sysClr val="windowText" lastClr="000000"/>
              </a:solidFill>
              <a:latin typeface="Arial" panose="020B0604020202020204" pitchFamily="34" charset="0"/>
              <a:ea typeface="+mn-ea"/>
              <a:cs typeface="Arial" panose="020B0604020202020204" pitchFamily="34" charset="0"/>
            </a:rPr>
            <a:t>Interest Rate Dimension</a:t>
          </a:r>
        </a:p>
      </dgm:t>
    </dgm:pt>
    <dgm:pt modelId="{E21A634D-C2D4-0149-A41A-A8CF7542AEBD}" type="parTrans" cxnId="{9D33F017-8F2E-E443-88E9-77C83B4CA6B5}">
      <dgm:prSet/>
      <dgm:spPr/>
      <dgm:t>
        <a:bodyPr/>
        <a:lstStyle/>
        <a:p>
          <a:endParaRPr lang="en-US"/>
        </a:p>
      </dgm:t>
    </dgm:pt>
    <dgm:pt modelId="{779595DD-1378-DE4D-916F-3C7796349702}" type="sibTrans" cxnId="{9D33F017-8F2E-E443-88E9-77C83B4CA6B5}">
      <dgm:prSet/>
      <dgm:spPr/>
      <dgm:t>
        <a:bodyPr/>
        <a:lstStyle/>
        <a:p>
          <a:endParaRPr lang="en-US"/>
        </a:p>
      </dgm:t>
    </dgm:pt>
    <dgm:pt modelId="{5288692D-254C-5646-A951-50B3A586ED01}">
      <dgm:prSet phldrT="[Text]" custT="1">
        <dgm:style>
          <a:lnRef idx="2">
            <a:schemeClr val="dk1"/>
          </a:lnRef>
          <a:fillRef idx="1">
            <a:schemeClr val="lt1"/>
          </a:fillRef>
          <a:effectRef idx="0">
            <a:schemeClr val="dk1"/>
          </a:effectRef>
          <a:fontRef idx="minor">
            <a:schemeClr val="dk1"/>
          </a:fontRef>
        </dgm:style>
      </dgm:prSet>
      <dgm:spPr>
        <a:xfrm>
          <a:off x="3224907"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Three-tier interest rate system:</a:t>
          </a:r>
        </a:p>
      </dgm:t>
    </dgm:pt>
    <dgm:pt modelId="{07BDA8AC-E80C-2949-B0E4-4FDA303873A4}" type="parTrans" cxnId="{1C4A9784-5312-7C41-BE00-81912791FF30}">
      <dgm:prSet/>
      <dgm:spPr/>
      <dgm:t>
        <a:bodyPr/>
        <a:lstStyle/>
        <a:p>
          <a:endParaRPr lang="en-US"/>
        </a:p>
      </dgm:t>
    </dgm:pt>
    <dgm:pt modelId="{8E731073-7595-FC47-83FF-18BFC32DA393}" type="sibTrans" cxnId="{1C4A9784-5312-7C41-BE00-81912791FF30}">
      <dgm:prSet/>
      <dgm:spPr/>
      <dgm:t>
        <a:bodyPr/>
        <a:lstStyle/>
        <a:p>
          <a:endParaRPr lang="en-US"/>
        </a:p>
      </dgm:t>
    </dgm:pt>
    <dgm:pt modelId="{8D78B0D8-17CB-E541-B47F-80E39E69A2B7}">
      <dgm:prSet phldrT="[Text]" custT="1">
        <dgm:style>
          <a:lnRef idx="2">
            <a:schemeClr val="dk1"/>
          </a:lnRef>
          <a:fillRef idx="1">
            <a:schemeClr val="lt1"/>
          </a:fillRef>
          <a:effectRef idx="0">
            <a:schemeClr val="dk1"/>
          </a:effectRef>
          <a:fontRef idx="minor">
            <a:schemeClr val="dk1"/>
          </a:fontRef>
        </dgm:style>
      </dgm:prSet>
      <dgm:spPr>
        <a:xfrm>
          <a:off x="1613178"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Extension of the average remaining maturity of the bank's JGB purchases to about 7</a:t>
          </a:r>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sym typeface="Symbol" panose="05050102010706020507" pitchFamily="18" charset="2"/>
            </a:rPr>
            <a:t></a:t>
          </a:r>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12 years</a:t>
          </a: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94C00C04-D861-9443-8146-9A18D8418AD9}" type="parTrans" cxnId="{A6684CFE-864E-BD41-A9A3-806AF6821A33}">
      <dgm:prSet/>
      <dgm:spPr/>
      <dgm:t>
        <a:bodyPr/>
        <a:lstStyle/>
        <a:p>
          <a:endParaRPr lang="en-US"/>
        </a:p>
      </dgm:t>
    </dgm:pt>
    <dgm:pt modelId="{76AFE838-5EEE-8146-978B-397BF7E029F0}" type="sibTrans" cxnId="{A6684CFE-864E-BD41-A9A3-806AF6821A33}">
      <dgm:prSet/>
      <dgm:spPr/>
      <dgm:t>
        <a:bodyPr/>
        <a:lstStyle/>
        <a:p>
          <a:endParaRPr lang="en-US"/>
        </a:p>
      </dgm:t>
    </dgm:pt>
    <dgm:pt modelId="{D0CC402D-CADF-CB40-9A7C-E01BBF6C2FF5}">
      <dgm:prSet phldrT="[Text]" custT="1">
        <dgm:style>
          <a:lnRef idx="2">
            <a:schemeClr val="dk1"/>
          </a:lnRef>
          <a:fillRef idx="1">
            <a:schemeClr val="lt1"/>
          </a:fillRef>
          <a:effectRef idx="0">
            <a:schemeClr val="dk1"/>
          </a:effectRef>
          <a:fontRef idx="minor">
            <a:schemeClr val="dk1"/>
          </a:fontRef>
        </dgm:style>
      </dgm:prSet>
      <dgm:spPr>
        <a:xfrm>
          <a:off x="1613178"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Purchase of ETFs and J-REITs so that their amounts outstanding would increase at ¥3 trillion and ¥90 billion, respectively, annually</a:t>
          </a: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6559606A-399B-C941-AE15-732A0FD77676}" type="parTrans" cxnId="{D4E4C3B7-E441-F24E-8144-8EE5620A7114}">
      <dgm:prSet/>
      <dgm:spPr/>
      <dgm:t>
        <a:bodyPr/>
        <a:lstStyle/>
        <a:p>
          <a:endParaRPr lang="en-US"/>
        </a:p>
      </dgm:t>
    </dgm:pt>
    <dgm:pt modelId="{7325BE7D-E83E-3446-AA2F-A6317097457C}" type="sibTrans" cxnId="{D4E4C3B7-E441-F24E-8144-8EE5620A7114}">
      <dgm:prSet/>
      <dgm:spPr/>
      <dgm:t>
        <a:bodyPr/>
        <a:lstStyle/>
        <a:p>
          <a:endParaRPr lang="en-US"/>
        </a:p>
      </dgm:t>
    </dgm:pt>
    <dgm:pt modelId="{719F381C-3D1F-F54A-BCBC-7338F1AABDD6}">
      <dgm:prSet phldrT="[Text]" custT="1">
        <dgm:style>
          <a:lnRef idx="2">
            <a:schemeClr val="dk1"/>
          </a:lnRef>
          <a:fillRef idx="1">
            <a:schemeClr val="lt1"/>
          </a:fillRef>
          <a:effectRef idx="0">
            <a:schemeClr val="dk1"/>
          </a:effectRef>
          <a:fontRef idx="minor">
            <a:schemeClr val="dk1"/>
          </a:fontRef>
        </dgm:style>
      </dgm:prSet>
      <dgm:spPr>
        <a:xfrm>
          <a:off x="3224907"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Policy-rate balance = (−)0.1%</a:t>
          </a:r>
        </a:p>
      </dgm:t>
    </dgm:pt>
    <dgm:pt modelId="{BDCFDA1F-CCE7-D340-8668-B3BE43FCE176}" type="sibTrans" cxnId="{64090F7E-EB0F-B94C-BB07-2269DA48A0FB}">
      <dgm:prSet/>
      <dgm:spPr/>
      <dgm:t>
        <a:bodyPr/>
        <a:lstStyle/>
        <a:p>
          <a:endParaRPr lang="en-US"/>
        </a:p>
      </dgm:t>
    </dgm:pt>
    <dgm:pt modelId="{E60EB4DF-C187-F945-B80E-D79C8AE1755C}" type="parTrans" cxnId="{64090F7E-EB0F-B94C-BB07-2269DA48A0FB}">
      <dgm:prSet/>
      <dgm:spPr/>
      <dgm:t>
        <a:bodyPr/>
        <a:lstStyle/>
        <a:p>
          <a:endParaRPr lang="en-US"/>
        </a:p>
      </dgm:t>
    </dgm:pt>
    <dgm:pt modelId="{12FDCDE7-D07C-C446-98AA-A56ABB738D7F}">
      <dgm:prSet phldrT="[Text]" custT="1">
        <dgm:style>
          <a:lnRef idx="2">
            <a:schemeClr val="dk1"/>
          </a:lnRef>
          <a:fillRef idx="1">
            <a:schemeClr val="lt1"/>
          </a:fillRef>
          <a:effectRef idx="0">
            <a:schemeClr val="dk1"/>
          </a:effectRef>
          <a:fontRef idx="minor">
            <a:schemeClr val="dk1"/>
          </a:fontRef>
        </dgm:style>
      </dgm:prSet>
      <dgm:spPr>
        <a:xfrm>
          <a:off x="3224907"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Basic balance reserves = 0.1%</a:t>
          </a:r>
        </a:p>
      </dgm:t>
    </dgm:pt>
    <dgm:pt modelId="{629D0ECB-C3E1-F147-A1BE-7684B37BF7D1}" type="sibTrans" cxnId="{660DBF26-9098-FB48-97B7-5120442592D6}">
      <dgm:prSet/>
      <dgm:spPr/>
      <dgm:t>
        <a:bodyPr/>
        <a:lstStyle/>
        <a:p>
          <a:endParaRPr lang="en-US"/>
        </a:p>
      </dgm:t>
    </dgm:pt>
    <dgm:pt modelId="{2A01BE80-44FB-8342-A318-1A2817A2A1AB}" type="parTrans" cxnId="{660DBF26-9098-FB48-97B7-5120442592D6}">
      <dgm:prSet/>
      <dgm:spPr/>
      <dgm:t>
        <a:bodyPr/>
        <a:lstStyle/>
        <a:p>
          <a:endParaRPr lang="en-US"/>
        </a:p>
      </dgm:t>
    </dgm:pt>
    <dgm:pt modelId="{7C8B76ED-4D3B-3244-B418-5CE146C4E97A}">
      <dgm:prSet phldrT="[Text]" custT="1">
        <dgm:style>
          <a:lnRef idx="2">
            <a:schemeClr val="dk1"/>
          </a:lnRef>
          <a:fillRef idx="1">
            <a:schemeClr val="lt1"/>
          </a:fillRef>
          <a:effectRef idx="0">
            <a:schemeClr val="dk1"/>
          </a:effectRef>
          <a:fontRef idx="minor">
            <a:schemeClr val="dk1"/>
          </a:fontRef>
        </dgm:style>
      </dgm:prSet>
      <dgm:spPr>
        <a:xfrm>
          <a:off x="3224907" y="490155"/>
          <a:ext cx="1413796" cy="1423282"/>
        </a:xfrm>
        <a:solidFill>
          <a:sysClr val="window" lastClr="FFFFFF"/>
        </a:solidFill>
        <a:ln w="12700" cap="flat" cmpd="sng" algn="ctr">
          <a:solidFill>
            <a:sysClr val="windowText" lastClr="000000"/>
          </a:solidFill>
          <a:prstDash val="solid"/>
          <a:miter lim="800000"/>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Macro add-on balances = 0%</a:t>
          </a:r>
        </a:p>
      </dgm:t>
    </dgm:pt>
    <dgm:pt modelId="{464D44CA-5F48-0B40-B4D1-3EE365D42408}" type="sibTrans" cxnId="{EE29D369-65B8-A449-B6AE-624B4B357F26}">
      <dgm:prSet/>
      <dgm:spPr/>
      <dgm:t>
        <a:bodyPr/>
        <a:lstStyle/>
        <a:p>
          <a:endParaRPr lang="en-US"/>
        </a:p>
      </dgm:t>
    </dgm:pt>
    <dgm:pt modelId="{57A82947-93EA-9946-B675-47F4BAD919B0}" type="parTrans" cxnId="{EE29D369-65B8-A449-B6AE-624B4B357F26}">
      <dgm:prSet/>
      <dgm:spPr/>
      <dgm:t>
        <a:bodyPr/>
        <a:lstStyle/>
        <a:p>
          <a:endParaRPr lang="en-US"/>
        </a:p>
      </dgm:t>
    </dgm:pt>
    <dgm:pt modelId="{D9800DE1-89C8-D34F-AA34-4F6C97DA7A53}" type="pres">
      <dgm:prSet presAssocID="{E81AE7DF-BC02-2E4A-BBDB-43B12B0950C3}" presName="Name0" presStyleCnt="0">
        <dgm:presLayoutVars>
          <dgm:dir/>
          <dgm:animLvl val="lvl"/>
          <dgm:resizeHandles val="exact"/>
        </dgm:presLayoutVars>
      </dgm:prSet>
      <dgm:spPr/>
      <dgm:t>
        <a:bodyPr/>
        <a:lstStyle/>
        <a:p>
          <a:endParaRPr lang="en-US"/>
        </a:p>
      </dgm:t>
    </dgm:pt>
    <dgm:pt modelId="{1463DFDC-1546-AA4B-AC27-4C326C8EAF9D}" type="pres">
      <dgm:prSet presAssocID="{3400A80B-FA06-C44D-BB7C-41790D3680A6}" presName="composite" presStyleCnt="0"/>
      <dgm:spPr/>
    </dgm:pt>
    <dgm:pt modelId="{52596F23-5E22-EE49-A22D-963A265951F3}" type="pres">
      <dgm:prSet presAssocID="{3400A80B-FA06-C44D-BB7C-41790D3680A6}" presName="parTx" presStyleLbl="alignNode1" presStyleIdx="0" presStyleCnt="3">
        <dgm:presLayoutVars>
          <dgm:chMax val="0"/>
          <dgm:chPref val="0"/>
          <dgm:bulletEnabled val="1"/>
        </dgm:presLayoutVars>
      </dgm:prSet>
      <dgm:spPr>
        <a:prstGeom prst="rect">
          <a:avLst/>
        </a:prstGeom>
      </dgm:spPr>
      <dgm:t>
        <a:bodyPr/>
        <a:lstStyle/>
        <a:p>
          <a:endParaRPr lang="en-US"/>
        </a:p>
      </dgm:t>
    </dgm:pt>
    <dgm:pt modelId="{CE9A5458-DC26-4F44-85C9-924A1C3903C6}" type="pres">
      <dgm:prSet presAssocID="{3400A80B-FA06-C44D-BB7C-41790D3680A6}" presName="desTx" presStyleLbl="alignAccFollowNode1" presStyleIdx="0" presStyleCnt="3">
        <dgm:presLayoutVars>
          <dgm:bulletEnabled val="1"/>
        </dgm:presLayoutVars>
      </dgm:prSet>
      <dgm:spPr>
        <a:prstGeom prst="rect">
          <a:avLst/>
        </a:prstGeom>
      </dgm:spPr>
      <dgm:t>
        <a:bodyPr/>
        <a:lstStyle/>
        <a:p>
          <a:endParaRPr lang="en-US"/>
        </a:p>
      </dgm:t>
    </dgm:pt>
    <dgm:pt modelId="{6293F816-58F8-A747-86BE-DE4359F1A04B}" type="pres">
      <dgm:prSet presAssocID="{74313C24-A4BB-B142-93EE-20A76A57726F}" presName="space" presStyleCnt="0"/>
      <dgm:spPr/>
    </dgm:pt>
    <dgm:pt modelId="{E3273A93-5C34-0D41-ACEF-5C111FC8A8C4}" type="pres">
      <dgm:prSet presAssocID="{D07CAACA-BF22-6648-9EB2-30A81C35922B}" presName="composite" presStyleCnt="0"/>
      <dgm:spPr/>
    </dgm:pt>
    <dgm:pt modelId="{9E22510F-4DE9-C24E-A112-4C8C60F2F49F}" type="pres">
      <dgm:prSet presAssocID="{D07CAACA-BF22-6648-9EB2-30A81C35922B}" presName="parTx" presStyleLbl="alignNode1" presStyleIdx="1" presStyleCnt="3">
        <dgm:presLayoutVars>
          <dgm:chMax val="0"/>
          <dgm:chPref val="0"/>
          <dgm:bulletEnabled val="1"/>
        </dgm:presLayoutVars>
      </dgm:prSet>
      <dgm:spPr>
        <a:prstGeom prst="rect">
          <a:avLst/>
        </a:prstGeom>
      </dgm:spPr>
      <dgm:t>
        <a:bodyPr/>
        <a:lstStyle/>
        <a:p>
          <a:endParaRPr lang="en-US"/>
        </a:p>
      </dgm:t>
    </dgm:pt>
    <dgm:pt modelId="{6DBDB21E-A350-D64A-861E-FE57242A54D2}" type="pres">
      <dgm:prSet presAssocID="{D07CAACA-BF22-6648-9EB2-30A81C35922B}" presName="desTx" presStyleLbl="alignAccFollowNode1" presStyleIdx="1" presStyleCnt="3">
        <dgm:presLayoutVars>
          <dgm:bulletEnabled val="1"/>
        </dgm:presLayoutVars>
      </dgm:prSet>
      <dgm:spPr>
        <a:prstGeom prst="rect">
          <a:avLst/>
        </a:prstGeom>
      </dgm:spPr>
      <dgm:t>
        <a:bodyPr/>
        <a:lstStyle/>
        <a:p>
          <a:endParaRPr lang="en-US"/>
        </a:p>
      </dgm:t>
    </dgm:pt>
    <dgm:pt modelId="{1F19C7AA-B5A7-6043-93E1-3823A875A8D6}" type="pres">
      <dgm:prSet presAssocID="{DAA85A3B-9666-F241-A9F1-D147E262A96B}" presName="space" presStyleCnt="0"/>
      <dgm:spPr/>
    </dgm:pt>
    <dgm:pt modelId="{7BF3DFE4-C259-4E46-997D-EF028CABEC46}" type="pres">
      <dgm:prSet presAssocID="{F73D7EC6-AAA3-F04F-AEA7-A0DBB7A6E932}" presName="composite" presStyleCnt="0"/>
      <dgm:spPr/>
    </dgm:pt>
    <dgm:pt modelId="{3CCAFA4C-B0D5-BE4B-9AA3-2B2436521832}" type="pres">
      <dgm:prSet presAssocID="{F73D7EC6-AAA3-F04F-AEA7-A0DBB7A6E932}" presName="parTx" presStyleLbl="alignNode1" presStyleIdx="2" presStyleCnt="3">
        <dgm:presLayoutVars>
          <dgm:chMax val="0"/>
          <dgm:chPref val="0"/>
          <dgm:bulletEnabled val="1"/>
        </dgm:presLayoutVars>
      </dgm:prSet>
      <dgm:spPr>
        <a:prstGeom prst="rect">
          <a:avLst/>
        </a:prstGeom>
      </dgm:spPr>
      <dgm:t>
        <a:bodyPr/>
        <a:lstStyle/>
        <a:p>
          <a:endParaRPr lang="en-US"/>
        </a:p>
      </dgm:t>
    </dgm:pt>
    <dgm:pt modelId="{F5E6C312-8615-A24D-BD40-BEF129510D72}" type="pres">
      <dgm:prSet presAssocID="{F73D7EC6-AAA3-F04F-AEA7-A0DBB7A6E932}" presName="desTx" presStyleLbl="alignAccFollowNode1" presStyleIdx="2" presStyleCnt="3" custScaleX="99545">
        <dgm:presLayoutVars>
          <dgm:bulletEnabled val="1"/>
        </dgm:presLayoutVars>
      </dgm:prSet>
      <dgm:spPr>
        <a:prstGeom prst="rect">
          <a:avLst/>
        </a:prstGeom>
      </dgm:spPr>
      <dgm:t>
        <a:bodyPr/>
        <a:lstStyle/>
        <a:p>
          <a:endParaRPr lang="en-US"/>
        </a:p>
      </dgm:t>
    </dgm:pt>
  </dgm:ptLst>
  <dgm:cxnLst>
    <dgm:cxn modelId="{224387BE-2478-4378-886D-6DCA1F1C2D43}" type="presOf" srcId="{F73D7EC6-AAA3-F04F-AEA7-A0DBB7A6E932}" destId="{3CCAFA4C-B0D5-BE4B-9AA3-2B2436521832}" srcOrd="0" destOrd="0" presId="urn:microsoft.com/office/officeart/2005/8/layout/hList1"/>
    <dgm:cxn modelId="{53A0342D-0909-4A2F-876B-EC08EBFBE59F}" type="presOf" srcId="{D0CC402D-CADF-CB40-9A7C-E01BBF6C2FF5}" destId="{6DBDB21E-A350-D64A-861E-FE57242A54D2}" srcOrd="0" destOrd="2" presId="urn:microsoft.com/office/officeart/2005/8/layout/hList1"/>
    <dgm:cxn modelId="{EE29D369-65B8-A449-B6AE-624B4B357F26}" srcId="{F73D7EC6-AAA3-F04F-AEA7-A0DBB7A6E932}" destId="{7C8B76ED-4D3B-3244-B418-5CE146C4E97A}" srcOrd="1" destOrd="0" parTransId="{57A82947-93EA-9946-B675-47F4BAD919B0}" sibTransId="{464D44CA-5F48-0B40-B4D1-3EE365D42408}"/>
    <dgm:cxn modelId="{A6684CFE-864E-BD41-A9A3-806AF6821A33}" srcId="{D07CAACA-BF22-6648-9EB2-30A81C35922B}" destId="{8D78B0D8-17CB-E541-B47F-80E39E69A2B7}" srcOrd="1" destOrd="0" parTransId="{94C00C04-D861-9443-8146-9A18D8418AD9}" sibTransId="{76AFE838-5EEE-8146-978B-397BF7E029F0}"/>
    <dgm:cxn modelId="{FE4B74D1-3208-4765-AD35-9457550F762B}" type="presOf" srcId="{D07CAACA-BF22-6648-9EB2-30A81C35922B}" destId="{9E22510F-4DE9-C24E-A112-4C8C60F2F49F}" srcOrd="0" destOrd="0" presId="urn:microsoft.com/office/officeart/2005/8/layout/hList1"/>
    <dgm:cxn modelId="{660DBF26-9098-FB48-97B7-5120442592D6}" srcId="{F73D7EC6-AAA3-F04F-AEA7-A0DBB7A6E932}" destId="{12FDCDE7-D07C-C446-98AA-A56ABB738D7F}" srcOrd="2" destOrd="0" parTransId="{2A01BE80-44FB-8342-A318-1A2817A2A1AB}" sibTransId="{629D0ECB-C3E1-F147-A1BE-7684B37BF7D1}"/>
    <dgm:cxn modelId="{2E677C03-ACF4-4B79-83A3-816859F061F6}" type="presOf" srcId="{8D78B0D8-17CB-E541-B47F-80E39E69A2B7}" destId="{6DBDB21E-A350-D64A-861E-FE57242A54D2}" srcOrd="0" destOrd="1" presId="urn:microsoft.com/office/officeart/2005/8/layout/hList1"/>
    <dgm:cxn modelId="{7DB597CF-9E66-4316-95A6-E8FDAD921C33}" type="presOf" srcId="{3400A80B-FA06-C44D-BB7C-41790D3680A6}" destId="{52596F23-5E22-EE49-A22D-963A265951F3}" srcOrd="0" destOrd="0" presId="urn:microsoft.com/office/officeart/2005/8/layout/hList1"/>
    <dgm:cxn modelId="{FE3B6175-D71F-450B-9D73-92504A3DC090}" type="presOf" srcId="{7C8B76ED-4D3B-3244-B418-5CE146C4E97A}" destId="{F5E6C312-8615-A24D-BD40-BEF129510D72}" srcOrd="0" destOrd="1" presId="urn:microsoft.com/office/officeart/2005/8/layout/hList1"/>
    <dgm:cxn modelId="{64090F7E-EB0F-B94C-BB07-2269DA48A0FB}" srcId="{F73D7EC6-AAA3-F04F-AEA7-A0DBB7A6E932}" destId="{719F381C-3D1F-F54A-BCBC-7338F1AABDD6}" srcOrd="3" destOrd="0" parTransId="{E60EB4DF-C187-F945-B80E-D79C8AE1755C}" sibTransId="{BDCFDA1F-CCE7-D340-8668-B3BE43FCE176}"/>
    <dgm:cxn modelId="{DCECAD41-5692-4BD2-904A-4F7F4C07824E}" type="presOf" srcId="{12FDCDE7-D07C-C446-98AA-A56ABB738D7F}" destId="{F5E6C312-8615-A24D-BD40-BEF129510D72}" srcOrd="0" destOrd="2" presId="urn:microsoft.com/office/officeart/2005/8/layout/hList1"/>
    <dgm:cxn modelId="{F29424BF-87A4-4EE0-AE94-F6A51EB355E0}" type="presOf" srcId="{5288692D-254C-5646-A951-50B3A586ED01}" destId="{F5E6C312-8615-A24D-BD40-BEF129510D72}" srcOrd="0" destOrd="0" presId="urn:microsoft.com/office/officeart/2005/8/layout/hList1"/>
    <dgm:cxn modelId="{7BE031A8-2EC9-A04F-A245-C233B05C3C96}" srcId="{3400A80B-FA06-C44D-BB7C-41790D3680A6}" destId="{DB88B88C-1676-774F-B78E-8E4BC0308C1C}" srcOrd="0" destOrd="0" parTransId="{2C097BD8-A96A-D049-81AA-F3298EE755E0}" sibTransId="{5D3FDAE2-1F92-1D40-A38D-B1ADFECC1A3D}"/>
    <dgm:cxn modelId="{CEDF486C-3E8A-4028-A8C7-54E9BE272630}" type="presOf" srcId="{719F381C-3D1F-F54A-BCBC-7338F1AABDD6}" destId="{F5E6C312-8615-A24D-BD40-BEF129510D72}" srcOrd="0" destOrd="3" presId="urn:microsoft.com/office/officeart/2005/8/layout/hList1"/>
    <dgm:cxn modelId="{20AF50AE-AF01-4729-B106-CF79C6365ECE}" type="presOf" srcId="{E81AE7DF-BC02-2E4A-BBDB-43B12B0950C3}" destId="{D9800DE1-89C8-D34F-AA34-4F6C97DA7A53}" srcOrd="0" destOrd="0" presId="urn:microsoft.com/office/officeart/2005/8/layout/hList1"/>
    <dgm:cxn modelId="{1C4A9784-5312-7C41-BE00-81912791FF30}" srcId="{F73D7EC6-AAA3-F04F-AEA7-A0DBB7A6E932}" destId="{5288692D-254C-5646-A951-50B3A586ED01}" srcOrd="0" destOrd="0" parTransId="{07BDA8AC-E80C-2949-B0E4-4FDA303873A4}" sibTransId="{8E731073-7595-FC47-83FF-18BFC32DA393}"/>
    <dgm:cxn modelId="{5EBA1DBA-5ABB-4516-97D9-A0F018028E4F}" type="presOf" srcId="{7C44B649-A724-334B-8FC2-2DB678C6605A}" destId="{6DBDB21E-A350-D64A-861E-FE57242A54D2}" srcOrd="0" destOrd="0" presId="urn:microsoft.com/office/officeart/2005/8/layout/hList1"/>
    <dgm:cxn modelId="{9D33F017-8F2E-E443-88E9-77C83B4CA6B5}" srcId="{E81AE7DF-BC02-2E4A-BBDB-43B12B0950C3}" destId="{F73D7EC6-AAA3-F04F-AEA7-A0DBB7A6E932}" srcOrd="2" destOrd="0" parTransId="{E21A634D-C2D4-0149-A41A-A8CF7542AEBD}" sibTransId="{779595DD-1378-DE4D-916F-3C7796349702}"/>
    <dgm:cxn modelId="{966348D5-7A49-F248-87F5-72C95A5EE988}" srcId="{E81AE7DF-BC02-2E4A-BBDB-43B12B0950C3}" destId="{D07CAACA-BF22-6648-9EB2-30A81C35922B}" srcOrd="1" destOrd="0" parTransId="{B54BDA6A-4099-0640-AB47-D7D08FE1D86C}" sibTransId="{DAA85A3B-9666-F241-A9F1-D147E262A96B}"/>
    <dgm:cxn modelId="{2E0CC4C1-6B41-42A6-90F2-D8B6408456D6}" type="presOf" srcId="{DB88B88C-1676-774F-B78E-8E4BC0308C1C}" destId="{CE9A5458-DC26-4F44-85C9-924A1C3903C6}" srcOrd="0" destOrd="0" presId="urn:microsoft.com/office/officeart/2005/8/layout/hList1"/>
    <dgm:cxn modelId="{5ED7AEEE-E008-6F49-9E40-C62A4C543257}" srcId="{D07CAACA-BF22-6648-9EB2-30A81C35922B}" destId="{7C44B649-A724-334B-8FC2-2DB678C6605A}" srcOrd="0" destOrd="0" parTransId="{F624E982-6982-2441-BCCC-1968BC7000A9}" sibTransId="{1AFF1BA3-5799-E748-A238-6A6AC86857C9}"/>
    <dgm:cxn modelId="{D4E4C3B7-E441-F24E-8144-8EE5620A7114}" srcId="{D07CAACA-BF22-6648-9EB2-30A81C35922B}" destId="{D0CC402D-CADF-CB40-9A7C-E01BBF6C2FF5}" srcOrd="2" destOrd="0" parTransId="{6559606A-399B-C941-AE15-732A0FD77676}" sibTransId="{7325BE7D-E83E-3446-AA2F-A6317097457C}"/>
    <dgm:cxn modelId="{FFB30F13-9D73-DF42-B79E-571B277D9E83}" srcId="{E81AE7DF-BC02-2E4A-BBDB-43B12B0950C3}" destId="{3400A80B-FA06-C44D-BB7C-41790D3680A6}" srcOrd="0" destOrd="0" parTransId="{C244E41A-DC76-1E47-81EA-01CE11B6CC75}" sibTransId="{74313C24-A4BB-B142-93EE-20A76A57726F}"/>
    <dgm:cxn modelId="{C5804C21-1CC5-4C87-84ED-5CBF07B9F576}" type="presParOf" srcId="{D9800DE1-89C8-D34F-AA34-4F6C97DA7A53}" destId="{1463DFDC-1546-AA4B-AC27-4C326C8EAF9D}" srcOrd="0" destOrd="0" presId="urn:microsoft.com/office/officeart/2005/8/layout/hList1"/>
    <dgm:cxn modelId="{5E5E2917-3F5E-40E7-83AE-2AD7FD2F3F24}" type="presParOf" srcId="{1463DFDC-1546-AA4B-AC27-4C326C8EAF9D}" destId="{52596F23-5E22-EE49-A22D-963A265951F3}" srcOrd="0" destOrd="0" presId="urn:microsoft.com/office/officeart/2005/8/layout/hList1"/>
    <dgm:cxn modelId="{73F54200-BA05-4626-B42D-C8BC990D004D}" type="presParOf" srcId="{1463DFDC-1546-AA4B-AC27-4C326C8EAF9D}" destId="{CE9A5458-DC26-4F44-85C9-924A1C3903C6}" srcOrd="1" destOrd="0" presId="urn:microsoft.com/office/officeart/2005/8/layout/hList1"/>
    <dgm:cxn modelId="{A0A1DDBD-2400-4088-ADA6-58A0A6DEC362}" type="presParOf" srcId="{D9800DE1-89C8-D34F-AA34-4F6C97DA7A53}" destId="{6293F816-58F8-A747-86BE-DE4359F1A04B}" srcOrd="1" destOrd="0" presId="urn:microsoft.com/office/officeart/2005/8/layout/hList1"/>
    <dgm:cxn modelId="{AA6FFFDA-4A89-456D-A7E0-52DAB6AD3FC2}" type="presParOf" srcId="{D9800DE1-89C8-D34F-AA34-4F6C97DA7A53}" destId="{E3273A93-5C34-0D41-ACEF-5C111FC8A8C4}" srcOrd="2" destOrd="0" presId="urn:microsoft.com/office/officeart/2005/8/layout/hList1"/>
    <dgm:cxn modelId="{E32CD208-DD24-4C88-83F6-DB03074E91A8}" type="presParOf" srcId="{E3273A93-5C34-0D41-ACEF-5C111FC8A8C4}" destId="{9E22510F-4DE9-C24E-A112-4C8C60F2F49F}" srcOrd="0" destOrd="0" presId="urn:microsoft.com/office/officeart/2005/8/layout/hList1"/>
    <dgm:cxn modelId="{AA334CCB-EB4F-4C8D-9EFF-92C23083744F}" type="presParOf" srcId="{E3273A93-5C34-0D41-ACEF-5C111FC8A8C4}" destId="{6DBDB21E-A350-D64A-861E-FE57242A54D2}" srcOrd="1" destOrd="0" presId="urn:microsoft.com/office/officeart/2005/8/layout/hList1"/>
    <dgm:cxn modelId="{88AEF654-B771-4FFD-B346-4B8DAAE9606A}" type="presParOf" srcId="{D9800DE1-89C8-D34F-AA34-4F6C97DA7A53}" destId="{1F19C7AA-B5A7-6043-93E1-3823A875A8D6}" srcOrd="3" destOrd="0" presId="urn:microsoft.com/office/officeart/2005/8/layout/hList1"/>
    <dgm:cxn modelId="{94534F00-06D0-42E3-9A76-930CEB2577B2}" type="presParOf" srcId="{D9800DE1-89C8-D34F-AA34-4F6C97DA7A53}" destId="{7BF3DFE4-C259-4E46-997D-EF028CABEC46}" srcOrd="4" destOrd="0" presId="urn:microsoft.com/office/officeart/2005/8/layout/hList1"/>
    <dgm:cxn modelId="{0DBBD4BA-F100-4450-BC22-27EE30137025}" type="presParOf" srcId="{7BF3DFE4-C259-4E46-997D-EF028CABEC46}" destId="{3CCAFA4C-B0D5-BE4B-9AA3-2B2436521832}" srcOrd="0" destOrd="0" presId="urn:microsoft.com/office/officeart/2005/8/layout/hList1"/>
    <dgm:cxn modelId="{10619FEC-CB8B-46BB-896C-F46B735754C4}" type="presParOf" srcId="{7BF3DFE4-C259-4E46-997D-EF028CABEC46}" destId="{F5E6C312-8615-A24D-BD40-BEF129510D72}"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596F23-5E22-EE49-A22D-963A265951F3}">
      <dsp:nvSpPr>
        <dsp:cNvPr id="0" name=""/>
        <dsp:cNvSpPr/>
      </dsp:nvSpPr>
      <dsp:spPr>
        <a:xfrm>
          <a:off x="1808" y="5960"/>
          <a:ext cx="1763020" cy="403200"/>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solidFill>
              <a:latin typeface="Arial" panose="020B0604020202020204" pitchFamily="34" charset="0"/>
              <a:ea typeface="+mn-ea"/>
              <a:cs typeface="Arial" panose="020B0604020202020204" pitchFamily="34" charset="0"/>
            </a:rPr>
            <a:t>Quantity Dimension</a:t>
          </a:r>
        </a:p>
      </dsp:txBody>
      <dsp:txXfrm>
        <a:off x="1808" y="5960"/>
        <a:ext cx="1763020" cy="403200"/>
      </dsp:txXfrm>
    </dsp:sp>
    <dsp:sp modelId="{CE9A5458-DC26-4F44-85C9-924A1C3903C6}">
      <dsp:nvSpPr>
        <dsp:cNvPr id="0" name=""/>
        <dsp:cNvSpPr/>
      </dsp:nvSpPr>
      <dsp:spPr>
        <a:xfrm>
          <a:off x="1808" y="409160"/>
          <a:ext cx="1763020" cy="1498769"/>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Increase in the monetary base at </a:t>
          </a: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t>
          </a: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80 trillion</a:t>
          </a:r>
        </a:p>
      </dsp:txBody>
      <dsp:txXfrm>
        <a:off x="1808" y="409160"/>
        <a:ext cx="1763020" cy="1498769"/>
      </dsp:txXfrm>
    </dsp:sp>
    <dsp:sp modelId="{9E22510F-4DE9-C24E-A112-4C8C60F2F49F}">
      <dsp:nvSpPr>
        <dsp:cNvPr id="0" name=""/>
        <dsp:cNvSpPr/>
      </dsp:nvSpPr>
      <dsp:spPr>
        <a:xfrm>
          <a:off x="2011651" y="5960"/>
          <a:ext cx="1763020" cy="403200"/>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solidFill>
              <a:latin typeface="Arial" panose="020B0604020202020204" pitchFamily="34" charset="0"/>
              <a:ea typeface="+mn-ea"/>
              <a:cs typeface="Arial" panose="020B0604020202020204" pitchFamily="34" charset="0"/>
            </a:rPr>
            <a:t>Quality Dimension</a:t>
          </a:r>
        </a:p>
      </dsp:txBody>
      <dsp:txXfrm>
        <a:off x="2011651" y="5960"/>
        <a:ext cx="1763020" cy="403200"/>
      </dsp:txXfrm>
    </dsp:sp>
    <dsp:sp modelId="{6DBDB21E-A350-D64A-861E-FE57242A54D2}">
      <dsp:nvSpPr>
        <dsp:cNvPr id="0" name=""/>
        <dsp:cNvSpPr/>
      </dsp:nvSpPr>
      <dsp:spPr>
        <a:xfrm>
          <a:off x="2011651" y="409160"/>
          <a:ext cx="1763020" cy="1498769"/>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Purchase of JGBs at a pace of about ¥80 trillion</a:t>
          </a: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marL="57150" lvl="1" indent="-57150" algn="l" defTabSz="400050">
            <a:lnSpc>
              <a:spcPct val="90000"/>
            </a:lnSpc>
            <a:spcBef>
              <a:spcPct val="0"/>
            </a:spcBef>
            <a:spcAft>
              <a:spcPct val="15000"/>
            </a:spcAft>
            <a:buChar char="••"/>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Extension of the average remaining maturity of the bank's JGB purchases to about 7</a:t>
          </a: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sym typeface="Symbol" panose="05050102010706020507" pitchFamily="18" charset="2"/>
            </a:rPr>
            <a:t></a:t>
          </a: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12 years</a:t>
          </a: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marL="57150" lvl="1" indent="-57150" algn="l" defTabSz="400050">
            <a:lnSpc>
              <a:spcPct val="90000"/>
            </a:lnSpc>
            <a:spcBef>
              <a:spcPct val="0"/>
            </a:spcBef>
            <a:spcAft>
              <a:spcPct val="15000"/>
            </a:spcAft>
            <a:buChar char="••"/>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Purchase of ETFs and J-REITs so that their amounts outstanding would increase at ¥3 trillion and ¥90 billion, respectively, annually</a:t>
          </a: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011651" y="409160"/>
        <a:ext cx="1763020" cy="1498769"/>
      </dsp:txXfrm>
    </dsp:sp>
    <dsp:sp modelId="{3CCAFA4C-B0D5-BE4B-9AA3-2B2436521832}">
      <dsp:nvSpPr>
        <dsp:cNvPr id="0" name=""/>
        <dsp:cNvSpPr/>
      </dsp:nvSpPr>
      <dsp:spPr>
        <a:xfrm>
          <a:off x="4021494" y="5960"/>
          <a:ext cx="1763020" cy="403200"/>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solidFill>
              <a:latin typeface="Arial" panose="020B0604020202020204" pitchFamily="34" charset="0"/>
              <a:ea typeface="+mn-ea"/>
              <a:cs typeface="Arial" panose="020B0604020202020204" pitchFamily="34" charset="0"/>
            </a:rPr>
            <a:t>Interest Rate Dimension</a:t>
          </a:r>
        </a:p>
      </dsp:txBody>
      <dsp:txXfrm>
        <a:off x="4021494" y="5960"/>
        <a:ext cx="1763020" cy="403200"/>
      </dsp:txXfrm>
    </dsp:sp>
    <dsp:sp modelId="{F5E6C312-8615-A24D-BD40-BEF129510D72}">
      <dsp:nvSpPr>
        <dsp:cNvPr id="0" name=""/>
        <dsp:cNvSpPr/>
      </dsp:nvSpPr>
      <dsp:spPr>
        <a:xfrm>
          <a:off x="4025505" y="409160"/>
          <a:ext cx="1754998" cy="1498769"/>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Three-tier interest rate system:</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Macro add-on balances = 0%</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Basic balance reserves = 0.1%</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Policy-rate balance = (−)0.1%</a:t>
          </a:r>
        </a:p>
      </dsp:txBody>
      <dsp:txXfrm>
        <a:off x="4025505" y="409160"/>
        <a:ext cx="1754998" cy="149876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87120-1D66-473A-8986-5E1AE7D2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2018-09-25T14:38:00Z</cp:lastPrinted>
  <dcterms:created xsi:type="dcterms:W3CDTF">2018-09-25T14:38:00Z</dcterms:created>
  <dcterms:modified xsi:type="dcterms:W3CDTF">2018-09-28T15:18:00Z</dcterms:modified>
</cp:coreProperties>
</file>