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3604F" w14:textId="53054D40" w:rsidR="00EC410C" w:rsidRPr="008D685A" w:rsidRDefault="00BB2CB2" w:rsidP="008467D5">
      <w:pPr>
        <w:pBdr>
          <w:bottom w:val="single" w:sz="18" w:space="1" w:color="auto"/>
        </w:pBdr>
        <w:tabs>
          <w:tab w:val="left" w:pos="-1440"/>
          <w:tab w:val="left" w:pos="-720"/>
          <w:tab w:val="left" w:pos="1"/>
        </w:tabs>
        <w:jc w:val="both"/>
        <w:rPr>
          <w:rFonts w:ascii="Arial" w:hAnsi="Arial"/>
          <w:b/>
          <w:sz w:val="24"/>
          <w:lang w:val="en-GB"/>
        </w:rPr>
      </w:pPr>
      <w:r w:rsidRPr="00BB2CB2">
        <w:rPr>
          <w:rFonts w:ascii="Arial" w:hAnsi="Arial"/>
          <w:b/>
          <w:noProof/>
          <w:sz w:val="24"/>
        </w:rPr>
        <w:drawing>
          <wp:inline distT="0" distB="0" distL="0" distR="0" wp14:anchorId="18862D8B" wp14:editId="6E8DDA8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6028F1D" w14:textId="25DC2C1D" w:rsidR="00D75295" w:rsidRPr="008D685A" w:rsidRDefault="00E463F5" w:rsidP="00F105B7">
      <w:pPr>
        <w:pStyle w:val="ProductNumber"/>
        <w:rPr>
          <w:lang w:val="en-GB"/>
        </w:rPr>
      </w:pPr>
      <w:r>
        <w:rPr>
          <w:lang w:val="en-GB"/>
        </w:rPr>
        <w:t>9B18M152</w:t>
      </w:r>
    </w:p>
    <w:p w14:paraId="3B393243" w14:textId="77777777" w:rsidR="00D75295" w:rsidRPr="008D685A" w:rsidRDefault="00D75295" w:rsidP="00D75295">
      <w:pPr>
        <w:jc w:val="right"/>
        <w:rPr>
          <w:rFonts w:ascii="Arial" w:hAnsi="Arial"/>
          <w:b/>
          <w:sz w:val="28"/>
          <w:szCs w:val="28"/>
          <w:lang w:val="en-GB"/>
        </w:rPr>
      </w:pPr>
    </w:p>
    <w:p w14:paraId="1C4A0F4E" w14:textId="77777777" w:rsidR="00013360" w:rsidRPr="008D685A" w:rsidRDefault="00013360" w:rsidP="00D75295">
      <w:pPr>
        <w:jc w:val="right"/>
        <w:rPr>
          <w:rFonts w:ascii="Arial" w:hAnsi="Arial"/>
          <w:b/>
          <w:sz w:val="28"/>
          <w:szCs w:val="28"/>
          <w:lang w:val="en-GB"/>
        </w:rPr>
      </w:pPr>
    </w:p>
    <w:p w14:paraId="6039EA71" w14:textId="216C3FB9" w:rsidR="00013360" w:rsidRPr="008D685A" w:rsidRDefault="00EC410C" w:rsidP="00013360">
      <w:pPr>
        <w:pStyle w:val="CaseTitle"/>
        <w:spacing w:after="0" w:line="240" w:lineRule="auto"/>
        <w:rPr>
          <w:sz w:val="20"/>
          <w:szCs w:val="20"/>
          <w:lang w:val="en-GB"/>
        </w:rPr>
      </w:pPr>
      <w:r w:rsidRPr="008D685A">
        <w:rPr>
          <w:rFonts w:eastAsia="Times New Roman"/>
          <w:szCs w:val="20"/>
          <w:lang w:val="en-GB"/>
        </w:rPr>
        <w:t xml:space="preserve">Illumination Solar: </w:t>
      </w:r>
      <w:r w:rsidR="00512A18" w:rsidRPr="008D685A">
        <w:rPr>
          <w:rFonts w:eastAsia="Times New Roman"/>
          <w:szCs w:val="20"/>
          <w:lang w:val="en-GB"/>
        </w:rPr>
        <w:t>DELIVERING</w:t>
      </w:r>
      <w:r w:rsidRPr="008D685A">
        <w:rPr>
          <w:rFonts w:eastAsia="Times New Roman"/>
          <w:szCs w:val="20"/>
          <w:lang w:val="en-GB"/>
        </w:rPr>
        <w:t xml:space="preserve"> Energy Poverty Solutions</w:t>
      </w:r>
    </w:p>
    <w:p w14:paraId="28E3D95A" w14:textId="77777777" w:rsidR="00CA3976" w:rsidRPr="008D685A" w:rsidRDefault="00CA3976" w:rsidP="00013360">
      <w:pPr>
        <w:pStyle w:val="CaseTitle"/>
        <w:spacing w:after="0" w:line="240" w:lineRule="auto"/>
        <w:rPr>
          <w:sz w:val="20"/>
          <w:szCs w:val="20"/>
          <w:lang w:val="en-GB"/>
        </w:rPr>
      </w:pPr>
    </w:p>
    <w:p w14:paraId="4816258A" w14:textId="77777777" w:rsidR="00013360" w:rsidRPr="008D685A" w:rsidRDefault="00013360" w:rsidP="00013360">
      <w:pPr>
        <w:pStyle w:val="CaseTitle"/>
        <w:spacing w:after="0" w:line="240" w:lineRule="auto"/>
        <w:rPr>
          <w:sz w:val="20"/>
          <w:szCs w:val="20"/>
          <w:lang w:val="en-GB"/>
        </w:rPr>
      </w:pPr>
    </w:p>
    <w:p w14:paraId="14AB02CA" w14:textId="008601DA" w:rsidR="00627C63" w:rsidRPr="008D685A" w:rsidRDefault="00EC2398" w:rsidP="00627C63">
      <w:pPr>
        <w:pStyle w:val="StyleCopyrightStatementAfter0ptBottomSinglesolidline1"/>
        <w:rPr>
          <w:lang w:val="en-GB"/>
        </w:rPr>
      </w:pPr>
      <w:hyperlink r:id="rId9" w:history="1">
        <w:r w:rsidR="008D2B82" w:rsidRPr="008D685A">
          <w:rPr>
            <w:rStyle w:val="Hyperlink"/>
            <w:color w:val="auto"/>
            <w:u w:val="none"/>
            <w:lang w:val="en-GB"/>
          </w:rPr>
          <w:t>Cle-Anne Gabriel</w:t>
        </w:r>
      </w:hyperlink>
      <w:r w:rsidR="008D2B82" w:rsidRPr="008D685A">
        <w:rPr>
          <w:color w:val="auto"/>
          <w:lang w:val="en-GB"/>
        </w:rPr>
        <w:t xml:space="preserve">, </w:t>
      </w:r>
      <w:hyperlink r:id="rId10" w:history="1">
        <w:r w:rsidR="008D2B82" w:rsidRPr="008D685A">
          <w:rPr>
            <w:rStyle w:val="Hyperlink"/>
            <w:color w:val="auto"/>
            <w:u w:val="none"/>
            <w:lang w:val="en-GB"/>
          </w:rPr>
          <w:t>Maree Stanley</w:t>
        </w:r>
      </w:hyperlink>
      <w:r w:rsidR="008D2B82" w:rsidRPr="008D685A">
        <w:rPr>
          <w:color w:val="auto"/>
          <w:lang w:val="en-GB"/>
        </w:rPr>
        <w:t xml:space="preserve">, and </w:t>
      </w:r>
      <w:hyperlink r:id="rId11" w:history="1">
        <w:r w:rsidR="008D2B82" w:rsidRPr="008D685A">
          <w:rPr>
            <w:rStyle w:val="Hyperlink"/>
            <w:color w:val="auto"/>
            <w:u w:val="none"/>
            <w:lang w:val="en-GB"/>
          </w:rPr>
          <w:t>Shane Thatcher</w:t>
        </w:r>
      </w:hyperlink>
      <w:r w:rsidR="008D2B82" w:rsidRPr="008D685A">
        <w:rPr>
          <w:color w:val="auto"/>
          <w:lang w:val="en-GB"/>
        </w:rPr>
        <w:t xml:space="preserve"> </w:t>
      </w:r>
      <w:r w:rsidR="004B632F" w:rsidRPr="008D685A">
        <w:rPr>
          <w:color w:val="auto"/>
          <w:lang w:val="en-GB"/>
        </w:rPr>
        <w:t>wro</w:t>
      </w:r>
      <w:r w:rsidR="004B632F" w:rsidRPr="008D685A">
        <w:rPr>
          <w:lang w:val="en-GB"/>
        </w:rPr>
        <w:t xml:space="preserve">te this </w:t>
      </w:r>
      <w:r w:rsidR="00152682" w:rsidRPr="008D685A">
        <w:rPr>
          <w:lang w:val="en-GB"/>
        </w:rPr>
        <w:t>case</w:t>
      </w:r>
      <w:r w:rsidR="004B632F" w:rsidRPr="008D685A">
        <w:rPr>
          <w:lang w:val="en-GB"/>
        </w:rPr>
        <w:t xml:space="preserve"> </w:t>
      </w:r>
      <w:r w:rsidR="00152682" w:rsidRPr="008D685A">
        <w:rPr>
          <w:lang w:val="en-GB"/>
        </w:rPr>
        <w:t>solely to provide material for class discussion. The</w:t>
      </w:r>
      <w:r w:rsidR="001C7777" w:rsidRPr="008D685A">
        <w:rPr>
          <w:lang w:val="en-GB"/>
        </w:rPr>
        <w:t xml:space="preserve"> author</w:t>
      </w:r>
      <w:r w:rsidR="001A22D1" w:rsidRPr="008D685A">
        <w:rPr>
          <w:lang w:val="en-GB"/>
        </w:rPr>
        <w:t>s</w:t>
      </w:r>
      <w:r w:rsidR="00152682" w:rsidRPr="008D685A">
        <w:rPr>
          <w:lang w:val="en-GB"/>
        </w:rPr>
        <w:t xml:space="preserve"> do not intend to illustrate either effective or ineffective handling of a managerial situation. The author</w:t>
      </w:r>
      <w:r w:rsidR="001A22D1" w:rsidRPr="008D685A">
        <w:rPr>
          <w:lang w:val="en-GB"/>
        </w:rPr>
        <w:t>s</w:t>
      </w:r>
      <w:r w:rsidR="00152682" w:rsidRPr="008D685A">
        <w:rPr>
          <w:lang w:val="en-GB"/>
        </w:rPr>
        <w:t xml:space="preserve"> may have disguised certain names and other identifying information to protect confidentiality.</w:t>
      </w:r>
    </w:p>
    <w:p w14:paraId="0D0D8C45" w14:textId="0614094F" w:rsidR="00EC410C" w:rsidRPr="008D685A" w:rsidRDefault="00EC410C" w:rsidP="00751E0B">
      <w:pPr>
        <w:pStyle w:val="StyleCopyrightStatementAfter0ptBottomSinglesolidline1"/>
        <w:rPr>
          <w:lang w:val="en-GB"/>
        </w:rPr>
      </w:pPr>
    </w:p>
    <w:p w14:paraId="3144CF40" w14:textId="77777777" w:rsidR="00BB2CB2" w:rsidRPr="00E23AB7" w:rsidRDefault="00BB2CB2" w:rsidP="00E74733">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14:paraId="5BCAFCCB" w14:textId="77777777" w:rsidR="00EC410C" w:rsidRPr="008D685A" w:rsidRDefault="00EC410C" w:rsidP="00751E0B">
      <w:pPr>
        <w:pStyle w:val="StyleCopyrightStatementAfter0ptBottomSinglesolidline1"/>
        <w:rPr>
          <w:lang w:val="en-GB"/>
        </w:rPr>
      </w:pPr>
    </w:p>
    <w:p w14:paraId="1550EDC3" w14:textId="49760F72" w:rsidR="00751E0B" w:rsidRPr="008D685A" w:rsidRDefault="00BB2CB2"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8D685A">
        <w:rPr>
          <w:rFonts w:cs="Arial"/>
          <w:szCs w:val="16"/>
          <w:lang w:val="en-GB"/>
        </w:rPr>
        <w:tab/>
      </w:r>
      <w:r w:rsidR="00751E0B" w:rsidRPr="008D685A">
        <w:rPr>
          <w:lang w:val="en-GB"/>
        </w:rPr>
        <w:t xml:space="preserve">Version: </w:t>
      </w:r>
      <w:r w:rsidR="003D0BA1" w:rsidRPr="008D685A">
        <w:rPr>
          <w:lang w:val="en-GB"/>
        </w:rPr>
        <w:t>20</w:t>
      </w:r>
      <w:r w:rsidR="002C5D53" w:rsidRPr="008D685A">
        <w:rPr>
          <w:lang w:val="en-GB"/>
        </w:rPr>
        <w:t>18</w:t>
      </w:r>
      <w:r w:rsidR="001C7777" w:rsidRPr="008D685A">
        <w:rPr>
          <w:lang w:val="en-GB"/>
        </w:rPr>
        <w:t>-</w:t>
      </w:r>
      <w:r w:rsidR="00BB5005">
        <w:rPr>
          <w:lang w:val="en-GB"/>
        </w:rPr>
        <w:t>10</w:t>
      </w:r>
      <w:r w:rsidR="00751E0B" w:rsidRPr="008D685A">
        <w:rPr>
          <w:lang w:val="en-GB"/>
        </w:rPr>
        <w:t>-</w:t>
      </w:r>
      <w:r w:rsidR="00EC2398">
        <w:rPr>
          <w:lang w:val="en-GB"/>
        </w:rPr>
        <w:t>05</w:t>
      </w:r>
    </w:p>
    <w:p w14:paraId="5CBE0889" w14:textId="77777777" w:rsidR="00751E0B" w:rsidRPr="008D685A" w:rsidRDefault="00751E0B" w:rsidP="00751E0B">
      <w:pPr>
        <w:pStyle w:val="StyleCopyrightStatementAfter0ptBottomSinglesolidline1"/>
        <w:rPr>
          <w:rFonts w:ascii="Times New Roman" w:hAnsi="Times New Roman"/>
          <w:sz w:val="20"/>
          <w:lang w:val="en-GB"/>
        </w:rPr>
      </w:pPr>
    </w:p>
    <w:p w14:paraId="015A608A" w14:textId="77777777" w:rsidR="004B632F" w:rsidRPr="008D685A" w:rsidRDefault="004B632F" w:rsidP="004B632F">
      <w:pPr>
        <w:pStyle w:val="StyleCopyrightStatementAfter0ptBottomSinglesolidline1"/>
        <w:rPr>
          <w:rFonts w:ascii="Times New Roman" w:hAnsi="Times New Roman"/>
          <w:sz w:val="20"/>
          <w:lang w:val="en-GB"/>
        </w:rPr>
      </w:pPr>
    </w:p>
    <w:p w14:paraId="03364FC6" w14:textId="6E7A262E" w:rsidR="002C5D53" w:rsidRPr="00E463F5" w:rsidRDefault="002C5D53" w:rsidP="002C5D53">
      <w:pPr>
        <w:pStyle w:val="BodyTextMain"/>
        <w:rPr>
          <w:spacing w:val="-2"/>
          <w:kern w:val="22"/>
          <w:lang w:val="en-GB"/>
        </w:rPr>
      </w:pPr>
      <w:r w:rsidRPr="00E463F5">
        <w:rPr>
          <w:spacing w:val="-2"/>
          <w:kern w:val="22"/>
          <w:lang w:val="en-GB"/>
        </w:rPr>
        <w:t>I</w:t>
      </w:r>
      <w:r w:rsidR="008D685A" w:rsidRPr="00E463F5">
        <w:rPr>
          <w:spacing w:val="-2"/>
          <w:kern w:val="22"/>
          <w:lang w:val="en-GB"/>
        </w:rPr>
        <w:t>n</w:t>
      </w:r>
      <w:r w:rsidRPr="00E463F5">
        <w:rPr>
          <w:spacing w:val="-2"/>
          <w:kern w:val="22"/>
          <w:lang w:val="en-GB"/>
        </w:rPr>
        <w:t xml:space="preserve"> October 2017</w:t>
      </w:r>
      <w:r w:rsidR="008D685A" w:rsidRPr="00E463F5">
        <w:rPr>
          <w:spacing w:val="-2"/>
          <w:kern w:val="22"/>
          <w:lang w:val="en-GB"/>
        </w:rPr>
        <w:t>,</w:t>
      </w:r>
      <w:r w:rsidRPr="00E463F5">
        <w:rPr>
          <w:spacing w:val="-2"/>
          <w:kern w:val="22"/>
          <w:lang w:val="en-GB"/>
        </w:rPr>
        <w:t xml:space="preserve"> Shane</w:t>
      </w:r>
      <w:r w:rsidR="00D47B38" w:rsidRPr="00E463F5">
        <w:rPr>
          <w:spacing w:val="-2"/>
          <w:kern w:val="22"/>
          <w:lang w:val="en-GB"/>
        </w:rPr>
        <w:t xml:space="preserve"> Thatcher, co-founder of </w:t>
      </w:r>
      <w:r w:rsidRPr="00E463F5">
        <w:rPr>
          <w:spacing w:val="-2"/>
          <w:kern w:val="22"/>
          <w:lang w:val="en-GB"/>
        </w:rPr>
        <w:t>Australian social enterprise Illumination Solar</w:t>
      </w:r>
      <w:r w:rsidR="005541DD" w:rsidRPr="00E463F5">
        <w:rPr>
          <w:spacing w:val="-2"/>
          <w:kern w:val="22"/>
          <w:lang w:val="en-GB"/>
        </w:rPr>
        <w:t xml:space="preserve"> (Illumination)</w:t>
      </w:r>
      <w:r w:rsidRPr="00E463F5">
        <w:rPr>
          <w:spacing w:val="-2"/>
          <w:kern w:val="22"/>
          <w:lang w:val="en-GB"/>
        </w:rPr>
        <w:t xml:space="preserve"> had mixed feelings. He </w:t>
      </w:r>
      <w:r w:rsidR="00D47B38" w:rsidRPr="00E463F5">
        <w:rPr>
          <w:spacing w:val="-2"/>
          <w:kern w:val="22"/>
          <w:lang w:val="en-GB"/>
        </w:rPr>
        <w:t>was rethinking his company</w:t>
      </w:r>
      <w:r w:rsidR="008D685A" w:rsidRPr="00E463F5">
        <w:rPr>
          <w:spacing w:val="-2"/>
          <w:kern w:val="22"/>
          <w:lang w:val="en-GB"/>
        </w:rPr>
        <w:t>’</w:t>
      </w:r>
      <w:r w:rsidR="00D47B38" w:rsidRPr="00E463F5">
        <w:rPr>
          <w:spacing w:val="-2"/>
          <w:kern w:val="22"/>
          <w:lang w:val="en-GB"/>
        </w:rPr>
        <w:t>s Give Power</w:t>
      </w:r>
      <w:r w:rsidRPr="00E463F5">
        <w:rPr>
          <w:spacing w:val="-2"/>
          <w:kern w:val="22"/>
          <w:lang w:val="en-GB"/>
        </w:rPr>
        <w:t xml:space="preserve"> campaign. After five marginally profitable years designing and supplying porta</w:t>
      </w:r>
      <w:bookmarkStart w:id="0" w:name="_GoBack"/>
      <w:bookmarkEnd w:id="0"/>
      <w:r w:rsidRPr="00E463F5">
        <w:rPr>
          <w:spacing w:val="-2"/>
          <w:kern w:val="22"/>
          <w:lang w:val="en-GB"/>
        </w:rPr>
        <w:t>ble solar lights (solar lanterns) to some of the world</w:t>
      </w:r>
      <w:r w:rsidR="00EA0B51" w:rsidRPr="00E463F5">
        <w:rPr>
          <w:spacing w:val="-2"/>
          <w:kern w:val="22"/>
          <w:lang w:val="en-GB"/>
        </w:rPr>
        <w:t>’</w:t>
      </w:r>
      <w:r w:rsidRPr="00E463F5">
        <w:rPr>
          <w:spacing w:val="-2"/>
          <w:kern w:val="22"/>
          <w:lang w:val="en-GB"/>
        </w:rPr>
        <w:t xml:space="preserve">s most energy impoverished communities, including refugee camps, </w:t>
      </w:r>
      <w:r w:rsidR="005541DD" w:rsidRPr="00E463F5">
        <w:rPr>
          <w:spacing w:val="-2"/>
          <w:kern w:val="22"/>
          <w:lang w:val="en-GB"/>
        </w:rPr>
        <w:t>Thatcher</w:t>
      </w:r>
      <w:r w:rsidRPr="00E463F5">
        <w:rPr>
          <w:spacing w:val="-2"/>
          <w:kern w:val="22"/>
          <w:lang w:val="en-GB"/>
        </w:rPr>
        <w:t xml:space="preserve"> had decided to market his products to Australian customers for outdoor uses such as</w:t>
      </w:r>
      <w:r w:rsidR="00D47B38" w:rsidRPr="00E463F5">
        <w:rPr>
          <w:spacing w:val="-2"/>
          <w:kern w:val="22"/>
          <w:lang w:val="en-GB"/>
        </w:rPr>
        <w:t xml:space="preserve"> camping and hiking. Under the </w:t>
      </w:r>
      <w:r w:rsidRPr="00E463F5">
        <w:rPr>
          <w:spacing w:val="-2"/>
          <w:kern w:val="22"/>
          <w:lang w:val="en-GB"/>
        </w:rPr>
        <w:t xml:space="preserve">Give Power campaign, Illumination donated one solar lantern to a community in need, for every solar product purchased by Australian customers. However, this strategy was not successful. </w:t>
      </w:r>
      <w:r w:rsidR="005541DD" w:rsidRPr="00E463F5">
        <w:rPr>
          <w:spacing w:val="-2"/>
          <w:kern w:val="22"/>
          <w:lang w:val="en-GB"/>
        </w:rPr>
        <w:t>Thatcher</w:t>
      </w:r>
      <w:r w:rsidRPr="00E463F5">
        <w:rPr>
          <w:spacing w:val="-2"/>
          <w:kern w:val="22"/>
          <w:lang w:val="en-GB"/>
        </w:rPr>
        <w:t xml:space="preserve">’s main goal for his company </w:t>
      </w:r>
      <w:r w:rsidR="00B6319D" w:rsidRPr="00E463F5">
        <w:rPr>
          <w:spacing w:val="-2"/>
          <w:kern w:val="22"/>
          <w:lang w:val="en-GB"/>
        </w:rPr>
        <w:t>wa</w:t>
      </w:r>
      <w:r w:rsidRPr="00E463F5">
        <w:rPr>
          <w:spacing w:val="-2"/>
          <w:kern w:val="22"/>
          <w:lang w:val="en-GB"/>
        </w:rPr>
        <w:t xml:space="preserve">s to </w:t>
      </w:r>
      <w:r w:rsidR="00B6319D" w:rsidRPr="00E463F5">
        <w:rPr>
          <w:spacing w:val="-2"/>
          <w:kern w:val="22"/>
          <w:lang w:val="en-GB"/>
        </w:rPr>
        <w:t>sustainably provide</w:t>
      </w:r>
      <w:r w:rsidRPr="00E463F5">
        <w:rPr>
          <w:spacing w:val="-2"/>
          <w:kern w:val="22"/>
          <w:lang w:val="en-GB"/>
        </w:rPr>
        <w:t xml:space="preserve"> good quality solar lights to impoverished people in developing countries. </w:t>
      </w:r>
      <w:r w:rsidR="00643166" w:rsidRPr="00E463F5">
        <w:rPr>
          <w:spacing w:val="-2"/>
          <w:kern w:val="22"/>
          <w:lang w:val="en-GB"/>
        </w:rPr>
        <w:t>To reach that goal, he wo</w:t>
      </w:r>
      <w:r w:rsidR="00EC2398">
        <w:rPr>
          <w:spacing w:val="-2"/>
          <w:kern w:val="22"/>
          <w:lang w:val="en-GB"/>
        </w:rPr>
        <w:t>ndered which strategy to follow; should he</w:t>
      </w:r>
      <w:r w:rsidRPr="00E463F5">
        <w:rPr>
          <w:spacing w:val="-2"/>
          <w:kern w:val="22"/>
          <w:lang w:val="en-GB"/>
        </w:rPr>
        <w:t xml:space="preserve"> return to </w:t>
      </w:r>
      <w:r w:rsidR="00643166" w:rsidRPr="00E463F5">
        <w:rPr>
          <w:spacing w:val="-2"/>
          <w:kern w:val="22"/>
          <w:lang w:val="en-GB"/>
        </w:rPr>
        <w:t>the</w:t>
      </w:r>
      <w:r w:rsidRPr="00E463F5">
        <w:rPr>
          <w:spacing w:val="-2"/>
          <w:kern w:val="22"/>
          <w:lang w:val="en-GB"/>
        </w:rPr>
        <w:t xml:space="preserve"> original bu</w:t>
      </w:r>
      <w:r w:rsidR="00D47B38" w:rsidRPr="00E463F5">
        <w:rPr>
          <w:spacing w:val="-2"/>
          <w:kern w:val="22"/>
          <w:lang w:val="en-GB"/>
        </w:rPr>
        <w:t xml:space="preserve">siness model, re-structure </w:t>
      </w:r>
      <w:r w:rsidR="00643166" w:rsidRPr="00E463F5">
        <w:rPr>
          <w:spacing w:val="-2"/>
          <w:kern w:val="22"/>
          <w:lang w:val="en-GB"/>
        </w:rPr>
        <w:t>the</w:t>
      </w:r>
      <w:r w:rsidR="00D47B38" w:rsidRPr="00E463F5">
        <w:rPr>
          <w:spacing w:val="-2"/>
          <w:kern w:val="22"/>
          <w:lang w:val="en-GB"/>
        </w:rPr>
        <w:t xml:space="preserve"> </w:t>
      </w:r>
      <w:r w:rsidRPr="00E463F5">
        <w:rPr>
          <w:spacing w:val="-2"/>
          <w:kern w:val="22"/>
          <w:lang w:val="en-GB"/>
        </w:rPr>
        <w:t>Give Power campaign, or come up with something entirely new to generate higher profits?</w:t>
      </w:r>
    </w:p>
    <w:p w14:paraId="559F16E7" w14:textId="77777777" w:rsidR="002C5D53" w:rsidRPr="008D685A" w:rsidRDefault="002C5D53" w:rsidP="002C5D53">
      <w:pPr>
        <w:pStyle w:val="BodyTextMain"/>
        <w:rPr>
          <w:lang w:val="en-GB"/>
        </w:rPr>
      </w:pPr>
    </w:p>
    <w:p w14:paraId="533E7531" w14:textId="77777777" w:rsidR="002C5D53" w:rsidRPr="008D685A" w:rsidRDefault="002C5D53" w:rsidP="002C5D53">
      <w:pPr>
        <w:pStyle w:val="BodyTextMain"/>
        <w:rPr>
          <w:lang w:val="en-GB"/>
        </w:rPr>
      </w:pPr>
    </w:p>
    <w:p w14:paraId="1E22BF28" w14:textId="77777777" w:rsidR="002C5D53" w:rsidRPr="008D685A" w:rsidRDefault="002C5D53" w:rsidP="002C5D53">
      <w:pPr>
        <w:pStyle w:val="Casehead1"/>
        <w:rPr>
          <w:lang w:val="en-GB"/>
        </w:rPr>
      </w:pPr>
      <w:r w:rsidRPr="008D685A">
        <w:rPr>
          <w:lang w:val="en-GB"/>
        </w:rPr>
        <w:t>Company Origins</w:t>
      </w:r>
    </w:p>
    <w:p w14:paraId="360C19A7" w14:textId="77777777" w:rsidR="002C5D53" w:rsidRPr="008D685A" w:rsidRDefault="002C5D53" w:rsidP="002C5D53">
      <w:pPr>
        <w:pStyle w:val="BodyTextMain"/>
        <w:rPr>
          <w:lang w:val="en-GB"/>
        </w:rPr>
      </w:pPr>
    </w:p>
    <w:p w14:paraId="0940F762" w14:textId="4674D22A" w:rsidR="002C5D53" w:rsidRPr="008D685A" w:rsidRDefault="002C5D53" w:rsidP="002C5D53">
      <w:pPr>
        <w:pStyle w:val="BodyTextMain"/>
        <w:rPr>
          <w:lang w:val="en-GB"/>
        </w:rPr>
      </w:pPr>
      <w:r w:rsidRPr="008D685A">
        <w:rPr>
          <w:lang w:val="en-GB"/>
        </w:rPr>
        <w:t xml:space="preserve">Illumination </w:t>
      </w:r>
      <w:r w:rsidR="001C5993" w:rsidRPr="008D685A">
        <w:rPr>
          <w:lang w:val="en-GB"/>
        </w:rPr>
        <w:t>w</w:t>
      </w:r>
      <w:r w:rsidR="00C53355" w:rsidRPr="008D685A">
        <w:rPr>
          <w:lang w:val="en-GB"/>
        </w:rPr>
        <w:t>a</w:t>
      </w:r>
      <w:r w:rsidRPr="008D685A">
        <w:rPr>
          <w:lang w:val="en-GB"/>
        </w:rPr>
        <w:t xml:space="preserve">s a social enterprise co-founded by </w:t>
      </w:r>
      <w:r w:rsidR="005541DD" w:rsidRPr="008D685A">
        <w:rPr>
          <w:lang w:val="en-GB"/>
        </w:rPr>
        <w:t>Thatcher</w:t>
      </w:r>
      <w:r w:rsidRPr="008D685A">
        <w:rPr>
          <w:lang w:val="en-GB"/>
        </w:rPr>
        <w:t xml:space="preserve"> in 2009 to address energy poverty in some of the world’s poorest communities. Energy poverty refer</w:t>
      </w:r>
      <w:r w:rsidR="00D71641">
        <w:rPr>
          <w:lang w:val="en-GB"/>
        </w:rPr>
        <w:t>red</w:t>
      </w:r>
      <w:r w:rsidRPr="008D685A">
        <w:rPr>
          <w:lang w:val="en-GB"/>
        </w:rPr>
        <w:t xml:space="preserve"> to a lack of access to modern energy services and affect</w:t>
      </w:r>
      <w:r w:rsidR="00B6319D" w:rsidRPr="008D685A">
        <w:rPr>
          <w:lang w:val="en-GB"/>
        </w:rPr>
        <w:t>ed</w:t>
      </w:r>
      <w:r w:rsidRPr="008D685A">
        <w:rPr>
          <w:lang w:val="en-GB"/>
        </w:rPr>
        <w:t xml:space="preserve"> about 1.1 billion people globally</w:t>
      </w:r>
      <w:r w:rsidR="00C53355" w:rsidRPr="008D685A">
        <w:rPr>
          <w:lang w:val="en-GB"/>
        </w:rPr>
        <w:t>.</w:t>
      </w:r>
      <w:r w:rsidRPr="008D685A">
        <w:rPr>
          <w:vertAlign w:val="superscript"/>
          <w:lang w:val="en-GB"/>
        </w:rPr>
        <w:footnoteReference w:id="1"/>
      </w:r>
      <w:r w:rsidRPr="008D685A">
        <w:rPr>
          <w:lang w:val="en-GB"/>
        </w:rPr>
        <w:t xml:space="preserve"> By 2017, with the vision to </w:t>
      </w:r>
      <w:r w:rsidR="00C53355" w:rsidRPr="008D685A">
        <w:rPr>
          <w:lang w:val="en-GB"/>
        </w:rPr>
        <w:t>“</w:t>
      </w:r>
      <w:r w:rsidRPr="008D685A">
        <w:rPr>
          <w:lang w:val="en-GB"/>
        </w:rPr>
        <w:t>help improve the health, wealth</w:t>
      </w:r>
      <w:r w:rsidR="00DD2F96">
        <w:rPr>
          <w:lang w:val="en-GB"/>
        </w:rPr>
        <w:t>,</w:t>
      </w:r>
      <w:r w:rsidRPr="008D685A">
        <w:rPr>
          <w:lang w:val="en-GB"/>
        </w:rPr>
        <w:t xml:space="preserve"> and education of people who live without power</w:t>
      </w:r>
      <w:r w:rsidR="00C53355" w:rsidRPr="008D685A">
        <w:rPr>
          <w:lang w:val="en-GB"/>
        </w:rPr>
        <w:t>,”</w:t>
      </w:r>
      <w:r w:rsidRPr="008D685A">
        <w:rPr>
          <w:lang w:val="en-GB"/>
        </w:rPr>
        <w:t xml:space="preserve"> the company had distributed more than 600,000 solar products in over 20 countries.</w:t>
      </w:r>
      <w:r w:rsidR="001C5993" w:rsidRPr="008D685A">
        <w:rPr>
          <w:lang w:val="en-GB"/>
        </w:rPr>
        <w:t xml:space="preserve"> </w:t>
      </w:r>
    </w:p>
    <w:p w14:paraId="1C5F2AAB" w14:textId="77777777" w:rsidR="002C5D53" w:rsidRPr="008D685A" w:rsidRDefault="002C5D53" w:rsidP="002C5D53">
      <w:pPr>
        <w:pStyle w:val="BodyTextMain"/>
        <w:rPr>
          <w:lang w:val="en-GB"/>
        </w:rPr>
      </w:pPr>
    </w:p>
    <w:p w14:paraId="09F4A137" w14:textId="539FDCF9" w:rsidR="002C5D53" w:rsidRPr="008D685A" w:rsidRDefault="002C5D53" w:rsidP="002C5D53">
      <w:pPr>
        <w:pStyle w:val="BodyTextMain"/>
        <w:rPr>
          <w:spacing w:val="-2"/>
          <w:lang w:val="en-GB"/>
        </w:rPr>
      </w:pPr>
      <w:r w:rsidRPr="008D685A">
        <w:rPr>
          <w:spacing w:val="-2"/>
          <w:lang w:val="en-GB"/>
        </w:rPr>
        <w:t>Originally, Illumination sold eco solar products in Arusha, Tanzania. From the beginning, its founders had a strong social and environmental mission. They wanted to provide a solar light that could replace the use of kerosene in households without electricity. When burned, kerosene produce</w:t>
      </w:r>
      <w:r w:rsidR="00D71641">
        <w:rPr>
          <w:spacing w:val="-2"/>
          <w:lang w:val="en-GB"/>
        </w:rPr>
        <w:t>d</w:t>
      </w:r>
      <w:r w:rsidRPr="008D685A">
        <w:rPr>
          <w:spacing w:val="-2"/>
          <w:lang w:val="en-GB"/>
        </w:rPr>
        <w:t xml:space="preserve"> toxic fumes and </w:t>
      </w:r>
      <w:r w:rsidR="00D71641">
        <w:rPr>
          <w:spacing w:val="-2"/>
          <w:lang w:val="en-GB"/>
        </w:rPr>
        <w:t xml:space="preserve">raised </w:t>
      </w:r>
      <w:r w:rsidRPr="008D685A">
        <w:rPr>
          <w:spacing w:val="-2"/>
          <w:lang w:val="en-GB"/>
        </w:rPr>
        <w:t>the risk of fire</w:t>
      </w:r>
      <w:r w:rsidR="00D71641">
        <w:rPr>
          <w:spacing w:val="-2"/>
          <w:lang w:val="en-GB"/>
        </w:rPr>
        <w:t>-</w:t>
      </w:r>
      <w:r w:rsidRPr="008D685A">
        <w:rPr>
          <w:spacing w:val="-2"/>
          <w:lang w:val="en-GB"/>
        </w:rPr>
        <w:t xml:space="preserve">related injury </w:t>
      </w:r>
      <w:r w:rsidR="00643166">
        <w:rPr>
          <w:spacing w:val="-2"/>
          <w:lang w:val="en-GB"/>
        </w:rPr>
        <w:t>if</w:t>
      </w:r>
      <w:r w:rsidRPr="008D685A">
        <w:rPr>
          <w:spacing w:val="-2"/>
          <w:lang w:val="en-GB"/>
        </w:rPr>
        <w:t xml:space="preserve"> used indoors. Kerosene lamps </w:t>
      </w:r>
      <w:r w:rsidR="00B6319D" w:rsidRPr="008D685A">
        <w:rPr>
          <w:spacing w:val="-2"/>
          <w:lang w:val="en-GB"/>
        </w:rPr>
        <w:t>were also considered</w:t>
      </w:r>
      <w:r w:rsidRPr="008D685A">
        <w:rPr>
          <w:spacing w:val="-2"/>
          <w:lang w:val="en-GB"/>
        </w:rPr>
        <w:t xml:space="preserve"> a poor source of light, making it difficult for children to study after dark. Solar-powered lights provided an effective and environmentally friendly alternative. </w:t>
      </w:r>
      <w:r w:rsidR="00B6319D" w:rsidRPr="008D685A">
        <w:rPr>
          <w:spacing w:val="-2"/>
          <w:lang w:val="en-GB"/>
        </w:rPr>
        <w:t xml:space="preserve">By early 2018, </w:t>
      </w:r>
      <w:r w:rsidRPr="008D685A">
        <w:rPr>
          <w:spacing w:val="-2"/>
          <w:lang w:val="en-GB"/>
        </w:rPr>
        <w:t>Illumination ha</w:t>
      </w:r>
      <w:r w:rsidR="00B6319D" w:rsidRPr="008D685A">
        <w:rPr>
          <w:spacing w:val="-2"/>
          <w:lang w:val="en-GB"/>
        </w:rPr>
        <w:t>d</w:t>
      </w:r>
      <w:r w:rsidRPr="008D685A">
        <w:rPr>
          <w:spacing w:val="-2"/>
          <w:lang w:val="en-GB"/>
        </w:rPr>
        <w:t xml:space="preserve"> won several awards for its work, including </w:t>
      </w:r>
      <w:r w:rsidR="00AB5F87">
        <w:rPr>
          <w:spacing w:val="-2"/>
          <w:lang w:val="en-GB"/>
        </w:rPr>
        <w:t>a</w:t>
      </w:r>
      <w:r w:rsidRPr="008D685A">
        <w:rPr>
          <w:spacing w:val="-2"/>
          <w:lang w:val="en-GB"/>
        </w:rPr>
        <w:t xml:space="preserve"> Business 3000+ Award</w:t>
      </w:r>
      <w:r w:rsidR="00AB5F87">
        <w:rPr>
          <w:spacing w:val="-2"/>
          <w:lang w:val="en-GB"/>
        </w:rPr>
        <w:t xml:space="preserve"> in 2011</w:t>
      </w:r>
      <w:r w:rsidRPr="008D685A">
        <w:rPr>
          <w:spacing w:val="-2"/>
          <w:lang w:val="en-GB"/>
        </w:rPr>
        <w:t xml:space="preserve">, </w:t>
      </w:r>
      <w:r w:rsidR="00AB5F87">
        <w:rPr>
          <w:spacing w:val="-2"/>
          <w:lang w:val="en-GB"/>
        </w:rPr>
        <w:t xml:space="preserve">a </w:t>
      </w:r>
      <w:r w:rsidRPr="008D685A">
        <w:rPr>
          <w:spacing w:val="-2"/>
          <w:lang w:val="en-GB"/>
        </w:rPr>
        <w:t>Premier’s Design Award</w:t>
      </w:r>
      <w:r w:rsidR="00AB5F87">
        <w:rPr>
          <w:spacing w:val="-2"/>
          <w:lang w:val="en-GB"/>
        </w:rPr>
        <w:t xml:space="preserve"> in 2012</w:t>
      </w:r>
      <w:r w:rsidR="00D71641">
        <w:rPr>
          <w:spacing w:val="-2"/>
          <w:lang w:val="en-GB"/>
        </w:rPr>
        <w:t>,</w:t>
      </w:r>
      <w:r w:rsidRPr="008D685A">
        <w:rPr>
          <w:spacing w:val="-2"/>
          <w:lang w:val="en-GB"/>
        </w:rPr>
        <w:t xml:space="preserve"> and </w:t>
      </w:r>
      <w:r w:rsidR="00AB5F87">
        <w:rPr>
          <w:spacing w:val="-2"/>
          <w:lang w:val="en-GB"/>
        </w:rPr>
        <w:t xml:space="preserve">a </w:t>
      </w:r>
      <w:r w:rsidRPr="008D685A">
        <w:rPr>
          <w:spacing w:val="-2"/>
          <w:lang w:val="en-GB"/>
        </w:rPr>
        <w:t>StartupSmart Award</w:t>
      </w:r>
      <w:r w:rsidR="00AB5F87">
        <w:rPr>
          <w:spacing w:val="-2"/>
          <w:lang w:val="en-GB"/>
        </w:rPr>
        <w:t xml:space="preserve"> in</w:t>
      </w:r>
      <w:r w:rsidRPr="008D685A">
        <w:rPr>
          <w:spacing w:val="-2"/>
          <w:lang w:val="en-GB"/>
        </w:rPr>
        <w:t xml:space="preserve"> 2012.</w:t>
      </w:r>
    </w:p>
    <w:p w14:paraId="26FE6AD5" w14:textId="419FDE29" w:rsidR="00512A18" w:rsidRPr="008D685A" w:rsidRDefault="00512A18" w:rsidP="002C5D53">
      <w:pPr>
        <w:pStyle w:val="BodyTextMain"/>
        <w:rPr>
          <w:lang w:val="en-GB"/>
        </w:rPr>
      </w:pPr>
    </w:p>
    <w:p w14:paraId="2D2D9F19" w14:textId="77777777" w:rsidR="00512A18" w:rsidRPr="008D685A" w:rsidRDefault="00512A18" w:rsidP="00D47B38">
      <w:pPr>
        <w:pStyle w:val="Casehead1"/>
        <w:keepNext/>
        <w:rPr>
          <w:lang w:val="en-GB"/>
        </w:rPr>
      </w:pPr>
      <w:r w:rsidRPr="008D685A">
        <w:rPr>
          <w:lang w:val="en-GB"/>
        </w:rPr>
        <w:lastRenderedPageBreak/>
        <w:t>SHANE THATCHER</w:t>
      </w:r>
    </w:p>
    <w:p w14:paraId="4A3D45AB" w14:textId="77777777" w:rsidR="00512A18" w:rsidRPr="008D685A" w:rsidRDefault="00512A18" w:rsidP="00D47B38">
      <w:pPr>
        <w:pStyle w:val="BodyTextMain"/>
        <w:keepNext/>
        <w:rPr>
          <w:lang w:val="en-GB"/>
        </w:rPr>
      </w:pPr>
    </w:p>
    <w:p w14:paraId="2BA684D1" w14:textId="510A6DCC" w:rsidR="00512A18" w:rsidRPr="008D685A" w:rsidRDefault="00D71641" w:rsidP="00D47B38">
      <w:pPr>
        <w:pStyle w:val="BodyTextMain"/>
        <w:keepNext/>
        <w:rPr>
          <w:lang w:val="en-GB"/>
        </w:rPr>
      </w:pPr>
      <w:r>
        <w:rPr>
          <w:lang w:val="en-GB"/>
        </w:rPr>
        <w:t xml:space="preserve">At </w:t>
      </w:r>
      <w:r w:rsidRPr="008D685A">
        <w:rPr>
          <w:lang w:val="en-GB"/>
        </w:rPr>
        <w:t>the end of 2017</w:t>
      </w:r>
      <w:r>
        <w:rPr>
          <w:lang w:val="en-GB"/>
        </w:rPr>
        <w:t xml:space="preserve">, </w:t>
      </w:r>
      <w:r w:rsidR="00512A18" w:rsidRPr="008D685A">
        <w:rPr>
          <w:lang w:val="en-GB"/>
        </w:rPr>
        <w:t xml:space="preserve">Thatcher </w:t>
      </w:r>
      <w:r>
        <w:rPr>
          <w:lang w:val="en-GB"/>
        </w:rPr>
        <w:t xml:space="preserve">was a 45-year-old </w:t>
      </w:r>
      <w:r w:rsidR="00512A18" w:rsidRPr="008D685A">
        <w:rPr>
          <w:lang w:val="en-GB"/>
        </w:rPr>
        <w:t xml:space="preserve">surfer and environmental economist. By the </w:t>
      </w:r>
      <w:r w:rsidR="001C5993" w:rsidRPr="008D685A">
        <w:rPr>
          <w:lang w:val="en-GB"/>
        </w:rPr>
        <w:t>time he co-founded Illumination</w:t>
      </w:r>
      <w:r w:rsidR="00512A18" w:rsidRPr="008D685A">
        <w:rPr>
          <w:lang w:val="en-GB"/>
        </w:rPr>
        <w:t xml:space="preserve">, he had spent 15 years </w:t>
      </w:r>
      <w:r>
        <w:rPr>
          <w:lang w:val="en-GB"/>
        </w:rPr>
        <w:t xml:space="preserve">working </w:t>
      </w:r>
      <w:r w:rsidR="00512A18" w:rsidRPr="008D685A">
        <w:rPr>
          <w:lang w:val="en-GB"/>
        </w:rPr>
        <w:t xml:space="preserve">in the </w:t>
      </w:r>
      <w:r>
        <w:rPr>
          <w:lang w:val="en-GB"/>
        </w:rPr>
        <w:t xml:space="preserve">management area of the </w:t>
      </w:r>
      <w:r w:rsidR="00512A18" w:rsidRPr="008D685A">
        <w:rPr>
          <w:lang w:val="en-GB"/>
        </w:rPr>
        <w:t xml:space="preserve">energy industry, </w:t>
      </w:r>
      <w:r>
        <w:rPr>
          <w:lang w:val="en-GB"/>
        </w:rPr>
        <w:t xml:space="preserve">in </w:t>
      </w:r>
      <w:r w:rsidR="00512A18" w:rsidRPr="008D685A">
        <w:rPr>
          <w:lang w:val="en-GB"/>
        </w:rPr>
        <w:t>renewable energy business development</w:t>
      </w:r>
      <w:r>
        <w:rPr>
          <w:lang w:val="en-GB"/>
        </w:rPr>
        <w:t>,</w:t>
      </w:r>
      <w:r w:rsidR="00512A18" w:rsidRPr="008D685A">
        <w:rPr>
          <w:lang w:val="en-GB"/>
        </w:rPr>
        <w:t xml:space="preserve"> and as an economist in the carbon trading sector. </w:t>
      </w:r>
      <w:r w:rsidR="00680922">
        <w:rPr>
          <w:lang w:val="en-GB"/>
        </w:rPr>
        <w:t>After h</w:t>
      </w:r>
      <w:r w:rsidR="00512A18" w:rsidRPr="008D685A">
        <w:rPr>
          <w:lang w:val="en-GB"/>
        </w:rPr>
        <w:t>e left corporate life for social enterprise</w:t>
      </w:r>
      <w:r w:rsidR="00680922">
        <w:rPr>
          <w:lang w:val="en-GB"/>
        </w:rPr>
        <w:t>,</w:t>
      </w:r>
      <w:r w:rsidR="00512A18" w:rsidRPr="008D685A">
        <w:rPr>
          <w:lang w:val="en-GB"/>
        </w:rPr>
        <w:t xml:space="preserve"> Claire Heaney of </w:t>
      </w:r>
      <w:r w:rsidR="00512A18" w:rsidRPr="00BB2CB2">
        <w:rPr>
          <w:i/>
          <w:lang w:val="en-GB"/>
        </w:rPr>
        <w:t>The</w:t>
      </w:r>
      <w:r w:rsidR="00D47B38" w:rsidRPr="00BB2CB2">
        <w:rPr>
          <w:i/>
          <w:lang w:val="en-GB"/>
        </w:rPr>
        <w:t xml:space="preserve"> Herald Sun</w:t>
      </w:r>
      <w:r w:rsidR="00D47B38" w:rsidRPr="008D685A">
        <w:rPr>
          <w:lang w:val="en-GB"/>
        </w:rPr>
        <w:t xml:space="preserve"> described him as a “</w:t>
      </w:r>
      <w:r w:rsidR="00512A18" w:rsidRPr="008D685A">
        <w:rPr>
          <w:lang w:val="en-GB"/>
        </w:rPr>
        <w:t>corporate refugee</w:t>
      </w:r>
      <w:r w:rsidR="00D47B38" w:rsidRPr="008D685A">
        <w:rPr>
          <w:lang w:val="en-GB"/>
        </w:rPr>
        <w:t>.”</w:t>
      </w:r>
      <w:r w:rsidR="00512A18" w:rsidRPr="008D685A">
        <w:rPr>
          <w:rStyle w:val="FootnoteReference"/>
          <w:lang w:val="en-GB"/>
        </w:rPr>
        <w:footnoteReference w:id="2"/>
      </w:r>
      <w:r w:rsidR="00512A18" w:rsidRPr="008D685A">
        <w:rPr>
          <w:lang w:val="en-GB"/>
        </w:rPr>
        <w:t xml:space="preserve"> </w:t>
      </w:r>
      <w:r w:rsidR="00D47B38" w:rsidRPr="008D685A">
        <w:rPr>
          <w:lang w:val="en-GB"/>
        </w:rPr>
        <w:t>Thatcher</w:t>
      </w:r>
      <w:r w:rsidR="00512A18" w:rsidRPr="008D685A">
        <w:rPr>
          <w:lang w:val="en-GB"/>
        </w:rPr>
        <w:t xml:space="preserve"> was dissatisfied with life in the corporate sector and wanted to have a more profound impact on the lives of people affected by energy poverty around the </w:t>
      </w:r>
      <w:r w:rsidR="00D47B38" w:rsidRPr="008D685A">
        <w:rPr>
          <w:lang w:val="en-GB"/>
        </w:rPr>
        <w:t>world.</w:t>
      </w:r>
    </w:p>
    <w:p w14:paraId="2D1AAFD3" w14:textId="77777777" w:rsidR="00512A18" w:rsidRPr="008D685A" w:rsidRDefault="00512A18" w:rsidP="00D47B38">
      <w:pPr>
        <w:pStyle w:val="BodyTextMain"/>
        <w:keepNext/>
        <w:rPr>
          <w:lang w:val="en-GB"/>
        </w:rPr>
      </w:pPr>
    </w:p>
    <w:p w14:paraId="08D96C36" w14:textId="77777777" w:rsidR="002C5D53" w:rsidRPr="008D685A" w:rsidRDefault="002C5D53" w:rsidP="002C5D53">
      <w:pPr>
        <w:pStyle w:val="BodyTextMain"/>
        <w:rPr>
          <w:lang w:val="en-GB"/>
        </w:rPr>
      </w:pPr>
    </w:p>
    <w:p w14:paraId="1819140F" w14:textId="538EBEE2" w:rsidR="002C5D53" w:rsidRPr="008D685A" w:rsidRDefault="002C5D53" w:rsidP="002C5D53">
      <w:pPr>
        <w:pStyle w:val="Casehead1"/>
        <w:rPr>
          <w:lang w:val="en-GB"/>
        </w:rPr>
      </w:pPr>
      <w:r w:rsidRPr="008D685A">
        <w:rPr>
          <w:lang w:val="en-GB"/>
        </w:rPr>
        <w:t>Energy Poverty and Portable Solar Lights in Developing Countries</w:t>
      </w:r>
    </w:p>
    <w:p w14:paraId="15233F05" w14:textId="77777777" w:rsidR="002C5D53" w:rsidRPr="008D685A" w:rsidRDefault="002C5D53" w:rsidP="00E96F44">
      <w:pPr>
        <w:pStyle w:val="BodyTextMain"/>
        <w:rPr>
          <w:lang w:val="en-GB"/>
        </w:rPr>
      </w:pPr>
    </w:p>
    <w:p w14:paraId="043565CE" w14:textId="409FB1BB" w:rsidR="002C5D53" w:rsidRPr="008D685A" w:rsidRDefault="002C5D53" w:rsidP="00E96F44">
      <w:pPr>
        <w:pStyle w:val="BodyTextMain"/>
        <w:rPr>
          <w:lang w:val="en-GB"/>
        </w:rPr>
      </w:pPr>
      <w:r w:rsidRPr="008D685A">
        <w:rPr>
          <w:lang w:val="en-GB"/>
        </w:rPr>
        <w:t>Energy poverty refer</w:t>
      </w:r>
      <w:r w:rsidR="00680922">
        <w:rPr>
          <w:lang w:val="en-GB"/>
        </w:rPr>
        <w:t>red</w:t>
      </w:r>
      <w:r w:rsidRPr="008D685A">
        <w:rPr>
          <w:lang w:val="en-GB"/>
        </w:rPr>
        <w:t xml:space="preserve"> to a lack of access to modern energy services</w:t>
      </w:r>
      <w:r w:rsidR="00C53355" w:rsidRPr="008D685A">
        <w:rPr>
          <w:lang w:val="en-GB"/>
        </w:rPr>
        <w:t>.</w:t>
      </w:r>
      <w:r w:rsidRPr="008D685A">
        <w:rPr>
          <w:vertAlign w:val="superscript"/>
          <w:lang w:val="en-GB"/>
        </w:rPr>
        <w:footnoteReference w:id="3"/>
      </w:r>
      <w:r w:rsidRPr="008D685A">
        <w:rPr>
          <w:lang w:val="en-GB"/>
        </w:rPr>
        <w:t xml:space="preserve"> The “absence of sufficient choice in accessing adequate, affordable, reliable, high-quality, safe and environmentally benign energy services”</w:t>
      </w:r>
      <w:r w:rsidRPr="008D685A">
        <w:rPr>
          <w:vertAlign w:val="superscript"/>
          <w:lang w:val="en-GB"/>
        </w:rPr>
        <w:footnoteReference w:id="4"/>
      </w:r>
      <w:r w:rsidRPr="008D685A">
        <w:rPr>
          <w:lang w:val="en-GB"/>
        </w:rPr>
        <w:t xml:space="preserve"> </w:t>
      </w:r>
      <w:r w:rsidR="005E7A4C" w:rsidRPr="008D685A">
        <w:rPr>
          <w:lang w:val="en-GB"/>
        </w:rPr>
        <w:t>ha</w:t>
      </w:r>
      <w:r w:rsidR="00680922">
        <w:rPr>
          <w:lang w:val="en-GB"/>
        </w:rPr>
        <w:t>d</w:t>
      </w:r>
      <w:r w:rsidR="005E7A4C" w:rsidRPr="008D685A">
        <w:rPr>
          <w:lang w:val="en-GB"/>
        </w:rPr>
        <w:t xml:space="preserve"> </w:t>
      </w:r>
      <w:r w:rsidRPr="008D685A">
        <w:rPr>
          <w:lang w:val="en-GB"/>
        </w:rPr>
        <w:t>negatively affect</w:t>
      </w:r>
      <w:r w:rsidR="005E7A4C" w:rsidRPr="008D685A">
        <w:rPr>
          <w:lang w:val="en-GB"/>
        </w:rPr>
        <w:t>ed</w:t>
      </w:r>
      <w:r w:rsidRPr="008D685A">
        <w:rPr>
          <w:lang w:val="en-GB"/>
        </w:rPr>
        <w:t xml:space="preserve"> the well-being of large numbers of people in both developed and developing countries worldwide. Lack of access to electricity </w:t>
      </w:r>
      <w:r w:rsidR="00680922">
        <w:rPr>
          <w:lang w:val="en-GB"/>
        </w:rPr>
        <w:t>w</w:t>
      </w:r>
      <w:r w:rsidR="005E7A4C" w:rsidRPr="008D685A">
        <w:rPr>
          <w:lang w:val="en-GB"/>
        </w:rPr>
        <w:t>as</w:t>
      </w:r>
      <w:r w:rsidRPr="008D685A">
        <w:rPr>
          <w:lang w:val="en-GB"/>
        </w:rPr>
        <w:t xml:space="preserve"> one of the most critical challenges </w:t>
      </w:r>
      <w:r w:rsidR="00680922">
        <w:rPr>
          <w:lang w:val="en-GB"/>
        </w:rPr>
        <w:t xml:space="preserve">they </w:t>
      </w:r>
      <w:r w:rsidRPr="008D685A">
        <w:rPr>
          <w:lang w:val="en-GB"/>
        </w:rPr>
        <w:t xml:space="preserve">faced. Despite improvements in access to electricity, </w:t>
      </w:r>
      <w:r w:rsidR="00680922">
        <w:rPr>
          <w:lang w:val="en-GB"/>
        </w:rPr>
        <w:t>it was</w:t>
      </w:r>
      <w:r w:rsidRPr="008D685A">
        <w:rPr>
          <w:lang w:val="en-GB"/>
        </w:rPr>
        <w:t xml:space="preserve"> estimated </w:t>
      </w:r>
      <w:r w:rsidR="00680922">
        <w:rPr>
          <w:lang w:val="en-GB"/>
        </w:rPr>
        <w:t xml:space="preserve">that </w:t>
      </w:r>
      <w:r w:rsidRPr="008D685A">
        <w:rPr>
          <w:lang w:val="en-GB"/>
        </w:rPr>
        <w:t>one</w:t>
      </w:r>
      <w:r w:rsidR="00680922">
        <w:rPr>
          <w:lang w:val="en-GB"/>
        </w:rPr>
        <w:t xml:space="preserve"> of </w:t>
      </w:r>
      <w:r w:rsidRPr="008D685A">
        <w:rPr>
          <w:lang w:val="en-GB"/>
        </w:rPr>
        <w:t xml:space="preserve">seven people </w:t>
      </w:r>
      <w:r w:rsidR="00680922">
        <w:rPr>
          <w:lang w:val="en-GB"/>
        </w:rPr>
        <w:t xml:space="preserve">globally </w:t>
      </w:r>
      <w:r w:rsidRPr="008D685A">
        <w:rPr>
          <w:lang w:val="en-GB"/>
        </w:rPr>
        <w:t>liv</w:t>
      </w:r>
      <w:r w:rsidR="00680922">
        <w:rPr>
          <w:lang w:val="en-GB"/>
        </w:rPr>
        <w:t>ed</w:t>
      </w:r>
      <w:r w:rsidRPr="008D685A">
        <w:rPr>
          <w:lang w:val="en-GB"/>
        </w:rPr>
        <w:t xml:space="preserve"> without electricity in the home (</w:t>
      </w:r>
      <w:r w:rsidR="00E96F44" w:rsidRPr="008D685A">
        <w:rPr>
          <w:lang w:val="en-GB"/>
        </w:rPr>
        <w:t>see Exhibit</w:t>
      </w:r>
      <w:r w:rsidRPr="008D685A">
        <w:rPr>
          <w:lang w:val="en-GB"/>
        </w:rPr>
        <w:t xml:space="preserve"> 1).</w:t>
      </w:r>
      <w:r w:rsidR="00C53355" w:rsidRPr="008D685A">
        <w:rPr>
          <w:vertAlign w:val="superscript"/>
          <w:lang w:val="en-GB"/>
        </w:rPr>
        <w:footnoteReference w:id="5"/>
      </w:r>
      <w:r w:rsidRPr="008D685A">
        <w:rPr>
          <w:lang w:val="en-GB"/>
        </w:rPr>
        <w:t xml:space="preserve"> Countries in </w:t>
      </w:r>
      <w:r w:rsidR="007A4F6A">
        <w:rPr>
          <w:lang w:val="en-GB"/>
        </w:rPr>
        <w:t>s</w:t>
      </w:r>
      <w:r w:rsidRPr="008D685A">
        <w:rPr>
          <w:lang w:val="en-GB"/>
        </w:rPr>
        <w:t xml:space="preserve">ub-Saharan Africa and </w:t>
      </w:r>
      <w:r w:rsidR="007A4F6A">
        <w:rPr>
          <w:lang w:val="en-GB"/>
        </w:rPr>
        <w:t>d</w:t>
      </w:r>
      <w:r w:rsidRPr="008D685A">
        <w:rPr>
          <w:lang w:val="en-GB"/>
        </w:rPr>
        <w:t>eveloping Asia continue</w:t>
      </w:r>
      <w:r w:rsidR="005E7A4C" w:rsidRPr="008D685A">
        <w:rPr>
          <w:lang w:val="en-GB"/>
        </w:rPr>
        <w:t>d</w:t>
      </w:r>
      <w:r w:rsidRPr="008D685A">
        <w:rPr>
          <w:lang w:val="en-GB"/>
        </w:rPr>
        <w:t xml:space="preserve"> to have the lowest rates of access, particularly for those living in rural areas. For this reason, Illumination target</w:t>
      </w:r>
      <w:r w:rsidR="00320723" w:rsidRPr="008D685A">
        <w:rPr>
          <w:lang w:val="en-GB"/>
        </w:rPr>
        <w:t>ed</w:t>
      </w:r>
      <w:r w:rsidRPr="008D685A">
        <w:rPr>
          <w:lang w:val="en-GB"/>
        </w:rPr>
        <w:t xml:space="preserve"> end users in these markets. </w:t>
      </w:r>
    </w:p>
    <w:p w14:paraId="0F8F5227" w14:textId="77777777" w:rsidR="00E96F44" w:rsidRPr="008D685A" w:rsidRDefault="00E96F44" w:rsidP="00E96F44">
      <w:pPr>
        <w:pStyle w:val="BodyTextMain"/>
        <w:rPr>
          <w:lang w:val="en-GB"/>
        </w:rPr>
      </w:pPr>
    </w:p>
    <w:p w14:paraId="084F4C22" w14:textId="70BD3921" w:rsidR="002C5D53" w:rsidRPr="00EC2398" w:rsidRDefault="00EC2398" w:rsidP="00E96F44">
      <w:pPr>
        <w:pStyle w:val="BodyTextMain"/>
        <w:rPr>
          <w:spacing w:val="-2"/>
          <w:kern w:val="22"/>
          <w:lang w:val="en-GB"/>
        </w:rPr>
      </w:pPr>
      <w:r w:rsidRPr="00EC2398">
        <w:rPr>
          <w:spacing w:val="-2"/>
          <w:kern w:val="22"/>
          <w:lang w:val="en-GB"/>
        </w:rPr>
        <w:t>Portable solar lights and solar lanterns</w:t>
      </w:r>
      <w:r w:rsidR="002C5D53" w:rsidRPr="00EC2398">
        <w:rPr>
          <w:spacing w:val="-2"/>
          <w:kern w:val="22"/>
          <w:lang w:val="en-GB"/>
        </w:rPr>
        <w:t xml:space="preserve"> </w:t>
      </w:r>
      <w:r w:rsidR="00320723" w:rsidRPr="00EC2398">
        <w:rPr>
          <w:spacing w:val="-2"/>
          <w:kern w:val="22"/>
          <w:lang w:val="en-GB"/>
        </w:rPr>
        <w:t>became</w:t>
      </w:r>
      <w:r w:rsidR="002C5D53" w:rsidRPr="00EC2398">
        <w:rPr>
          <w:spacing w:val="-2"/>
          <w:kern w:val="22"/>
          <w:lang w:val="en-GB"/>
        </w:rPr>
        <w:t xml:space="preserve"> an accepted solution to the challenge of electricity access. The lights contain</w:t>
      </w:r>
      <w:r w:rsidR="00320723" w:rsidRPr="00EC2398">
        <w:rPr>
          <w:spacing w:val="-2"/>
          <w:kern w:val="22"/>
          <w:lang w:val="en-GB"/>
        </w:rPr>
        <w:t>ed</w:t>
      </w:r>
      <w:r w:rsidR="002C5D53" w:rsidRPr="00EC2398">
        <w:rPr>
          <w:spacing w:val="-2"/>
          <w:kern w:val="22"/>
          <w:lang w:val="en-GB"/>
        </w:rPr>
        <w:t xml:space="preserve"> photovoltaic solar panels, which capture</w:t>
      </w:r>
      <w:r w:rsidR="00680922" w:rsidRPr="00EC2398">
        <w:rPr>
          <w:spacing w:val="-2"/>
          <w:kern w:val="22"/>
          <w:lang w:val="en-GB"/>
        </w:rPr>
        <w:t>d</w:t>
      </w:r>
      <w:r w:rsidR="002C5D53" w:rsidRPr="00EC2398">
        <w:rPr>
          <w:spacing w:val="-2"/>
          <w:kern w:val="22"/>
          <w:lang w:val="en-GB"/>
        </w:rPr>
        <w:t xml:space="preserve"> energy from the sun</w:t>
      </w:r>
      <w:r w:rsidR="00B9667C" w:rsidRPr="00EC2398">
        <w:rPr>
          <w:spacing w:val="-2"/>
          <w:kern w:val="22"/>
          <w:lang w:val="en-GB"/>
        </w:rPr>
        <w:t xml:space="preserve"> and convert</w:t>
      </w:r>
      <w:r w:rsidR="00680922" w:rsidRPr="00EC2398">
        <w:rPr>
          <w:spacing w:val="-2"/>
          <w:kern w:val="22"/>
          <w:lang w:val="en-GB"/>
        </w:rPr>
        <w:t>ed</w:t>
      </w:r>
      <w:r w:rsidR="00B9667C" w:rsidRPr="00EC2398">
        <w:rPr>
          <w:spacing w:val="-2"/>
          <w:kern w:val="22"/>
          <w:lang w:val="en-GB"/>
        </w:rPr>
        <w:t xml:space="preserve"> it to electricity. </w:t>
      </w:r>
      <w:r w:rsidR="002C5D53" w:rsidRPr="00EC2398">
        <w:rPr>
          <w:spacing w:val="-2"/>
          <w:kern w:val="22"/>
          <w:lang w:val="en-GB"/>
        </w:rPr>
        <w:t>Compa</w:t>
      </w:r>
      <w:r w:rsidRPr="00EC2398">
        <w:rPr>
          <w:spacing w:val="-2"/>
          <w:kern w:val="22"/>
          <w:lang w:val="en-GB"/>
        </w:rPr>
        <w:t>red to kerosene lamps</w:t>
      </w:r>
      <w:r w:rsidR="002C5D53" w:rsidRPr="00EC2398">
        <w:rPr>
          <w:spacing w:val="-2"/>
          <w:kern w:val="22"/>
          <w:lang w:val="en-GB"/>
        </w:rPr>
        <w:t xml:space="preserve">, solar lights </w:t>
      </w:r>
      <w:r w:rsidR="00320723" w:rsidRPr="00EC2398">
        <w:rPr>
          <w:spacing w:val="-2"/>
          <w:kern w:val="22"/>
          <w:lang w:val="en-GB"/>
        </w:rPr>
        <w:t xml:space="preserve">were considered </w:t>
      </w:r>
      <w:r w:rsidR="002C5D53" w:rsidRPr="00EC2398">
        <w:rPr>
          <w:spacing w:val="-2"/>
          <w:kern w:val="22"/>
          <w:lang w:val="en-GB"/>
        </w:rPr>
        <w:t>a safer and more environmentally sustainable source of light for rural households in developing countries. In addition, the portability of solar lights m</w:t>
      </w:r>
      <w:r w:rsidR="00680922" w:rsidRPr="00EC2398">
        <w:rPr>
          <w:spacing w:val="-2"/>
          <w:kern w:val="22"/>
          <w:lang w:val="en-GB"/>
        </w:rPr>
        <w:t>ade</w:t>
      </w:r>
      <w:r w:rsidR="002C5D53" w:rsidRPr="00EC2398">
        <w:rPr>
          <w:spacing w:val="-2"/>
          <w:kern w:val="22"/>
          <w:lang w:val="en-GB"/>
        </w:rPr>
        <w:t xml:space="preserve"> the</w:t>
      </w:r>
      <w:r w:rsidR="00680922" w:rsidRPr="00EC2398">
        <w:rPr>
          <w:spacing w:val="-2"/>
          <w:kern w:val="22"/>
          <w:lang w:val="en-GB"/>
        </w:rPr>
        <w:t>m</w:t>
      </w:r>
      <w:r w:rsidR="002C5D53" w:rsidRPr="00EC2398">
        <w:rPr>
          <w:spacing w:val="-2"/>
          <w:kern w:val="22"/>
          <w:lang w:val="en-GB"/>
        </w:rPr>
        <w:t xml:space="preserve"> an ideal solution for communities in remote locations not connected to </w:t>
      </w:r>
      <w:r w:rsidR="00680922" w:rsidRPr="00EC2398">
        <w:rPr>
          <w:spacing w:val="-2"/>
          <w:kern w:val="22"/>
          <w:lang w:val="en-GB"/>
        </w:rPr>
        <w:t xml:space="preserve">a </w:t>
      </w:r>
      <w:r w:rsidR="002C5D53" w:rsidRPr="00EC2398">
        <w:rPr>
          <w:spacing w:val="-2"/>
          <w:kern w:val="22"/>
          <w:lang w:val="en-GB"/>
        </w:rPr>
        <w:t>centrally</w:t>
      </w:r>
      <w:r w:rsidR="00680922" w:rsidRPr="00EC2398">
        <w:rPr>
          <w:spacing w:val="-2"/>
          <w:kern w:val="22"/>
          <w:lang w:val="en-GB"/>
        </w:rPr>
        <w:t>-</w:t>
      </w:r>
      <w:r w:rsidR="002C5D53" w:rsidRPr="00EC2398">
        <w:rPr>
          <w:spacing w:val="-2"/>
          <w:kern w:val="22"/>
          <w:lang w:val="en-GB"/>
        </w:rPr>
        <w:t xml:space="preserve">controlled electricity network infrastructure. </w:t>
      </w:r>
      <w:r w:rsidR="00680922" w:rsidRPr="00EC2398">
        <w:rPr>
          <w:spacing w:val="-2"/>
          <w:kern w:val="22"/>
          <w:lang w:val="en-GB"/>
        </w:rPr>
        <w:t>Although</w:t>
      </w:r>
      <w:r w:rsidR="002C5D53" w:rsidRPr="00EC2398">
        <w:rPr>
          <w:spacing w:val="-2"/>
          <w:kern w:val="22"/>
          <w:lang w:val="en-GB"/>
        </w:rPr>
        <w:t xml:space="preserve"> the United Nations d</w:t>
      </w:r>
      <w:r w:rsidR="00320723" w:rsidRPr="00EC2398">
        <w:rPr>
          <w:spacing w:val="-2"/>
          <w:kern w:val="22"/>
          <w:lang w:val="en-GB"/>
        </w:rPr>
        <w:t>id</w:t>
      </w:r>
      <w:r w:rsidR="002C5D53" w:rsidRPr="00EC2398">
        <w:rPr>
          <w:spacing w:val="-2"/>
          <w:kern w:val="22"/>
          <w:lang w:val="en-GB"/>
        </w:rPr>
        <w:t xml:space="preserve"> not consider homes </w:t>
      </w:r>
      <w:r w:rsidR="00032941" w:rsidRPr="00EC2398">
        <w:rPr>
          <w:spacing w:val="-2"/>
          <w:kern w:val="22"/>
          <w:lang w:val="en-GB"/>
        </w:rPr>
        <w:t>powered solely by</w:t>
      </w:r>
      <w:r w:rsidR="002C5D53" w:rsidRPr="00EC2398">
        <w:rPr>
          <w:spacing w:val="-2"/>
          <w:kern w:val="22"/>
          <w:lang w:val="en-GB"/>
        </w:rPr>
        <w:t xml:space="preserve"> solar lights </w:t>
      </w:r>
      <w:r w:rsidR="00C53355" w:rsidRPr="00EC2398">
        <w:rPr>
          <w:spacing w:val="-2"/>
          <w:kern w:val="22"/>
          <w:lang w:val="en-GB"/>
        </w:rPr>
        <w:t>“</w:t>
      </w:r>
      <w:r w:rsidR="002C5D53" w:rsidRPr="00EC2398">
        <w:rPr>
          <w:spacing w:val="-2"/>
          <w:kern w:val="22"/>
          <w:lang w:val="en-GB"/>
        </w:rPr>
        <w:t>fully electrified</w:t>
      </w:r>
      <w:r w:rsidR="00C53355" w:rsidRPr="00EC2398">
        <w:rPr>
          <w:spacing w:val="-2"/>
          <w:kern w:val="22"/>
          <w:lang w:val="en-GB"/>
        </w:rPr>
        <w:t>,”</w:t>
      </w:r>
      <w:r w:rsidR="002C5D53" w:rsidRPr="00EC2398">
        <w:rPr>
          <w:spacing w:val="-2"/>
          <w:kern w:val="22"/>
          <w:vertAlign w:val="superscript"/>
          <w:lang w:val="en-GB"/>
        </w:rPr>
        <w:footnoteReference w:id="6"/>
      </w:r>
      <w:r w:rsidR="002C5D53" w:rsidRPr="00EC2398">
        <w:rPr>
          <w:spacing w:val="-2"/>
          <w:kern w:val="22"/>
          <w:lang w:val="en-GB"/>
        </w:rPr>
        <w:t xml:space="preserve"> solar lamps changed the lives of many</w:t>
      </w:r>
      <w:r w:rsidR="00032941" w:rsidRPr="00EC2398">
        <w:rPr>
          <w:spacing w:val="-2"/>
          <w:kern w:val="22"/>
          <w:lang w:val="en-GB"/>
        </w:rPr>
        <w:t xml:space="preserve"> people</w:t>
      </w:r>
      <w:r w:rsidR="002C5D53" w:rsidRPr="00EC2398">
        <w:rPr>
          <w:spacing w:val="-2"/>
          <w:kern w:val="22"/>
          <w:lang w:val="en-GB"/>
        </w:rPr>
        <w:t xml:space="preserve">. An estimated </w:t>
      </w:r>
      <w:r w:rsidR="00C53355" w:rsidRPr="00EC2398">
        <w:rPr>
          <w:spacing w:val="-2"/>
          <w:kern w:val="22"/>
          <w:lang w:val="en-GB"/>
        </w:rPr>
        <w:t>AU</w:t>
      </w:r>
      <w:r w:rsidR="002C5D53" w:rsidRPr="00EC2398">
        <w:rPr>
          <w:spacing w:val="-2"/>
          <w:kern w:val="22"/>
          <w:lang w:val="en-GB"/>
        </w:rPr>
        <w:t>$27 billion</w:t>
      </w:r>
      <w:r w:rsidR="00C53355" w:rsidRPr="00EC2398">
        <w:rPr>
          <w:rStyle w:val="FootnoteReference"/>
          <w:spacing w:val="-2"/>
          <w:kern w:val="22"/>
          <w:lang w:val="en-GB"/>
        </w:rPr>
        <w:footnoteReference w:id="7"/>
      </w:r>
      <w:r w:rsidR="002C5D53" w:rsidRPr="00EC2398">
        <w:rPr>
          <w:spacing w:val="-2"/>
          <w:kern w:val="22"/>
          <w:lang w:val="en-GB"/>
        </w:rPr>
        <w:t xml:space="preserve"> </w:t>
      </w:r>
      <w:r w:rsidR="005A352F" w:rsidRPr="00EC2398">
        <w:rPr>
          <w:spacing w:val="-2"/>
          <w:kern w:val="22"/>
          <w:lang w:val="en-GB"/>
        </w:rPr>
        <w:t>was</w:t>
      </w:r>
      <w:r w:rsidR="002C5D53" w:rsidRPr="00EC2398">
        <w:rPr>
          <w:spacing w:val="-2"/>
          <w:kern w:val="22"/>
          <w:lang w:val="en-GB"/>
        </w:rPr>
        <w:t xml:space="preserve"> spent on traditional portable lighting sources (</w:t>
      </w:r>
      <w:r w:rsidR="00C53355" w:rsidRPr="00EC2398">
        <w:rPr>
          <w:spacing w:val="-2"/>
          <w:kern w:val="22"/>
          <w:lang w:val="en-GB"/>
        </w:rPr>
        <w:t>e.g.,</w:t>
      </w:r>
      <w:r w:rsidR="002C5D53" w:rsidRPr="00EC2398">
        <w:rPr>
          <w:spacing w:val="-2"/>
          <w:kern w:val="22"/>
          <w:lang w:val="en-GB"/>
        </w:rPr>
        <w:t xml:space="preserve"> kerosene lamps, battery torches, </w:t>
      </w:r>
      <w:r w:rsidR="00C53355" w:rsidRPr="00EC2398">
        <w:rPr>
          <w:spacing w:val="-2"/>
          <w:kern w:val="22"/>
          <w:lang w:val="en-GB"/>
        </w:rPr>
        <w:t xml:space="preserve">and </w:t>
      </w:r>
      <w:r w:rsidR="002C5D53" w:rsidRPr="00EC2398">
        <w:rPr>
          <w:spacing w:val="-2"/>
          <w:kern w:val="22"/>
          <w:lang w:val="en-GB"/>
        </w:rPr>
        <w:t xml:space="preserve">candles) </w:t>
      </w:r>
      <w:r w:rsidR="005A352F" w:rsidRPr="00EC2398">
        <w:rPr>
          <w:spacing w:val="-2"/>
          <w:kern w:val="22"/>
          <w:lang w:val="en-GB"/>
        </w:rPr>
        <w:t>each</w:t>
      </w:r>
      <w:r w:rsidR="002C5D53" w:rsidRPr="00EC2398">
        <w:rPr>
          <w:spacing w:val="-2"/>
          <w:kern w:val="22"/>
          <w:lang w:val="en-GB"/>
        </w:rPr>
        <w:t xml:space="preserve"> year by the 1.2 billion people who </w:t>
      </w:r>
      <w:r w:rsidR="00320723" w:rsidRPr="00EC2398">
        <w:rPr>
          <w:spacing w:val="-2"/>
          <w:kern w:val="22"/>
          <w:lang w:val="en-GB"/>
        </w:rPr>
        <w:t>we</w:t>
      </w:r>
      <w:r w:rsidR="002C5D53" w:rsidRPr="00EC2398">
        <w:rPr>
          <w:spacing w:val="-2"/>
          <w:kern w:val="22"/>
          <w:lang w:val="en-GB"/>
        </w:rPr>
        <w:t xml:space="preserve">re living without access to electricity. In the </w:t>
      </w:r>
      <w:r w:rsidR="00594C17" w:rsidRPr="00EC2398">
        <w:rPr>
          <w:spacing w:val="-2"/>
          <w:kern w:val="22"/>
          <w:lang w:val="en-GB"/>
        </w:rPr>
        <w:t>previous</w:t>
      </w:r>
      <w:r w:rsidR="002C5D53" w:rsidRPr="00EC2398">
        <w:rPr>
          <w:spacing w:val="-2"/>
          <w:kern w:val="22"/>
          <w:lang w:val="en-GB"/>
        </w:rPr>
        <w:t xml:space="preserve"> decade, over 20 million non-generic pico-solar products were sold, and the market ha</w:t>
      </w:r>
      <w:r w:rsidR="00594C17" w:rsidRPr="00EC2398">
        <w:rPr>
          <w:spacing w:val="-2"/>
          <w:kern w:val="22"/>
          <w:lang w:val="en-GB"/>
        </w:rPr>
        <w:t>d</w:t>
      </w:r>
      <w:r w:rsidR="002C5D53" w:rsidRPr="00EC2398">
        <w:rPr>
          <w:spacing w:val="-2"/>
          <w:kern w:val="22"/>
          <w:lang w:val="en-GB"/>
        </w:rPr>
        <w:t xml:space="preserve"> grown to include over 100 companies.</w:t>
      </w:r>
      <w:r w:rsidR="002C5D53" w:rsidRPr="00EC2398">
        <w:rPr>
          <w:spacing w:val="-2"/>
          <w:kern w:val="22"/>
          <w:vertAlign w:val="superscript"/>
          <w:lang w:val="en-GB"/>
        </w:rPr>
        <w:footnoteReference w:id="8"/>
      </w:r>
      <w:r w:rsidR="002C5D53" w:rsidRPr="00EC2398">
        <w:rPr>
          <w:spacing w:val="-2"/>
          <w:kern w:val="22"/>
          <w:lang w:val="en-GB"/>
        </w:rPr>
        <w:t xml:space="preserve"> Of concern, however, </w:t>
      </w:r>
      <w:r w:rsidR="00320723" w:rsidRPr="00EC2398">
        <w:rPr>
          <w:spacing w:val="-2"/>
          <w:kern w:val="22"/>
          <w:lang w:val="en-GB"/>
        </w:rPr>
        <w:t>wa</w:t>
      </w:r>
      <w:r w:rsidR="002C5D53" w:rsidRPr="00EC2398">
        <w:rPr>
          <w:spacing w:val="-2"/>
          <w:kern w:val="22"/>
          <w:lang w:val="en-GB"/>
        </w:rPr>
        <w:t>s the growth of the generic market</w:t>
      </w:r>
      <w:r w:rsidR="00594C17" w:rsidRPr="00EC2398">
        <w:rPr>
          <w:spacing w:val="-2"/>
          <w:kern w:val="22"/>
          <w:lang w:val="en-GB"/>
        </w:rPr>
        <w:t>. C</w:t>
      </w:r>
      <w:r w:rsidR="002C5D53" w:rsidRPr="00EC2398">
        <w:rPr>
          <w:spacing w:val="-2"/>
          <w:kern w:val="22"/>
          <w:lang w:val="en-GB"/>
        </w:rPr>
        <w:t xml:space="preserve">ombined sales of both </w:t>
      </w:r>
      <w:r w:rsidR="00594C17" w:rsidRPr="00EC2398">
        <w:rPr>
          <w:spacing w:val="-2"/>
          <w:kern w:val="22"/>
          <w:lang w:val="en-GB"/>
        </w:rPr>
        <w:t xml:space="preserve">the generic and non-generic </w:t>
      </w:r>
      <w:r w:rsidR="002C5D53" w:rsidRPr="00EC2398">
        <w:rPr>
          <w:spacing w:val="-2"/>
          <w:kern w:val="22"/>
          <w:lang w:val="en-GB"/>
        </w:rPr>
        <w:t xml:space="preserve">markets were estimated to be as high </w:t>
      </w:r>
      <w:r w:rsidR="00320723" w:rsidRPr="00EC2398">
        <w:rPr>
          <w:spacing w:val="-2"/>
          <w:kern w:val="22"/>
          <w:lang w:val="en-GB"/>
        </w:rPr>
        <w:t xml:space="preserve">as </w:t>
      </w:r>
      <w:r w:rsidR="002C5D53" w:rsidRPr="00EC2398">
        <w:rPr>
          <w:spacing w:val="-2"/>
          <w:kern w:val="22"/>
          <w:lang w:val="en-GB"/>
        </w:rPr>
        <w:t>44 million units in 2016.</w:t>
      </w:r>
      <w:r w:rsidR="002C5D53" w:rsidRPr="00EC2398">
        <w:rPr>
          <w:spacing w:val="-2"/>
          <w:kern w:val="22"/>
          <w:vertAlign w:val="superscript"/>
          <w:lang w:val="en-GB"/>
        </w:rPr>
        <w:footnoteReference w:id="9"/>
      </w:r>
      <w:r w:rsidR="002C5D53" w:rsidRPr="00EC2398">
        <w:rPr>
          <w:spacing w:val="-2"/>
          <w:kern w:val="22"/>
          <w:lang w:val="en-GB"/>
        </w:rPr>
        <w:t xml:space="preserve"> </w:t>
      </w:r>
    </w:p>
    <w:p w14:paraId="65285D09" w14:textId="77777777" w:rsidR="00E96F44" w:rsidRPr="008D685A" w:rsidRDefault="00E96F44" w:rsidP="00E96F44">
      <w:pPr>
        <w:pStyle w:val="BodyTextMain"/>
        <w:rPr>
          <w:lang w:val="en-GB"/>
        </w:rPr>
      </w:pPr>
    </w:p>
    <w:p w14:paraId="5886144F" w14:textId="2B540864" w:rsidR="002C5D53" w:rsidRDefault="002C5D53" w:rsidP="00E96F44">
      <w:pPr>
        <w:pStyle w:val="BodyTextMain"/>
        <w:rPr>
          <w:lang w:val="en-GB"/>
        </w:rPr>
      </w:pPr>
      <w:r w:rsidRPr="008D685A">
        <w:rPr>
          <w:lang w:val="en-GB"/>
        </w:rPr>
        <w:t xml:space="preserve">Portable solar lights </w:t>
      </w:r>
      <w:r w:rsidR="00320723" w:rsidRPr="008D685A">
        <w:rPr>
          <w:lang w:val="en-GB"/>
        </w:rPr>
        <w:t xml:space="preserve">made </w:t>
      </w:r>
      <w:r w:rsidRPr="008D685A">
        <w:rPr>
          <w:lang w:val="en-GB"/>
        </w:rPr>
        <w:t>a difference in the lives and livelihoods of many households around the world. In areas where electricity</w:t>
      </w:r>
      <w:r w:rsidR="00320723" w:rsidRPr="008D685A">
        <w:rPr>
          <w:lang w:val="en-GB"/>
        </w:rPr>
        <w:t xml:space="preserve"> wa</w:t>
      </w:r>
      <w:r w:rsidRPr="008D685A">
        <w:rPr>
          <w:lang w:val="en-GB"/>
        </w:rPr>
        <w:t>s either unaffordable or unavailable, the lights enable</w:t>
      </w:r>
      <w:r w:rsidR="005A352F">
        <w:rPr>
          <w:lang w:val="en-GB"/>
        </w:rPr>
        <w:t>d</w:t>
      </w:r>
      <w:r w:rsidRPr="008D685A">
        <w:rPr>
          <w:lang w:val="en-GB"/>
        </w:rPr>
        <w:t xml:space="preserve"> children to study after dark. In communities where handicraft</w:t>
      </w:r>
      <w:r w:rsidR="007A4F6A">
        <w:rPr>
          <w:lang w:val="en-GB"/>
        </w:rPr>
        <w:t>s</w:t>
      </w:r>
      <w:r w:rsidRPr="008D685A">
        <w:rPr>
          <w:lang w:val="en-GB"/>
        </w:rPr>
        <w:t xml:space="preserve"> </w:t>
      </w:r>
      <w:r w:rsidR="00320723" w:rsidRPr="008D685A">
        <w:rPr>
          <w:lang w:val="en-GB"/>
        </w:rPr>
        <w:t>we</w:t>
      </w:r>
      <w:r w:rsidRPr="008D685A">
        <w:rPr>
          <w:lang w:val="en-GB"/>
        </w:rPr>
        <w:t>re an important source of income, portable solar lights improve</w:t>
      </w:r>
      <w:r w:rsidR="00320723" w:rsidRPr="008D685A">
        <w:rPr>
          <w:lang w:val="en-GB"/>
        </w:rPr>
        <w:t>d</w:t>
      </w:r>
      <w:r w:rsidRPr="008D685A">
        <w:rPr>
          <w:lang w:val="en-GB"/>
        </w:rPr>
        <w:t xml:space="preserve"> quality and output enhancing the livelihoods of many. The following testimony</w:t>
      </w:r>
      <w:r w:rsidR="001F0191">
        <w:rPr>
          <w:lang w:val="en-GB"/>
        </w:rPr>
        <w:t>, reported by Illumination’s Give Power Mozambique project,</w:t>
      </w:r>
      <w:r w:rsidRPr="008D685A">
        <w:rPr>
          <w:lang w:val="en-GB"/>
        </w:rPr>
        <w:t xml:space="preserve"> illustrate</w:t>
      </w:r>
      <w:r w:rsidR="00320723" w:rsidRPr="008D685A">
        <w:rPr>
          <w:lang w:val="en-GB"/>
        </w:rPr>
        <w:t>d</w:t>
      </w:r>
      <w:r w:rsidRPr="008D685A">
        <w:rPr>
          <w:lang w:val="en-GB"/>
        </w:rPr>
        <w:t xml:space="preserve"> the impact of portable solar lighting:</w:t>
      </w:r>
    </w:p>
    <w:p w14:paraId="09E3C58C" w14:textId="08833972" w:rsidR="002C5D53" w:rsidRPr="008D685A" w:rsidRDefault="00B9667C" w:rsidP="00E96F44">
      <w:pPr>
        <w:pStyle w:val="BodyTextMain"/>
        <w:ind w:left="720"/>
        <w:rPr>
          <w:lang w:val="en-GB"/>
        </w:rPr>
      </w:pPr>
      <w:r w:rsidRPr="008D685A">
        <w:rPr>
          <w:lang w:val="en-GB"/>
        </w:rPr>
        <w:lastRenderedPageBreak/>
        <w:t>“</w:t>
      </w:r>
      <w:r w:rsidR="002C5D53" w:rsidRPr="008D685A">
        <w:rPr>
          <w:lang w:val="en-GB"/>
        </w:rPr>
        <w:t>With Mandarin 2 Solar Lights, our children will study longer. Our eldest likes to teach his siblings but has to stop when it gets dark,” says Joaqim Faniero from Bomba Village. The children will also be much safer. An incredible 1 in 3 of the residents have direct experience of their home or a friend’s home burning down due to kerosene lamps or candles.</w:t>
      </w:r>
      <w:r w:rsidR="002C5D53" w:rsidRPr="008D685A">
        <w:rPr>
          <w:vertAlign w:val="superscript"/>
          <w:lang w:val="en-GB"/>
        </w:rPr>
        <w:footnoteReference w:id="10"/>
      </w:r>
    </w:p>
    <w:p w14:paraId="021E39A5" w14:textId="77777777" w:rsidR="00E96F44" w:rsidRPr="008D685A" w:rsidRDefault="00E96F44" w:rsidP="00E96F44">
      <w:pPr>
        <w:pStyle w:val="BodyTextMain"/>
        <w:rPr>
          <w:lang w:val="en-GB"/>
        </w:rPr>
      </w:pPr>
    </w:p>
    <w:p w14:paraId="5C9621BE" w14:textId="2F4050C2" w:rsidR="002C5D53" w:rsidRPr="008D685A" w:rsidRDefault="00027523" w:rsidP="00E96F44">
      <w:pPr>
        <w:pStyle w:val="BodyTextMain"/>
        <w:rPr>
          <w:lang w:val="en-GB"/>
        </w:rPr>
      </w:pPr>
      <w:r w:rsidRPr="00E96F44">
        <w:t xml:space="preserve">The quality of solar lanterns </w:t>
      </w:r>
      <w:r>
        <w:t>has also made</w:t>
      </w:r>
      <w:r w:rsidRPr="00E96F44">
        <w:t xml:space="preserve"> a difference in the lives and natural environment of end users in developing countries. The IFC-World Bank Lighting Global program and other similar initiatives endorse</w:t>
      </w:r>
      <w:r>
        <w:t>d</w:t>
      </w:r>
      <w:r w:rsidRPr="00E96F44">
        <w:t xml:space="preserve"> a select range of high</w:t>
      </w:r>
      <w:r w:rsidR="001D753D">
        <w:t>-</w:t>
      </w:r>
      <w:r w:rsidRPr="00E96F44">
        <w:t>quality solar light products for distribution to communities in developing countries. According to Lighting Global’s Pico-PV Quality Standards</w:t>
      </w:r>
      <w:r>
        <w:t>,</w:t>
      </w:r>
      <w:r w:rsidRPr="00E96F44">
        <w:rPr>
          <w:vertAlign w:val="superscript"/>
        </w:rPr>
        <w:footnoteReference w:id="11"/>
      </w:r>
      <w:r w:rsidRPr="00E96F44">
        <w:t xml:space="preserve"> these products need</w:t>
      </w:r>
      <w:r>
        <w:t>ed</w:t>
      </w:r>
      <w:r w:rsidRPr="00E96F44">
        <w:t xml:space="preserve"> to pass</w:t>
      </w:r>
      <w:r w:rsidR="001D753D">
        <w:t xml:space="preserve"> various</w:t>
      </w:r>
      <w:r w:rsidRPr="00E96F44">
        <w:t xml:space="preserve"> tests </w:t>
      </w:r>
      <w:r w:rsidR="001D753D">
        <w:t>including</w:t>
      </w:r>
      <w:r w:rsidRPr="00E96F44">
        <w:t xml:space="preserve"> quality of light, durability, battery safety and durability, and truth-in-advertising. There </w:t>
      </w:r>
      <w:r>
        <w:t>wa</w:t>
      </w:r>
      <w:r w:rsidRPr="00E96F44">
        <w:t>s an expectation, therefore, that businesses supplying solar lanterns w</w:t>
      </w:r>
      <w:r w:rsidR="001D753D">
        <w:t>ould</w:t>
      </w:r>
      <w:r w:rsidRPr="00E96F44">
        <w:t xml:space="preserve"> use these standards to determine the best products for their respective markets. The best quality solar lanterns produce</w:t>
      </w:r>
      <w:r>
        <w:t>d</w:t>
      </w:r>
      <w:r w:rsidRPr="00E96F44">
        <w:t xml:space="preserve"> optimal lighting conditions for night</w:t>
      </w:r>
      <w:r w:rsidR="001D753D">
        <w:t xml:space="preserve"> </w:t>
      </w:r>
      <w:r w:rsidRPr="00E96F44">
        <w:t>time uses and last</w:t>
      </w:r>
      <w:r w:rsidR="001D753D">
        <w:t>ed</w:t>
      </w:r>
      <w:r w:rsidRPr="00E96F44">
        <w:t xml:space="preserve"> longer, thereby postponing environmental </w:t>
      </w:r>
      <w:r w:rsidR="00BB2CB2" w:rsidRPr="00E96F44">
        <w:t>issues in</w:t>
      </w:r>
      <w:r w:rsidR="001D753D" w:rsidRPr="00E96F44">
        <w:t xml:space="preserve"> developing countries</w:t>
      </w:r>
      <w:r w:rsidR="001D753D">
        <w:t xml:space="preserve">, </w:t>
      </w:r>
      <w:r w:rsidRPr="00E96F44">
        <w:t xml:space="preserve">caused by the disposal of the products and their batteries. </w:t>
      </w:r>
    </w:p>
    <w:p w14:paraId="069955B7" w14:textId="77777777" w:rsidR="00E96F44" w:rsidRPr="008D685A" w:rsidRDefault="00E96F44" w:rsidP="00E96F44">
      <w:pPr>
        <w:pStyle w:val="BodyTextMain"/>
        <w:rPr>
          <w:lang w:val="en-GB"/>
        </w:rPr>
      </w:pPr>
    </w:p>
    <w:p w14:paraId="4379EFDF" w14:textId="77777777" w:rsidR="00E96F44" w:rsidRPr="008D685A" w:rsidRDefault="00E96F44" w:rsidP="00E96F44">
      <w:pPr>
        <w:pStyle w:val="BodyTextMain"/>
        <w:rPr>
          <w:lang w:val="en-GB"/>
        </w:rPr>
      </w:pPr>
    </w:p>
    <w:p w14:paraId="37F4262A" w14:textId="74B13F7F" w:rsidR="002C5D53" w:rsidRPr="008D685A" w:rsidRDefault="002C5D53" w:rsidP="00E96F44">
      <w:pPr>
        <w:pStyle w:val="Casehead1"/>
        <w:rPr>
          <w:lang w:val="en-GB"/>
        </w:rPr>
      </w:pPr>
      <w:r w:rsidRPr="008D685A">
        <w:rPr>
          <w:lang w:val="en-GB"/>
        </w:rPr>
        <w:t>The Supply Chain for Portable Solar Lights in Developing Countries</w:t>
      </w:r>
    </w:p>
    <w:p w14:paraId="2C68DF2B" w14:textId="77777777" w:rsidR="00E96F44" w:rsidRPr="008D685A" w:rsidRDefault="00E96F44" w:rsidP="00E96F44">
      <w:pPr>
        <w:pStyle w:val="BodyTextMain"/>
        <w:rPr>
          <w:lang w:val="en-GB"/>
        </w:rPr>
      </w:pPr>
    </w:p>
    <w:p w14:paraId="58C03CED" w14:textId="1C7CC06D" w:rsidR="001D753D" w:rsidRDefault="002C5D53" w:rsidP="00E96F44">
      <w:pPr>
        <w:pStyle w:val="BodyTextMain"/>
        <w:rPr>
          <w:lang w:val="en-GB"/>
        </w:rPr>
      </w:pPr>
      <w:r w:rsidRPr="008D685A">
        <w:rPr>
          <w:lang w:val="en-GB"/>
        </w:rPr>
        <w:t>Although the supply chain for solar lanterns varie</w:t>
      </w:r>
      <w:r w:rsidR="008D75B7" w:rsidRPr="008D685A">
        <w:rPr>
          <w:lang w:val="en-GB"/>
        </w:rPr>
        <w:t>d</w:t>
      </w:r>
      <w:r w:rsidRPr="008D685A">
        <w:rPr>
          <w:lang w:val="en-GB"/>
        </w:rPr>
        <w:t xml:space="preserve"> from country to country, stakeholders in the solar lighting market chain include</w:t>
      </w:r>
      <w:r w:rsidR="008D75B7" w:rsidRPr="008D685A">
        <w:rPr>
          <w:lang w:val="en-GB"/>
        </w:rPr>
        <w:t>d</w:t>
      </w:r>
      <w:r w:rsidRPr="008D685A">
        <w:rPr>
          <w:lang w:val="en-GB"/>
        </w:rPr>
        <w:t xml:space="preserve"> manufacturers, logistic and transport providers</w:t>
      </w:r>
      <w:r w:rsidR="001D753D">
        <w:rPr>
          <w:lang w:val="en-GB"/>
        </w:rPr>
        <w:t>,</w:t>
      </w:r>
      <w:r w:rsidRPr="008D685A">
        <w:rPr>
          <w:lang w:val="en-GB"/>
        </w:rPr>
        <w:t xml:space="preserve"> and distributors</w:t>
      </w:r>
      <w:r w:rsidR="005541DD" w:rsidRPr="008D685A">
        <w:rPr>
          <w:lang w:val="en-GB"/>
        </w:rPr>
        <w:t>—</w:t>
      </w:r>
      <w:r w:rsidRPr="008D685A">
        <w:rPr>
          <w:lang w:val="en-GB"/>
        </w:rPr>
        <w:t xml:space="preserve">mainly large </w:t>
      </w:r>
      <w:r w:rsidR="005541DD" w:rsidRPr="008D685A">
        <w:rPr>
          <w:lang w:val="en-GB"/>
        </w:rPr>
        <w:t>non-governmental organizations (</w:t>
      </w:r>
      <w:r w:rsidRPr="008D685A">
        <w:rPr>
          <w:lang w:val="en-GB"/>
        </w:rPr>
        <w:t xml:space="preserve">NGOs). In developing countries, the supply chain </w:t>
      </w:r>
      <w:r w:rsidR="008D75B7" w:rsidRPr="008D685A">
        <w:rPr>
          <w:lang w:val="en-GB"/>
        </w:rPr>
        <w:t>wa</w:t>
      </w:r>
      <w:r w:rsidRPr="008D685A">
        <w:rPr>
          <w:lang w:val="en-GB"/>
        </w:rPr>
        <w:t>s usually a variation of th</w:t>
      </w:r>
      <w:r w:rsidR="001D753D">
        <w:rPr>
          <w:lang w:val="en-GB"/>
        </w:rPr>
        <w:t>r</w:t>
      </w:r>
      <w:r w:rsidRPr="008D685A">
        <w:rPr>
          <w:lang w:val="en-GB"/>
        </w:rPr>
        <w:t>e</w:t>
      </w:r>
      <w:r w:rsidR="001D753D">
        <w:rPr>
          <w:lang w:val="en-GB"/>
        </w:rPr>
        <w:t>e main stages</w:t>
      </w:r>
      <w:r w:rsidRPr="008D685A">
        <w:rPr>
          <w:lang w:val="en-GB"/>
        </w:rPr>
        <w:t>. First, solar lantern importers liaise</w:t>
      </w:r>
      <w:r w:rsidR="008D75B7" w:rsidRPr="008D685A">
        <w:rPr>
          <w:lang w:val="en-GB"/>
        </w:rPr>
        <w:t>d</w:t>
      </w:r>
      <w:r w:rsidRPr="008D685A">
        <w:rPr>
          <w:lang w:val="en-GB"/>
        </w:rPr>
        <w:t xml:space="preserve"> with overseas manufacturers to bring </w:t>
      </w:r>
      <w:r w:rsidR="001D753D">
        <w:rPr>
          <w:lang w:val="en-GB"/>
        </w:rPr>
        <w:t xml:space="preserve">the </w:t>
      </w:r>
      <w:r w:rsidRPr="008D685A">
        <w:rPr>
          <w:lang w:val="en-GB"/>
        </w:rPr>
        <w:t xml:space="preserve">product into </w:t>
      </w:r>
      <w:r w:rsidR="001D753D">
        <w:rPr>
          <w:lang w:val="en-GB"/>
        </w:rPr>
        <w:t xml:space="preserve">the </w:t>
      </w:r>
      <w:r w:rsidRPr="008D685A">
        <w:rPr>
          <w:lang w:val="en-GB"/>
        </w:rPr>
        <w:t>country. Second, the importers either act</w:t>
      </w:r>
      <w:r w:rsidR="008D75B7" w:rsidRPr="008D685A">
        <w:rPr>
          <w:lang w:val="en-GB"/>
        </w:rPr>
        <w:t>ed</w:t>
      </w:r>
      <w:r w:rsidRPr="008D685A">
        <w:rPr>
          <w:lang w:val="en-GB"/>
        </w:rPr>
        <w:t xml:space="preserve"> as distributors themselves or pass</w:t>
      </w:r>
      <w:r w:rsidR="008D75B7" w:rsidRPr="008D685A">
        <w:rPr>
          <w:lang w:val="en-GB"/>
        </w:rPr>
        <w:t>ed</w:t>
      </w:r>
      <w:r w:rsidRPr="008D685A">
        <w:rPr>
          <w:lang w:val="en-GB"/>
        </w:rPr>
        <w:t xml:space="preserve"> </w:t>
      </w:r>
      <w:r w:rsidR="001D753D">
        <w:rPr>
          <w:lang w:val="en-GB"/>
        </w:rPr>
        <w:t xml:space="preserve">on </w:t>
      </w:r>
      <w:r w:rsidRPr="008D685A">
        <w:rPr>
          <w:lang w:val="en-GB"/>
        </w:rPr>
        <w:t>the imported product to local distributors. Third, local retailers receive</w:t>
      </w:r>
      <w:r w:rsidR="008D75B7" w:rsidRPr="008D685A">
        <w:rPr>
          <w:lang w:val="en-GB"/>
        </w:rPr>
        <w:t>d</w:t>
      </w:r>
      <w:r w:rsidRPr="008D685A">
        <w:rPr>
          <w:lang w:val="en-GB"/>
        </w:rPr>
        <w:t xml:space="preserve"> stock of </w:t>
      </w:r>
      <w:r w:rsidR="001D753D">
        <w:rPr>
          <w:lang w:val="en-GB"/>
        </w:rPr>
        <w:t xml:space="preserve">the </w:t>
      </w:r>
      <w:r w:rsidRPr="008D685A">
        <w:rPr>
          <w:lang w:val="en-GB"/>
        </w:rPr>
        <w:t>solar products, which they s</w:t>
      </w:r>
      <w:r w:rsidR="001D753D">
        <w:rPr>
          <w:lang w:val="en-GB"/>
        </w:rPr>
        <w:t>old</w:t>
      </w:r>
      <w:r w:rsidRPr="008D685A">
        <w:rPr>
          <w:lang w:val="en-GB"/>
        </w:rPr>
        <w:t xml:space="preserve"> in local communities to individual households. </w:t>
      </w:r>
    </w:p>
    <w:p w14:paraId="0C9A2205" w14:textId="77777777" w:rsidR="001D753D" w:rsidRDefault="001D753D" w:rsidP="00E96F44">
      <w:pPr>
        <w:pStyle w:val="BodyTextMain"/>
        <w:rPr>
          <w:lang w:val="en-GB"/>
        </w:rPr>
      </w:pPr>
    </w:p>
    <w:p w14:paraId="4E463A27" w14:textId="7E175361" w:rsidR="002C5D53" w:rsidRPr="008D685A" w:rsidRDefault="002C5D53" w:rsidP="00E96F44">
      <w:pPr>
        <w:pStyle w:val="BodyTextMain"/>
        <w:rPr>
          <w:lang w:val="en-GB"/>
        </w:rPr>
      </w:pPr>
      <w:r w:rsidRPr="008D685A">
        <w:rPr>
          <w:lang w:val="en-GB"/>
        </w:rPr>
        <w:t xml:space="preserve">There </w:t>
      </w:r>
      <w:r w:rsidR="008D75B7" w:rsidRPr="008D685A">
        <w:rPr>
          <w:lang w:val="en-GB"/>
        </w:rPr>
        <w:t>we</w:t>
      </w:r>
      <w:r w:rsidRPr="008D685A">
        <w:rPr>
          <w:lang w:val="en-GB"/>
        </w:rPr>
        <w:t>re many options for variation along th</w:t>
      </w:r>
      <w:r w:rsidR="001D753D">
        <w:rPr>
          <w:lang w:val="en-GB"/>
        </w:rPr>
        <w:t>is</w:t>
      </w:r>
      <w:r w:rsidRPr="008D685A">
        <w:rPr>
          <w:lang w:val="en-GB"/>
        </w:rPr>
        <w:t xml:space="preserve"> supply chain. For e</w:t>
      </w:r>
      <w:r w:rsidR="001D753D">
        <w:rPr>
          <w:lang w:val="en-GB"/>
        </w:rPr>
        <w:t>xample</w:t>
      </w:r>
      <w:r w:rsidRPr="008D685A">
        <w:rPr>
          <w:lang w:val="en-GB"/>
        </w:rPr>
        <w:t>, local co</w:t>
      </w:r>
      <w:r w:rsidR="001D753D">
        <w:rPr>
          <w:lang w:val="en-GB"/>
        </w:rPr>
        <w:t>-</w:t>
      </w:r>
      <w:r w:rsidRPr="008D685A">
        <w:rPr>
          <w:lang w:val="en-GB"/>
        </w:rPr>
        <w:t xml:space="preserve">operatives or NGOs often </w:t>
      </w:r>
      <w:r w:rsidR="008D75B7" w:rsidRPr="008D685A">
        <w:rPr>
          <w:lang w:val="en-GB"/>
        </w:rPr>
        <w:t xml:space="preserve">sold </w:t>
      </w:r>
      <w:r w:rsidRPr="008D685A">
        <w:rPr>
          <w:lang w:val="en-GB"/>
        </w:rPr>
        <w:t>or donate</w:t>
      </w:r>
      <w:r w:rsidR="008D75B7" w:rsidRPr="008D685A">
        <w:rPr>
          <w:lang w:val="en-GB"/>
        </w:rPr>
        <w:t>d</w:t>
      </w:r>
      <w:r w:rsidRPr="008D685A">
        <w:rPr>
          <w:lang w:val="en-GB"/>
        </w:rPr>
        <w:t xml:space="preserve"> (if funding </w:t>
      </w:r>
      <w:r w:rsidR="008D75B7" w:rsidRPr="008D685A">
        <w:rPr>
          <w:lang w:val="en-GB"/>
        </w:rPr>
        <w:t>wa</w:t>
      </w:r>
      <w:r w:rsidRPr="008D685A">
        <w:rPr>
          <w:lang w:val="en-GB"/>
        </w:rPr>
        <w:t>s available) products to end users, creating an additional step in the supply chain between retaile</w:t>
      </w:r>
      <w:r w:rsidR="001C5993" w:rsidRPr="008D685A">
        <w:rPr>
          <w:lang w:val="en-GB"/>
        </w:rPr>
        <w:t>rs and households. Illumination</w:t>
      </w:r>
      <w:r w:rsidRPr="008D685A">
        <w:rPr>
          <w:lang w:val="en-GB"/>
        </w:rPr>
        <w:t xml:space="preserve"> </w:t>
      </w:r>
      <w:r w:rsidR="008D75B7" w:rsidRPr="008D685A">
        <w:rPr>
          <w:lang w:val="en-GB"/>
        </w:rPr>
        <w:t>wa</w:t>
      </w:r>
      <w:r w:rsidR="003F1B12" w:rsidRPr="008D685A">
        <w:rPr>
          <w:lang w:val="en-GB"/>
        </w:rPr>
        <w:t xml:space="preserve">s a distributor and </w:t>
      </w:r>
      <w:r w:rsidRPr="008D685A">
        <w:rPr>
          <w:lang w:val="en-GB"/>
        </w:rPr>
        <w:t>importer in the developing</w:t>
      </w:r>
      <w:r w:rsidR="00BD5583" w:rsidRPr="008D685A">
        <w:rPr>
          <w:lang w:val="en-GB"/>
        </w:rPr>
        <w:t xml:space="preserve"> countries in which it operate</w:t>
      </w:r>
      <w:r w:rsidR="008D75B7" w:rsidRPr="008D685A">
        <w:rPr>
          <w:lang w:val="en-GB"/>
        </w:rPr>
        <w:t>d</w:t>
      </w:r>
      <w:r w:rsidR="00BD5583" w:rsidRPr="008D685A">
        <w:rPr>
          <w:lang w:val="en-GB"/>
        </w:rPr>
        <w:t xml:space="preserve"> (see Exhibit 2).</w:t>
      </w:r>
    </w:p>
    <w:p w14:paraId="7731D995" w14:textId="77777777" w:rsidR="00BD5583" w:rsidRPr="008D685A" w:rsidRDefault="00BD5583" w:rsidP="00BD5583">
      <w:pPr>
        <w:pStyle w:val="BodyTextMain"/>
        <w:rPr>
          <w:lang w:val="en-GB"/>
        </w:rPr>
      </w:pPr>
    </w:p>
    <w:p w14:paraId="4E752D27" w14:textId="29835E05" w:rsidR="002C5D53" w:rsidRPr="008D685A" w:rsidRDefault="002C5D53" w:rsidP="00BD5583">
      <w:pPr>
        <w:pStyle w:val="BodyTextMain"/>
        <w:rPr>
          <w:lang w:val="en-GB"/>
        </w:rPr>
      </w:pPr>
      <w:r w:rsidRPr="008D685A">
        <w:rPr>
          <w:lang w:val="en-GB"/>
        </w:rPr>
        <w:t xml:space="preserve">Issues with supply chain development and management </w:t>
      </w:r>
      <w:r w:rsidR="008D75B7" w:rsidRPr="008D685A">
        <w:rPr>
          <w:lang w:val="en-GB"/>
        </w:rPr>
        <w:t>we</w:t>
      </w:r>
      <w:r w:rsidRPr="008D685A">
        <w:rPr>
          <w:lang w:val="en-GB"/>
        </w:rPr>
        <w:t xml:space="preserve">re also prevalent. In 2013, Lighting Africa commissioned a report examining the supply chain for solar lighting products. Globally, there </w:t>
      </w:r>
      <w:r w:rsidR="008D75B7" w:rsidRPr="008D685A">
        <w:rPr>
          <w:lang w:val="en-GB"/>
        </w:rPr>
        <w:t>we</w:t>
      </w:r>
      <w:r w:rsidRPr="008D685A">
        <w:rPr>
          <w:lang w:val="en-GB"/>
        </w:rPr>
        <w:t>re numerous challenges. In Mali, in particular, the supply chain faced three challenges</w:t>
      </w:r>
      <w:r w:rsidR="001D753D">
        <w:rPr>
          <w:lang w:val="en-GB"/>
        </w:rPr>
        <w:t xml:space="preserve">: </w:t>
      </w:r>
      <w:r w:rsidR="001D753D" w:rsidRPr="001D753D">
        <w:rPr>
          <w:lang w:val="en-GB"/>
        </w:rPr>
        <w:t>lack of consumer and retailer awareness of solar light technology, lack of affordability for retailers and consumers, and limited after-sales support</w:t>
      </w:r>
      <w:r w:rsidR="00BD5583" w:rsidRPr="008D685A">
        <w:rPr>
          <w:lang w:val="en-GB"/>
        </w:rPr>
        <w:t>.</w:t>
      </w:r>
      <w:r w:rsidRPr="008D685A">
        <w:rPr>
          <w:vertAlign w:val="superscript"/>
          <w:lang w:val="en-GB"/>
        </w:rPr>
        <w:footnoteReference w:id="12"/>
      </w:r>
    </w:p>
    <w:p w14:paraId="00520D1C" w14:textId="77777777" w:rsidR="00BD5583" w:rsidRPr="008D685A" w:rsidRDefault="00BD5583" w:rsidP="00BD5583">
      <w:pPr>
        <w:pStyle w:val="BodyTextMain"/>
        <w:rPr>
          <w:lang w:val="en-GB"/>
        </w:rPr>
      </w:pPr>
    </w:p>
    <w:p w14:paraId="66CD99C6" w14:textId="77777777" w:rsidR="00BD5583" w:rsidRPr="008D685A" w:rsidRDefault="00BD5583" w:rsidP="00BD5583">
      <w:pPr>
        <w:pStyle w:val="BodyTextMain"/>
        <w:rPr>
          <w:lang w:val="en-GB"/>
        </w:rPr>
      </w:pPr>
    </w:p>
    <w:p w14:paraId="78914062" w14:textId="5C0090B7" w:rsidR="002C5D53" w:rsidRPr="008D685A" w:rsidRDefault="002C5D53" w:rsidP="00BB5005">
      <w:pPr>
        <w:pStyle w:val="Casehead2"/>
        <w:keepNext/>
        <w:rPr>
          <w:lang w:val="en-GB"/>
        </w:rPr>
      </w:pPr>
      <w:r w:rsidRPr="008D685A">
        <w:rPr>
          <w:lang w:val="en-GB"/>
        </w:rPr>
        <w:t xml:space="preserve">Lack of </w:t>
      </w:r>
      <w:r w:rsidR="002A4C31">
        <w:rPr>
          <w:lang w:val="en-GB"/>
        </w:rPr>
        <w:t>C</w:t>
      </w:r>
      <w:r w:rsidRPr="008D685A">
        <w:rPr>
          <w:lang w:val="en-GB"/>
        </w:rPr>
        <w:t xml:space="preserve">onsumer and </w:t>
      </w:r>
      <w:r w:rsidR="002A4C31">
        <w:rPr>
          <w:lang w:val="en-GB"/>
        </w:rPr>
        <w:t>R</w:t>
      </w:r>
      <w:r w:rsidRPr="008D685A">
        <w:rPr>
          <w:lang w:val="en-GB"/>
        </w:rPr>
        <w:t xml:space="preserve">etailer </w:t>
      </w:r>
      <w:r w:rsidR="002A4C31">
        <w:rPr>
          <w:lang w:val="en-GB"/>
        </w:rPr>
        <w:t>A</w:t>
      </w:r>
      <w:r w:rsidRPr="008D685A">
        <w:rPr>
          <w:lang w:val="en-GB"/>
        </w:rPr>
        <w:t xml:space="preserve">wareness of </w:t>
      </w:r>
      <w:r w:rsidR="002A4C31">
        <w:rPr>
          <w:lang w:val="en-GB"/>
        </w:rPr>
        <w:t>S</w:t>
      </w:r>
      <w:r w:rsidRPr="008D685A">
        <w:rPr>
          <w:lang w:val="en-GB"/>
        </w:rPr>
        <w:t xml:space="preserve">olar </w:t>
      </w:r>
      <w:r w:rsidR="002A4C31">
        <w:rPr>
          <w:lang w:val="en-GB"/>
        </w:rPr>
        <w:t>L</w:t>
      </w:r>
      <w:r w:rsidRPr="008D685A">
        <w:rPr>
          <w:lang w:val="en-GB"/>
        </w:rPr>
        <w:t xml:space="preserve">ight </w:t>
      </w:r>
      <w:r w:rsidR="002A4C31">
        <w:rPr>
          <w:lang w:val="en-GB"/>
        </w:rPr>
        <w:t>T</w:t>
      </w:r>
      <w:r w:rsidRPr="008D685A">
        <w:rPr>
          <w:lang w:val="en-GB"/>
        </w:rPr>
        <w:t>echnology</w:t>
      </w:r>
    </w:p>
    <w:p w14:paraId="775FD6B3" w14:textId="77777777" w:rsidR="00BD5583" w:rsidRPr="008D685A" w:rsidRDefault="00BD5583" w:rsidP="00BB5005">
      <w:pPr>
        <w:pStyle w:val="BodyTextMain"/>
        <w:keepNext/>
        <w:rPr>
          <w:lang w:val="en-GB"/>
        </w:rPr>
      </w:pPr>
    </w:p>
    <w:p w14:paraId="32BC8ED5" w14:textId="75E31094" w:rsidR="002C5D53" w:rsidRPr="008D685A" w:rsidRDefault="002C5D53" w:rsidP="00BB5005">
      <w:pPr>
        <w:pStyle w:val="BodyTextMain"/>
        <w:keepNext/>
        <w:rPr>
          <w:lang w:val="en-GB"/>
        </w:rPr>
      </w:pPr>
      <w:r w:rsidRPr="008D685A">
        <w:rPr>
          <w:lang w:val="en-GB"/>
        </w:rPr>
        <w:t xml:space="preserve">Despite ongoing market growth, there </w:t>
      </w:r>
      <w:r w:rsidR="008D75B7" w:rsidRPr="008D685A">
        <w:rPr>
          <w:lang w:val="en-GB"/>
        </w:rPr>
        <w:t xml:space="preserve">was </w:t>
      </w:r>
      <w:r w:rsidRPr="008D685A">
        <w:rPr>
          <w:lang w:val="en-GB"/>
        </w:rPr>
        <w:t>a lack of consumer awareness of portable solar power products, particularly when comparing Mali with East Africa. Low product demand from retailers and customers act</w:t>
      </w:r>
      <w:r w:rsidR="008D75B7" w:rsidRPr="008D685A">
        <w:rPr>
          <w:lang w:val="en-GB"/>
        </w:rPr>
        <w:t>ed</w:t>
      </w:r>
      <w:r w:rsidRPr="008D685A">
        <w:rPr>
          <w:lang w:val="en-GB"/>
        </w:rPr>
        <w:t xml:space="preserve"> as a disincentive for suppliers. </w:t>
      </w:r>
    </w:p>
    <w:p w14:paraId="06C05A53" w14:textId="77777777" w:rsidR="00BD5583" w:rsidRPr="008D685A" w:rsidRDefault="00BD5583" w:rsidP="00BD5583">
      <w:pPr>
        <w:pStyle w:val="BodyTextMain"/>
        <w:rPr>
          <w:lang w:val="en-GB"/>
        </w:rPr>
      </w:pPr>
    </w:p>
    <w:p w14:paraId="1C55C692" w14:textId="77777777" w:rsidR="00BD5583" w:rsidRPr="008D685A" w:rsidRDefault="00BD5583" w:rsidP="00BD5583">
      <w:pPr>
        <w:pStyle w:val="BodyTextMain"/>
        <w:rPr>
          <w:lang w:val="en-GB"/>
        </w:rPr>
      </w:pPr>
    </w:p>
    <w:p w14:paraId="21AF8D28" w14:textId="5793C015" w:rsidR="002C5D53" w:rsidRPr="008D685A" w:rsidRDefault="002C5D53" w:rsidP="003F1B12">
      <w:pPr>
        <w:pStyle w:val="Casehead2"/>
        <w:keepNext/>
        <w:rPr>
          <w:lang w:val="en-GB"/>
        </w:rPr>
      </w:pPr>
      <w:r w:rsidRPr="008D685A">
        <w:rPr>
          <w:lang w:val="en-GB"/>
        </w:rPr>
        <w:lastRenderedPageBreak/>
        <w:t xml:space="preserve">Lack of </w:t>
      </w:r>
      <w:r w:rsidR="002A4C31">
        <w:rPr>
          <w:lang w:val="en-GB"/>
        </w:rPr>
        <w:t>A</w:t>
      </w:r>
      <w:r w:rsidRPr="008D685A">
        <w:rPr>
          <w:lang w:val="en-GB"/>
        </w:rPr>
        <w:t xml:space="preserve">ffordability for </w:t>
      </w:r>
      <w:r w:rsidR="002A4C31">
        <w:rPr>
          <w:lang w:val="en-GB"/>
        </w:rPr>
        <w:t>R</w:t>
      </w:r>
      <w:r w:rsidRPr="008D685A">
        <w:rPr>
          <w:lang w:val="en-GB"/>
        </w:rPr>
        <w:t xml:space="preserve">etailers and </w:t>
      </w:r>
      <w:r w:rsidR="002A4C31">
        <w:rPr>
          <w:lang w:val="en-GB"/>
        </w:rPr>
        <w:t>C</w:t>
      </w:r>
      <w:r w:rsidRPr="008D685A">
        <w:rPr>
          <w:lang w:val="en-GB"/>
        </w:rPr>
        <w:t>onsumers</w:t>
      </w:r>
    </w:p>
    <w:p w14:paraId="66C70142" w14:textId="77777777" w:rsidR="00BD5583" w:rsidRPr="008D685A" w:rsidRDefault="00BD5583" w:rsidP="003F1B12">
      <w:pPr>
        <w:pStyle w:val="BodyTextMain"/>
        <w:keepNext/>
        <w:rPr>
          <w:lang w:val="en-GB"/>
        </w:rPr>
      </w:pPr>
    </w:p>
    <w:p w14:paraId="7B8836FC" w14:textId="2D934D40" w:rsidR="002C5D53" w:rsidRPr="00E463F5" w:rsidRDefault="002C5D53" w:rsidP="003F1B12">
      <w:pPr>
        <w:pStyle w:val="BodyTextMain"/>
        <w:keepNext/>
        <w:rPr>
          <w:spacing w:val="-2"/>
          <w:kern w:val="22"/>
          <w:lang w:val="en-GB"/>
        </w:rPr>
      </w:pPr>
      <w:r w:rsidRPr="00E463F5">
        <w:rPr>
          <w:spacing w:val="-2"/>
          <w:kern w:val="22"/>
          <w:lang w:val="en-GB"/>
        </w:rPr>
        <w:t xml:space="preserve">Although portable solar products </w:t>
      </w:r>
      <w:r w:rsidR="008D75B7" w:rsidRPr="00E463F5">
        <w:rPr>
          <w:spacing w:val="-2"/>
          <w:kern w:val="22"/>
          <w:lang w:val="en-GB"/>
        </w:rPr>
        <w:t>we</w:t>
      </w:r>
      <w:r w:rsidRPr="00E463F5">
        <w:rPr>
          <w:spacing w:val="-2"/>
          <w:kern w:val="22"/>
          <w:lang w:val="en-GB"/>
        </w:rPr>
        <w:t>re more affordable in the long run, removing ongoing costs associated with traditional portable lighting</w:t>
      </w:r>
      <w:r w:rsidR="007A31BB" w:rsidRPr="00E463F5">
        <w:rPr>
          <w:spacing w:val="-2"/>
          <w:kern w:val="22"/>
          <w:lang w:val="en-GB"/>
        </w:rPr>
        <w:t>,</w:t>
      </w:r>
      <w:r w:rsidRPr="00E463F5">
        <w:rPr>
          <w:spacing w:val="-2"/>
          <w:kern w:val="22"/>
          <w:lang w:val="en-GB"/>
        </w:rPr>
        <w:t xml:space="preserve"> such as kerosene or batteries, the upfront cost </w:t>
      </w:r>
      <w:r w:rsidR="008D75B7" w:rsidRPr="00E463F5">
        <w:rPr>
          <w:spacing w:val="-2"/>
          <w:kern w:val="22"/>
          <w:lang w:val="en-GB"/>
        </w:rPr>
        <w:t>wa</w:t>
      </w:r>
      <w:r w:rsidRPr="00E463F5">
        <w:rPr>
          <w:spacing w:val="-2"/>
          <w:kern w:val="22"/>
          <w:lang w:val="en-GB"/>
        </w:rPr>
        <w:t>s higher. Many people d</w:t>
      </w:r>
      <w:r w:rsidR="008D75B7" w:rsidRPr="00E463F5">
        <w:rPr>
          <w:spacing w:val="-2"/>
          <w:kern w:val="22"/>
          <w:lang w:val="en-GB"/>
        </w:rPr>
        <w:t>id</w:t>
      </w:r>
      <w:r w:rsidRPr="00E463F5">
        <w:rPr>
          <w:spacing w:val="-2"/>
          <w:kern w:val="22"/>
          <w:lang w:val="en-GB"/>
        </w:rPr>
        <w:t xml:space="preserve"> not have the means to purchase portable solar products, particularly higher</w:t>
      </w:r>
      <w:r w:rsidR="0033414C" w:rsidRPr="00E463F5">
        <w:rPr>
          <w:spacing w:val="-2"/>
          <w:kern w:val="22"/>
          <w:lang w:val="en-GB"/>
        </w:rPr>
        <w:t>-</w:t>
      </w:r>
      <w:r w:rsidRPr="00E463F5">
        <w:rPr>
          <w:spacing w:val="-2"/>
          <w:kern w:val="22"/>
          <w:lang w:val="en-GB"/>
        </w:rPr>
        <w:t xml:space="preserve">quality brands. </w:t>
      </w:r>
    </w:p>
    <w:p w14:paraId="33B264F9" w14:textId="77777777" w:rsidR="00BD5583" w:rsidRPr="008D685A" w:rsidRDefault="00BD5583" w:rsidP="00BD5583">
      <w:pPr>
        <w:pStyle w:val="BodyTextMain"/>
        <w:rPr>
          <w:lang w:val="en-GB"/>
        </w:rPr>
      </w:pPr>
    </w:p>
    <w:p w14:paraId="5DD86F02" w14:textId="77777777" w:rsidR="00BD5583" w:rsidRPr="008D685A" w:rsidRDefault="00BD5583" w:rsidP="00BD5583">
      <w:pPr>
        <w:pStyle w:val="BodyTextMain"/>
        <w:rPr>
          <w:lang w:val="en-GB"/>
        </w:rPr>
      </w:pPr>
    </w:p>
    <w:p w14:paraId="532795AA" w14:textId="67A40F19" w:rsidR="002C5D53" w:rsidRPr="008D685A" w:rsidRDefault="002C5D53" w:rsidP="00375D62">
      <w:pPr>
        <w:pStyle w:val="Casehead2"/>
        <w:keepNext/>
        <w:rPr>
          <w:lang w:val="en-GB"/>
        </w:rPr>
      </w:pPr>
      <w:r w:rsidRPr="008D685A">
        <w:rPr>
          <w:lang w:val="en-GB"/>
        </w:rPr>
        <w:t xml:space="preserve">Limited </w:t>
      </w:r>
      <w:r w:rsidR="002A4C31">
        <w:rPr>
          <w:lang w:val="en-GB"/>
        </w:rPr>
        <w:t>A</w:t>
      </w:r>
      <w:r w:rsidRPr="008D685A">
        <w:rPr>
          <w:lang w:val="en-GB"/>
        </w:rPr>
        <w:t xml:space="preserve">fter-sales </w:t>
      </w:r>
      <w:r w:rsidR="002A4C31">
        <w:rPr>
          <w:lang w:val="en-GB"/>
        </w:rPr>
        <w:t>S</w:t>
      </w:r>
      <w:r w:rsidRPr="008D685A">
        <w:rPr>
          <w:lang w:val="en-GB"/>
        </w:rPr>
        <w:t>upport</w:t>
      </w:r>
    </w:p>
    <w:p w14:paraId="30A570DA" w14:textId="77777777" w:rsidR="00BD5583" w:rsidRPr="008D685A" w:rsidRDefault="00BD5583" w:rsidP="00375D62">
      <w:pPr>
        <w:pStyle w:val="BodyTextMain"/>
        <w:keepNext/>
        <w:rPr>
          <w:lang w:val="en-GB"/>
        </w:rPr>
      </w:pPr>
    </w:p>
    <w:p w14:paraId="55E729B8" w14:textId="2A766170" w:rsidR="002C5D53" w:rsidRPr="008D685A" w:rsidRDefault="002C5D53" w:rsidP="00BD5583">
      <w:pPr>
        <w:pStyle w:val="BodyTextMain"/>
        <w:rPr>
          <w:lang w:val="en-GB"/>
        </w:rPr>
      </w:pPr>
      <w:r w:rsidRPr="008D685A">
        <w:rPr>
          <w:lang w:val="en-GB"/>
        </w:rPr>
        <w:t>Retailers d</w:t>
      </w:r>
      <w:r w:rsidR="008D75B7" w:rsidRPr="008D685A">
        <w:rPr>
          <w:lang w:val="en-GB"/>
        </w:rPr>
        <w:t>id</w:t>
      </w:r>
      <w:r w:rsidRPr="008D685A">
        <w:rPr>
          <w:lang w:val="en-GB"/>
        </w:rPr>
        <w:t xml:space="preserve"> not have the resources to provide adequate post</w:t>
      </w:r>
      <w:r w:rsidR="001D753D">
        <w:rPr>
          <w:lang w:val="en-GB"/>
        </w:rPr>
        <w:t>-</w:t>
      </w:r>
      <w:r w:rsidRPr="008D685A">
        <w:rPr>
          <w:lang w:val="en-GB"/>
        </w:rPr>
        <w:t>sale support. Reasons include</w:t>
      </w:r>
      <w:r w:rsidR="008D75B7" w:rsidRPr="008D685A">
        <w:rPr>
          <w:lang w:val="en-GB"/>
        </w:rPr>
        <w:t>d</w:t>
      </w:r>
      <w:r w:rsidRPr="008D685A">
        <w:rPr>
          <w:lang w:val="en-GB"/>
        </w:rPr>
        <w:t xml:space="preserve"> a lack of technical training or capacity to offer product warranties. In addition, the remoteness of many end</w:t>
      </w:r>
      <w:r w:rsidR="0033414C">
        <w:rPr>
          <w:lang w:val="en-GB"/>
        </w:rPr>
        <w:t xml:space="preserve"> </w:t>
      </w:r>
      <w:r w:rsidRPr="008D685A">
        <w:rPr>
          <w:lang w:val="en-GB"/>
        </w:rPr>
        <w:t>users ma</w:t>
      </w:r>
      <w:r w:rsidR="008D75B7" w:rsidRPr="008D685A">
        <w:rPr>
          <w:lang w:val="en-GB"/>
        </w:rPr>
        <w:t>de</w:t>
      </w:r>
      <w:r w:rsidRPr="008D685A">
        <w:rPr>
          <w:lang w:val="en-GB"/>
        </w:rPr>
        <w:t xml:space="preserve"> last-mile distribution and after-sales support a significant logistical challenge. This </w:t>
      </w:r>
      <w:r w:rsidR="008D75B7" w:rsidRPr="008D685A">
        <w:rPr>
          <w:lang w:val="en-GB"/>
        </w:rPr>
        <w:t>had</w:t>
      </w:r>
      <w:r w:rsidRPr="008D685A">
        <w:rPr>
          <w:lang w:val="en-GB"/>
        </w:rPr>
        <w:t xml:space="preserve"> </w:t>
      </w:r>
      <w:r w:rsidR="001D753D">
        <w:rPr>
          <w:lang w:val="en-GB"/>
        </w:rPr>
        <w:t xml:space="preserve">a </w:t>
      </w:r>
      <w:r w:rsidRPr="008D685A">
        <w:rPr>
          <w:lang w:val="en-GB"/>
        </w:rPr>
        <w:t xml:space="preserve">negative impact on both consumer trust and knowledge of portable solar products. </w:t>
      </w:r>
    </w:p>
    <w:p w14:paraId="20385F79" w14:textId="77777777" w:rsidR="00BD5583" w:rsidRPr="008D685A" w:rsidRDefault="00BD5583" w:rsidP="00BD5583">
      <w:pPr>
        <w:pStyle w:val="BodyTextMain"/>
        <w:rPr>
          <w:lang w:val="en-GB"/>
        </w:rPr>
      </w:pPr>
    </w:p>
    <w:p w14:paraId="326F4453" w14:textId="1C898AC5" w:rsidR="00D87830" w:rsidRPr="00BB2CB2" w:rsidRDefault="002C5D53" w:rsidP="00891FDD">
      <w:pPr>
        <w:pStyle w:val="BodyTextMain"/>
        <w:rPr>
          <w:spacing w:val="-2"/>
          <w:kern w:val="22"/>
          <w:lang w:val="en-GB"/>
        </w:rPr>
      </w:pPr>
      <w:r w:rsidRPr="00BB2CB2">
        <w:rPr>
          <w:spacing w:val="-2"/>
          <w:kern w:val="22"/>
          <w:lang w:val="en-GB"/>
        </w:rPr>
        <w:t xml:space="preserve">Distribution channels </w:t>
      </w:r>
      <w:r w:rsidR="0033414C" w:rsidRPr="00BB2CB2">
        <w:rPr>
          <w:spacing w:val="-2"/>
          <w:kern w:val="22"/>
          <w:lang w:val="en-GB"/>
        </w:rPr>
        <w:t xml:space="preserve">and associated difficulties </w:t>
      </w:r>
      <w:r w:rsidRPr="00BB2CB2">
        <w:rPr>
          <w:spacing w:val="-2"/>
          <w:kern w:val="22"/>
          <w:lang w:val="en-GB"/>
        </w:rPr>
        <w:t>var</w:t>
      </w:r>
      <w:r w:rsidR="008D75B7" w:rsidRPr="00BB2CB2">
        <w:rPr>
          <w:spacing w:val="-2"/>
          <w:kern w:val="22"/>
          <w:lang w:val="en-GB"/>
        </w:rPr>
        <w:t>ied</w:t>
      </w:r>
      <w:r w:rsidRPr="00BB2CB2">
        <w:rPr>
          <w:spacing w:val="-2"/>
          <w:kern w:val="22"/>
          <w:lang w:val="en-GB"/>
        </w:rPr>
        <w:t xml:space="preserve"> from </w:t>
      </w:r>
      <w:r w:rsidR="0033414C" w:rsidRPr="00BB2CB2">
        <w:rPr>
          <w:spacing w:val="-2"/>
          <w:kern w:val="22"/>
          <w:lang w:val="en-GB"/>
        </w:rPr>
        <w:t xml:space="preserve">one </w:t>
      </w:r>
      <w:r w:rsidRPr="00BB2CB2">
        <w:rPr>
          <w:spacing w:val="-2"/>
          <w:kern w:val="22"/>
          <w:lang w:val="en-GB"/>
        </w:rPr>
        <w:t xml:space="preserve">country </w:t>
      </w:r>
      <w:r w:rsidR="0033414C" w:rsidRPr="00BB2CB2">
        <w:rPr>
          <w:spacing w:val="-2"/>
          <w:kern w:val="22"/>
          <w:lang w:val="en-GB"/>
        </w:rPr>
        <w:t>or city to another</w:t>
      </w:r>
      <w:r w:rsidRPr="00BB2CB2">
        <w:rPr>
          <w:spacing w:val="-2"/>
          <w:kern w:val="22"/>
          <w:lang w:val="en-GB"/>
        </w:rPr>
        <w:t xml:space="preserve">. </w:t>
      </w:r>
      <w:r w:rsidR="0033414C" w:rsidRPr="00BB2CB2">
        <w:rPr>
          <w:spacing w:val="-2"/>
          <w:kern w:val="22"/>
          <w:lang w:val="en-GB"/>
        </w:rPr>
        <w:t xml:space="preserve">The South Sudan city of </w:t>
      </w:r>
      <w:r w:rsidR="005541DD" w:rsidRPr="00BB2CB2">
        <w:rPr>
          <w:spacing w:val="-2"/>
          <w:kern w:val="22"/>
          <w:lang w:val="en-GB"/>
        </w:rPr>
        <w:t>Wau</w:t>
      </w:r>
      <w:r w:rsidR="0033414C" w:rsidRPr="00BB2CB2">
        <w:rPr>
          <w:spacing w:val="-2"/>
          <w:kern w:val="22"/>
          <w:lang w:val="en-GB"/>
        </w:rPr>
        <w:t>, for example, had its own issues</w:t>
      </w:r>
      <w:r w:rsidR="00891FDD" w:rsidRPr="00BB2CB2">
        <w:rPr>
          <w:spacing w:val="-2"/>
          <w:kern w:val="22"/>
          <w:lang w:val="en-GB"/>
        </w:rPr>
        <w:t xml:space="preserve">. </w:t>
      </w:r>
      <w:r w:rsidR="00D87830" w:rsidRPr="00BB2CB2">
        <w:rPr>
          <w:spacing w:val="-2"/>
          <w:kern w:val="22"/>
          <w:lang w:val="en-GB"/>
        </w:rPr>
        <w:t>Wau</w:t>
      </w:r>
      <w:r w:rsidR="00891FDD" w:rsidRPr="00BB2CB2">
        <w:rPr>
          <w:spacing w:val="-2"/>
          <w:kern w:val="22"/>
          <w:lang w:val="en-GB"/>
        </w:rPr>
        <w:t xml:space="preserve"> wa</w:t>
      </w:r>
      <w:r w:rsidR="00D87830" w:rsidRPr="00BB2CB2">
        <w:rPr>
          <w:spacing w:val="-2"/>
          <w:kern w:val="22"/>
          <w:lang w:val="en-GB"/>
        </w:rPr>
        <w:t>s situated closer to the border with Sudan and the supply chain of solar</w:t>
      </w:r>
      <w:r w:rsidR="002A4C31">
        <w:rPr>
          <w:spacing w:val="-2"/>
          <w:kern w:val="22"/>
          <w:lang w:val="en-GB"/>
        </w:rPr>
        <w:t>-</w:t>
      </w:r>
      <w:r w:rsidR="00D87830" w:rsidRPr="00BB2CB2">
        <w:rPr>
          <w:spacing w:val="-2"/>
          <w:kern w:val="22"/>
          <w:lang w:val="en-GB"/>
        </w:rPr>
        <w:t>powered goods involved trucks smuggling goods through the unofficial border crossing between</w:t>
      </w:r>
      <w:r w:rsidR="00891FDD" w:rsidRPr="00BB2CB2">
        <w:rPr>
          <w:spacing w:val="-2"/>
          <w:kern w:val="22"/>
          <w:lang w:val="en-GB"/>
        </w:rPr>
        <w:t xml:space="preserve"> </w:t>
      </w:r>
      <w:r w:rsidR="00D87830" w:rsidRPr="00BB2CB2">
        <w:rPr>
          <w:spacing w:val="-2"/>
          <w:kern w:val="22"/>
          <w:lang w:val="en-GB"/>
        </w:rPr>
        <w:t>Sudan</w:t>
      </w:r>
      <w:r w:rsidR="002A4C31">
        <w:rPr>
          <w:spacing w:val="-2"/>
          <w:kern w:val="22"/>
          <w:lang w:val="en-GB"/>
        </w:rPr>
        <w:t xml:space="preserve"> and </w:t>
      </w:r>
      <w:r w:rsidR="00D87830" w:rsidRPr="00BB2CB2">
        <w:rPr>
          <w:spacing w:val="-2"/>
          <w:kern w:val="22"/>
          <w:lang w:val="en-GB"/>
        </w:rPr>
        <w:t xml:space="preserve">South Sudan, called New Sudan, to reach Wau. Goods </w:t>
      </w:r>
      <w:r w:rsidR="00891FDD" w:rsidRPr="00BB2CB2">
        <w:rPr>
          <w:spacing w:val="-2"/>
          <w:kern w:val="22"/>
          <w:lang w:val="en-GB"/>
        </w:rPr>
        <w:t>we</w:t>
      </w:r>
      <w:r w:rsidR="00D87830" w:rsidRPr="00BB2CB2">
        <w:rPr>
          <w:spacing w:val="-2"/>
          <w:kern w:val="22"/>
          <w:lang w:val="en-GB"/>
        </w:rPr>
        <w:t>re then taxed when they reach</w:t>
      </w:r>
      <w:r w:rsidR="00891FDD" w:rsidRPr="00BB2CB2">
        <w:rPr>
          <w:spacing w:val="-2"/>
          <w:kern w:val="22"/>
          <w:lang w:val="en-GB"/>
        </w:rPr>
        <w:t>ed</w:t>
      </w:r>
      <w:r w:rsidR="00D87830" w:rsidRPr="00BB2CB2">
        <w:rPr>
          <w:spacing w:val="-2"/>
          <w:kern w:val="22"/>
          <w:lang w:val="en-GB"/>
        </w:rPr>
        <w:t xml:space="preserve"> Wau.</w:t>
      </w:r>
      <w:r w:rsidR="00891FDD" w:rsidRPr="00BB2CB2">
        <w:rPr>
          <w:spacing w:val="-2"/>
          <w:kern w:val="22"/>
          <w:vertAlign w:val="superscript"/>
          <w:lang w:val="en-GB"/>
        </w:rPr>
        <w:footnoteReference w:id="13"/>
      </w:r>
    </w:p>
    <w:p w14:paraId="68B0DB31" w14:textId="77777777" w:rsidR="00891FDD" w:rsidRPr="00D87830" w:rsidRDefault="00891FDD" w:rsidP="00891FDD">
      <w:pPr>
        <w:pStyle w:val="BodyTextMain"/>
        <w:rPr>
          <w:lang w:val="en-GB"/>
        </w:rPr>
      </w:pPr>
    </w:p>
    <w:p w14:paraId="5D2E3153" w14:textId="48099E4F" w:rsidR="002C5D53" w:rsidRPr="008D685A" w:rsidRDefault="00D87830" w:rsidP="00891FDD">
      <w:pPr>
        <w:pStyle w:val="BodyTextMain"/>
        <w:tabs>
          <w:tab w:val="left" w:pos="0"/>
        </w:tabs>
        <w:rPr>
          <w:lang w:val="en-GB"/>
        </w:rPr>
      </w:pPr>
      <w:r w:rsidRPr="00D87830">
        <w:rPr>
          <w:lang w:val="en-GB"/>
        </w:rPr>
        <w:t xml:space="preserve">The road network on this route </w:t>
      </w:r>
      <w:r w:rsidR="00891FDD">
        <w:rPr>
          <w:lang w:val="en-GB"/>
        </w:rPr>
        <w:t>wa</w:t>
      </w:r>
      <w:r w:rsidRPr="00D87830">
        <w:rPr>
          <w:lang w:val="en-GB"/>
        </w:rPr>
        <w:t xml:space="preserve">s not good and </w:t>
      </w:r>
      <w:r w:rsidR="00891FDD">
        <w:rPr>
          <w:lang w:val="en-GB"/>
        </w:rPr>
        <w:t>wa</w:t>
      </w:r>
      <w:r w:rsidRPr="00D87830">
        <w:rPr>
          <w:lang w:val="en-GB"/>
        </w:rPr>
        <w:t>s not passable by truck during the rainy season.</w:t>
      </w:r>
      <w:r w:rsidR="00891FDD">
        <w:rPr>
          <w:lang w:val="en-GB"/>
        </w:rPr>
        <w:t xml:space="preserve"> </w:t>
      </w:r>
      <w:r w:rsidRPr="00D87830">
        <w:rPr>
          <w:lang w:val="en-GB"/>
        </w:rPr>
        <w:t xml:space="preserve">Solar power retailers in Wau </w:t>
      </w:r>
      <w:r w:rsidR="00891FDD">
        <w:rPr>
          <w:lang w:val="en-GB"/>
        </w:rPr>
        <w:t>we</w:t>
      </w:r>
      <w:r w:rsidRPr="00D87830">
        <w:rPr>
          <w:lang w:val="en-GB"/>
        </w:rPr>
        <w:t xml:space="preserve">re Sudanese and a significant portion of the supply chain to Wau </w:t>
      </w:r>
      <w:r w:rsidR="00891FDD">
        <w:rPr>
          <w:lang w:val="en-GB"/>
        </w:rPr>
        <w:t>wa</w:t>
      </w:r>
      <w:r w:rsidRPr="00D87830">
        <w:rPr>
          <w:lang w:val="en-GB"/>
        </w:rPr>
        <w:t>s</w:t>
      </w:r>
      <w:r w:rsidR="00891FDD">
        <w:rPr>
          <w:lang w:val="en-GB"/>
        </w:rPr>
        <w:t xml:space="preserve"> </w:t>
      </w:r>
      <w:r w:rsidRPr="00D87830">
        <w:rPr>
          <w:lang w:val="en-GB"/>
        </w:rPr>
        <w:t>made up of Sudanese individuals. Retailers in Wau place</w:t>
      </w:r>
      <w:r w:rsidR="00891FDD">
        <w:rPr>
          <w:lang w:val="en-GB"/>
        </w:rPr>
        <w:t>d</w:t>
      </w:r>
      <w:r w:rsidRPr="00D87830">
        <w:rPr>
          <w:lang w:val="en-GB"/>
        </w:rPr>
        <w:t xml:space="preserve"> orders in groups of up to 20 people per</w:t>
      </w:r>
      <w:r w:rsidR="00891FDD">
        <w:rPr>
          <w:lang w:val="en-GB"/>
        </w:rPr>
        <w:t xml:space="preserve"> </w:t>
      </w:r>
      <w:r w:rsidRPr="00D87830">
        <w:rPr>
          <w:lang w:val="en-GB"/>
        </w:rPr>
        <w:t xml:space="preserve">truck, to Sudanese traders located in China and Dubai. These products </w:t>
      </w:r>
      <w:r w:rsidR="00891FDD">
        <w:rPr>
          <w:lang w:val="en-GB"/>
        </w:rPr>
        <w:t>we</w:t>
      </w:r>
      <w:r w:rsidRPr="00D87830">
        <w:rPr>
          <w:lang w:val="en-GB"/>
        </w:rPr>
        <w:t>re then shipped to Port</w:t>
      </w:r>
      <w:r w:rsidR="00891FDD">
        <w:rPr>
          <w:lang w:val="en-GB"/>
        </w:rPr>
        <w:t xml:space="preserve"> </w:t>
      </w:r>
      <w:r w:rsidRPr="00D87830">
        <w:rPr>
          <w:lang w:val="en-GB"/>
        </w:rPr>
        <w:t>Sudan in Sudan, driven overland to Khartoum, and then trucked to Wau.</w:t>
      </w:r>
      <w:r w:rsidR="00891FDD">
        <w:rPr>
          <w:rStyle w:val="FootnoteReference"/>
          <w:lang w:val="en-GB"/>
        </w:rPr>
        <w:footnoteReference w:id="14"/>
      </w:r>
    </w:p>
    <w:p w14:paraId="50273377" w14:textId="77777777" w:rsidR="002C5D53" w:rsidRPr="008D685A" w:rsidRDefault="002C5D53" w:rsidP="00BD5583">
      <w:pPr>
        <w:pStyle w:val="BodyTextMain"/>
        <w:rPr>
          <w:rFonts w:eastAsia="Calibri"/>
          <w:lang w:val="en-GB"/>
        </w:rPr>
      </w:pPr>
    </w:p>
    <w:p w14:paraId="0AEE2ECE" w14:textId="77777777" w:rsidR="00BD5583" w:rsidRPr="008D685A" w:rsidRDefault="00BD5583" w:rsidP="00BD5583">
      <w:pPr>
        <w:pStyle w:val="BodyTextMain"/>
        <w:rPr>
          <w:rFonts w:eastAsia="Calibri"/>
          <w:lang w:val="en-GB"/>
        </w:rPr>
      </w:pPr>
    </w:p>
    <w:p w14:paraId="6E864EC1" w14:textId="77777777" w:rsidR="002C5D53" w:rsidRPr="008D685A" w:rsidRDefault="002C5D53" w:rsidP="00BD5583">
      <w:pPr>
        <w:pStyle w:val="Casehead1"/>
        <w:rPr>
          <w:lang w:val="en-GB"/>
        </w:rPr>
      </w:pPr>
      <w:r w:rsidRPr="008D685A">
        <w:rPr>
          <w:lang w:val="en-GB"/>
        </w:rPr>
        <w:t xml:space="preserve">International commitment </w:t>
      </w:r>
    </w:p>
    <w:p w14:paraId="31882B9D" w14:textId="77777777" w:rsidR="00BD5583" w:rsidRPr="008D685A" w:rsidRDefault="00BD5583" w:rsidP="00BD5583">
      <w:pPr>
        <w:pStyle w:val="BodyTextMain"/>
        <w:rPr>
          <w:lang w:val="en-GB"/>
        </w:rPr>
      </w:pPr>
    </w:p>
    <w:p w14:paraId="4FFDF648" w14:textId="6DD4117E" w:rsidR="002C5D53" w:rsidRPr="008D685A" w:rsidRDefault="002C5D53" w:rsidP="00BD5583">
      <w:pPr>
        <w:pStyle w:val="BodyTextMain"/>
        <w:rPr>
          <w:lang w:val="en-GB"/>
        </w:rPr>
      </w:pPr>
      <w:r w:rsidRPr="008D685A">
        <w:rPr>
          <w:lang w:val="en-GB"/>
        </w:rPr>
        <w:t>In 2015, world leaders agreed to adopt 17 Sustainable Development Goals as part of the United Nations 2030 Agenda for Sustainable Development. Goal 7 specifie</w:t>
      </w:r>
      <w:r w:rsidR="008D75B7" w:rsidRPr="008D685A">
        <w:rPr>
          <w:lang w:val="en-GB"/>
        </w:rPr>
        <w:t>d</w:t>
      </w:r>
      <w:r w:rsidRPr="008D685A">
        <w:rPr>
          <w:lang w:val="en-GB"/>
        </w:rPr>
        <w:t xml:space="preserve"> commitment to universal access to “affordable, reliable, sustainable and modern energy for all” by 2030</w:t>
      </w:r>
      <w:r w:rsidR="005541DD" w:rsidRPr="008D685A">
        <w:rPr>
          <w:lang w:val="en-GB"/>
        </w:rPr>
        <w:t>.</w:t>
      </w:r>
      <w:r w:rsidRPr="008D685A">
        <w:rPr>
          <w:vertAlign w:val="superscript"/>
          <w:lang w:val="en-GB"/>
        </w:rPr>
        <w:footnoteReference w:id="15"/>
      </w:r>
      <w:r w:rsidR="00CF16FC" w:rsidRPr="008D685A">
        <w:rPr>
          <w:lang w:val="en-GB"/>
        </w:rPr>
        <w:t xml:space="preserve"> </w:t>
      </w:r>
      <w:r w:rsidRPr="008D685A">
        <w:rPr>
          <w:lang w:val="en-GB"/>
        </w:rPr>
        <w:t>The Energy Access Practi</w:t>
      </w:r>
      <w:r w:rsidR="00221899">
        <w:rPr>
          <w:lang w:val="en-GB"/>
        </w:rPr>
        <w:t>ti</w:t>
      </w:r>
      <w:r w:rsidRPr="008D685A">
        <w:rPr>
          <w:lang w:val="en-GB"/>
        </w:rPr>
        <w:t>oner Network support</w:t>
      </w:r>
      <w:r w:rsidR="008D75B7" w:rsidRPr="008D685A">
        <w:rPr>
          <w:lang w:val="en-GB"/>
        </w:rPr>
        <w:t>ed</w:t>
      </w:r>
      <w:r w:rsidRPr="008D685A">
        <w:rPr>
          <w:lang w:val="en-GB"/>
        </w:rPr>
        <w:t xml:space="preserve"> this goal, connecting stakeholders from the private and social sectors in over 170 countries to enable a collaborative approach to ensure the target of energy for all by 2030</w:t>
      </w:r>
      <w:r w:rsidR="005541DD" w:rsidRPr="008D685A">
        <w:rPr>
          <w:lang w:val="en-GB"/>
        </w:rPr>
        <w:t>.</w:t>
      </w:r>
      <w:r w:rsidRPr="008D685A">
        <w:rPr>
          <w:vertAlign w:val="superscript"/>
          <w:lang w:val="en-GB"/>
        </w:rPr>
        <w:footnoteReference w:id="16"/>
      </w:r>
      <w:r w:rsidRPr="008D685A">
        <w:rPr>
          <w:lang w:val="en-GB"/>
        </w:rPr>
        <w:t xml:space="preserve"> </w:t>
      </w:r>
    </w:p>
    <w:p w14:paraId="5CDE1699" w14:textId="77777777" w:rsidR="002C5D53" w:rsidRPr="00E463F5" w:rsidRDefault="002C5D53" w:rsidP="00BD5583">
      <w:pPr>
        <w:pStyle w:val="BodyTextMain"/>
        <w:rPr>
          <w:sz w:val="18"/>
          <w:szCs w:val="18"/>
          <w:lang w:val="en-GB"/>
        </w:rPr>
      </w:pPr>
    </w:p>
    <w:p w14:paraId="4F15E1BE" w14:textId="7CC8480B" w:rsidR="002C5D53" w:rsidRPr="00E463F5" w:rsidRDefault="002C5D53" w:rsidP="00BD5583">
      <w:pPr>
        <w:pStyle w:val="BodyTextMain"/>
        <w:rPr>
          <w:spacing w:val="-2"/>
          <w:kern w:val="22"/>
          <w:lang w:val="en-GB"/>
        </w:rPr>
      </w:pPr>
      <w:r w:rsidRPr="00E463F5">
        <w:rPr>
          <w:spacing w:val="-2"/>
          <w:kern w:val="22"/>
          <w:lang w:val="en-GB"/>
        </w:rPr>
        <w:t>In May 2018</w:t>
      </w:r>
      <w:r w:rsidR="003279B5" w:rsidRPr="00E463F5">
        <w:rPr>
          <w:spacing w:val="-2"/>
          <w:kern w:val="22"/>
          <w:lang w:val="en-GB"/>
        </w:rPr>
        <w:t>,</w:t>
      </w:r>
      <w:r w:rsidRPr="00E463F5">
        <w:rPr>
          <w:spacing w:val="-2"/>
          <w:kern w:val="22"/>
          <w:lang w:val="en-GB"/>
        </w:rPr>
        <w:t xml:space="preserve"> there were 403 partnership initiatives listed against Goal 7. Of these, 56 were specifically targeted to improve infrastructure and technology for sustainable energy services in developing countries.</w:t>
      </w:r>
      <w:r w:rsidRPr="00E463F5">
        <w:rPr>
          <w:spacing w:val="-2"/>
          <w:kern w:val="22"/>
          <w:vertAlign w:val="superscript"/>
          <w:lang w:val="en-GB"/>
        </w:rPr>
        <w:footnoteReference w:id="17"/>
      </w:r>
    </w:p>
    <w:p w14:paraId="15822106" w14:textId="77777777" w:rsidR="002C5D53" w:rsidRPr="00E463F5" w:rsidRDefault="002C5D53" w:rsidP="00BD5583">
      <w:pPr>
        <w:pStyle w:val="BodyTextMain"/>
        <w:rPr>
          <w:sz w:val="18"/>
          <w:szCs w:val="18"/>
          <w:lang w:val="en-GB"/>
        </w:rPr>
      </w:pPr>
    </w:p>
    <w:p w14:paraId="57011A27" w14:textId="77777777" w:rsidR="00BB2CB2" w:rsidRPr="00E463F5" w:rsidRDefault="00BB2CB2" w:rsidP="00BD5583">
      <w:pPr>
        <w:pStyle w:val="BodyTextMain"/>
        <w:rPr>
          <w:sz w:val="18"/>
          <w:szCs w:val="18"/>
          <w:lang w:val="en-GB"/>
        </w:rPr>
      </w:pPr>
    </w:p>
    <w:p w14:paraId="0A88E35C" w14:textId="7EC2733F" w:rsidR="002C5D53" w:rsidRPr="008D685A" w:rsidRDefault="002C5D53" w:rsidP="00BD5583">
      <w:pPr>
        <w:pStyle w:val="Casehead1"/>
        <w:rPr>
          <w:lang w:val="en-GB"/>
        </w:rPr>
      </w:pPr>
      <w:r w:rsidRPr="008D685A">
        <w:rPr>
          <w:lang w:val="en-GB"/>
        </w:rPr>
        <w:t xml:space="preserve">Illumination Solar </w:t>
      </w:r>
    </w:p>
    <w:p w14:paraId="4086F15A" w14:textId="77777777" w:rsidR="00BD5583" w:rsidRPr="00E463F5" w:rsidRDefault="00BD5583" w:rsidP="00BD5583">
      <w:pPr>
        <w:pStyle w:val="BodyTextMain"/>
        <w:rPr>
          <w:sz w:val="18"/>
          <w:szCs w:val="18"/>
          <w:lang w:val="en-GB"/>
        </w:rPr>
      </w:pPr>
    </w:p>
    <w:p w14:paraId="13E5D4A0" w14:textId="1EFEFE02" w:rsidR="002C5D53" w:rsidRPr="008D685A" w:rsidRDefault="002C5D53" w:rsidP="00BD5583">
      <w:pPr>
        <w:pStyle w:val="BodyTextMain"/>
        <w:rPr>
          <w:lang w:val="en-GB"/>
        </w:rPr>
      </w:pPr>
      <w:r w:rsidRPr="008D685A">
        <w:rPr>
          <w:lang w:val="en-GB"/>
        </w:rPr>
        <w:t xml:space="preserve">In the solar market, there </w:t>
      </w:r>
      <w:r w:rsidR="008D75B7" w:rsidRPr="008D685A">
        <w:rPr>
          <w:lang w:val="en-GB"/>
        </w:rPr>
        <w:t>wa</w:t>
      </w:r>
      <w:r w:rsidRPr="008D685A">
        <w:rPr>
          <w:lang w:val="en-GB"/>
        </w:rPr>
        <w:t xml:space="preserve">s often a trade-off between quality and price. Most end users </w:t>
      </w:r>
      <w:r w:rsidR="008D75B7" w:rsidRPr="008D685A">
        <w:rPr>
          <w:lang w:val="en-GB"/>
        </w:rPr>
        <w:t>we</w:t>
      </w:r>
      <w:r w:rsidRPr="008D685A">
        <w:rPr>
          <w:lang w:val="en-GB"/>
        </w:rPr>
        <w:t>re unable to afford the best quality solar products. Instead, they purchase</w:t>
      </w:r>
      <w:r w:rsidR="00221899">
        <w:rPr>
          <w:lang w:val="en-GB"/>
        </w:rPr>
        <w:t>d</w:t>
      </w:r>
      <w:r w:rsidRPr="008D685A">
        <w:rPr>
          <w:lang w:val="en-GB"/>
        </w:rPr>
        <w:t xml:space="preserve"> low</w:t>
      </w:r>
      <w:r w:rsidR="00221899">
        <w:rPr>
          <w:lang w:val="en-GB"/>
        </w:rPr>
        <w:t>-</w:t>
      </w:r>
      <w:r w:rsidRPr="008D685A">
        <w:rPr>
          <w:lang w:val="en-GB"/>
        </w:rPr>
        <w:t xml:space="preserve">quality lanterns that </w:t>
      </w:r>
      <w:r w:rsidR="00221899">
        <w:rPr>
          <w:lang w:val="en-GB"/>
        </w:rPr>
        <w:t>we</w:t>
      </w:r>
      <w:r w:rsidRPr="008D685A">
        <w:rPr>
          <w:lang w:val="en-GB"/>
        </w:rPr>
        <w:t xml:space="preserve">re not durable, </w:t>
      </w:r>
      <w:r w:rsidRPr="008D685A">
        <w:rPr>
          <w:lang w:val="en-GB"/>
        </w:rPr>
        <w:lastRenderedPageBreak/>
        <w:t>poorly designed</w:t>
      </w:r>
      <w:r w:rsidR="00221899">
        <w:rPr>
          <w:lang w:val="en-GB"/>
        </w:rPr>
        <w:t>,</w:t>
      </w:r>
      <w:r w:rsidRPr="008D685A">
        <w:rPr>
          <w:lang w:val="en-GB"/>
        </w:rPr>
        <w:t xml:space="preserve"> or produce</w:t>
      </w:r>
      <w:r w:rsidR="00221899">
        <w:rPr>
          <w:lang w:val="en-GB"/>
        </w:rPr>
        <w:t>d</w:t>
      </w:r>
      <w:r w:rsidRPr="008D685A">
        <w:rPr>
          <w:lang w:val="en-GB"/>
        </w:rPr>
        <w:t xml:space="preserve"> low</w:t>
      </w:r>
      <w:r w:rsidR="00221899">
        <w:rPr>
          <w:lang w:val="en-GB"/>
        </w:rPr>
        <w:t>-</w:t>
      </w:r>
      <w:r w:rsidRPr="008D685A">
        <w:rPr>
          <w:lang w:val="en-GB"/>
        </w:rPr>
        <w:t>quality light. Renewable energy entrepreneurs warn</w:t>
      </w:r>
      <w:r w:rsidR="008D75B7" w:rsidRPr="008D685A">
        <w:rPr>
          <w:lang w:val="en-GB"/>
        </w:rPr>
        <w:t>ed</w:t>
      </w:r>
      <w:r w:rsidRPr="008D685A">
        <w:rPr>
          <w:lang w:val="en-GB"/>
        </w:rPr>
        <w:t xml:space="preserve"> that this poor reputation </w:t>
      </w:r>
      <w:r w:rsidR="00221899">
        <w:rPr>
          <w:lang w:val="en-GB"/>
        </w:rPr>
        <w:t xml:space="preserve">would </w:t>
      </w:r>
      <w:r w:rsidRPr="008D685A">
        <w:rPr>
          <w:lang w:val="en-GB"/>
        </w:rPr>
        <w:t>make end</w:t>
      </w:r>
      <w:r w:rsidR="00221899">
        <w:rPr>
          <w:lang w:val="en-GB"/>
        </w:rPr>
        <w:t xml:space="preserve"> </w:t>
      </w:r>
      <w:r w:rsidRPr="008D685A">
        <w:rPr>
          <w:lang w:val="en-GB"/>
        </w:rPr>
        <w:t>users in emerging markets averse to solar technology, having the unwanted effect of slowing uptake in the communities that need</w:t>
      </w:r>
      <w:r w:rsidR="00221899">
        <w:rPr>
          <w:lang w:val="en-GB"/>
        </w:rPr>
        <w:t>ed</w:t>
      </w:r>
      <w:r w:rsidRPr="008D685A">
        <w:rPr>
          <w:lang w:val="en-GB"/>
        </w:rPr>
        <w:t xml:space="preserve"> it most</w:t>
      </w:r>
      <w:r w:rsidR="005541DD" w:rsidRPr="008D685A">
        <w:rPr>
          <w:lang w:val="en-GB"/>
        </w:rPr>
        <w:t>.</w:t>
      </w:r>
      <w:r w:rsidRPr="008D685A">
        <w:rPr>
          <w:vertAlign w:val="superscript"/>
          <w:lang w:val="en-GB"/>
        </w:rPr>
        <w:footnoteReference w:id="18"/>
      </w:r>
      <w:r w:rsidRPr="008D685A">
        <w:rPr>
          <w:lang w:val="en-GB"/>
        </w:rPr>
        <w:t xml:space="preserve"> To address this challenge, Illumination developed its own efficient solar light</w:t>
      </w:r>
      <w:r w:rsidR="00221899">
        <w:rPr>
          <w:lang w:val="en-GB"/>
        </w:rPr>
        <w:t>—</w:t>
      </w:r>
      <w:r w:rsidRPr="008D685A">
        <w:rPr>
          <w:lang w:val="en-GB"/>
        </w:rPr>
        <w:t xml:space="preserve">the Mandarin Ultra. When it was first developed, the </w:t>
      </w:r>
      <w:r w:rsidR="00221899">
        <w:rPr>
          <w:lang w:val="en-GB"/>
        </w:rPr>
        <w:t>product</w:t>
      </w:r>
      <w:r w:rsidRPr="008D685A">
        <w:rPr>
          <w:lang w:val="en-GB"/>
        </w:rPr>
        <w:t xml:space="preserve"> retailed at a price equal to about two months’ supply of kerosene.</w:t>
      </w:r>
      <w:r w:rsidR="001C5993" w:rsidRPr="008D685A">
        <w:rPr>
          <w:lang w:val="en-GB"/>
        </w:rPr>
        <w:t xml:space="preserve"> </w:t>
      </w:r>
      <w:r w:rsidRPr="008D685A">
        <w:rPr>
          <w:lang w:val="en-GB"/>
        </w:rPr>
        <w:t>Illumination was also able to access the E</w:t>
      </w:r>
      <w:r w:rsidR="004D3149">
        <w:rPr>
          <w:lang w:val="en-GB"/>
        </w:rPr>
        <w:t xml:space="preserve">uropean </w:t>
      </w:r>
      <w:r w:rsidRPr="008D685A">
        <w:rPr>
          <w:lang w:val="en-GB"/>
        </w:rPr>
        <w:t>U</w:t>
      </w:r>
      <w:r w:rsidR="004D3149">
        <w:rPr>
          <w:lang w:val="en-GB"/>
        </w:rPr>
        <w:t>nion Emission Trading</w:t>
      </w:r>
      <w:r w:rsidRPr="008D685A">
        <w:rPr>
          <w:lang w:val="en-GB"/>
        </w:rPr>
        <w:t xml:space="preserve"> </w:t>
      </w:r>
      <w:r w:rsidR="004D3149">
        <w:rPr>
          <w:lang w:val="en-GB"/>
        </w:rPr>
        <w:t>S</w:t>
      </w:r>
      <w:r w:rsidRPr="008D685A">
        <w:rPr>
          <w:lang w:val="en-GB"/>
        </w:rPr>
        <w:t xml:space="preserve">cheme, claiming credits to reduce the price per unit for end users. Later, the company expanded its product range to include solar-powered radios and mobile chargers. </w:t>
      </w:r>
    </w:p>
    <w:p w14:paraId="731ACA2D" w14:textId="77777777" w:rsidR="005541DD" w:rsidRPr="008D685A" w:rsidRDefault="005541DD" w:rsidP="00BD5583">
      <w:pPr>
        <w:pStyle w:val="BodyTextMain"/>
        <w:rPr>
          <w:lang w:val="en-GB"/>
        </w:rPr>
      </w:pPr>
    </w:p>
    <w:p w14:paraId="01FC7B4A" w14:textId="6D962646" w:rsidR="00512A18" w:rsidRPr="008D685A" w:rsidRDefault="002C5D53" w:rsidP="00512A18">
      <w:pPr>
        <w:pStyle w:val="BodyTextMain"/>
        <w:rPr>
          <w:lang w:val="en-GB"/>
        </w:rPr>
      </w:pPr>
      <w:r w:rsidRPr="008D685A">
        <w:rPr>
          <w:lang w:val="en-GB"/>
        </w:rPr>
        <w:t xml:space="preserve">From its roots in Arusha, Tanzania, Illumination soon expanded to the rest of </w:t>
      </w:r>
      <w:r w:rsidR="00221899">
        <w:rPr>
          <w:lang w:val="en-GB"/>
        </w:rPr>
        <w:t>E</w:t>
      </w:r>
      <w:r w:rsidRPr="008D685A">
        <w:rPr>
          <w:lang w:val="en-GB"/>
        </w:rPr>
        <w:t xml:space="preserve">astern Africa. Its solar products were also </w:t>
      </w:r>
      <w:r w:rsidR="008D75B7" w:rsidRPr="008D685A">
        <w:rPr>
          <w:lang w:val="en-GB"/>
        </w:rPr>
        <w:t>appearing</w:t>
      </w:r>
      <w:r w:rsidRPr="008D685A">
        <w:rPr>
          <w:lang w:val="en-GB"/>
        </w:rPr>
        <w:t xml:space="preserve"> in other emerging markets in Southeast Asia. The enterprise initially operated under five managers. </w:t>
      </w:r>
      <w:r w:rsidR="00512A18" w:rsidRPr="008D685A">
        <w:rPr>
          <w:lang w:val="en-GB"/>
        </w:rPr>
        <w:t>In January 2018</w:t>
      </w:r>
      <w:r w:rsidRPr="008D685A">
        <w:rPr>
          <w:lang w:val="en-GB"/>
        </w:rPr>
        <w:t xml:space="preserve">, due to profitability and supply chain challenges, </w:t>
      </w:r>
      <w:r w:rsidR="005541DD" w:rsidRPr="008D685A">
        <w:rPr>
          <w:lang w:val="en-GB"/>
        </w:rPr>
        <w:t>Thatcher</w:t>
      </w:r>
      <w:r w:rsidR="000C3FE4" w:rsidRPr="008D685A">
        <w:rPr>
          <w:lang w:val="en-GB"/>
        </w:rPr>
        <w:t xml:space="preserve"> </w:t>
      </w:r>
      <w:r w:rsidR="00512A18" w:rsidRPr="008D685A">
        <w:rPr>
          <w:lang w:val="en-GB"/>
        </w:rPr>
        <w:t>was</w:t>
      </w:r>
      <w:r w:rsidR="00221899">
        <w:rPr>
          <w:lang w:val="en-GB"/>
        </w:rPr>
        <w:t xml:space="preserve"> </w:t>
      </w:r>
      <w:r w:rsidRPr="008D685A">
        <w:rPr>
          <w:lang w:val="en-GB"/>
        </w:rPr>
        <w:t>the sole manager of the enterprise</w:t>
      </w:r>
      <w:r w:rsidR="00221899">
        <w:rPr>
          <w:lang w:val="en-GB"/>
        </w:rPr>
        <w:t xml:space="preserve"> and was</w:t>
      </w:r>
      <w:r w:rsidRPr="008D685A">
        <w:rPr>
          <w:lang w:val="en-GB"/>
        </w:rPr>
        <w:t xml:space="preserve"> based in Australia. </w:t>
      </w:r>
      <w:r w:rsidR="00512A18" w:rsidRPr="008D685A">
        <w:rPr>
          <w:lang w:val="en-GB"/>
        </w:rPr>
        <w:t>Ill</w:t>
      </w:r>
      <w:r w:rsidR="00FC5319" w:rsidRPr="008D685A">
        <w:rPr>
          <w:lang w:val="en-GB"/>
        </w:rPr>
        <w:t>umination</w:t>
      </w:r>
      <w:r w:rsidR="00512A18" w:rsidRPr="008D685A">
        <w:rPr>
          <w:lang w:val="en-GB"/>
        </w:rPr>
        <w:t xml:space="preserve">’s main competitors </w:t>
      </w:r>
      <w:r w:rsidR="00221899">
        <w:rPr>
          <w:lang w:val="en-GB"/>
        </w:rPr>
        <w:t xml:space="preserve">in Australia </w:t>
      </w:r>
      <w:r w:rsidR="00512A18" w:rsidRPr="008D685A">
        <w:rPr>
          <w:lang w:val="en-GB"/>
        </w:rPr>
        <w:t>include</w:t>
      </w:r>
      <w:r w:rsidR="008D75B7" w:rsidRPr="008D685A">
        <w:rPr>
          <w:lang w:val="en-GB"/>
        </w:rPr>
        <w:t>d</w:t>
      </w:r>
      <w:r w:rsidR="00512A18" w:rsidRPr="008D685A">
        <w:rPr>
          <w:lang w:val="en-GB"/>
        </w:rPr>
        <w:t xml:space="preserve"> </w:t>
      </w:r>
      <w:r w:rsidR="00512A18" w:rsidRPr="00BB2CB2">
        <w:rPr>
          <w:lang w:val="en-GB"/>
        </w:rPr>
        <w:t>Kathmandu</w:t>
      </w:r>
      <w:r w:rsidR="004D3149">
        <w:rPr>
          <w:lang w:val="en-GB"/>
        </w:rPr>
        <w:t xml:space="preserve"> Limited</w:t>
      </w:r>
      <w:r w:rsidR="00512A18" w:rsidRPr="008D685A">
        <w:rPr>
          <w:lang w:val="en-GB"/>
        </w:rPr>
        <w:t xml:space="preserve"> and </w:t>
      </w:r>
      <w:r w:rsidR="00512A18" w:rsidRPr="00BB2CB2">
        <w:rPr>
          <w:lang w:val="en-GB"/>
        </w:rPr>
        <w:t>Anaconda</w:t>
      </w:r>
      <w:r w:rsidR="00050039">
        <w:rPr>
          <w:lang w:val="en-GB"/>
        </w:rPr>
        <w:t xml:space="preserve"> Group Pty Ltd</w:t>
      </w:r>
      <w:r w:rsidR="008D75B7" w:rsidRPr="008D685A">
        <w:rPr>
          <w:lang w:val="en-GB"/>
        </w:rPr>
        <w:t>, who also supplied</w:t>
      </w:r>
      <w:r w:rsidR="00512A18" w:rsidRPr="008D685A">
        <w:rPr>
          <w:lang w:val="en-GB"/>
        </w:rPr>
        <w:t xml:space="preserve"> portable solar lanterns. However, </w:t>
      </w:r>
      <w:r w:rsidR="00221899">
        <w:rPr>
          <w:lang w:val="en-GB"/>
        </w:rPr>
        <w:t xml:space="preserve">the </w:t>
      </w:r>
      <w:r w:rsidR="008D75B7" w:rsidRPr="008D685A">
        <w:rPr>
          <w:lang w:val="en-GB"/>
        </w:rPr>
        <w:t xml:space="preserve">lanterns </w:t>
      </w:r>
      <w:r w:rsidR="00221899">
        <w:rPr>
          <w:lang w:val="en-GB"/>
        </w:rPr>
        <w:t xml:space="preserve">of these two competitors </w:t>
      </w:r>
      <w:r w:rsidR="008D75B7" w:rsidRPr="008D685A">
        <w:rPr>
          <w:lang w:val="en-GB"/>
        </w:rPr>
        <w:t>we</w:t>
      </w:r>
      <w:r w:rsidR="00512A18" w:rsidRPr="008D685A">
        <w:rPr>
          <w:lang w:val="en-GB"/>
        </w:rPr>
        <w:t xml:space="preserve">re marketed mainly for use in camping and other outdoor leisure and adventure activities (see Exhibit 3). </w:t>
      </w:r>
    </w:p>
    <w:p w14:paraId="39065D13" w14:textId="77777777" w:rsidR="002C5D53" w:rsidRPr="008D685A" w:rsidRDefault="002C5D53" w:rsidP="00BD5583">
      <w:pPr>
        <w:pStyle w:val="BodyTextMain"/>
        <w:rPr>
          <w:rFonts w:eastAsiaTheme="majorEastAsia"/>
          <w:lang w:val="en-GB"/>
        </w:rPr>
      </w:pPr>
    </w:p>
    <w:p w14:paraId="442D85DB" w14:textId="77777777" w:rsidR="00BD5583" w:rsidRPr="008D685A" w:rsidRDefault="00BD5583" w:rsidP="00BD5583">
      <w:pPr>
        <w:pStyle w:val="BodyTextMain"/>
        <w:rPr>
          <w:rFonts w:eastAsiaTheme="majorEastAsia"/>
          <w:lang w:val="en-GB"/>
        </w:rPr>
      </w:pPr>
    </w:p>
    <w:p w14:paraId="2175083D" w14:textId="3932B2FF" w:rsidR="002C5D53" w:rsidRPr="00E463F5" w:rsidRDefault="002C5D53" w:rsidP="00BD5583">
      <w:pPr>
        <w:pStyle w:val="Casehead1"/>
        <w:rPr>
          <w:spacing w:val="-6"/>
          <w:kern w:val="20"/>
          <w:lang w:val="en-GB"/>
        </w:rPr>
      </w:pPr>
      <w:r w:rsidRPr="00E463F5">
        <w:rPr>
          <w:spacing w:val="-6"/>
          <w:kern w:val="20"/>
          <w:lang w:val="en-GB"/>
        </w:rPr>
        <w:t>The Aid and Development Model</w:t>
      </w:r>
      <w:r w:rsidR="00AC2A8F" w:rsidRPr="00E463F5">
        <w:rPr>
          <w:spacing w:val="-6"/>
          <w:kern w:val="20"/>
          <w:lang w:val="en-GB"/>
        </w:rPr>
        <w:t>—</w:t>
      </w:r>
      <w:r w:rsidRPr="00E463F5">
        <w:rPr>
          <w:spacing w:val="-6"/>
          <w:kern w:val="20"/>
          <w:lang w:val="en-GB"/>
        </w:rPr>
        <w:t>Partnering with N</w:t>
      </w:r>
      <w:r w:rsidR="00221899" w:rsidRPr="00E463F5">
        <w:rPr>
          <w:spacing w:val="-6"/>
          <w:kern w:val="20"/>
          <w:lang w:val="en-GB"/>
        </w:rPr>
        <w:t>on-</w:t>
      </w:r>
      <w:r w:rsidRPr="00E463F5">
        <w:rPr>
          <w:spacing w:val="-6"/>
          <w:kern w:val="20"/>
          <w:lang w:val="en-GB"/>
        </w:rPr>
        <w:t>G</w:t>
      </w:r>
      <w:r w:rsidR="00221899" w:rsidRPr="00E463F5">
        <w:rPr>
          <w:spacing w:val="-6"/>
          <w:kern w:val="20"/>
          <w:lang w:val="en-GB"/>
        </w:rPr>
        <w:t xml:space="preserve">overnmental </w:t>
      </w:r>
      <w:r w:rsidRPr="00E463F5">
        <w:rPr>
          <w:spacing w:val="-6"/>
          <w:kern w:val="20"/>
          <w:lang w:val="en-GB"/>
        </w:rPr>
        <w:t>O</w:t>
      </w:r>
      <w:r w:rsidR="00221899" w:rsidRPr="00E463F5">
        <w:rPr>
          <w:spacing w:val="-6"/>
          <w:kern w:val="20"/>
          <w:lang w:val="en-GB"/>
        </w:rPr>
        <w:t>rganization</w:t>
      </w:r>
      <w:r w:rsidRPr="00E463F5">
        <w:rPr>
          <w:spacing w:val="-6"/>
          <w:kern w:val="20"/>
          <w:lang w:val="en-GB"/>
        </w:rPr>
        <w:t>s</w:t>
      </w:r>
    </w:p>
    <w:p w14:paraId="21C9D24C" w14:textId="77777777" w:rsidR="00BD5583" w:rsidRPr="008D685A" w:rsidRDefault="00BD5583" w:rsidP="00BD5583">
      <w:pPr>
        <w:pStyle w:val="BodyTextMain"/>
        <w:rPr>
          <w:lang w:val="en-GB"/>
        </w:rPr>
      </w:pPr>
    </w:p>
    <w:p w14:paraId="522E29AF" w14:textId="77805C57" w:rsidR="00791526" w:rsidRPr="00E463F5" w:rsidRDefault="002C5D53" w:rsidP="00BD5583">
      <w:pPr>
        <w:pStyle w:val="BodyTextMain"/>
        <w:rPr>
          <w:spacing w:val="-4"/>
          <w:kern w:val="22"/>
          <w:lang w:val="en-GB"/>
        </w:rPr>
      </w:pPr>
      <w:r w:rsidRPr="00E463F5">
        <w:rPr>
          <w:spacing w:val="-4"/>
          <w:kern w:val="22"/>
          <w:lang w:val="en-GB"/>
        </w:rPr>
        <w:t xml:space="preserve">In its early days in Tanzania, Illumination integrated itself fully in the supply chain for its solar products. </w:t>
      </w:r>
      <w:r w:rsidR="005541DD" w:rsidRPr="00E463F5">
        <w:rPr>
          <w:spacing w:val="-4"/>
          <w:kern w:val="22"/>
          <w:lang w:val="en-GB"/>
        </w:rPr>
        <w:t>Thatcher</w:t>
      </w:r>
      <w:r w:rsidRPr="00E463F5">
        <w:rPr>
          <w:spacing w:val="-4"/>
          <w:kern w:val="22"/>
          <w:lang w:val="en-GB"/>
        </w:rPr>
        <w:t xml:space="preserve"> and the other managers at the time did not just design the lights</w:t>
      </w:r>
      <w:r w:rsidR="00221899" w:rsidRPr="00E463F5">
        <w:rPr>
          <w:spacing w:val="-4"/>
          <w:kern w:val="22"/>
          <w:lang w:val="en-GB"/>
        </w:rPr>
        <w:t>, they</w:t>
      </w:r>
      <w:r w:rsidRPr="00E463F5">
        <w:rPr>
          <w:spacing w:val="-4"/>
          <w:kern w:val="22"/>
          <w:lang w:val="en-GB"/>
        </w:rPr>
        <w:t xml:space="preserve"> also commissioned manufacturing in China and managed delivery from the manufacturer to NGOs and aid agencies on the ground in impoverished communities </w:t>
      </w:r>
      <w:r w:rsidR="00791526" w:rsidRPr="00E463F5">
        <w:rPr>
          <w:spacing w:val="-4"/>
          <w:kern w:val="22"/>
          <w:lang w:val="en-GB"/>
        </w:rPr>
        <w:t>of</w:t>
      </w:r>
      <w:r w:rsidRPr="00E463F5">
        <w:rPr>
          <w:spacing w:val="-4"/>
          <w:kern w:val="22"/>
          <w:lang w:val="en-GB"/>
        </w:rPr>
        <w:t xml:space="preserve"> emerging markets. </w:t>
      </w:r>
      <w:r w:rsidR="005541DD" w:rsidRPr="00E463F5">
        <w:rPr>
          <w:spacing w:val="-4"/>
          <w:kern w:val="22"/>
          <w:lang w:val="en-GB"/>
        </w:rPr>
        <w:t>Thatcher</w:t>
      </w:r>
      <w:r w:rsidRPr="00E463F5">
        <w:rPr>
          <w:spacing w:val="-4"/>
          <w:kern w:val="22"/>
          <w:lang w:val="en-GB"/>
        </w:rPr>
        <w:t xml:space="preserve"> learned quickly that creating and maintaining distribution channels c</w:t>
      </w:r>
      <w:r w:rsidR="00791526" w:rsidRPr="00E463F5">
        <w:rPr>
          <w:spacing w:val="-4"/>
          <w:kern w:val="22"/>
          <w:lang w:val="en-GB"/>
        </w:rPr>
        <w:t>ould</w:t>
      </w:r>
      <w:r w:rsidRPr="00E463F5">
        <w:rPr>
          <w:spacing w:val="-4"/>
          <w:kern w:val="22"/>
          <w:lang w:val="en-GB"/>
        </w:rPr>
        <w:t xml:space="preserve"> be costly and difficult, particularly in emerging markets. A significant ongoing challenge for Illumination </w:t>
      </w:r>
      <w:r w:rsidR="002014C8" w:rsidRPr="00E463F5">
        <w:rPr>
          <w:spacing w:val="-4"/>
          <w:kern w:val="22"/>
          <w:lang w:val="en-GB"/>
        </w:rPr>
        <w:t>wa</w:t>
      </w:r>
      <w:r w:rsidRPr="00E463F5">
        <w:rPr>
          <w:spacing w:val="-4"/>
          <w:kern w:val="22"/>
          <w:lang w:val="en-GB"/>
        </w:rPr>
        <w:t xml:space="preserve">s the need to create distribution channels while preserving a low unit price for the consumer. As </w:t>
      </w:r>
      <w:r w:rsidR="005541DD" w:rsidRPr="00E463F5">
        <w:rPr>
          <w:spacing w:val="-4"/>
          <w:kern w:val="22"/>
          <w:lang w:val="en-GB"/>
        </w:rPr>
        <w:t>Thatcher</w:t>
      </w:r>
      <w:r w:rsidRPr="00E463F5">
        <w:rPr>
          <w:spacing w:val="-4"/>
          <w:kern w:val="22"/>
          <w:lang w:val="en-GB"/>
        </w:rPr>
        <w:t xml:space="preserve"> explain</w:t>
      </w:r>
      <w:r w:rsidR="002014C8" w:rsidRPr="00E463F5">
        <w:rPr>
          <w:spacing w:val="-4"/>
          <w:kern w:val="22"/>
          <w:lang w:val="en-GB"/>
        </w:rPr>
        <w:t>ed</w:t>
      </w:r>
      <w:r w:rsidRPr="00E463F5">
        <w:rPr>
          <w:spacing w:val="-4"/>
          <w:kern w:val="22"/>
          <w:lang w:val="en-GB"/>
        </w:rPr>
        <w:t>,</w:t>
      </w:r>
      <w:r w:rsidR="00AC2A8F" w:rsidRPr="00E463F5">
        <w:rPr>
          <w:spacing w:val="-4"/>
          <w:kern w:val="22"/>
          <w:lang w:val="en-GB"/>
        </w:rPr>
        <w:t xml:space="preserve"> “</w:t>
      </w:r>
      <w:r w:rsidR="005541DD" w:rsidRPr="00E463F5">
        <w:rPr>
          <w:spacing w:val="-4"/>
          <w:kern w:val="22"/>
          <w:lang w:val="en-GB"/>
        </w:rPr>
        <w:t>I</w:t>
      </w:r>
      <w:r w:rsidRPr="00E463F5">
        <w:rPr>
          <w:spacing w:val="-4"/>
          <w:kern w:val="22"/>
          <w:lang w:val="en-GB"/>
        </w:rPr>
        <w:t xml:space="preserve">n some markets it is </w:t>
      </w:r>
      <w:r w:rsidR="00EC2398">
        <w:rPr>
          <w:spacing w:val="-4"/>
          <w:kern w:val="22"/>
          <w:lang w:val="en-GB"/>
        </w:rPr>
        <w:t xml:space="preserve">possible to </w:t>
      </w:r>
      <w:r w:rsidRPr="00E463F5">
        <w:rPr>
          <w:spacing w:val="-4"/>
          <w:kern w:val="22"/>
          <w:lang w:val="en-GB"/>
        </w:rPr>
        <w:t>increase th</w:t>
      </w:r>
      <w:r w:rsidR="00EC2398">
        <w:rPr>
          <w:spacing w:val="-4"/>
          <w:kern w:val="22"/>
          <w:lang w:val="en-GB"/>
        </w:rPr>
        <w:t>e market profile of the product to justify its price</w:t>
      </w:r>
      <w:r w:rsidRPr="00E463F5">
        <w:rPr>
          <w:spacing w:val="-4"/>
          <w:kern w:val="22"/>
          <w:lang w:val="en-GB"/>
        </w:rPr>
        <w:t>, but when you are working within communities who are experiencing energy poverty there is little opportunity to do that because people cannot afford the product at the end</w:t>
      </w:r>
      <w:r w:rsidR="005541DD" w:rsidRPr="00E463F5">
        <w:rPr>
          <w:spacing w:val="-4"/>
          <w:kern w:val="22"/>
          <w:lang w:val="en-GB"/>
        </w:rPr>
        <w:t>.</w:t>
      </w:r>
      <w:r w:rsidR="00AC2A8F" w:rsidRPr="00E463F5">
        <w:rPr>
          <w:spacing w:val="-4"/>
          <w:kern w:val="22"/>
          <w:lang w:val="en-GB"/>
        </w:rPr>
        <w:t xml:space="preserve">” </w:t>
      </w:r>
    </w:p>
    <w:p w14:paraId="75BAF6A7" w14:textId="77777777" w:rsidR="00791526" w:rsidRDefault="00791526" w:rsidP="00BD5583">
      <w:pPr>
        <w:pStyle w:val="BodyTextMain"/>
        <w:rPr>
          <w:lang w:val="en-GB"/>
        </w:rPr>
      </w:pPr>
    </w:p>
    <w:p w14:paraId="505F64A1" w14:textId="5001F258" w:rsidR="002C5D53" w:rsidRPr="008D685A" w:rsidRDefault="002C5D53" w:rsidP="00BD5583">
      <w:pPr>
        <w:pStyle w:val="BodyTextMain"/>
        <w:rPr>
          <w:lang w:val="en-GB"/>
        </w:rPr>
      </w:pPr>
      <w:r w:rsidRPr="008D685A">
        <w:rPr>
          <w:lang w:val="en-GB"/>
        </w:rPr>
        <w:t xml:space="preserve">This triggered his first business model change. </w:t>
      </w:r>
      <w:r w:rsidR="005541DD" w:rsidRPr="008D685A">
        <w:rPr>
          <w:lang w:val="en-GB"/>
        </w:rPr>
        <w:t>Thatcher</w:t>
      </w:r>
      <w:r w:rsidRPr="008D685A">
        <w:rPr>
          <w:lang w:val="en-GB"/>
        </w:rPr>
        <w:t xml:space="preserve"> and his team decided to sell the distribution aspects of the enterprise and focus instead on designing and marketing a useful, good quality product.</w:t>
      </w:r>
      <w:r w:rsidR="00CF16FC" w:rsidRPr="008D685A">
        <w:rPr>
          <w:lang w:val="en-GB"/>
        </w:rPr>
        <w:t xml:space="preserve"> </w:t>
      </w:r>
      <w:r w:rsidR="005541DD" w:rsidRPr="008D685A">
        <w:rPr>
          <w:lang w:val="en-GB"/>
        </w:rPr>
        <w:t>Thatcher</w:t>
      </w:r>
      <w:r w:rsidRPr="008D685A">
        <w:rPr>
          <w:lang w:val="en-GB"/>
        </w:rPr>
        <w:t xml:space="preserve"> focused on establishing relationships and successfully tendering to aid agencies and other NGOs who could deliver his solar products as part of aid packages on the ground in impoverished communities. Illumination’s Mandarin products became so popular that aid agencies and NGOs requested them by name. </w:t>
      </w:r>
      <w:r w:rsidR="005541DD" w:rsidRPr="008D685A">
        <w:rPr>
          <w:lang w:val="en-GB"/>
        </w:rPr>
        <w:t>Thatcher</w:t>
      </w:r>
      <w:r w:rsidRPr="008D685A">
        <w:rPr>
          <w:lang w:val="en-GB"/>
        </w:rPr>
        <w:t xml:space="preserve"> and his then-partners would introduce these agencies to their distribution partners who would coordinate the delivery of the products. Partnerships with these organi</w:t>
      </w:r>
      <w:r w:rsidR="005769A1" w:rsidRPr="008D685A">
        <w:rPr>
          <w:lang w:val="en-GB"/>
        </w:rPr>
        <w:t>z</w:t>
      </w:r>
      <w:r w:rsidRPr="008D685A">
        <w:rPr>
          <w:lang w:val="en-GB"/>
        </w:rPr>
        <w:t xml:space="preserve">ations enabled the distribution of Illumination’s products in refugee camps and areas struck by disaster. </w:t>
      </w:r>
    </w:p>
    <w:p w14:paraId="76A45598" w14:textId="77777777" w:rsidR="00BD5583" w:rsidRPr="008D685A" w:rsidRDefault="00BD5583" w:rsidP="00BD5583">
      <w:pPr>
        <w:pStyle w:val="BodyTextMain"/>
        <w:rPr>
          <w:lang w:val="en-GB"/>
        </w:rPr>
      </w:pPr>
    </w:p>
    <w:p w14:paraId="197491A5" w14:textId="3E284A0A" w:rsidR="002C5D53" w:rsidRPr="00E463F5" w:rsidRDefault="002C5D53" w:rsidP="00BD5583">
      <w:pPr>
        <w:pStyle w:val="BodyTextMain"/>
        <w:rPr>
          <w:spacing w:val="-2"/>
          <w:kern w:val="22"/>
          <w:lang w:val="en-GB"/>
        </w:rPr>
      </w:pPr>
      <w:r w:rsidRPr="00E463F5">
        <w:rPr>
          <w:spacing w:val="-2"/>
          <w:kern w:val="22"/>
          <w:lang w:val="en-GB"/>
        </w:rPr>
        <w:t xml:space="preserve">However, as Illumination began winning more tenders and </w:t>
      </w:r>
      <w:r w:rsidR="005541DD" w:rsidRPr="00E463F5">
        <w:rPr>
          <w:spacing w:val="-2"/>
          <w:kern w:val="22"/>
          <w:lang w:val="en-GB"/>
        </w:rPr>
        <w:t>Thatcher</w:t>
      </w:r>
      <w:r w:rsidRPr="00E463F5">
        <w:rPr>
          <w:spacing w:val="-2"/>
          <w:kern w:val="22"/>
          <w:lang w:val="en-GB"/>
        </w:rPr>
        <w:t>’s Mandarin products became more recognized, other organi</w:t>
      </w:r>
      <w:r w:rsidR="005769A1" w:rsidRPr="00E463F5">
        <w:rPr>
          <w:spacing w:val="-2"/>
          <w:kern w:val="22"/>
          <w:lang w:val="en-GB"/>
        </w:rPr>
        <w:t>z</w:t>
      </w:r>
      <w:r w:rsidRPr="00E463F5">
        <w:rPr>
          <w:spacing w:val="-2"/>
          <w:kern w:val="22"/>
          <w:lang w:val="en-GB"/>
        </w:rPr>
        <w:t xml:space="preserve">ations began copying </w:t>
      </w:r>
      <w:r w:rsidR="00981244" w:rsidRPr="00E463F5">
        <w:rPr>
          <w:spacing w:val="-2"/>
          <w:kern w:val="22"/>
          <w:lang w:val="en-GB"/>
        </w:rPr>
        <w:t>Illumination’s</w:t>
      </w:r>
      <w:r w:rsidRPr="00E463F5">
        <w:rPr>
          <w:spacing w:val="-2"/>
          <w:kern w:val="22"/>
          <w:lang w:val="en-GB"/>
        </w:rPr>
        <w:t xml:space="preserve"> products. While some of these products were cheaper, they were not necessarily better value</w:t>
      </w:r>
      <w:r w:rsidR="001C5993" w:rsidRPr="00E463F5">
        <w:rPr>
          <w:spacing w:val="-2"/>
          <w:kern w:val="22"/>
          <w:lang w:val="en-GB"/>
        </w:rPr>
        <w:t>—</w:t>
      </w:r>
      <w:r w:rsidRPr="00E463F5">
        <w:rPr>
          <w:spacing w:val="-2"/>
          <w:kern w:val="22"/>
          <w:lang w:val="en-GB"/>
        </w:rPr>
        <w:t>they were often less durable and produced a much lower quality of light. Illumination worked with a dual mission of providing both affordable and environmentally sustainable lights, and refused to compromise on quality.</w:t>
      </w:r>
      <w:r w:rsidR="00CF16FC" w:rsidRPr="00E463F5">
        <w:rPr>
          <w:spacing w:val="-2"/>
          <w:kern w:val="22"/>
          <w:lang w:val="en-GB"/>
        </w:rPr>
        <w:t xml:space="preserve"> </w:t>
      </w:r>
      <w:r w:rsidRPr="00E463F5">
        <w:rPr>
          <w:spacing w:val="-2"/>
          <w:kern w:val="22"/>
          <w:lang w:val="en-GB"/>
        </w:rPr>
        <w:t xml:space="preserve">However, the company found it increasingly difficult to compete on price and started losing tenders. </w:t>
      </w:r>
      <w:r w:rsidR="00981244" w:rsidRPr="00E463F5">
        <w:rPr>
          <w:spacing w:val="-2"/>
          <w:kern w:val="22"/>
          <w:lang w:val="en-GB"/>
        </w:rPr>
        <w:t>As</w:t>
      </w:r>
      <w:r w:rsidRPr="00E463F5">
        <w:rPr>
          <w:spacing w:val="-2"/>
          <w:kern w:val="22"/>
          <w:lang w:val="en-GB"/>
        </w:rPr>
        <w:t xml:space="preserve"> the sole manager of the enterprise, this </w:t>
      </w:r>
      <w:r w:rsidR="00981244" w:rsidRPr="00E463F5">
        <w:rPr>
          <w:spacing w:val="-2"/>
          <w:kern w:val="22"/>
          <w:lang w:val="en-GB"/>
        </w:rPr>
        <w:t xml:space="preserve">new </w:t>
      </w:r>
      <w:r w:rsidRPr="00E463F5">
        <w:rPr>
          <w:spacing w:val="-2"/>
          <w:kern w:val="22"/>
          <w:lang w:val="en-GB"/>
        </w:rPr>
        <w:t xml:space="preserve">challenge led </w:t>
      </w:r>
      <w:r w:rsidR="005541DD" w:rsidRPr="00E463F5">
        <w:rPr>
          <w:spacing w:val="-2"/>
          <w:kern w:val="22"/>
          <w:lang w:val="en-GB"/>
        </w:rPr>
        <w:t>Thatcher</w:t>
      </w:r>
      <w:r w:rsidRPr="00E463F5">
        <w:rPr>
          <w:spacing w:val="-2"/>
          <w:kern w:val="22"/>
          <w:lang w:val="en-GB"/>
        </w:rPr>
        <w:t xml:space="preserve"> to change </w:t>
      </w:r>
      <w:r w:rsidR="00981244" w:rsidRPr="00E463F5">
        <w:rPr>
          <w:spacing w:val="-2"/>
          <w:kern w:val="22"/>
          <w:lang w:val="en-GB"/>
        </w:rPr>
        <w:t xml:space="preserve">focus </w:t>
      </w:r>
      <w:r w:rsidRPr="00E463F5">
        <w:rPr>
          <w:spacing w:val="-2"/>
          <w:kern w:val="22"/>
          <w:lang w:val="en-GB"/>
        </w:rPr>
        <w:t xml:space="preserve">a second time, adopting a new business model. </w:t>
      </w:r>
    </w:p>
    <w:p w14:paraId="5DB411F5" w14:textId="0BE9569E" w:rsidR="002C5D53" w:rsidRPr="008D685A" w:rsidRDefault="002C5D53" w:rsidP="005769A1">
      <w:pPr>
        <w:pStyle w:val="Casehead1"/>
        <w:keepNext/>
        <w:rPr>
          <w:lang w:val="en-GB"/>
        </w:rPr>
      </w:pPr>
      <w:r w:rsidRPr="008D685A">
        <w:rPr>
          <w:lang w:val="en-GB"/>
        </w:rPr>
        <w:lastRenderedPageBreak/>
        <w:t>The Give Power Model</w:t>
      </w:r>
    </w:p>
    <w:p w14:paraId="6021D2E5" w14:textId="77777777" w:rsidR="00BD5583" w:rsidRPr="008D685A" w:rsidRDefault="00BD5583" w:rsidP="005769A1">
      <w:pPr>
        <w:pStyle w:val="BodyTextMain"/>
        <w:keepNext/>
        <w:rPr>
          <w:lang w:val="en-GB"/>
        </w:rPr>
      </w:pPr>
    </w:p>
    <w:p w14:paraId="0CA494CE" w14:textId="5478CF7D" w:rsidR="002C5D53" w:rsidRPr="00E463F5" w:rsidRDefault="002C5D53" w:rsidP="005769A1">
      <w:pPr>
        <w:pStyle w:val="BodyTextMain"/>
        <w:keepNext/>
        <w:rPr>
          <w:lang w:val="en-GB"/>
        </w:rPr>
      </w:pPr>
      <w:r w:rsidRPr="00E463F5">
        <w:rPr>
          <w:lang w:val="en-GB"/>
        </w:rPr>
        <w:t xml:space="preserve">As competition increased and profits declined, </w:t>
      </w:r>
      <w:r w:rsidR="005541DD" w:rsidRPr="00E463F5">
        <w:rPr>
          <w:lang w:val="en-GB"/>
        </w:rPr>
        <w:t>Thatcher</w:t>
      </w:r>
      <w:r w:rsidRPr="00E463F5">
        <w:rPr>
          <w:lang w:val="en-GB"/>
        </w:rPr>
        <w:t xml:space="preserve"> began looking for new ways to generate income</w:t>
      </w:r>
      <w:r w:rsidR="00981244" w:rsidRPr="00E463F5">
        <w:rPr>
          <w:lang w:val="en-GB"/>
        </w:rPr>
        <w:t>,</w:t>
      </w:r>
      <w:r w:rsidRPr="00E463F5">
        <w:rPr>
          <w:lang w:val="en-GB"/>
        </w:rPr>
        <w:t xml:space="preserve"> while getting his solar products to communities that need</w:t>
      </w:r>
      <w:r w:rsidR="002014C8" w:rsidRPr="00E463F5">
        <w:rPr>
          <w:lang w:val="en-GB"/>
        </w:rPr>
        <w:t>ed</w:t>
      </w:r>
      <w:r w:rsidRPr="00E463F5">
        <w:rPr>
          <w:lang w:val="en-GB"/>
        </w:rPr>
        <w:t xml:space="preserve"> them. He noticed that staff, friends</w:t>
      </w:r>
      <w:r w:rsidR="00981244" w:rsidRPr="00E463F5">
        <w:rPr>
          <w:lang w:val="en-GB"/>
        </w:rPr>
        <w:t>,</w:t>
      </w:r>
      <w:r w:rsidRPr="00E463F5">
        <w:rPr>
          <w:lang w:val="en-GB"/>
        </w:rPr>
        <w:t xml:space="preserve"> and family were borrowing lights and chargers to go camping on weekends. He reali</w:t>
      </w:r>
      <w:r w:rsidR="00981244" w:rsidRPr="00E463F5">
        <w:rPr>
          <w:lang w:val="en-GB"/>
        </w:rPr>
        <w:t>z</w:t>
      </w:r>
      <w:r w:rsidRPr="00E463F5">
        <w:rPr>
          <w:lang w:val="en-GB"/>
        </w:rPr>
        <w:t xml:space="preserve">ed </w:t>
      </w:r>
      <w:r w:rsidR="00050039" w:rsidRPr="00E463F5">
        <w:rPr>
          <w:lang w:val="en-GB"/>
        </w:rPr>
        <w:t xml:space="preserve">that </w:t>
      </w:r>
      <w:r w:rsidRPr="00E463F5">
        <w:rPr>
          <w:lang w:val="en-GB"/>
        </w:rPr>
        <w:t>there was a market for the company’s products in Australia.</w:t>
      </w:r>
      <w:r w:rsidR="00CF16FC" w:rsidRPr="00E463F5">
        <w:rPr>
          <w:lang w:val="en-GB"/>
        </w:rPr>
        <w:t xml:space="preserve"> </w:t>
      </w:r>
      <w:r w:rsidRPr="00E463F5">
        <w:rPr>
          <w:lang w:val="en-GB"/>
        </w:rPr>
        <w:t>This led him to establish Give Power.</w:t>
      </w:r>
      <w:r w:rsidR="00CF16FC" w:rsidRPr="00E463F5">
        <w:rPr>
          <w:lang w:val="en-GB"/>
        </w:rPr>
        <w:t xml:space="preserve"> </w:t>
      </w:r>
      <w:r w:rsidRPr="00E463F5">
        <w:rPr>
          <w:lang w:val="en-GB"/>
        </w:rPr>
        <w:t xml:space="preserve">For every solar product purchased in Australia, Give Power would donate a solar light to a household in need in communities in an emerging market. </w:t>
      </w:r>
    </w:p>
    <w:p w14:paraId="20ED4EBF" w14:textId="77777777" w:rsidR="00BD5583" w:rsidRPr="008D685A" w:rsidRDefault="00BD5583" w:rsidP="00BD5583">
      <w:pPr>
        <w:pStyle w:val="BodyTextMain"/>
        <w:rPr>
          <w:lang w:val="en-GB"/>
        </w:rPr>
      </w:pPr>
    </w:p>
    <w:p w14:paraId="4AF2B9CC" w14:textId="0B301C04" w:rsidR="002C5D53" w:rsidRPr="008D685A" w:rsidRDefault="002C5D53" w:rsidP="00BD5583">
      <w:pPr>
        <w:pStyle w:val="BodyTextMain"/>
        <w:rPr>
          <w:lang w:val="en-GB"/>
        </w:rPr>
      </w:pPr>
      <w:r w:rsidRPr="008D685A">
        <w:rPr>
          <w:lang w:val="en-GB"/>
        </w:rPr>
        <w:t xml:space="preserve">Under Give Power, </w:t>
      </w:r>
      <w:r w:rsidR="005541DD" w:rsidRPr="008D685A">
        <w:rPr>
          <w:lang w:val="en-GB"/>
        </w:rPr>
        <w:t>Thatcher</w:t>
      </w:r>
      <w:r w:rsidRPr="008D685A">
        <w:rPr>
          <w:lang w:val="en-GB"/>
        </w:rPr>
        <w:t xml:space="preserve"> also established a corporate gift-giving model. Working with several other foundations, this model had some success, particularly in the Philippines. Over a 12-month period</w:t>
      </w:r>
      <w:r w:rsidR="00981244">
        <w:rPr>
          <w:lang w:val="en-GB"/>
        </w:rPr>
        <w:t>,</w:t>
      </w:r>
      <w:r w:rsidRPr="008D685A">
        <w:rPr>
          <w:lang w:val="en-GB"/>
        </w:rPr>
        <w:t xml:space="preserve"> Illumination partnered with the Morris Family Foundation, Kadasig Aid and Disaster Relief</w:t>
      </w:r>
      <w:r w:rsidR="00981244">
        <w:rPr>
          <w:lang w:val="en-GB"/>
        </w:rPr>
        <w:t>,</w:t>
      </w:r>
      <w:r w:rsidRPr="008D685A">
        <w:rPr>
          <w:lang w:val="en-GB"/>
        </w:rPr>
        <w:t xml:space="preserve"> and Path Foundation to distribute solar lights and chargers to 1</w:t>
      </w:r>
      <w:r w:rsidR="00CF16FC" w:rsidRPr="008D685A">
        <w:rPr>
          <w:lang w:val="en-GB"/>
        </w:rPr>
        <w:t>,</w:t>
      </w:r>
      <w:r w:rsidRPr="008D685A">
        <w:rPr>
          <w:lang w:val="en-GB"/>
        </w:rPr>
        <w:t>200 families living without electricity in countries such as Mozambique, Indonesia</w:t>
      </w:r>
      <w:r w:rsidR="00981244">
        <w:rPr>
          <w:lang w:val="en-GB"/>
        </w:rPr>
        <w:t>,</w:t>
      </w:r>
      <w:r w:rsidRPr="008D685A">
        <w:rPr>
          <w:lang w:val="en-GB"/>
        </w:rPr>
        <w:t xml:space="preserve"> and the Philippines.</w:t>
      </w:r>
    </w:p>
    <w:p w14:paraId="439E6D9E" w14:textId="77777777" w:rsidR="00512A18" w:rsidRPr="008D685A" w:rsidRDefault="00512A18" w:rsidP="00BD5583">
      <w:pPr>
        <w:pStyle w:val="BodyTextMain"/>
        <w:rPr>
          <w:lang w:val="en-GB"/>
        </w:rPr>
      </w:pPr>
    </w:p>
    <w:p w14:paraId="7D12C6AE" w14:textId="737A698D" w:rsidR="002C5D53" w:rsidRPr="008D685A" w:rsidRDefault="00981244" w:rsidP="00BD5583">
      <w:pPr>
        <w:pStyle w:val="BodyTextMain"/>
        <w:rPr>
          <w:spacing w:val="-2"/>
          <w:lang w:val="en-GB"/>
        </w:rPr>
      </w:pPr>
      <w:r>
        <w:rPr>
          <w:spacing w:val="-2"/>
          <w:lang w:val="en-GB"/>
        </w:rPr>
        <w:t>However</w:t>
      </w:r>
      <w:r w:rsidR="002C5D53" w:rsidRPr="008D685A">
        <w:rPr>
          <w:spacing w:val="-2"/>
          <w:lang w:val="en-GB"/>
        </w:rPr>
        <w:t xml:space="preserve">, </w:t>
      </w:r>
      <w:r w:rsidR="00050039">
        <w:rPr>
          <w:spacing w:val="-2"/>
          <w:lang w:val="en-GB"/>
        </w:rPr>
        <w:t xml:space="preserve">by </w:t>
      </w:r>
      <w:r w:rsidR="002C5D53" w:rsidRPr="008D685A">
        <w:rPr>
          <w:spacing w:val="-2"/>
          <w:lang w:val="en-GB"/>
        </w:rPr>
        <w:t xml:space="preserve">one year later, the Give Power program </w:t>
      </w:r>
      <w:r w:rsidR="00512A18" w:rsidRPr="008D685A">
        <w:rPr>
          <w:spacing w:val="-2"/>
          <w:lang w:val="en-GB"/>
        </w:rPr>
        <w:t>wa</w:t>
      </w:r>
      <w:r w:rsidR="002C5D53" w:rsidRPr="008D685A">
        <w:rPr>
          <w:spacing w:val="-2"/>
          <w:lang w:val="en-GB"/>
        </w:rPr>
        <w:t xml:space="preserve">s </w:t>
      </w:r>
      <w:r w:rsidR="00050039">
        <w:rPr>
          <w:spacing w:val="-2"/>
          <w:lang w:val="en-GB"/>
        </w:rPr>
        <w:t xml:space="preserve">still </w:t>
      </w:r>
      <w:r w:rsidR="002C5D53" w:rsidRPr="008D685A">
        <w:rPr>
          <w:spacing w:val="-2"/>
          <w:lang w:val="en-GB"/>
        </w:rPr>
        <w:t xml:space="preserve">not as successful as </w:t>
      </w:r>
      <w:r w:rsidR="005541DD" w:rsidRPr="008D685A">
        <w:rPr>
          <w:spacing w:val="-2"/>
          <w:lang w:val="en-GB"/>
        </w:rPr>
        <w:t>Thatcher</w:t>
      </w:r>
      <w:r w:rsidR="002C5D53" w:rsidRPr="008D685A">
        <w:rPr>
          <w:spacing w:val="-2"/>
          <w:lang w:val="en-GB"/>
        </w:rPr>
        <w:t xml:space="preserve"> </w:t>
      </w:r>
      <w:r>
        <w:rPr>
          <w:spacing w:val="-2"/>
          <w:lang w:val="en-GB"/>
        </w:rPr>
        <w:t xml:space="preserve">had </w:t>
      </w:r>
      <w:r w:rsidR="002C5D53" w:rsidRPr="008D685A">
        <w:rPr>
          <w:spacing w:val="-2"/>
          <w:lang w:val="en-GB"/>
        </w:rPr>
        <w:t>hoped. The cost of maintaining the program was too high. Specifically, the marketing, product development</w:t>
      </w:r>
      <w:r>
        <w:rPr>
          <w:spacing w:val="-2"/>
          <w:lang w:val="en-GB"/>
        </w:rPr>
        <w:t>,</w:t>
      </w:r>
      <w:r w:rsidR="002C5D53" w:rsidRPr="008D685A">
        <w:rPr>
          <w:spacing w:val="-2"/>
          <w:lang w:val="en-GB"/>
        </w:rPr>
        <w:t xml:space="preserve"> and distribution costs of both the buy-one give-one program and the corporate gift-giving model outweighed the income generated. After all, there </w:t>
      </w:r>
      <w:r w:rsidR="00512A18" w:rsidRPr="008D685A">
        <w:rPr>
          <w:spacing w:val="-2"/>
          <w:lang w:val="en-GB"/>
        </w:rPr>
        <w:t xml:space="preserve">was </w:t>
      </w:r>
      <w:r w:rsidR="002C5D53" w:rsidRPr="008D685A">
        <w:rPr>
          <w:spacing w:val="-2"/>
          <w:lang w:val="en-GB"/>
        </w:rPr>
        <w:t xml:space="preserve">considerable logistical effort involved in donating one lantern only occasionally, </w:t>
      </w:r>
      <w:r w:rsidR="00DE2C50">
        <w:rPr>
          <w:spacing w:val="-2"/>
          <w:lang w:val="en-GB"/>
        </w:rPr>
        <w:t>after</w:t>
      </w:r>
      <w:r w:rsidR="002C5D53" w:rsidRPr="008D685A">
        <w:rPr>
          <w:spacing w:val="-2"/>
          <w:lang w:val="en-GB"/>
        </w:rPr>
        <w:t xml:space="preserve"> an Australian customer purchased one of </w:t>
      </w:r>
      <w:r w:rsidR="00DE2C50">
        <w:rPr>
          <w:spacing w:val="-2"/>
          <w:lang w:val="en-GB"/>
        </w:rPr>
        <w:t>the</w:t>
      </w:r>
      <w:r w:rsidR="002C5D53" w:rsidRPr="008D685A">
        <w:rPr>
          <w:spacing w:val="-2"/>
          <w:lang w:val="en-GB"/>
        </w:rPr>
        <w:t xml:space="preserve"> products. Without significant sales through the remaining NGO and aid agency partnerships, the Give Power program </w:t>
      </w:r>
      <w:r w:rsidR="003A5CE1" w:rsidRPr="008D685A">
        <w:rPr>
          <w:spacing w:val="-2"/>
          <w:lang w:val="en-GB"/>
        </w:rPr>
        <w:t>was not</w:t>
      </w:r>
      <w:r w:rsidR="002C5D53" w:rsidRPr="008D685A">
        <w:rPr>
          <w:spacing w:val="-2"/>
          <w:lang w:val="en-GB"/>
        </w:rPr>
        <w:t xml:space="preserve"> able to efficiently provide solar products to families living in energy poverty.</w:t>
      </w:r>
      <w:r w:rsidR="00CF16FC" w:rsidRPr="008D685A">
        <w:rPr>
          <w:spacing w:val="-2"/>
          <w:lang w:val="en-GB"/>
        </w:rPr>
        <w:t xml:space="preserve"> </w:t>
      </w:r>
      <w:r w:rsidR="003A5CE1" w:rsidRPr="008D685A">
        <w:rPr>
          <w:spacing w:val="-2"/>
          <w:lang w:val="en-GB"/>
        </w:rPr>
        <w:t>Yet, similar initiatives by communities and NGOs ha</w:t>
      </w:r>
      <w:r w:rsidR="00050039">
        <w:rPr>
          <w:spacing w:val="-2"/>
          <w:lang w:val="en-GB"/>
        </w:rPr>
        <w:t>d</w:t>
      </w:r>
      <w:r w:rsidR="003A5CE1" w:rsidRPr="008D685A">
        <w:rPr>
          <w:spacing w:val="-2"/>
          <w:lang w:val="en-GB"/>
        </w:rPr>
        <w:t xml:space="preserve"> been successful in Australia (see Exhibit 4). In 2017, Illumination had an annual turnover of $400,000, compared to over $2,000,000 in 2013. Sales of Mandarin solar lights dropped to 80,000, f</w:t>
      </w:r>
      <w:r w:rsidR="001C5993" w:rsidRPr="008D685A">
        <w:rPr>
          <w:spacing w:val="-2"/>
          <w:lang w:val="en-GB"/>
        </w:rPr>
        <w:t>rom 250,000 in 2013. Under the Give Power</w:t>
      </w:r>
      <w:r w:rsidR="003A5CE1" w:rsidRPr="008D685A">
        <w:rPr>
          <w:spacing w:val="-2"/>
          <w:lang w:val="en-GB"/>
        </w:rPr>
        <w:t xml:space="preserve"> campaign, Illumination distributed less than 5</w:t>
      </w:r>
      <w:r w:rsidR="001C5993" w:rsidRPr="008D685A">
        <w:rPr>
          <w:spacing w:val="-2"/>
          <w:lang w:val="en-GB"/>
        </w:rPr>
        <w:t>,</w:t>
      </w:r>
      <w:r w:rsidR="003A5CE1" w:rsidRPr="008D685A">
        <w:rPr>
          <w:spacing w:val="-2"/>
          <w:lang w:val="en-GB"/>
        </w:rPr>
        <w:t xml:space="preserve">000 solar lights, which sat in contrast to the 600,000 lights distributed to refugee camps with the previous business model. </w:t>
      </w:r>
    </w:p>
    <w:p w14:paraId="545CFDBE" w14:textId="77777777" w:rsidR="002C5D53" w:rsidRPr="008D685A" w:rsidRDefault="002C5D53" w:rsidP="00BD5583">
      <w:pPr>
        <w:pStyle w:val="BodyTextMain"/>
        <w:rPr>
          <w:lang w:val="en-GB"/>
        </w:rPr>
      </w:pPr>
    </w:p>
    <w:p w14:paraId="0E7F37AB" w14:textId="77777777" w:rsidR="00BD5583" w:rsidRPr="008D685A" w:rsidRDefault="00BD5583" w:rsidP="00BD5583">
      <w:pPr>
        <w:pStyle w:val="BodyTextMain"/>
        <w:rPr>
          <w:lang w:val="en-GB"/>
        </w:rPr>
      </w:pPr>
    </w:p>
    <w:p w14:paraId="41876633" w14:textId="74353084" w:rsidR="002C5D53" w:rsidRPr="008D685A" w:rsidRDefault="002C5D53" w:rsidP="00BD5583">
      <w:pPr>
        <w:pStyle w:val="Casehead1"/>
        <w:rPr>
          <w:lang w:val="en-GB"/>
        </w:rPr>
      </w:pPr>
      <w:r w:rsidRPr="008D685A">
        <w:rPr>
          <w:lang w:val="en-GB"/>
        </w:rPr>
        <w:t>What next?</w:t>
      </w:r>
    </w:p>
    <w:p w14:paraId="02688C85" w14:textId="77777777" w:rsidR="00BD5583" w:rsidRPr="008D685A" w:rsidRDefault="00BD5583" w:rsidP="00BD5583">
      <w:pPr>
        <w:pStyle w:val="BodyTextMain"/>
        <w:rPr>
          <w:lang w:val="en-GB"/>
        </w:rPr>
      </w:pPr>
    </w:p>
    <w:p w14:paraId="7FE3838F" w14:textId="3A302DA0" w:rsidR="002C5D53" w:rsidRPr="00E463F5" w:rsidRDefault="002C5D53" w:rsidP="00BD5583">
      <w:pPr>
        <w:pStyle w:val="BodyTextMain"/>
        <w:rPr>
          <w:spacing w:val="-2"/>
          <w:kern w:val="22"/>
          <w:lang w:val="en-GB"/>
        </w:rPr>
      </w:pPr>
      <w:r w:rsidRPr="00E463F5">
        <w:rPr>
          <w:spacing w:val="-2"/>
          <w:kern w:val="22"/>
          <w:lang w:val="en-GB"/>
        </w:rPr>
        <w:t>The International Energy Agency’s 2017 World Energy Access Outlook suggest</w:t>
      </w:r>
      <w:r w:rsidR="002014C8" w:rsidRPr="00E463F5">
        <w:rPr>
          <w:spacing w:val="-2"/>
          <w:kern w:val="22"/>
          <w:lang w:val="en-GB"/>
        </w:rPr>
        <w:t>ed</w:t>
      </w:r>
      <w:r w:rsidRPr="00E463F5">
        <w:rPr>
          <w:spacing w:val="-2"/>
          <w:kern w:val="22"/>
          <w:lang w:val="en-GB"/>
        </w:rPr>
        <w:t xml:space="preserve"> that there has been considerable improvement in the number of people with access to power. It credit</w:t>
      </w:r>
      <w:r w:rsidR="002014C8" w:rsidRPr="00E463F5">
        <w:rPr>
          <w:spacing w:val="-2"/>
          <w:kern w:val="22"/>
          <w:lang w:val="en-GB"/>
        </w:rPr>
        <w:t>ed</w:t>
      </w:r>
      <w:r w:rsidRPr="00E463F5">
        <w:rPr>
          <w:spacing w:val="-2"/>
          <w:kern w:val="22"/>
          <w:lang w:val="en-GB"/>
        </w:rPr>
        <w:t xml:space="preserve"> the decreasing cost of decentrali</w:t>
      </w:r>
      <w:r w:rsidR="003C4B67" w:rsidRPr="00E463F5">
        <w:rPr>
          <w:spacing w:val="-2"/>
          <w:kern w:val="22"/>
          <w:lang w:val="en-GB"/>
        </w:rPr>
        <w:t>z</w:t>
      </w:r>
      <w:r w:rsidRPr="00E463F5">
        <w:rPr>
          <w:spacing w:val="-2"/>
          <w:kern w:val="22"/>
          <w:lang w:val="en-GB"/>
        </w:rPr>
        <w:t>ed solutions and “the emergence of new entrepreneurs”</w:t>
      </w:r>
      <w:r w:rsidRPr="00E463F5">
        <w:rPr>
          <w:spacing w:val="-2"/>
          <w:kern w:val="22"/>
          <w:vertAlign w:val="superscript"/>
          <w:lang w:val="en-GB"/>
        </w:rPr>
        <w:footnoteReference w:id="19"/>
      </w:r>
      <w:r w:rsidRPr="00E463F5">
        <w:rPr>
          <w:spacing w:val="-2"/>
          <w:kern w:val="22"/>
          <w:lang w:val="en-GB"/>
        </w:rPr>
        <w:t xml:space="preserve"> as an important contributing factor.</w:t>
      </w:r>
    </w:p>
    <w:p w14:paraId="563AFC76" w14:textId="77777777" w:rsidR="00BD5583" w:rsidRPr="008D685A" w:rsidRDefault="00BD5583" w:rsidP="00BD5583">
      <w:pPr>
        <w:pStyle w:val="BodyTextMain"/>
        <w:rPr>
          <w:lang w:val="en-GB"/>
        </w:rPr>
      </w:pPr>
    </w:p>
    <w:p w14:paraId="7ED791CF" w14:textId="709AE7E4" w:rsidR="000C3FE4" w:rsidRPr="008D685A" w:rsidRDefault="005541DD" w:rsidP="00BD5583">
      <w:pPr>
        <w:pStyle w:val="BodyTextMain"/>
        <w:rPr>
          <w:lang w:val="en-GB"/>
        </w:rPr>
      </w:pPr>
      <w:r w:rsidRPr="008D685A">
        <w:rPr>
          <w:lang w:val="en-GB"/>
        </w:rPr>
        <w:t>Thatcher</w:t>
      </w:r>
      <w:r w:rsidR="002C5D53" w:rsidRPr="008D685A">
        <w:rPr>
          <w:lang w:val="en-GB"/>
        </w:rPr>
        <w:t xml:space="preserve"> </w:t>
      </w:r>
      <w:r w:rsidR="003C4B67">
        <w:rPr>
          <w:lang w:val="en-GB"/>
        </w:rPr>
        <w:t xml:space="preserve">wondered if he should </w:t>
      </w:r>
      <w:r w:rsidR="002C5D53" w:rsidRPr="008D685A">
        <w:rPr>
          <w:lang w:val="en-GB"/>
        </w:rPr>
        <w:t>reinvest in Illumination’s original aid and development model, making solar lanterns available to the world</w:t>
      </w:r>
      <w:r w:rsidR="003C4B67">
        <w:rPr>
          <w:lang w:val="en-GB"/>
        </w:rPr>
        <w:t>’</w:t>
      </w:r>
      <w:r w:rsidR="002C5D53" w:rsidRPr="008D685A">
        <w:rPr>
          <w:lang w:val="en-GB"/>
        </w:rPr>
        <w:t>s most energy poor through partnerships with NGOs and aid agencies</w:t>
      </w:r>
      <w:r w:rsidR="003C4B67">
        <w:rPr>
          <w:lang w:val="en-GB"/>
        </w:rPr>
        <w:t>.</w:t>
      </w:r>
      <w:r w:rsidR="002C5D53" w:rsidRPr="008D685A">
        <w:rPr>
          <w:lang w:val="en-GB"/>
        </w:rPr>
        <w:t xml:space="preserve"> Alternatively, </w:t>
      </w:r>
      <w:r w:rsidR="003C4B67">
        <w:rPr>
          <w:lang w:val="en-GB"/>
        </w:rPr>
        <w:t>he wondered how he could</w:t>
      </w:r>
      <w:r w:rsidR="002C5D53" w:rsidRPr="008D685A">
        <w:rPr>
          <w:lang w:val="en-GB"/>
        </w:rPr>
        <w:t xml:space="preserve"> improve his success with the Give Power strategy</w:t>
      </w:r>
      <w:r w:rsidR="004D2648">
        <w:rPr>
          <w:lang w:val="en-GB"/>
        </w:rPr>
        <w:t>.</w:t>
      </w:r>
      <w:r w:rsidR="002C5D53" w:rsidRPr="008D685A">
        <w:rPr>
          <w:lang w:val="en-GB"/>
        </w:rPr>
        <w:t xml:space="preserve"> </w:t>
      </w:r>
      <w:r w:rsidR="003C4B67">
        <w:rPr>
          <w:lang w:val="en-GB"/>
        </w:rPr>
        <w:t>Or were there</w:t>
      </w:r>
      <w:r w:rsidR="002C5D53" w:rsidRPr="008D685A">
        <w:rPr>
          <w:lang w:val="en-GB"/>
        </w:rPr>
        <w:t xml:space="preserve"> other models </w:t>
      </w:r>
      <w:r w:rsidR="003C4B67">
        <w:rPr>
          <w:lang w:val="en-GB"/>
        </w:rPr>
        <w:t>that</w:t>
      </w:r>
      <w:r w:rsidR="002C5D53" w:rsidRPr="008D685A">
        <w:rPr>
          <w:lang w:val="en-GB"/>
        </w:rPr>
        <w:t xml:space="preserve"> </w:t>
      </w:r>
      <w:r w:rsidRPr="008D685A">
        <w:rPr>
          <w:lang w:val="en-GB"/>
        </w:rPr>
        <w:t>Thatcher</w:t>
      </w:r>
      <w:r w:rsidR="002C5D53" w:rsidRPr="008D685A">
        <w:rPr>
          <w:lang w:val="en-GB"/>
        </w:rPr>
        <w:t xml:space="preserve"> </w:t>
      </w:r>
      <w:r w:rsidR="003C4B67">
        <w:rPr>
          <w:lang w:val="en-GB"/>
        </w:rPr>
        <w:t>should consider</w:t>
      </w:r>
      <w:r w:rsidR="002C5D53" w:rsidRPr="008D685A">
        <w:rPr>
          <w:lang w:val="en-GB"/>
        </w:rPr>
        <w:t>?</w:t>
      </w:r>
    </w:p>
    <w:p w14:paraId="6ABAF504" w14:textId="1AAD6E53" w:rsidR="00F6073D" w:rsidRPr="008D685A" w:rsidRDefault="00F6073D" w:rsidP="00BD5583">
      <w:pPr>
        <w:pStyle w:val="BodyTextMain"/>
        <w:rPr>
          <w:lang w:val="en-GB"/>
        </w:rPr>
      </w:pPr>
    </w:p>
    <w:p w14:paraId="21569590" w14:textId="0A6E349B" w:rsidR="00F6073D" w:rsidRPr="008D685A" w:rsidRDefault="00E463F5" w:rsidP="00BD5583">
      <w:pPr>
        <w:pStyle w:val="BodyTextMain"/>
        <w:rPr>
          <w:lang w:val="en-GB"/>
        </w:rPr>
      </w:pPr>
      <w:r w:rsidRPr="008D685A">
        <w:rPr>
          <w:noProof/>
        </w:rPr>
        <mc:AlternateContent>
          <mc:Choice Requires="wps">
            <w:drawing>
              <wp:anchor distT="45720" distB="45720" distL="114300" distR="114300" simplePos="0" relativeHeight="251658240" behindDoc="0" locked="0" layoutInCell="1" allowOverlap="1" wp14:anchorId="0A1071A9" wp14:editId="5E98C443">
                <wp:simplePos x="0" y="0"/>
                <wp:positionH relativeFrom="column">
                  <wp:posOffset>1470025</wp:posOffset>
                </wp:positionH>
                <wp:positionV relativeFrom="paragraph">
                  <wp:posOffset>80544</wp:posOffset>
                </wp:positionV>
                <wp:extent cx="3283585" cy="1404620"/>
                <wp:effectExtent l="0" t="0" r="1206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585" cy="1404620"/>
                        </a:xfrm>
                        <a:prstGeom prst="rect">
                          <a:avLst/>
                        </a:prstGeom>
                        <a:solidFill>
                          <a:srgbClr val="FFFFFF"/>
                        </a:solidFill>
                        <a:ln w="9525">
                          <a:solidFill>
                            <a:srgbClr val="000000"/>
                          </a:solidFill>
                          <a:miter lim="800000"/>
                          <a:headEnd/>
                          <a:tailEnd/>
                        </a:ln>
                      </wps:spPr>
                      <wps:txbx>
                        <w:txbxContent>
                          <w:p w14:paraId="5533B493" w14:textId="13BE0793" w:rsidR="00E74733" w:rsidRDefault="00E74733" w:rsidP="00E463F5">
                            <w:pPr>
                              <w:pStyle w:val="Footnote"/>
                              <w:jc w:val="center"/>
                            </w:pPr>
                            <w:r>
                              <w:rPr>
                                <w:rFonts w:eastAsia="Calibri"/>
                                <w:lang w:val="en-AU"/>
                              </w:rPr>
                              <w:t xml:space="preserve">Thanks go to </w:t>
                            </w:r>
                            <w:r w:rsidRPr="00F6073D">
                              <w:rPr>
                                <w:rFonts w:eastAsia="Calibri"/>
                                <w:lang w:val="en-AU"/>
                              </w:rPr>
                              <w:t>Anna Krzeminska</w:t>
                            </w:r>
                            <w:r>
                              <w:rPr>
                                <w:rFonts w:eastAsia="Calibri"/>
                                <w:lang w:val="en-AU"/>
                              </w:rPr>
                              <w:t xml:space="preserve"> for her contribution to the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1071A9" id="_x0000_t202" coordsize="21600,21600" o:spt="202" path="m,l,21600r21600,l21600,xe">
                <v:stroke joinstyle="miter"/>
                <v:path gradientshapeok="t" o:connecttype="rect"/>
              </v:shapetype>
              <v:shape id="Text Box 2" o:spid="_x0000_s1026" type="#_x0000_t202" style="position:absolute;left:0;text-align:left;margin-left:115.75pt;margin-top:6.35pt;width:258.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">
                <v:textbox style="mso-fit-shape-to-text:t">
                  <w:txbxContent>
                    <w:p w14:paraId="5533B493" w14:textId="13BE0793" w:rsidR="00E74733" w:rsidRDefault="00E74733" w:rsidP="00E463F5">
                      <w:pPr>
                        <w:pStyle w:val="Footnote"/>
                        <w:jc w:val="center"/>
                      </w:pPr>
                      <w:r>
                        <w:rPr>
                          <w:rFonts w:eastAsia="Calibri"/>
                          <w:lang w:val="en-AU"/>
                        </w:rPr>
                        <w:t xml:space="preserve">Thanks go to </w:t>
                      </w:r>
                      <w:r w:rsidRPr="00F6073D">
                        <w:rPr>
                          <w:rFonts w:eastAsia="Calibri"/>
                          <w:lang w:val="en-AU"/>
                        </w:rPr>
                        <w:t>Anna Krzeminska</w:t>
                      </w:r>
                      <w:r>
                        <w:rPr>
                          <w:rFonts w:eastAsia="Calibri"/>
                          <w:lang w:val="en-AU"/>
                        </w:rPr>
                        <w:t xml:space="preserve"> for her contribution to the case.</w:t>
                      </w:r>
                    </w:p>
                  </w:txbxContent>
                </v:textbox>
                <w10:wrap type="square"/>
              </v:shape>
            </w:pict>
          </mc:Fallback>
        </mc:AlternateContent>
      </w:r>
    </w:p>
    <w:p w14:paraId="439CE07A" w14:textId="362CF3AF" w:rsidR="00E96F44" w:rsidRPr="008D685A" w:rsidRDefault="00E96F44">
      <w:pPr>
        <w:spacing w:after="200" w:line="276" w:lineRule="auto"/>
        <w:rPr>
          <w:sz w:val="24"/>
          <w:szCs w:val="22"/>
          <w:lang w:val="en-GB"/>
        </w:rPr>
      </w:pPr>
      <w:r w:rsidRPr="008D685A">
        <w:rPr>
          <w:sz w:val="24"/>
          <w:lang w:val="en-GB"/>
        </w:rPr>
        <w:br w:type="page"/>
      </w:r>
    </w:p>
    <w:p w14:paraId="745C7246" w14:textId="77777777" w:rsidR="00E96F44" w:rsidRPr="008D685A" w:rsidRDefault="00E96F44" w:rsidP="00BD5583">
      <w:pPr>
        <w:pStyle w:val="ExhibitHeading"/>
        <w:rPr>
          <w:lang w:val="en-GB"/>
        </w:rPr>
      </w:pPr>
      <w:r w:rsidRPr="008D685A">
        <w:rPr>
          <w:lang w:val="en-GB"/>
        </w:rPr>
        <w:lastRenderedPageBreak/>
        <w:t>Exhibit 1: Electricity access by developing region and year</w:t>
      </w:r>
    </w:p>
    <w:p w14:paraId="1998CBFC" w14:textId="77777777" w:rsidR="00E96F44" w:rsidRPr="008D685A" w:rsidRDefault="00E96F44" w:rsidP="004F0A38">
      <w:pPr>
        <w:pStyle w:val="ExhibitText"/>
        <w:rPr>
          <w:lang w:val="en-GB"/>
        </w:rPr>
      </w:pPr>
    </w:p>
    <w:tbl>
      <w:tblPr>
        <w:tblStyle w:val="TableGrid"/>
        <w:tblW w:w="9265" w:type="dxa"/>
        <w:jc w:val="center"/>
        <w:tblLook w:val="04A0" w:firstRow="1" w:lastRow="0" w:firstColumn="1" w:lastColumn="0" w:noHBand="0" w:noVBand="1"/>
      </w:tblPr>
      <w:tblGrid>
        <w:gridCol w:w="2293"/>
        <w:gridCol w:w="697"/>
        <w:gridCol w:w="743"/>
        <w:gridCol w:w="720"/>
        <w:gridCol w:w="720"/>
        <w:gridCol w:w="900"/>
        <w:gridCol w:w="810"/>
        <w:gridCol w:w="2382"/>
      </w:tblGrid>
      <w:tr w:rsidR="004F0A38" w:rsidRPr="008D685A" w14:paraId="795DC933" w14:textId="77777777" w:rsidTr="00E463F5">
        <w:trPr>
          <w:jc w:val="center"/>
        </w:trPr>
        <w:tc>
          <w:tcPr>
            <w:tcW w:w="2293" w:type="dxa"/>
            <w:vMerge w:val="restart"/>
            <w:shd w:val="clear" w:color="auto" w:fill="auto"/>
            <w:vAlign w:val="center"/>
          </w:tcPr>
          <w:p w14:paraId="15D65366" w14:textId="77777777" w:rsidR="00E96F44" w:rsidRPr="008D685A" w:rsidRDefault="004F0A38" w:rsidP="004F0A38">
            <w:pPr>
              <w:pStyle w:val="ExhibitText"/>
              <w:jc w:val="left"/>
              <w:rPr>
                <w:b/>
                <w:lang w:val="en-GB"/>
              </w:rPr>
            </w:pPr>
            <w:r w:rsidRPr="008D685A">
              <w:rPr>
                <w:b/>
                <w:lang w:val="en-GB"/>
              </w:rPr>
              <w:t>Region</w:t>
            </w:r>
          </w:p>
        </w:tc>
        <w:tc>
          <w:tcPr>
            <w:tcW w:w="4590" w:type="dxa"/>
            <w:gridSpan w:val="6"/>
            <w:shd w:val="clear" w:color="auto" w:fill="auto"/>
            <w:vAlign w:val="center"/>
          </w:tcPr>
          <w:p w14:paraId="5A4A2328" w14:textId="77777777" w:rsidR="00E96F44" w:rsidRPr="008D685A" w:rsidRDefault="00E96F44" w:rsidP="004F0A38">
            <w:pPr>
              <w:pStyle w:val="ExhibitText"/>
              <w:jc w:val="center"/>
              <w:rPr>
                <w:b/>
                <w:lang w:val="en-GB"/>
              </w:rPr>
            </w:pPr>
            <w:r w:rsidRPr="008D685A">
              <w:rPr>
                <w:b/>
                <w:lang w:val="en-GB"/>
              </w:rPr>
              <w:t>Rate of Access (%)</w:t>
            </w:r>
          </w:p>
        </w:tc>
        <w:tc>
          <w:tcPr>
            <w:tcW w:w="2382" w:type="dxa"/>
            <w:vMerge w:val="restart"/>
            <w:shd w:val="clear" w:color="auto" w:fill="auto"/>
            <w:vAlign w:val="center"/>
          </w:tcPr>
          <w:p w14:paraId="69338AB9" w14:textId="5C97B78E" w:rsidR="00E96F44" w:rsidRPr="008D685A" w:rsidRDefault="00E96F44" w:rsidP="004F0A38">
            <w:pPr>
              <w:pStyle w:val="ExhibitText"/>
              <w:jc w:val="center"/>
              <w:rPr>
                <w:b/>
                <w:lang w:val="en-GB"/>
              </w:rPr>
            </w:pPr>
            <w:r w:rsidRPr="008D685A">
              <w:rPr>
                <w:b/>
                <w:lang w:val="en-GB"/>
              </w:rPr>
              <w:t>Population without Access (</w:t>
            </w:r>
            <w:r w:rsidR="00050039">
              <w:rPr>
                <w:b/>
                <w:lang w:val="en-GB"/>
              </w:rPr>
              <w:t>in M</w:t>
            </w:r>
            <w:r w:rsidRPr="008D685A">
              <w:rPr>
                <w:b/>
                <w:lang w:val="en-GB"/>
              </w:rPr>
              <w:t>illions)</w:t>
            </w:r>
          </w:p>
        </w:tc>
      </w:tr>
      <w:tr w:rsidR="00E96F44" w:rsidRPr="008D685A" w14:paraId="004B0B1F" w14:textId="77777777" w:rsidTr="00E463F5">
        <w:trPr>
          <w:jc w:val="center"/>
        </w:trPr>
        <w:tc>
          <w:tcPr>
            <w:tcW w:w="2293" w:type="dxa"/>
            <w:vMerge/>
            <w:shd w:val="clear" w:color="auto" w:fill="auto"/>
          </w:tcPr>
          <w:p w14:paraId="1DFC9C3F" w14:textId="77777777" w:rsidR="00E96F44" w:rsidRPr="008D685A" w:rsidRDefault="00E96F44" w:rsidP="004F0A38">
            <w:pPr>
              <w:pStyle w:val="ExhibitText"/>
              <w:rPr>
                <w:lang w:val="en-GB"/>
              </w:rPr>
            </w:pPr>
          </w:p>
        </w:tc>
        <w:tc>
          <w:tcPr>
            <w:tcW w:w="2880" w:type="dxa"/>
            <w:gridSpan w:val="4"/>
            <w:shd w:val="clear" w:color="auto" w:fill="auto"/>
            <w:vAlign w:val="center"/>
          </w:tcPr>
          <w:p w14:paraId="7F02D3F5" w14:textId="77777777" w:rsidR="00E96F44" w:rsidRPr="008D685A" w:rsidRDefault="00E96F44" w:rsidP="004F0A38">
            <w:pPr>
              <w:pStyle w:val="ExhibitText"/>
              <w:jc w:val="center"/>
              <w:rPr>
                <w:b/>
                <w:lang w:val="en-GB"/>
              </w:rPr>
            </w:pPr>
            <w:r w:rsidRPr="008D685A">
              <w:rPr>
                <w:b/>
                <w:lang w:val="en-GB"/>
              </w:rPr>
              <w:t>National</w:t>
            </w:r>
          </w:p>
        </w:tc>
        <w:tc>
          <w:tcPr>
            <w:tcW w:w="900" w:type="dxa"/>
            <w:shd w:val="clear" w:color="auto" w:fill="auto"/>
            <w:vAlign w:val="center"/>
          </w:tcPr>
          <w:p w14:paraId="2A8A4B40" w14:textId="77777777" w:rsidR="00E96F44" w:rsidRPr="008D685A" w:rsidRDefault="00E96F44" w:rsidP="004F0A38">
            <w:pPr>
              <w:pStyle w:val="ExhibitText"/>
              <w:jc w:val="center"/>
              <w:rPr>
                <w:b/>
                <w:lang w:val="en-GB"/>
              </w:rPr>
            </w:pPr>
            <w:r w:rsidRPr="008D685A">
              <w:rPr>
                <w:b/>
                <w:lang w:val="en-GB"/>
              </w:rPr>
              <w:t>Urban</w:t>
            </w:r>
          </w:p>
        </w:tc>
        <w:tc>
          <w:tcPr>
            <w:tcW w:w="810" w:type="dxa"/>
            <w:shd w:val="clear" w:color="auto" w:fill="auto"/>
            <w:vAlign w:val="center"/>
          </w:tcPr>
          <w:p w14:paraId="1675A9CC" w14:textId="77777777" w:rsidR="00E96F44" w:rsidRPr="008D685A" w:rsidRDefault="00E96F44" w:rsidP="004F0A38">
            <w:pPr>
              <w:pStyle w:val="ExhibitText"/>
              <w:jc w:val="center"/>
              <w:rPr>
                <w:b/>
                <w:lang w:val="en-GB"/>
              </w:rPr>
            </w:pPr>
            <w:r w:rsidRPr="008D685A">
              <w:rPr>
                <w:b/>
                <w:lang w:val="en-GB"/>
              </w:rPr>
              <w:t>Rural</w:t>
            </w:r>
          </w:p>
        </w:tc>
        <w:tc>
          <w:tcPr>
            <w:tcW w:w="2382" w:type="dxa"/>
            <w:vMerge/>
            <w:shd w:val="clear" w:color="auto" w:fill="auto"/>
            <w:vAlign w:val="center"/>
          </w:tcPr>
          <w:p w14:paraId="3AFFBEE4" w14:textId="77777777" w:rsidR="00E96F44" w:rsidRPr="008D685A" w:rsidRDefault="00E96F44" w:rsidP="004F0A38">
            <w:pPr>
              <w:pStyle w:val="ExhibitText"/>
              <w:jc w:val="center"/>
              <w:rPr>
                <w:lang w:val="en-GB"/>
              </w:rPr>
            </w:pPr>
          </w:p>
        </w:tc>
      </w:tr>
      <w:tr w:rsidR="004F0A38" w:rsidRPr="008D685A" w14:paraId="1067FAC2" w14:textId="77777777" w:rsidTr="00E463F5">
        <w:trPr>
          <w:jc w:val="center"/>
        </w:trPr>
        <w:tc>
          <w:tcPr>
            <w:tcW w:w="2293" w:type="dxa"/>
            <w:vMerge/>
            <w:shd w:val="clear" w:color="auto" w:fill="auto"/>
          </w:tcPr>
          <w:p w14:paraId="59F65304" w14:textId="77777777" w:rsidR="00E96F44" w:rsidRPr="008D685A" w:rsidRDefault="00E96F44" w:rsidP="004F0A38">
            <w:pPr>
              <w:pStyle w:val="ExhibitText"/>
              <w:rPr>
                <w:b/>
                <w:lang w:val="en-GB"/>
              </w:rPr>
            </w:pPr>
          </w:p>
        </w:tc>
        <w:tc>
          <w:tcPr>
            <w:tcW w:w="697" w:type="dxa"/>
            <w:shd w:val="clear" w:color="auto" w:fill="auto"/>
            <w:vAlign w:val="center"/>
          </w:tcPr>
          <w:p w14:paraId="59DBA77B" w14:textId="77777777" w:rsidR="00E96F44" w:rsidRPr="008D685A" w:rsidRDefault="00E96F44" w:rsidP="004F0A38">
            <w:pPr>
              <w:pStyle w:val="ExhibitText"/>
              <w:jc w:val="center"/>
              <w:rPr>
                <w:b/>
                <w:lang w:val="en-GB"/>
              </w:rPr>
            </w:pPr>
            <w:r w:rsidRPr="008D685A">
              <w:rPr>
                <w:b/>
                <w:lang w:val="en-GB"/>
              </w:rPr>
              <w:t>2000</w:t>
            </w:r>
          </w:p>
        </w:tc>
        <w:tc>
          <w:tcPr>
            <w:tcW w:w="743" w:type="dxa"/>
            <w:shd w:val="clear" w:color="auto" w:fill="auto"/>
            <w:vAlign w:val="center"/>
          </w:tcPr>
          <w:p w14:paraId="5AB4F88B" w14:textId="77777777" w:rsidR="00E96F44" w:rsidRPr="008D685A" w:rsidRDefault="00E96F44" w:rsidP="004F0A38">
            <w:pPr>
              <w:pStyle w:val="ExhibitText"/>
              <w:jc w:val="center"/>
              <w:rPr>
                <w:b/>
                <w:lang w:val="en-GB"/>
              </w:rPr>
            </w:pPr>
            <w:r w:rsidRPr="008D685A">
              <w:rPr>
                <w:b/>
                <w:lang w:val="en-GB"/>
              </w:rPr>
              <w:t>2005</w:t>
            </w:r>
          </w:p>
        </w:tc>
        <w:tc>
          <w:tcPr>
            <w:tcW w:w="720" w:type="dxa"/>
            <w:shd w:val="clear" w:color="auto" w:fill="auto"/>
            <w:vAlign w:val="center"/>
          </w:tcPr>
          <w:p w14:paraId="6BAFC4AF" w14:textId="77777777" w:rsidR="00E96F44" w:rsidRPr="008D685A" w:rsidRDefault="00E96F44" w:rsidP="004F0A38">
            <w:pPr>
              <w:pStyle w:val="ExhibitText"/>
              <w:jc w:val="center"/>
              <w:rPr>
                <w:b/>
                <w:lang w:val="en-GB"/>
              </w:rPr>
            </w:pPr>
            <w:r w:rsidRPr="008D685A">
              <w:rPr>
                <w:b/>
                <w:lang w:val="en-GB"/>
              </w:rPr>
              <w:t>2010</w:t>
            </w:r>
          </w:p>
        </w:tc>
        <w:tc>
          <w:tcPr>
            <w:tcW w:w="720" w:type="dxa"/>
            <w:shd w:val="clear" w:color="auto" w:fill="auto"/>
            <w:vAlign w:val="center"/>
          </w:tcPr>
          <w:p w14:paraId="511965C2" w14:textId="77777777" w:rsidR="00E96F44" w:rsidRPr="008D685A" w:rsidRDefault="00E96F44" w:rsidP="004F0A38">
            <w:pPr>
              <w:pStyle w:val="ExhibitText"/>
              <w:jc w:val="center"/>
              <w:rPr>
                <w:b/>
                <w:lang w:val="en-GB"/>
              </w:rPr>
            </w:pPr>
            <w:r w:rsidRPr="008D685A">
              <w:rPr>
                <w:b/>
                <w:lang w:val="en-GB"/>
              </w:rPr>
              <w:t>2016</w:t>
            </w:r>
          </w:p>
        </w:tc>
        <w:tc>
          <w:tcPr>
            <w:tcW w:w="900" w:type="dxa"/>
            <w:shd w:val="clear" w:color="auto" w:fill="auto"/>
            <w:vAlign w:val="center"/>
          </w:tcPr>
          <w:p w14:paraId="5661AACD" w14:textId="77777777" w:rsidR="00E96F44" w:rsidRPr="008D685A" w:rsidRDefault="00E96F44" w:rsidP="004F0A38">
            <w:pPr>
              <w:pStyle w:val="ExhibitText"/>
              <w:jc w:val="center"/>
              <w:rPr>
                <w:b/>
                <w:lang w:val="en-GB"/>
              </w:rPr>
            </w:pPr>
            <w:r w:rsidRPr="008D685A">
              <w:rPr>
                <w:b/>
                <w:lang w:val="en-GB"/>
              </w:rPr>
              <w:t>2016</w:t>
            </w:r>
          </w:p>
        </w:tc>
        <w:tc>
          <w:tcPr>
            <w:tcW w:w="810" w:type="dxa"/>
            <w:shd w:val="clear" w:color="auto" w:fill="auto"/>
            <w:vAlign w:val="center"/>
          </w:tcPr>
          <w:p w14:paraId="7BE266D1" w14:textId="77777777" w:rsidR="00E96F44" w:rsidRPr="008D685A" w:rsidRDefault="00E96F44" w:rsidP="004F0A38">
            <w:pPr>
              <w:pStyle w:val="ExhibitText"/>
              <w:jc w:val="center"/>
              <w:rPr>
                <w:b/>
                <w:lang w:val="en-GB"/>
              </w:rPr>
            </w:pPr>
            <w:r w:rsidRPr="008D685A">
              <w:rPr>
                <w:b/>
                <w:lang w:val="en-GB"/>
              </w:rPr>
              <w:t>2016</w:t>
            </w:r>
          </w:p>
        </w:tc>
        <w:tc>
          <w:tcPr>
            <w:tcW w:w="2382" w:type="dxa"/>
            <w:shd w:val="clear" w:color="auto" w:fill="auto"/>
            <w:vAlign w:val="center"/>
          </w:tcPr>
          <w:p w14:paraId="378F52CB" w14:textId="77777777" w:rsidR="00E96F44" w:rsidRPr="008D685A" w:rsidRDefault="00E96F44" w:rsidP="004F0A38">
            <w:pPr>
              <w:pStyle w:val="ExhibitText"/>
              <w:jc w:val="center"/>
              <w:rPr>
                <w:b/>
                <w:lang w:val="en-GB"/>
              </w:rPr>
            </w:pPr>
            <w:r w:rsidRPr="008D685A">
              <w:rPr>
                <w:b/>
                <w:lang w:val="en-GB"/>
              </w:rPr>
              <w:t>2016</w:t>
            </w:r>
          </w:p>
        </w:tc>
      </w:tr>
      <w:tr w:rsidR="004F0A38" w:rsidRPr="008D685A" w14:paraId="4ABD2635" w14:textId="77777777" w:rsidTr="00E463F5">
        <w:trPr>
          <w:jc w:val="center"/>
        </w:trPr>
        <w:tc>
          <w:tcPr>
            <w:tcW w:w="2293" w:type="dxa"/>
            <w:shd w:val="clear" w:color="auto" w:fill="auto"/>
            <w:vAlign w:val="center"/>
          </w:tcPr>
          <w:p w14:paraId="000BA31F" w14:textId="77777777" w:rsidR="00E96F44" w:rsidRPr="008D685A" w:rsidRDefault="00E96F44" w:rsidP="004F0A38">
            <w:pPr>
              <w:pStyle w:val="ExhibitText"/>
              <w:jc w:val="left"/>
              <w:rPr>
                <w:b/>
                <w:lang w:val="en-GB"/>
              </w:rPr>
            </w:pPr>
            <w:r w:rsidRPr="008D685A">
              <w:rPr>
                <w:b/>
                <w:lang w:val="en-GB"/>
              </w:rPr>
              <w:t>WORLD</w:t>
            </w:r>
          </w:p>
        </w:tc>
        <w:tc>
          <w:tcPr>
            <w:tcW w:w="697" w:type="dxa"/>
            <w:shd w:val="clear" w:color="auto" w:fill="auto"/>
            <w:vAlign w:val="center"/>
          </w:tcPr>
          <w:p w14:paraId="597D8A0B" w14:textId="77777777" w:rsidR="00E96F44" w:rsidRPr="008D685A" w:rsidRDefault="00E96F44" w:rsidP="004F0A38">
            <w:pPr>
              <w:pStyle w:val="ExhibitText"/>
              <w:jc w:val="right"/>
              <w:rPr>
                <w:b/>
                <w:lang w:val="en-GB"/>
              </w:rPr>
            </w:pPr>
            <w:r w:rsidRPr="008D685A">
              <w:rPr>
                <w:b/>
                <w:lang w:val="en-GB"/>
              </w:rPr>
              <w:t>73</w:t>
            </w:r>
          </w:p>
        </w:tc>
        <w:tc>
          <w:tcPr>
            <w:tcW w:w="743" w:type="dxa"/>
            <w:shd w:val="clear" w:color="auto" w:fill="auto"/>
            <w:vAlign w:val="center"/>
          </w:tcPr>
          <w:p w14:paraId="4025A12A" w14:textId="77777777" w:rsidR="00E96F44" w:rsidRPr="008D685A" w:rsidRDefault="00E96F44" w:rsidP="004F0A38">
            <w:pPr>
              <w:pStyle w:val="ExhibitText"/>
              <w:jc w:val="right"/>
              <w:rPr>
                <w:b/>
                <w:lang w:val="en-GB"/>
              </w:rPr>
            </w:pPr>
            <w:r w:rsidRPr="008D685A">
              <w:rPr>
                <w:b/>
                <w:lang w:val="en-GB"/>
              </w:rPr>
              <w:t>76</w:t>
            </w:r>
          </w:p>
        </w:tc>
        <w:tc>
          <w:tcPr>
            <w:tcW w:w="720" w:type="dxa"/>
            <w:shd w:val="clear" w:color="auto" w:fill="auto"/>
            <w:vAlign w:val="center"/>
          </w:tcPr>
          <w:p w14:paraId="7EA48F36" w14:textId="77777777" w:rsidR="00E96F44" w:rsidRPr="008D685A" w:rsidRDefault="00E96F44" w:rsidP="004F0A38">
            <w:pPr>
              <w:pStyle w:val="ExhibitText"/>
              <w:jc w:val="right"/>
              <w:rPr>
                <w:b/>
                <w:lang w:val="en-GB"/>
              </w:rPr>
            </w:pPr>
            <w:r w:rsidRPr="008D685A">
              <w:rPr>
                <w:b/>
                <w:lang w:val="en-GB"/>
              </w:rPr>
              <w:t>82</w:t>
            </w:r>
          </w:p>
        </w:tc>
        <w:tc>
          <w:tcPr>
            <w:tcW w:w="720" w:type="dxa"/>
            <w:shd w:val="clear" w:color="auto" w:fill="auto"/>
            <w:vAlign w:val="center"/>
          </w:tcPr>
          <w:p w14:paraId="0A170B59" w14:textId="77777777" w:rsidR="00E96F44" w:rsidRPr="008D685A" w:rsidRDefault="00E96F44" w:rsidP="004F0A38">
            <w:pPr>
              <w:pStyle w:val="ExhibitText"/>
              <w:jc w:val="right"/>
              <w:rPr>
                <w:b/>
                <w:lang w:val="en-GB"/>
              </w:rPr>
            </w:pPr>
            <w:r w:rsidRPr="008D685A">
              <w:rPr>
                <w:b/>
                <w:lang w:val="en-GB"/>
              </w:rPr>
              <w:t>86</w:t>
            </w:r>
          </w:p>
        </w:tc>
        <w:tc>
          <w:tcPr>
            <w:tcW w:w="900" w:type="dxa"/>
            <w:shd w:val="clear" w:color="auto" w:fill="auto"/>
            <w:vAlign w:val="center"/>
          </w:tcPr>
          <w:p w14:paraId="311B0B35" w14:textId="77777777" w:rsidR="00E96F44" w:rsidRPr="008D685A" w:rsidRDefault="00E96F44" w:rsidP="004F0A38">
            <w:pPr>
              <w:pStyle w:val="ExhibitText"/>
              <w:jc w:val="right"/>
              <w:rPr>
                <w:b/>
                <w:lang w:val="en-GB"/>
              </w:rPr>
            </w:pPr>
            <w:r w:rsidRPr="008D685A">
              <w:rPr>
                <w:b/>
                <w:lang w:val="en-GB"/>
              </w:rPr>
              <w:t>96</w:t>
            </w:r>
          </w:p>
        </w:tc>
        <w:tc>
          <w:tcPr>
            <w:tcW w:w="810" w:type="dxa"/>
            <w:shd w:val="clear" w:color="auto" w:fill="auto"/>
            <w:vAlign w:val="center"/>
          </w:tcPr>
          <w:p w14:paraId="7589BABB" w14:textId="77777777" w:rsidR="00E96F44" w:rsidRPr="008D685A" w:rsidRDefault="00E96F44" w:rsidP="004F0A38">
            <w:pPr>
              <w:pStyle w:val="ExhibitText"/>
              <w:jc w:val="right"/>
              <w:rPr>
                <w:b/>
                <w:lang w:val="en-GB"/>
              </w:rPr>
            </w:pPr>
            <w:r w:rsidRPr="008D685A">
              <w:rPr>
                <w:b/>
                <w:lang w:val="en-GB"/>
              </w:rPr>
              <w:t>73</w:t>
            </w:r>
          </w:p>
        </w:tc>
        <w:tc>
          <w:tcPr>
            <w:tcW w:w="2382" w:type="dxa"/>
            <w:shd w:val="clear" w:color="auto" w:fill="auto"/>
            <w:vAlign w:val="center"/>
          </w:tcPr>
          <w:p w14:paraId="3FCD86E7" w14:textId="77777777" w:rsidR="00E96F44" w:rsidRPr="008D685A" w:rsidRDefault="00E96F44" w:rsidP="004F0A38">
            <w:pPr>
              <w:pStyle w:val="ExhibitText"/>
              <w:jc w:val="right"/>
              <w:rPr>
                <w:b/>
                <w:lang w:val="en-GB"/>
              </w:rPr>
            </w:pPr>
            <w:r w:rsidRPr="008D685A">
              <w:rPr>
                <w:b/>
                <w:lang w:val="en-GB"/>
              </w:rPr>
              <w:t>1</w:t>
            </w:r>
            <w:r w:rsidR="004F0A38" w:rsidRPr="008D685A">
              <w:rPr>
                <w:b/>
                <w:lang w:val="en-GB"/>
              </w:rPr>
              <w:t>,</w:t>
            </w:r>
            <w:r w:rsidRPr="008D685A">
              <w:rPr>
                <w:b/>
                <w:lang w:val="en-GB"/>
              </w:rPr>
              <w:t>060</w:t>
            </w:r>
          </w:p>
        </w:tc>
      </w:tr>
      <w:tr w:rsidR="004F0A38" w:rsidRPr="008D685A" w14:paraId="74E1BF40" w14:textId="77777777" w:rsidTr="00E463F5">
        <w:trPr>
          <w:jc w:val="center"/>
        </w:trPr>
        <w:tc>
          <w:tcPr>
            <w:tcW w:w="2293" w:type="dxa"/>
            <w:shd w:val="clear" w:color="auto" w:fill="auto"/>
            <w:vAlign w:val="center"/>
          </w:tcPr>
          <w:p w14:paraId="556F945F" w14:textId="77777777" w:rsidR="00E96F44" w:rsidRPr="008D685A" w:rsidRDefault="00E96F44" w:rsidP="004F0A38">
            <w:pPr>
              <w:pStyle w:val="ExhibitText"/>
              <w:jc w:val="left"/>
              <w:rPr>
                <w:b/>
                <w:lang w:val="en-GB"/>
              </w:rPr>
            </w:pPr>
            <w:r w:rsidRPr="008D685A">
              <w:rPr>
                <w:b/>
                <w:lang w:val="en-GB"/>
              </w:rPr>
              <w:t>DEVELOPING COUNTRIES</w:t>
            </w:r>
          </w:p>
        </w:tc>
        <w:tc>
          <w:tcPr>
            <w:tcW w:w="697" w:type="dxa"/>
            <w:shd w:val="clear" w:color="auto" w:fill="auto"/>
            <w:vAlign w:val="center"/>
          </w:tcPr>
          <w:p w14:paraId="349BE78A" w14:textId="77777777" w:rsidR="00E96F44" w:rsidRPr="008D685A" w:rsidRDefault="00E96F44" w:rsidP="004F0A38">
            <w:pPr>
              <w:pStyle w:val="ExhibitText"/>
              <w:jc w:val="right"/>
              <w:rPr>
                <w:b/>
                <w:lang w:val="en-GB"/>
              </w:rPr>
            </w:pPr>
            <w:r w:rsidRPr="008D685A">
              <w:rPr>
                <w:b/>
                <w:lang w:val="en-GB"/>
              </w:rPr>
              <w:t>64</w:t>
            </w:r>
          </w:p>
        </w:tc>
        <w:tc>
          <w:tcPr>
            <w:tcW w:w="743" w:type="dxa"/>
            <w:shd w:val="clear" w:color="auto" w:fill="auto"/>
            <w:vAlign w:val="center"/>
          </w:tcPr>
          <w:p w14:paraId="5C0E699B" w14:textId="77777777" w:rsidR="00E96F44" w:rsidRPr="008D685A" w:rsidRDefault="00E96F44" w:rsidP="004F0A38">
            <w:pPr>
              <w:pStyle w:val="ExhibitText"/>
              <w:jc w:val="right"/>
              <w:rPr>
                <w:b/>
                <w:lang w:val="en-GB"/>
              </w:rPr>
            </w:pPr>
            <w:r w:rsidRPr="008D685A">
              <w:rPr>
                <w:b/>
                <w:lang w:val="en-GB"/>
              </w:rPr>
              <w:t>69</w:t>
            </w:r>
          </w:p>
        </w:tc>
        <w:tc>
          <w:tcPr>
            <w:tcW w:w="720" w:type="dxa"/>
            <w:shd w:val="clear" w:color="auto" w:fill="auto"/>
            <w:vAlign w:val="center"/>
          </w:tcPr>
          <w:p w14:paraId="2FF63C4C" w14:textId="77777777" w:rsidR="00E96F44" w:rsidRPr="008D685A" w:rsidRDefault="00E96F44" w:rsidP="004F0A38">
            <w:pPr>
              <w:pStyle w:val="ExhibitText"/>
              <w:jc w:val="right"/>
              <w:rPr>
                <w:b/>
                <w:lang w:val="en-GB"/>
              </w:rPr>
            </w:pPr>
            <w:r w:rsidRPr="008D685A">
              <w:rPr>
                <w:b/>
                <w:lang w:val="en-GB"/>
              </w:rPr>
              <w:t>76</w:t>
            </w:r>
          </w:p>
        </w:tc>
        <w:tc>
          <w:tcPr>
            <w:tcW w:w="720" w:type="dxa"/>
            <w:shd w:val="clear" w:color="auto" w:fill="auto"/>
            <w:vAlign w:val="center"/>
          </w:tcPr>
          <w:p w14:paraId="1473F30C" w14:textId="77777777" w:rsidR="00E96F44" w:rsidRPr="008D685A" w:rsidRDefault="00E96F44" w:rsidP="004F0A38">
            <w:pPr>
              <w:pStyle w:val="ExhibitText"/>
              <w:jc w:val="right"/>
              <w:rPr>
                <w:b/>
                <w:lang w:val="en-GB"/>
              </w:rPr>
            </w:pPr>
            <w:r w:rsidRPr="008D685A">
              <w:rPr>
                <w:b/>
                <w:lang w:val="en-GB"/>
              </w:rPr>
              <w:t>82</w:t>
            </w:r>
          </w:p>
        </w:tc>
        <w:tc>
          <w:tcPr>
            <w:tcW w:w="900" w:type="dxa"/>
            <w:shd w:val="clear" w:color="auto" w:fill="auto"/>
            <w:vAlign w:val="center"/>
          </w:tcPr>
          <w:p w14:paraId="3F3FD91E" w14:textId="77777777" w:rsidR="00E96F44" w:rsidRPr="008D685A" w:rsidRDefault="00E96F44" w:rsidP="004F0A38">
            <w:pPr>
              <w:pStyle w:val="ExhibitText"/>
              <w:jc w:val="right"/>
              <w:rPr>
                <w:b/>
                <w:lang w:val="en-GB"/>
              </w:rPr>
            </w:pPr>
            <w:r w:rsidRPr="008D685A">
              <w:rPr>
                <w:b/>
                <w:lang w:val="en-GB"/>
              </w:rPr>
              <w:t>94</w:t>
            </w:r>
          </w:p>
        </w:tc>
        <w:tc>
          <w:tcPr>
            <w:tcW w:w="810" w:type="dxa"/>
            <w:shd w:val="clear" w:color="auto" w:fill="auto"/>
            <w:vAlign w:val="center"/>
          </w:tcPr>
          <w:p w14:paraId="0F7931DD" w14:textId="77777777" w:rsidR="00E96F44" w:rsidRPr="008D685A" w:rsidRDefault="00E96F44" w:rsidP="004F0A38">
            <w:pPr>
              <w:pStyle w:val="ExhibitText"/>
              <w:jc w:val="right"/>
              <w:rPr>
                <w:b/>
                <w:lang w:val="en-GB"/>
              </w:rPr>
            </w:pPr>
            <w:r w:rsidRPr="008D685A">
              <w:rPr>
                <w:b/>
                <w:lang w:val="en-GB"/>
              </w:rPr>
              <w:t>70</w:t>
            </w:r>
          </w:p>
        </w:tc>
        <w:tc>
          <w:tcPr>
            <w:tcW w:w="2382" w:type="dxa"/>
            <w:shd w:val="clear" w:color="auto" w:fill="auto"/>
            <w:vAlign w:val="center"/>
          </w:tcPr>
          <w:p w14:paraId="377A9638" w14:textId="77777777" w:rsidR="00E96F44" w:rsidRPr="008D685A" w:rsidRDefault="00E96F44" w:rsidP="004F0A38">
            <w:pPr>
              <w:pStyle w:val="ExhibitText"/>
              <w:jc w:val="right"/>
              <w:rPr>
                <w:b/>
                <w:lang w:val="en-GB"/>
              </w:rPr>
            </w:pPr>
            <w:r w:rsidRPr="008D685A">
              <w:rPr>
                <w:b/>
                <w:lang w:val="en-GB"/>
              </w:rPr>
              <w:t>1</w:t>
            </w:r>
            <w:r w:rsidR="004F0A38" w:rsidRPr="008D685A">
              <w:rPr>
                <w:b/>
                <w:lang w:val="en-GB"/>
              </w:rPr>
              <w:t>,</w:t>
            </w:r>
            <w:r w:rsidRPr="008D685A">
              <w:rPr>
                <w:b/>
                <w:lang w:val="en-GB"/>
              </w:rPr>
              <w:t>060</w:t>
            </w:r>
          </w:p>
        </w:tc>
      </w:tr>
      <w:tr w:rsidR="004F0A38" w:rsidRPr="008D685A" w14:paraId="01A14BC9" w14:textId="77777777" w:rsidTr="00E463F5">
        <w:trPr>
          <w:jc w:val="center"/>
        </w:trPr>
        <w:tc>
          <w:tcPr>
            <w:tcW w:w="2293" w:type="dxa"/>
            <w:shd w:val="clear" w:color="auto" w:fill="auto"/>
            <w:vAlign w:val="center"/>
          </w:tcPr>
          <w:p w14:paraId="13730372" w14:textId="77777777" w:rsidR="00E96F44" w:rsidRPr="008D685A" w:rsidRDefault="00E96F44" w:rsidP="004F0A38">
            <w:pPr>
              <w:pStyle w:val="ExhibitText"/>
              <w:jc w:val="left"/>
              <w:rPr>
                <w:b/>
                <w:lang w:val="en-GB"/>
              </w:rPr>
            </w:pPr>
            <w:r w:rsidRPr="008D685A">
              <w:rPr>
                <w:b/>
                <w:lang w:val="en-GB"/>
              </w:rPr>
              <w:t>Africa</w:t>
            </w:r>
          </w:p>
        </w:tc>
        <w:tc>
          <w:tcPr>
            <w:tcW w:w="697" w:type="dxa"/>
            <w:shd w:val="clear" w:color="auto" w:fill="auto"/>
            <w:vAlign w:val="center"/>
          </w:tcPr>
          <w:p w14:paraId="3E57F65E" w14:textId="77777777" w:rsidR="00E96F44" w:rsidRPr="008D685A" w:rsidRDefault="00E96F44" w:rsidP="004F0A38">
            <w:pPr>
              <w:pStyle w:val="ExhibitText"/>
              <w:jc w:val="right"/>
              <w:rPr>
                <w:b/>
                <w:lang w:val="en-GB"/>
              </w:rPr>
            </w:pPr>
            <w:r w:rsidRPr="008D685A">
              <w:rPr>
                <w:b/>
                <w:lang w:val="en-GB"/>
              </w:rPr>
              <w:t>34</w:t>
            </w:r>
          </w:p>
        </w:tc>
        <w:tc>
          <w:tcPr>
            <w:tcW w:w="743" w:type="dxa"/>
            <w:shd w:val="clear" w:color="auto" w:fill="auto"/>
            <w:vAlign w:val="center"/>
          </w:tcPr>
          <w:p w14:paraId="4F9358B4" w14:textId="77777777" w:rsidR="00E96F44" w:rsidRPr="008D685A" w:rsidRDefault="00E96F44" w:rsidP="004F0A38">
            <w:pPr>
              <w:pStyle w:val="ExhibitText"/>
              <w:jc w:val="right"/>
              <w:rPr>
                <w:b/>
                <w:lang w:val="en-GB"/>
              </w:rPr>
            </w:pPr>
            <w:r w:rsidRPr="008D685A">
              <w:rPr>
                <w:b/>
                <w:lang w:val="en-GB"/>
              </w:rPr>
              <w:t>39</w:t>
            </w:r>
          </w:p>
        </w:tc>
        <w:tc>
          <w:tcPr>
            <w:tcW w:w="720" w:type="dxa"/>
            <w:shd w:val="clear" w:color="auto" w:fill="auto"/>
            <w:vAlign w:val="center"/>
          </w:tcPr>
          <w:p w14:paraId="62BEC216" w14:textId="77777777" w:rsidR="00E96F44" w:rsidRPr="008D685A" w:rsidRDefault="00E96F44" w:rsidP="004F0A38">
            <w:pPr>
              <w:pStyle w:val="ExhibitText"/>
              <w:jc w:val="right"/>
              <w:rPr>
                <w:b/>
                <w:lang w:val="en-GB"/>
              </w:rPr>
            </w:pPr>
            <w:r w:rsidRPr="008D685A">
              <w:rPr>
                <w:b/>
                <w:lang w:val="en-GB"/>
              </w:rPr>
              <w:t>43</w:t>
            </w:r>
          </w:p>
        </w:tc>
        <w:tc>
          <w:tcPr>
            <w:tcW w:w="720" w:type="dxa"/>
            <w:shd w:val="clear" w:color="auto" w:fill="auto"/>
            <w:vAlign w:val="center"/>
          </w:tcPr>
          <w:p w14:paraId="4B28B7E2" w14:textId="77777777" w:rsidR="00E96F44" w:rsidRPr="008D685A" w:rsidRDefault="00E96F44" w:rsidP="004F0A38">
            <w:pPr>
              <w:pStyle w:val="ExhibitText"/>
              <w:jc w:val="right"/>
              <w:rPr>
                <w:b/>
                <w:lang w:val="en-GB"/>
              </w:rPr>
            </w:pPr>
            <w:r w:rsidRPr="008D685A">
              <w:rPr>
                <w:b/>
                <w:lang w:val="en-GB"/>
              </w:rPr>
              <w:t>52</w:t>
            </w:r>
          </w:p>
        </w:tc>
        <w:tc>
          <w:tcPr>
            <w:tcW w:w="900" w:type="dxa"/>
            <w:shd w:val="clear" w:color="auto" w:fill="auto"/>
            <w:vAlign w:val="center"/>
          </w:tcPr>
          <w:p w14:paraId="74233689" w14:textId="77777777" w:rsidR="00E96F44" w:rsidRPr="008D685A" w:rsidRDefault="00E96F44" w:rsidP="004F0A38">
            <w:pPr>
              <w:pStyle w:val="ExhibitText"/>
              <w:jc w:val="right"/>
              <w:rPr>
                <w:b/>
                <w:lang w:val="en-GB"/>
              </w:rPr>
            </w:pPr>
            <w:r w:rsidRPr="008D685A">
              <w:rPr>
                <w:b/>
                <w:lang w:val="en-GB"/>
              </w:rPr>
              <w:t>77</w:t>
            </w:r>
          </w:p>
        </w:tc>
        <w:tc>
          <w:tcPr>
            <w:tcW w:w="810" w:type="dxa"/>
            <w:shd w:val="clear" w:color="auto" w:fill="auto"/>
            <w:vAlign w:val="center"/>
          </w:tcPr>
          <w:p w14:paraId="05F01305" w14:textId="77777777" w:rsidR="00E96F44" w:rsidRPr="008D685A" w:rsidRDefault="00E96F44" w:rsidP="004F0A38">
            <w:pPr>
              <w:pStyle w:val="ExhibitText"/>
              <w:jc w:val="right"/>
              <w:rPr>
                <w:b/>
                <w:lang w:val="en-GB"/>
              </w:rPr>
            </w:pPr>
            <w:r w:rsidRPr="008D685A">
              <w:rPr>
                <w:b/>
                <w:lang w:val="en-GB"/>
              </w:rPr>
              <w:t>32</w:t>
            </w:r>
          </w:p>
        </w:tc>
        <w:tc>
          <w:tcPr>
            <w:tcW w:w="2382" w:type="dxa"/>
            <w:shd w:val="clear" w:color="auto" w:fill="auto"/>
            <w:vAlign w:val="center"/>
          </w:tcPr>
          <w:p w14:paraId="661653FF" w14:textId="77777777" w:rsidR="00E96F44" w:rsidRPr="008D685A" w:rsidRDefault="00E96F44" w:rsidP="004F0A38">
            <w:pPr>
              <w:pStyle w:val="ExhibitText"/>
              <w:jc w:val="right"/>
              <w:rPr>
                <w:b/>
                <w:lang w:val="en-GB"/>
              </w:rPr>
            </w:pPr>
            <w:r w:rsidRPr="008D685A">
              <w:rPr>
                <w:b/>
                <w:lang w:val="en-GB"/>
              </w:rPr>
              <w:t>588</w:t>
            </w:r>
          </w:p>
        </w:tc>
      </w:tr>
      <w:tr w:rsidR="004F0A38" w:rsidRPr="008D685A" w14:paraId="206BBC84" w14:textId="77777777" w:rsidTr="00E463F5">
        <w:trPr>
          <w:jc w:val="center"/>
        </w:trPr>
        <w:tc>
          <w:tcPr>
            <w:tcW w:w="2293" w:type="dxa"/>
            <w:shd w:val="clear" w:color="auto" w:fill="auto"/>
            <w:vAlign w:val="center"/>
          </w:tcPr>
          <w:p w14:paraId="23E511F2" w14:textId="77777777" w:rsidR="00E96F44" w:rsidRPr="008D685A" w:rsidRDefault="00E96F44" w:rsidP="004F0A38">
            <w:pPr>
              <w:pStyle w:val="ExhibitText"/>
              <w:jc w:val="left"/>
              <w:rPr>
                <w:lang w:val="en-GB"/>
              </w:rPr>
            </w:pPr>
            <w:r w:rsidRPr="008D685A">
              <w:rPr>
                <w:lang w:val="en-GB"/>
              </w:rPr>
              <w:t>North Africa</w:t>
            </w:r>
          </w:p>
        </w:tc>
        <w:tc>
          <w:tcPr>
            <w:tcW w:w="697" w:type="dxa"/>
            <w:shd w:val="clear" w:color="auto" w:fill="auto"/>
            <w:vAlign w:val="center"/>
          </w:tcPr>
          <w:p w14:paraId="25EE4609" w14:textId="77777777" w:rsidR="00E96F44" w:rsidRPr="008D685A" w:rsidRDefault="00E96F44" w:rsidP="004F0A38">
            <w:pPr>
              <w:pStyle w:val="ExhibitText"/>
              <w:jc w:val="right"/>
              <w:rPr>
                <w:lang w:val="en-GB"/>
              </w:rPr>
            </w:pPr>
            <w:r w:rsidRPr="008D685A">
              <w:rPr>
                <w:lang w:val="en-GB"/>
              </w:rPr>
              <w:t>90</w:t>
            </w:r>
          </w:p>
        </w:tc>
        <w:tc>
          <w:tcPr>
            <w:tcW w:w="743" w:type="dxa"/>
            <w:shd w:val="clear" w:color="auto" w:fill="auto"/>
            <w:vAlign w:val="center"/>
          </w:tcPr>
          <w:p w14:paraId="4101936F" w14:textId="77777777" w:rsidR="00E96F44" w:rsidRPr="008D685A" w:rsidRDefault="00E96F44" w:rsidP="004F0A38">
            <w:pPr>
              <w:pStyle w:val="ExhibitText"/>
              <w:jc w:val="right"/>
              <w:rPr>
                <w:lang w:val="en-GB"/>
              </w:rPr>
            </w:pPr>
            <w:r w:rsidRPr="008D685A">
              <w:rPr>
                <w:lang w:val="en-GB"/>
              </w:rPr>
              <w:t>96</w:t>
            </w:r>
          </w:p>
        </w:tc>
        <w:tc>
          <w:tcPr>
            <w:tcW w:w="720" w:type="dxa"/>
            <w:shd w:val="clear" w:color="auto" w:fill="auto"/>
            <w:vAlign w:val="center"/>
          </w:tcPr>
          <w:p w14:paraId="7481E871" w14:textId="77777777" w:rsidR="00E96F44" w:rsidRPr="008D685A" w:rsidRDefault="00E96F44" w:rsidP="004F0A38">
            <w:pPr>
              <w:pStyle w:val="ExhibitText"/>
              <w:jc w:val="right"/>
              <w:rPr>
                <w:lang w:val="en-GB"/>
              </w:rPr>
            </w:pPr>
            <w:r w:rsidRPr="008D685A">
              <w:rPr>
                <w:lang w:val="en-GB"/>
              </w:rPr>
              <w:t>99</w:t>
            </w:r>
          </w:p>
        </w:tc>
        <w:tc>
          <w:tcPr>
            <w:tcW w:w="720" w:type="dxa"/>
            <w:shd w:val="clear" w:color="auto" w:fill="auto"/>
            <w:vAlign w:val="center"/>
          </w:tcPr>
          <w:p w14:paraId="36BF3AC7" w14:textId="77777777" w:rsidR="00E96F44" w:rsidRPr="008D685A" w:rsidRDefault="00E96F44" w:rsidP="004F0A38">
            <w:pPr>
              <w:pStyle w:val="ExhibitText"/>
              <w:jc w:val="right"/>
              <w:rPr>
                <w:lang w:val="en-GB"/>
              </w:rPr>
            </w:pPr>
            <w:r w:rsidRPr="008D685A">
              <w:rPr>
                <w:lang w:val="en-GB"/>
              </w:rPr>
              <w:t>100</w:t>
            </w:r>
          </w:p>
        </w:tc>
        <w:tc>
          <w:tcPr>
            <w:tcW w:w="900" w:type="dxa"/>
            <w:shd w:val="clear" w:color="auto" w:fill="auto"/>
            <w:vAlign w:val="center"/>
          </w:tcPr>
          <w:p w14:paraId="613EA45B" w14:textId="77777777" w:rsidR="00E96F44" w:rsidRPr="008D685A" w:rsidRDefault="00E96F44" w:rsidP="004F0A38">
            <w:pPr>
              <w:pStyle w:val="ExhibitText"/>
              <w:jc w:val="right"/>
              <w:rPr>
                <w:lang w:val="en-GB"/>
              </w:rPr>
            </w:pPr>
            <w:r w:rsidRPr="008D685A">
              <w:rPr>
                <w:lang w:val="en-GB"/>
              </w:rPr>
              <w:t>100</w:t>
            </w:r>
          </w:p>
        </w:tc>
        <w:tc>
          <w:tcPr>
            <w:tcW w:w="810" w:type="dxa"/>
            <w:shd w:val="clear" w:color="auto" w:fill="auto"/>
            <w:vAlign w:val="center"/>
          </w:tcPr>
          <w:p w14:paraId="3B341C83" w14:textId="77777777" w:rsidR="00E96F44" w:rsidRPr="008D685A" w:rsidRDefault="00E96F44" w:rsidP="004F0A38">
            <w:pPr>
              <w:pStyle w:val="ExhibitText"/>
              <w:jc w:val="right"/>
              <w:rPr>
                <w:lang w:val="en-GB"/>
              </w:rPr>
            </w:pPr>
            <w:r w:rsidRPr="008D685A">
              <w:rPr>
                <w:lang w:val="en-GB"/>
              </w:rPr>
              <w:t>99</w:t>
            </w:r>
          </w:p>
        </w:tc>
        <w:tc>
          <w:tcPr>
            <w:tcW w:w="2382" w:type="dxa"/>
            <w:shd w:val="clear" w:color="auto" w:fill="auto"/>
            <w:vAlign w:val="center"/>
          </w:tcPr>
          <w:p w14:paraId="5936A52E" w14:textId="77777777" w:rsidR="00E96F44" w:rsidRPr="008D685A" w:rsidRDefault="00E96F44" w:rsidP="004F0A38">
            <w:pPr>
              <w:pStyle w:val="ExhibitText"/>
              <w:jc w:val="right"/>
              <w:rPr>
                <w:lang w:val="en-GB"/>
              </w:rPr>
            </w:pPr>
            <w:r w:rsidRPr="008D685A">
              <w:rPr>
                <w:lang w:val="en-GB"/>
              </w:rPr>
              <w:t>&lt;1</w:t>
            </w:r>
          </w:p>
        </w:tc>
      </w:tr>
      <w:tr w:rsidR="004F0A38" w:rsidRPr="008D685A" w14:paraId="4BB96B11" w14:textId="77777777" w:rsidTr="00E463F5">
        <w:trPr>
          <w:trHeight w:val="323"/>
          <w:jc w:val="center"/>
        </w:trPr>
        <w:tc>
          <w:tcPr>
            <w:tcW w:w="2293" w:type="dxa"/>
            <w:shd w:val="clear" w:color="auto" w:fill="auto"/>
            <w:vAlign w:val="center"/>
          </w:tcPr>
          <w:p w14:paraId="602BCF85" w14:textId="77777777" w:rsidR="00E96F44" w:rsidRPr="008D685A" w:rsidRDefault="00E96F44" w:rsidP="004F0A38">
            <w:pPr>
              <w:pStyle w:val="ExhibitText"/>
              <w:jc w:val="left"/>
              <w:rPr>
                <w:lang w:val="en-GB"/>
              </w:rPr>
            </w:pPr>
            <w:r w:rsidRPr="008D685A">
              <w:rPr>
                <w:lang w:val="en-GB"/>
              </w:rPr>
              <w:t>Sub-Saharan Africa</w:t>
            </w:r>
          </w:p>
        </w:tc>
        <w:tc>
          <w:tcPr>
            <w:tcW w:w="697" w:type="dxa"/>
            <w:shd w:val="clear" w:color="auto" w:fill="auto"/>
            <w:vAlign w:val="center"/>
          </w:tcPr>
          <w:p w14:paraId="0BC50AAB" w14:textId="77777777" w:rsidR="00E96F44" w:rsidRPr="008D685A" w:rsidRDefault="00E96F44" w:rsidP="004F0A38">
            <w:pPr>
              <w:pStyle w:val="ExhibitText"/>
              <w:jc w:val="right"/>
              <w:rPr>
                <w:lang w:val="en-GB"/>
              </w:rPr>
            </w:pPr>
            <w:r w:rsidRPr="008D685A">
              <w:rPr>
                <w:lang w:val="en-GB"/>
              </w:rPr>
              <w:t>23</w:t>
            </w:r>
          </w:p>
        </w:tc>
        <w:tc>
          <w:tcPr>
            <w:tcW w:w="743" w:type="dxa"/>
            <w:shd w:val="clear" w:color="auto" w:fill="auto"/>
            <w:vAlign w:val="center"/>
          </w:tcPr>
          <w:p w14:paraId="2137046F" w14:textId="77777777" w:rsidR="00E96F44" w:rsidRPr="008D685A" w:rsidRDefault="00E96F44" w:rsidP="004F0A38">
            <w:pPr>
              <w:pStyle w:val="ExhibitText"/>
              <w:jc w:val="right"/>
              <w:rPr>
                <w:lang w:val="en-GB"/>
              </w:rPr>
            </w:pPr>
            <w:r w:rsidRPr="008D685A">
              <w:rPr>
                <w:lang w:val="en-GB"/>
              </w:rPr>
              <w:t>27</w:t>
            </w:r>
          </w:p>
        </w:tc>
        <w:tc>
          <w:tcPr>
            <w:tcW w:w="720" w:type="dxa"/>
            <w:shd w:val="clear" w:color="auto" w:fill="auto"/>
            <w:vAlign w:val="center"/>
          </w:tcPr>
          <w:p w14:paraId="56B1E6A5" w14:textId="77777777" w:rsidR="00E96F44" w:rsidRPr="008D685A" w:rsidRDefault="00E96F44" w:rsidP="004F0A38">
            <w:pPr>
              <w:pStyle w:val="ExhibitText"/>
              <w:jc w:val="right"/>
              <w:rPr>
                <w:lang w:val="en-GB"/>
              </w:rPr>
            </w:pPr>
            <w:r w:rsidRPr="008D685A">
              <w:rPr>
                <w:lang w:val="en-GB"/>
              </w:rPr>
              <w:t>32</w:t>
            </w:r>
          </w:p>
        </w:tc>
        <w:tc>
          <w:tcPr>
            <w:tcW w:w="720" w:type="dxa"/>
            <w:shd w:val="clear" w:color="auto" w:fill="auto"/>
            <w:vAlign w:val="center"/>
          </w:tcPr>
          <w:p w14:paraId="01EA3D5C" w14:textId="77777777" w:rsidR="00E96F44" w:rsidRPr="008D685A" w:rsidRDefault="00E96F44" w:rsidP="004F0A38">
            <w:pPr>
              <w:pStyle w:val="ExhibitText"/>
              <w:jc w:val="right"/>
              <w:rPr>
                <w:lang w:val="en-GB"/>
              </w:rPr>
            </w:pPr>
            <w:r w:rsidRPr="008D685A">
              <w:rPr>
                <w:lang w:val="en-GB"/>
              </w:rPr>
              <w:t>43</w:t>
            </w:r>
          </w:p>
        </w:tc>
        <w:tc>
          <w:tcPr>
            <w:tcW w:w="900" w:type="dxa"/>
            <w:shd w:val="clear" w:color="auto" w:fill="auto"/>
            <w:vAlign w:val="center"/>
          </w:tcPr>
          <w:p w14:paraId="124097BD" w14:textId="77777777" w:rsidR="00E96F44" w:rsidRPr="008D685A" w:rsidRDefault="00E96F44" w:rsidP="004F0A38">
            <w:pPr>
              <w:pStyle w:val="ExhibitText"/>
              <w:jc w:val="right"/>
              <w:rPr>
                <w:lang w:val="en-GB"/>
              </w:rPr>
            </w:pPr>
            <w:r w:rsidRPr="008D685A">
              <w:rPr>
                <w:lang w:val="en-GB"/>
              </w:rPr>
              <w:t>71</w:t>
            </w:r>
          </w:p>
        </w:tc>
        <w:tc>
          <w:tcPr>
            <w:tcW w:w="810" w:type="dxa"/>
            <w:shd w:val="clear" w:color="auto" w:fill="auto"/>
            <w:vAlign w:val="center"/>
          </w:tcPr>
          <w:p w14:paraId="5309F2AC" w14:textId="77777777" w:rsidR="00E96F44" w:rsidRPr="008D685A" w:rsidRDefault="00E96F44" w:rsidP="004F0A38">
            <w:pPr>
              <w:pStyle w:val="ExhibitText"/>
              <w:jc w:val="right"/>
              <w:rPr>
                <w:lang w:val="en-GB"/>
              </w:rPr>
            </w:pPr>
            <w:r w:rsidRPr="008D685A">
              <w:rPr>
                <w:lang w:val="en-GB"/>
              </w:rPr>
              <w:t>23</w:t>
            </w:r>
          </w:p>
        </w:tc>
        <w:tc>
          <w:tcPr>
            <w:tcW w:w="2382" w:type="dxa"/>
            <w:shd w:val="clear" w:color="auto" w:fill="auto"/>
            <w:vAlign w:val="center"/>
          </w:tcPr>
          <w:p w14:paraId="3FAF8621" w14:textId="77777777" w:rsidR="00E96F44" w:rsidRPr="008D685A" w:rsidRDefault="00E96F44" w:rsidP="004F0A38">
            <w:pPr>
              <w:pStyle w:val="ExhibitText"/>
              <w:jc w:val="right"/>
              <w:rPr>
                <w:lang w:val="en-GB"/>
              </w:rPr>
            </w:pPr>
            <w:r w:rsidRPr="008D685A">
              <w:rPr>
                <w:lang w:val="en-GB"/>
              </w:rPr>
              <w:t>588</w:t>
            </w:r>
          </w:p>
        </w:tc>
      </w:tr>
      <w:tr w:rsidR="004F0A38" w:rsidRPr="008D685A" w14:paraId="0248A7BE" w14:textId="77777777" w:rsidTr="00E463F5">
        <w:trPr>
          <w:jc w:val="center"/>
        </w:trPr>
        <w:tc>
          <w:tcPr>
            <w:tcW w:w="2293" w:type="dxa"/>
            <w:shd w:val="clear" w:color="auto" w:fill="auto"/>
            <w:vAlign w:val="center"/>
          </w:tcPr>
          <w:p w14:paraId="234D452B" w14:textId="77777777" w:rsidR="00E96F44" w:rsidRPr="008D685A" w:rsidRDefault="00E96F44" w:rsidP="004F0A38">
            <w:pPr>
              <w:pStyle w:val="ExhibitText"/>
              <w:jc w:val="left"/>
              <w:rPr>
                <w:b/>
                <w:lang w:val="en-GB"/>
              </w:rPr>
            </w:pPr>
            <w:r w:rsidRPr="008D685A">
              <w:rPr>
                <w:b/>
                <w:lang w:val="en-GB"/>
              </w:rPr>
              <w:t>Developing Asia</w:t>
            </w:r>
          </w:p>
        </w:tc>
        <w:tc>
          <w:tcPr>
            <w:tcW w:w="697" w:type="dxa"/>
            <w:shd w:val="clear" w:color="auto" w:fill="auto"/>
            <w:vAlign w:val="center"/>
          </w:tcPr>
          <w:p w14:paraId="66633BDD" w14:textId="77777777" w:rsidR="00E96F44" w:rsidRPr="008D685A" w:rsidRDefault="00E96F44" w:rsidP="004F0A38">
            <w:pPr>
              <w:pStyle w:val="ExhibitText"/>
              <w:jc w:val="right"/>
              <w:rPr>
                <w:b/>
                <w:lang w:val="en-GB"/>
              </w:rPr>
            </w:pPr>
            <w:r w:rsidRPr="008D685A">
              <w:rPr>
                <w:b/>
                <w:lang w:val="en-GB"/>
              </w:rPr>
              <w:t>67</w:t>
            </w:r>
          </w:p>
        </w:tc>
        <w:tc>
          <w:tcPr>
            <w:tcW w:w="743" w:type="dxa"/>
            <w:shd w:val="clear" w:color="auto" w:fill="auto"/>
            <w:vAlign w:val="center"/>
          </w:tcPr>
          <w:p w14:paraId="07FC84CD" w14:textId="77777777" w:rsidR="00E96F44" w:rsidRPr="008D685A" w:rsidRDefault="00E96F44" w:rsidP="004F0A38">
            <w:pPr>
              <w:pStyle w:val="ExhibitText"/>
              <w:jc w:val="right"/>
              <w:rPr>
                <w:b/>
                <w:lang w:val="en-GB"/>
              </w:rPr>
            </w:pPr>
            <w:r w:rsidRPr="008D685A">
              <w:rPr>
                <w:b/>
                <w:lang w:val="en-GB"/>
              </w:rPr>
              <w:t>74</w:t>
            </w:r>
          </w:p>
        </w:tc>
        <w:tc>
          <w:tcPr>
            <w:tcW w:w="720" w:type="dxa"/>
            <w:shd w:val="clear" w:color="auto" w:fill="auto"/>
            <w:vAlign w:val="center"/>
          </w:tcPr>
          <w:p w14:paraId="7D7F5515" w14:textId="77777777" w:rsidR="00E96F44" w:rsidRPr="008D685A" w:rsidRDefault="00E96F44" w:rsidP="004F0A38">
            <w:pPr>
              <w:pStyle w:val="ExhibitText"/>
              <w:jc w:val="right"/>
              <w:rPr>
                <w:b/>
                <w:lang w:val="en-GB"/>
              </w:rPr>
            </w:pPr>
            <w:r w:rsidRPr="008D685A">
              <w:rPr>
                <w:b/>
                <w:lang w:val="en-GB"/>
              </w:rPr>
              <w:t>83</w:t>
            </w:r>
          </w:p>
        </w:tc>
        <w:tc>
          <w:tcPr>
            <w:tcW w:w="720" w:type="dxa"/>
            <w:shd w:val="clear" w:color="auto" w:fill="auto"/>
            <w:vAlign w:val="center"/>
          </w:tcPr>
          <w:p w14:paraId="18EFF1B4" w14:textId="77777777" w:rsidR="00E96F44" w:rsidRPr="008D685A" w:rsidRDefault="00E96F44" w:rsidP="004F0A38">
            <w:pPr>
              <w:pStyle w:val="ExhibitText"/>
              <w:jc w:val="right"/>
              <w:rPr>
                <w:b/>
                <w:lang w:val="en-GB"/>
              </w:rPr>
            </w:pPr>
            <w:r w:rsidRPr="008D685A">
              <w:rPr>
                <w:b/>
                <w:lang w:val="en-GB"/>
              </w:rPr>
              <w:t>89</w:t>
            </w:r>
          </w:p>
        </w:tc>
        <w:tc>
          <w:tcPr>
            <w:tcW w:w="900" w:type="dxa"/>
            <w:shd w:val="clear" w:color="auto" w:fill="auto"/>
            <w:vAlign w:val="center"/>
          </w:tcPr>
          <w:p w14:paraId="48184F98" w14:textId="77777777" w:rsidR="00E96F44" w:rsidRPr="008D685A" w:rsidRDefault="00E96F44" w:rsidP="004F0A38">
            <w:pPr>
              <w:pStyle w:val="ExhibitText"/>
              <w:jc w:val="right"/>
              <w:rPr>
                <w:b/>
                <w:lang w:val="en-GB"/>
              </w:rPr>
            </w:pPr>
            <w:r w:rsidRPr="008D685A">
              <w:rPr>
                <w:b/>
                <w:lang w:val="en-GB"/>
              </w:rPr>
              <w:t>97</w:t>
            </w:r>
          </w:p>
        </w:tc>
        <w:tc>
          <w:tcPr>
            <w:tcW w:w="810" w:type="dxa"/>
            <w:shd w:val="clear" w:color="auto" w:fill="auto"/>
            <w:vAlign w:val="center"/>
          </w:tcPr>
          <w:p w14:paraId="67B265D0" w14:textId="77777777" w:rsidR="00E96F44" w:rsidRPr="008D685A" w:rsidRDefault="00E96F44" w:rsidP="004F0A38">
            <w:pPr>
              <w:pStyle w:val="ExhibitText"/>
              <w:jc w:val="right"/>
              <w:rPr>
                <w:b/>
                <w:lang w:val="en-GB"/>
              </w:rPr>
            </w:pPr>
            <w:r w:rsidRPr="008D685A">
              <w:rPr>
                <w:b/>
                <w:lang w:val="en-GB"/>
              </w:rPr>
              <w:t>81</w:t>
            </w:r>
          </w:p>
        </w:tc>
        <w:tc>
          <w:tcPr>
            <w:tcW w:w="2382" w:type="dxa"/>
            <w:shd w:val="clear" w:color="auto" w:fill="auto"/>
            <w:vAlign w:val="center"/>
          </w:tcPr>
          <w:p w14:paraId="41F8D679" w14:textId="77777777" w:rsidR="00E96F44" w:rsidRPr="008D685A" w:rsidRDefault="00E96F44" w:rsidP="004F0A38">
            <w:pPr>
              <w:pStyle w:val="ExhibitText"/>
              <w:jc w:val="right"/>
              <w:rPr>
                <w:b/>
                <w:lang w:val="en-GB"/>
              </w:rPr>
            </w:pPr>
            <w:r w:rsidRPr="008D685A">
              <w:rPr>
                <w:b/>
                <w:lang w:val="en-GB"/>
              </w:rPr>
              <w:t>439</w:t>
            </w:r>
          </w:p>
        </w:tc>
      </w:tr>
      <w:tr w:rsidR="004F0A38" w:rsidRPr="008D685A" w14:paraId="12AD1E22" w14:textId="77777777" w:rsidTr="00E463F5">
        <w:trPr>
          <w:jc w:val="center"/>
        </w:trPr>
        <w:tc>
          <w:tcPr>
            <w:tcW w:w="2293" w:type="dxa"/>
            <w:shd w:val="clear" w:color="auto" w:fill="auto"/>
            <w:vAlign w:val="center"/>
          </w:tcPr>
          <w:p w14:paraId="3857D7F3" w14:textId="77777777" w:rsidR="00E96F44" w:rsidRPr="008D685A" w:rsidRDefault="00E96F44" w:rsidP="004F0A38">
            <w:pPr>
              <w:pStyle w:val="ExhibitText"/>
              <w:jc w:val="left"/>
              <w:rPr>
                <w:lang w:val="en-GB"/>
              </w:rPr>
            </w:pPr>
            <w:r w:rsidRPr="008D685A">
              <w:rPr>
                <w:lang w:val="en-GB"/>
              </w:rPr>
              <w:t>China</w:t>
            </w:r>
          </w:p>
        </w:tc>
        <w:tc>
          <w:tcPr>
            <w:tcW w:w="697" w:type="dxa"/>
            <w:shd w:val="clear" w:color="auto" w:fill="auto"/>
            <w:vAlign w:val="center"/>
          </w:tcPr>
          <w:p w14:paraId="1D045A67" w14:textId="77777777" w:rsidR="00E96F44" w:rsidRPr="008D685A" w:rsidRDefault="00E96F44" w:rsidP="004F0A38">
            <w:pPr>
              <w:pStyle w:val="ExhibitText"/>
              <w:jc w:val="right"/>
              <w:rPr>
                <w:lang w:val="en-GB"/>
              </w:rPr>
            </w:pPr>
            <w:r w:rsidRPr="008D685A">
              <w:rPr>
                <w:lang w:val="en-GB"/>
              </w:rPr>
              <w:t>99</w:t>
            </w:r>
          </w:p>
        </w:tc>
        <w:tc>
          <w:tcPr>
            <w:tcW w:w="743" w:type="dxa"/>
            <w:shd w:val="clear" w:color="auto" w:fill="auto"/>
            <w:vAlign w:val="center"/>
          </w:tcPr>
          <w:p w14:paraId="4B0CD2B8" w14:textId="77777777" w:rsidR="00E96F44" w:rsidRPr="008D685A" w:rsidRDefault="00E96F44" w:rsidP="004F0A38">
            <w:pPr>
              <w:pStyle w:val="ExhibitText"/>
              <w:jc w:val="right"/>
              <w:rPr>
                <w:lang w:val="en-GB"/>
              </w:rPr>
            </w:pPr>
            <w:r w:rsidRPr="008D685A">
              <w:rPr>
                <w:lang w:val="en-GB"/>
              </w:rPr>
              <w:t>99</w:t>
            </w:r>
          </w:p>
        </w:tc>
        <w:tc>
          <w:tcPr>
            <w:tcW w:w="720" w:type="dxa"/>
            <w:shd w:val="clear" w:color="auto" w:fill="auto"/>
            <w:vAlign w:val="center"/>
          </w:tcPr>
          <w:p w14:paraId="45FCCA9D" w14:textId="77777777" w:rsidR="00E96F44" w:rsidRPr="008D685A" w:rsidRDefault="00E96F44" w:rsidP="004F0A38">
            <w:pPr>
              <w:pStyle w:val="ExhibitText"/>
              <w:jc w:val="right"/>
              <w:rPr>
                <w:lang w:val="en-GB"/>
              </w:rPr>
            </w:pPr>
            <w:r w:rsidRPr="008D685A">
              <w:rPr>
                <w:lang w:val="en-GB"/>
              </w:rPr>
              <w:t>99</w:t>
            </w:r>
          </w:p>
        </w:tc>
        <w:tc>
          <w:tcPr>
            <w:tcW w:w="720" w:type="dxa"/>
            <w:shd w:val="clear" w:color="auto" w:fill="auto"/>
            <w:vAlign w:val="center"/>
          </w:tcPr>
          <w:p w14:paraId="0DF5C6D9" w14:textId="77777777" w:rsidR="00E96F44" w:rsidRPr="008D685A" w:rsidRDefault="00E96F44" w:rsidP="004F0A38">
            <w:pPr>
              <w:pStyle w:val="ExhibitText"/>
              <w:jc w:val="right"/>
              <w:rPr>
                <w:lang w:val="en-GB"/>
              </w:rPr>
            </w:pPr>
            <w:r w:rsidRPr="008D685A">
              <w:rPr>
                <w:lang w:val="en-GB"/>
              </w:rPr>
              <w:t>100</w:t>
            </w:r>
          </w:p>
        </w:tc>
        <w:tc>
          <w:tcPr>
            <w:tcW w:w="900" w:type="dxa"/>
            <w:shd w:val="clear" w:color="auto" w:fill="auto"/>
            <w:vAlign w:val="center"/>
          </w:tcPr>
          <w:p w14:paraId="28DA3632" w14:textId="77777777" w:rsidR="00E96F44" w:rsidRPr="008D685A" w:rsidRDefault="00E96F44" w:rsidP="004F0A38">
            <w:pPr>
              <w:pStyle w:val="ExhibitText"/>
              <w:jc w:val="right"/>
              <w:rPr>
                <w:lang w:val="en-GB"/>
              </w:rPr>
            </w:pPr>
            <w:r w:rsidRPr="008D685A">
              <w:rPr>
                <w:lang w:val="en-GB"/>
              </w:rPr>
              <w:t>100</w:t>
            </w:r>
          </w:p>
        </w:tc>
        <w:tc>
          <w:tcPr>
            <w:tcW w:w="810" w:type="dxa"/>
            <w:shd w:val="clear" w:color="auto" w:fill="auto"/>
            <w:vAlign w:val="center"/>
          </w:tcPr>
          <w:p w14:paraId="565DDAF4" w14:textId="77777777" w:rsidR="00E96F44" w:rsidRPr="008D685A" w:rsidRDefault="00E96F44" w:rsidP="004F0A38">
            <w:pPr>
              <w:pStyle w:val="ExhibitText"/>
              <w:jc w:val="right"/>
              <w:rPr>
                <w:lang w:val="en-GB"/>
              </w:rPr>
            </w:pPr>
            <w:r w:rsidRPr="008D685A">
              <w:rPr>
                <w:lang w:val="en-GB"/>
              </w:rPr>
              <w:t>100</w:t>
            </w:r>
          </w:p>
        </w:tc>
        <w:tc>
          <w:tcPr>
            <w:tcW w:w="2382" w:type="dxa"/>
            <w:shd w:val="clear" w:color="auto" w:fill="auto"/>
            <w:vAlign w:val="center"/>
          </w:tcPr>
          <w:p w14:paraId="69A5A4B8" w14:textId="4C9A43F6" w:rsidR="00E96F44" w:rsidRPr="008D685A" w:rsidRDefault="00050039" w:rsidP="004F0A38">
            <w:pPr>
              <w:pStyle w:val="ExhibitText"/>
              <w:jc w:val="right"/>
              <w:rPr>
                <w:lang w:val="en-GB"/>
              </w:rPr>
            </w:pPr>
            <w:r>
              <w:rPr>
                <w:lang w:val="en-GB"/>
              </w:rPr>
              <w:t>—</w:t>
            </w:r>
          </w:p>
        </w:tc>
      </w:tr>
      <w:tr w:rsidR="004F0A38" w:rsidRPr="008D685A" w14:paraId="5B97BBDE" w14:textId="77777777" w:rsidTr="00E463F5">
        <w:trPr>
          <w:jc w:val="center"/>
        </w:trPr>
        <w:tc>
          <w:tcPr>
            <w:tcW w:w="2293" w:type="dxa"/>
            <w:shd w:val="clear" w:color="auto" w:fill="auto"/>
            <w:vAlign w:val="center"/>
          </w:tcPr>
          <w:p w14:paraId="1669B86D" w14:textId="77777777" w:rsidR="00E96F44" w:rsidRPr="008D685A" w:rsidRDefault="00E96F44" w:rsidP="004F0A38">
            <w:pPr>
              <w:pStyle w:val="ExhibitText"/>
              <w:jc w:val="left"/>
              <w:rPr>
                <w:lang w:val="en-GB"/>
              </w:rPr>
            </w:pPr>
            <w:r w:rsidRPr="008D685A">
              <w:rPr>
                <w:lang w:val="en-GB"/>
              </w:rPr>
              <w:t>India</w:t>
            </w:r>
          </w:p>
        </w:tc>
        <w:tc>
          <w:tcPr>
            <w:tcW w:w="697" w:type="dxa"/>
            <w:shd w:val="clear" w:color="auto" w:fill="auto"/>
            <w:vAlign w:val="center"/>
          </w:tcPr>
          <w:p w14:paraId="70D4D84E" w14:textId="77777777" w:rsidR="00E96F44" w:rsidRPr="008D685A" w:rsidRDefault="00E96F44" w:rsidP="004F0A38">
            <w:pPr>
              <w:pStyle w:val="ExhibitText"/>
              <w:jc w:val="right"/>
              <w:rPr>
                <w:lang w:val="en-GB"/>
              </w:rPr>
            </w:pPr>
            <w:r w:rsidRPr="008D685A">
              <w:rPr>
                <w:lang w:val="en-GB"/>
              </w:rPr>
              <w:t>43</w:t>
            </w:r>
          </w:p>
        </w:tc>
        <w:tc>
          <w:tcPr>
            <w:tcW w:w="743" w:type="dxa"/>
            <w:shd w:val="clear" w:color="auto" w:fill="auto"/>
            <w:vAlign w:val="center"/>
          </w:tcPr>
          <w:p w14:paraId="307B16B5" w14:textId="77777777" w:rsidR="00E96F44" w:rsidRPr="008D685A" w:rsidRDefault="00E96F44" w:rsidP="004F0A38">
            <w:pPr>
              <w:pStyle w:val="ExhibitText"/>
              <w:jc w:val="right"/>
              <w:rPr>
                <w:lang w:val="en-GB"/>
              </w:rPr>
            </w:pPr>
            <w:r w:rsidRPr="008D685A">
              <w:rPr>
                <w:lang w:val="en-GB"/>
              </w:rPr>
              <w:t>58</w:t>
            </w:r>
          </w:p>
        </w:tc>
        <w:tc>
          <w:tcPr>
            <w:tcW w:w="720" w:type="dxa"/>
            <w:shd w:val="clear" w:color="auto" w:fill="auto"/>
            <w:vAlign w:val="center"/>
          </w:tcPr>
          <w:p w14:paraId="7D22E6A8" w14:textId="77777777" w:rsidR="00E96F44" w:rsidRPr="008D685A" w:rsidRDefault="00E96F44" w:rsidP="004F0A38">
            <w:pPr>
              <w:pStyle w:val="ExhibitText"/>
              <w:jc w:val="right"/>
              <w:rPr>
                <w:lang w:val="en-GB"/>
              </w:rPr>
            </w:pPr>
            <w:r w:rsidRPr="008D685A">
              <w:rPr>
                <w:lang w:val="en-GB"/>
              </w:rPr>
              <w:t>66</w:t>
            </w:r>
          </w:p>
        </w:tc>
        <w:tc>
          <w:tcPr>
            <w:tcW w:w="720" w:type="dxa"/>
            <w:shd w:val="clear" w:color="auto" w:fill="auto"/>
            <w:vAlign w:val="center"/>
          </w:tcPr>
          <w:p w14:paraId="3EF7B11E" w14:textId="77777777" w:rsidR="00E96F44" w:rsidRPr="008D685A" w:rsidRDefault="00E96F44" w:rsidP="004F0A38">
            <w:pPr>
              <w:pStyle w:val="ExhibitText"/>
              <w:jc w:val="right"/>
              <w:rPr>
                <w:lang w:val="en-GB"/>
              </w:rPr>
            </w:pPr>
            <w:r w:rsidRPr="008D685A">
              <w:rPr>
                <w:lang w:val="en-GB"/>
              </w:rPr>
              <w:t>82</w:t>
            </w:r>
          </w:p>
        </w:tc>
        <w:tc>
          <w:tcPr>
            <w:tcW w:w="900" w:type="dxa"/>
            <w:shd w:val="clear" w:color="auto" w:fill="auto"/>
            <w:vAlign w:val="center"/>
          </w:tcPr>
          <w:p w14:paraId="3F52AFEE" w14:textId="77777777" w:rsidR="00E96F44" w:rsidRPr="008D685A" w:rsidRDefault="00E96F44" w:rsidP="004F0A38">
            <w:pPr>
              <w:pStyle w:val="ExhibitText"/>
              <w:jc w:val="right"/>
              <w:rPr>
                <w:lang w:val="en-GB"/>
              </w:rPr>
            </w:pPr>
            <w:r w:rsidRPr="008D685A">
              <w:rPr>
                <w:lang w:val="en-GB"/>
              </w:rPr>
              <w:t>97</w:t>
            </w:r>
          </w:p>
        </w:tc>
        <w:tc>
          <w:tcPr>
            <w:tcW w:w="810" w:type="dxa"/>
            <w:shd w:val="clear" w:color="auto" w:fill="auto"/>
            <w:vAlign w:val="center"/>
          </w:tcPr>
          <w:p w14:paraId="623403BE" w14:textId="77777777" w:rsidR="00E96F44" w:rsidRPr="008D685A" w:rsidRDefault="00E96F44" w:rsidP="004F0A38">
            <w:pPr>
              <w:pStyle w:val="ExhibitText"/>
              <w:jc w:val="right"/>
              <w:rPr>
                <w:lang w:val="en-GB"/>
              </w:rPr>
            </w:pPr>
            <w:r w:rsidRPr="008D685A">
              <w:rPr>
                <w:lang w:val="en-GB"/>
              </w:rPr>
              <w:t>74</w:t>
            </w:r>
          </w:p>
        </w:tc>
        <w:tc>
          <w:tcPr>
            <w:tcW w:w="2382" w:type="dxa"/>
            <w:shd w:val="clear" w:color="auto" w:fill="auto"/>
            <w:vAlign w:val="center"/>
          </w:tcPr>
          <w:p w14:paraId="00807867" w14:textId="77777777" w:rsidR="00E96F44" w:rsidRPr="008D685A" w:rsidRDefault="00E96F44" w:rsidP="004F0A38">
            <w:pPr>
              <w:pStyle w:val="ExhibitText"/>
              <w:jc w:val="right"/>
              <w:rPr>
                <w:lang w:val="en-GB"/>
              </w:rPr>
            </w:pPr>
            <w:r w:rsidRPr="008D685A">
              <w:rPr>
                <w:lang w:val="en-GB"/>
              </w:rPr>
              <w:t>239</w:t>
            </w:r>
          </w:p>
        </w:tc>
      </w:tr>
      <w:tr w:rsidR="004F0A38" w:rsidRPr="008D685A" w14:paraId="5D4B49E8" w14:textId="77777777" w:rsidTr="00E463F5">
        <w:trPr>
          <w:jc w:val="center"/>
        </w:trPr>
        <w:tc>
          <w:tcPr>
            <w:tcW w:w="2293" w:type="dxa"/>
            <w:shd w:val="clear" w:color="auto" w:fill="auto"/>
            <w:vAlign w:val="center"/>
          </w:tcPr>
          <w:p w14:paraId="670F132E" w14:textId="77777777" w:rsidR="00E96F44" w:rsidRPr="008D685A" w:rsidRDefault="00E96F44" w:rsidP="004F0A38">
            <w:pPr>
              <w:pStyle w:val="ExhibitText"/>
              <w:jc w:val="left"/>
              <w:rPr>
                <w:lang w:val="en-GB"/>
              </w:rPr>
            </w:pPr>
            <w:r w:rsidRPr="008D685A">
              <w:rPr>
                <w:lang w:val="en-GB"/>
              </w:rPr>
              <w:t>Indonesia</w:t>
            </w:r>
          </w:p>
        </w:tc>
        <w:tc>
          <w:tcPr>
            <w:tcW w:w="697" w:type="dxa"/>
            <w:shd w:val="clear" w:color="auto" w:fill="auto"/>
            <w:vAlign w:val="center"/>
          </w:tcPr>
          <w:p w14:paraId="485FC7B8" w14:textId="77777777" w:rsidR="00E96F44" w:rsidRPr="008D685A" w:rsidRDefault="00E96F44" w:rsidP="004F0A38">
            <w:pPr>
              <w:pStyle w:val="ExhibitText"/>
              <w:jc w:val="right"/>
              <w:rPr>
                <w:lang w:val="en-GB"/>
              </w:rPr>
            </w:pPr>
            <w:r w:rsidRPr="008D685A">
              <w:rPr>
                <w:lang w:val="en-GB"/>
              </w:rPr>
              <w:t>53</w:t>
            </w:r>
          </w:p>
        </w:tc>
        <w:tc>
          <w:tcPr>
            <w:tcW w:w="743" w:type="dxa"/>
            <w:shd w:val="clear" w:color="auto" w:fill="auto"/>
            <w:vAlign w:val="center"/>
          </w:tcPr>
          <w:p w14:paraId="1D7DA8ED" w14:textId="77777777" w:rsidR="00E96F44" w:rsidRPr="008D685A" w:rsidRDefault="00E96F44" w:rsidP="004F0A38">
            <w:pPr>
              <w:pStyle w:val="ExhibitText"/>
              <w:jc w:val="right"/>
              <w:rPr>
                <w:lang w:val="en-GB"/>
              </w:rPr>
            </w:pPr>
            <w:r w:rsidRPr="008D685A">
              <w:rPr>
                <w:lang w:val="en-GB"/>
              </w:rPr>
              <w:t>56</w:t>
            </w:r>
          </w:p>
        </w:tc>
        <w:tc>
          <w:tcPr>
            <w:tcW w:w="720" w:type="dxa"/>
            <w:shd w:val="clear" w:color="auto" w:fill="auto"/>
            <w:vAlign w:val="center"/>
          </w:tcPr>
          <w:p w14:paraId="78C63FB8" w14:textId="77777777" w:rsidR="00E96F44" w:rsidRPr="008D685A" w:rsidRDefault="00E96F44" w:rsidP="004F0A38">
            <w:pPr>
              <w:pStyle w:val="ExhibitText"/>
              <w:jc w:val="right"/>
              <w:rPr>
                <w:lang w:val="en-GB"/>
              </w:rPr>
            </w:pPr>
            <w:r w:rsidRPr="008D685A">
              <w:rPr>
                <w:lang w:val="en-GB"/>
              </w:rPr>
              <w:t>67</w:t>
            </w:r>
          </w:p>
        </w:tc>
        <w:tc>
          <w:tcPr>
            <w:tcW w:w="720" w:type="dxa"/>
            <w:shd w:val="clear" w:color="auto" w:fill="auto"/>
            <w:vAlign w:val="center"/>
          </w:tcPr>
          <w:p w14:paraId="68877BD0" w14:textId="77777777" w:rsidR="00E96F44" w:rsidRPr="008D685A" w:rsidRDefault="00E96F44" w:rsidP="004F0A38">
            <w:pPr>
              <w:pStyle w:val="ExhibitText"/>
              <w:jc w:val="right"/>
              <w:rPr>
                <w:lang w:val="en-GB"/>
              </w:rPr>
            </w:pPr>
            <w:r w:rsidRPr="008D685A">
              <w:rPr>
                <w:lang w:val="en-GB"/>
              </w:rPr>
              <w:t>91</w:t>
            </w:r>
          </w:p>
        </w:tc>
        <w:tc>
          <w:tcPr>
            <w:tcW w:w="900" w:type="dxa"/>
            <w:shd w:val="clear" w:color="auto" w:fill="auto"/>
            <w:vAlign w:val="center"/>
          </w:tcPr>
          <w:p w14:paraId="30A5D213" w14:textId="77777777" w:rsidR="00E96F44" w:rsidRPr="008D685A" w:rsidRDefault="00E96F44" w:rsidP="004F0A38">
            <w:pPr>
              <w:pStyle w:val="ExhibitText"/>
              <w:jc w:val="right"/>
              <w:rPr>
                <w:lang w:val="en-GB"/>
              </w:rPr>
            </w:pPr>
            <w:r w:rsidRPr="008D685A">
              <w:rPr>
                <w:lang w:val="en-GB"/>
              </w:rPr>
              <w:t>99</w:t>
            </w:r>
          </w:p>
        </w:tc>
        <w:tc>
          <w:tcPr>
            <w:tcW w:w="810" w:type="dxa"/>
            <w:shd w:val="clear" w:color="auto" w:fill="auto"/>
            <w:vAlign w:val="center"/>
          </w:tcPr>
          <w:p w14:paraId="6478F1E0" w14:textId="77777777" w:rsidR="00E96F44" w:rsidRPr="008D685A" w:rsidRDefault="00E96F44" w:rsidP="004F0A38">
            <w:pPr>
              <w:pStyle w:val="ExhibitText"/>
              <w:jc w:val="right"/>
              <w:rPr>
                <w:lang w:val="en-GB"/>
              </w:rPr>
            </w:pPr>
            <w:r w:rsidRPr="008D685A">
              <w:rPr>
                <w:lang w:val="en-GB"/>
              </w:rPr>
              <w:t>82</w:t>
            </w:r>
          </w:p>
        </w:tc>
        <w:tc>
          <w:tcPr>
            <w:tcW w:w="2382" w:type="dxa"/>
            <w:shd w:val="clear" w:color="auto" w:fill="auto"/>
            <w:vAlign w:val="center"/>
          </w:tcPr>
          <w:p w14:paraId="0EE40973" w14:textId="77777777" w:rsidR="00E96F44" w:rsidRPr="008D685A" w:rsidRDefault="00E96F44" w:rsidP="004F0A38">
            <w:pPr>
              <w:pStyle w:val="ExhibitText"/>
              <w:jc w:val="right"/>
              <w:rPr>
                <w:lang w:val="en-GB"/>
              </w:rPr>
            </w:pPr>
            <w:r w:rsidRPr="008D685A">
              <w:rPr>
                <w:lang w:val="en-GB"/>
              </w:rPr>
              <w:t>23</w:t>
            </w:r>
          </w:p>
        </w:tc>
      </w:tr>
      <w:tr w:rsidR="004F0A38" w:rsidRPr="008D685A" w14:paraId="468A45CF" w14:textId="77777777" w:rsidTr="00E463F5">
        <w:trPr>
          <w:jc w:val="center"/>
        </w:trPr>
        <w:tc>
          <w:tcPr>
            <w:tcW w:w="2293" w:type="dxa"/>
            <w:shd w:val="clear" w:color="auto" w:fill="auto"/>
            <w:vAlign w:val="center"/>
          </w:tcPr>
          <w:p w14:paraId="2C5F2DE9" w14:textId="77777777" w:rsidR="00E96F44" w:rsidRPr="008D685A" w:rsidRDefault="00E96F44" w:rsidP="004F0A38">
            <w:pPr>
              <w:pStyle w:val="ExhibitText"/>
              <w:jc w:val="left"/>
              <w:rPr>
                <w:lang w:val="en-GB"/>
              </w:rPr>
            </w:pPr>
            <w:r w:rsidRPr="008D685A">
              <w:rPr>
                <w:lang w:val="en-GB"/>
              </w:rPr>
              <w:t>Other Southeast Asia</w:t>
            </w:r>
          </w:p>
        </w:tc>
        <w:tc>
          <w:tcPr>
            <w:tcW w:w="697" w:type="dxa"/>
            <w:shd w:val="clear" w:color="auto" w:fill="auto"/>
            <w:vAlign w:val="center"/>
          </w:tcPr>
          <w:p w14:paraId="5A711B4F" w14:textId="77777777" w:rsidR="00E96F44" w:rsidRPr="008D685A" w:rsidRDefault="00E96F44" w:rsidP="004F0A38">
            <w:pPr>
              <w:pStyle w:val="ExhibitText"/>
              <w:jc w:val="right"/>
              <w:rPr>
                <w:lang w:val="en-GB"/>
              </w:rPr>
            </w:pPr>
            <w:r w:rsidRPr="008D685A">
              <w:rPr>
                <w:lang w:val="en-GB"/>
              </w:rPr>
              <w:t>67</w:t>
            </w:r>
          </w:p>
        </w:tc>
        <w:tc>
          <w:tcPr>
            <w:tcW w:w="743" w:type="dxa"/>
            <w:shd w:val="clear" w:color="auto" w:fill="auto"/>
            <w:vAlign w:val="center"/>
          </w:tcPr>
          <w:p w14:paraId="40319378" w14:textId="77777777" w:rsidR="00E96F44" w:rsidRPr="008D685A" w:rsidRDefault="00E96F44" w:rsidP="004F0A38">
            <w:pPr>
              <w:pStyle w:val="ExhibitText"/>
              <w:jc w:val="right"/>
              <w:rPr>
                <w:lang w:val="en-GB"/>
              </w:rPr>
            </w:pPr>
            <w:r w:rsidRPr="008D685A">
              <w:rPr>
                <w:lang w:val="en-GB"/>
              </w:rPr>
              <w:t>76</w:t>
            </w:r>
          </w:p>
        </w:tc>
        <w:tc>
          <w:tcPr>
            <w:tcW w:w="720" w:type="dxa"/>
            <w:shd w:val="clear" w:color="auto" w:fill="auto"/>
            <w:vAlign w:val="center"/>
          </w:tcPr>
          <w:p w14:paraId="48F34067" w14:textId="77777777" w:rsidR="00E96F44" w:rsidRPr="008D685A" w:rsidRDefault="00E96F44" w:rsidP="004F0A38">
            <w:pPr>
              <w:pStyle w:val="ExhibitText"/>
              <w:jc w:val="right"/>
              <w:rPr>
                <w:lang w:val="en-GB"/>
              </w:rPr>
            </w:pPr>
            <w:r w:rsidRPr="008D685A">
              <w:rPr>
                <w:lang w:val="en-GB"/>
              </w:rPr>
              <w:t>83</w:t>
            </w:r>
          </w:p>
        </w:tc>
        <w:tc>
          <w:tcPr>
            <w:tcW w:w="720" w:type="dxa"/>
            <w:shd w:val="clear" w:color="auto" w:fill="auto"/>
            <w:vAlign w:val="center"/>
          </w:tcPr>
          <w:p w14:paraId="36FA9925" w14:textId="77777777" w:rsidR="00E96F44" w:rsidRPr="008D685A" w:rsidRDefault="00E96F44" w:rsidP="004F0A38">
            <w:pPr>
              <w:pStyle w:val="ExhibitText"/>
              <w:jc w:val="right"/>
              <w:rPr>
                <w:lang w:val="en-GB"/>
              </w:rPr>
            </w:pPr>
            <w:r w:rsidRPr="008D685A">
              <w:rPr>
                <w:lang w:val="en-GB"/>
              </w:rPr>
              <w:t>89</w:t>
            </w:r>
          </w:p>
        </w:tc>
        <w:tc>
          <w:tcPr>
            <w:tcW w:w="900" w:type="dxa"/>
            <w:shd w:val="clear" w:color="auto" w:fill="auto"/>
            <w:vAlign w:val="center"/>
          </w:tcPr>
          <w:p w14:paraId="46D1DF3B" w14:textId="77777777" w:rsidR="00E96F44" w:rsidRPr="008D685A" w:rsidRDefault="00E96F44" w:rsidP="004F0A38">
            <w:pPr>
              <w:pStyle w:val="ExhibitText"/>
              <w:jc w:val="right"/>
              <w:rPr>
                <w:lang w:val="en-GB"/>
              </w:rPr>
            </w:pPr>
            <w:r w:rsidRPr="008D685A">
              <w:rPr>
                <w:lang w:val="en-GB"/>
              </w:rPr>
              <w:t>97</w:t>
            </w:r>
          </w:p>
        </w:tc>
        <w:tc>
          <w:tcPr>
            <w:tcW w:w="810" w:type="dxa"/>
            <w:shd w:val="clear" w:color="auto" w:fill="auto"/>
            <w:vAlign w:val="center"/>
          </w:tcPr>
          <w:p w14:paraId="7C6DBC83" w14:textId="77777777" w:rsidR="00E96F44" w:rsidRPr="008D685A" w:rsidRDefault="00E96F44" w:rsidP="004F0A38">
            <w:pPr>
              <w:pStyle w:val="ExhibitText"/>
              <w:jc w:val="right"/>
              <w:rPr>
                <w:lang w:val="en-GB"/>
              </w:rPr>
            </w:pPr>
            <w:r w:rsidRPr="008D685A">
              <w:rPr>
                <w:lang w:val="en-GB"/>
              </w:rPr>
              <w:t>82</w:t>
            </w:r>
          </w:p>
        </w:tc>
        <w:tc>
          <w:tcPr>
            <w:tcW w:w="2382" w:type="dxa"/>
            <w:shd w:val="clear" w:color="auto" w:fill="auto"/>
            <w:vAlign w:val="center"/>
          </w:tcPr>
          <w:p w14:paraId="18E5E4E1" w14:textId="77777777" w:rsidR="00E96F44" w:rsidRPr="008D685A" w:rsidRDefault="00E96F44" w:rsidP="004F0A38">
            <w:pPr>
              <w:pStyle w:val="ExhibitText"/>
              <w:jc w:val="right"/>
              <w:rPr>
                <w:lang w:val="en-GB"/>
              </w:rPr>
            </w:pPr>
            <w:r w:rsidRPr="008D685A">
              <w:rPr>
                <w:lang w:val="en-GB"/>
              </w:rPr>
              <w:t>42</w:t>
            </w:r>
          </w:p>
        </w:tc>
      </w:tr>
      <w:tr w:rsidR="004F0A38" w:rsidRPr="008D685A" w14:paraId="6BC59CA9" w14:textId="77777777" w:rsidTr="00E463F5">
        <w:trPr>
          <w:jc w:val="center"/>
        </w:trPr>
        <w:tc>
          <w:tcPr>
            <w:tcW w:w="2293" w:type="dxa"/>
            <w:shd w:val="clear" w:color="auto" w:fill="auto"/>
            <w:vAlign w:val="center"/>
          </w:tcPr>
          <w:p w14:paraId="41A4E746" w14:textId="77777777" w:rsidR="00E96F44" w:rsidRPr="008D685A" w:rsidRDefault="00E96F44" w:rsidP="004F0A38">
            <w:pPr>
              <w:pStyle w:val="ExhibitText"/>
              <w:jc w:val="left"/>
              <w:rPr>
                <w:lang w:val="en-GB"/>
              </w:rPr>
            </w:pPr>
            <w:r w:rsidRPr="008D685A">
              <w:rPr>
                <w:lang w:val="en-GB"/>
              </w:rPr>
              <w:t>Other Developing Asia</w:t>
            </w:r>
          </w:p>
        </w:tc>
        <w:tc>
          <w:tcPr>
            <w:tcW w:w="697" w:type="dxa"/>
            <w:shd w:val="clear" w:color="auto" w:fill="auto"/>
            <w:vAlign w:val="center"/>
          </w:tcPr>
          <w:p w14:paraId="6E49306F" w14:textId="77777777" w:rsidR="00E96F44" w:rsidRPr="008D685A" w:rsidRDefault="00E96F44" w:rsidP="004F0A38">
            <w:pPr>
              <w:pStyle w:val="ExhibitText"/>
              <w:jc w:val="right"/>
              <w:rPr>
                <w:lang w:val="en-GB"/>
              </w:rPr>
            </w:pPr>
            <w:r w:rsidRPr="008D685A">
              <w:rPr>
                <w:lang w:val="en-GB"/>
              </w:rPr>
              <w:t>32</w:t>
            </w:r>
          </w:p>
        </w:tc>
        <w:tc>
          <w:tcPr>
            <w:tcW w:w="743" w:type="dxa"/>
            <w:shd w:val="clear" w:color="auto" w:fill="auto"/>
            <w:vAlign w:val="center"/>
          </w:tcPr>
          <w:p w14:paraId="08D40186" w14:textId="77777777" w:rsidR="00E96F44" w:rsidRPr="008D685A" w:rsidRDefault="00E96F44" w:rsidP="004F0A38">
            <w:pPr>
              <w:pStyle w:val="ExhibitText"/>
              <w:jc w:val="right"/>
              <w:rPr>
                <w:lang w:val="en-GB"/>
              </w:rPr>
            </w:pPr>
            <w:r w:rsidRPr="008D685A">
              <w:rPr>
                <w:lang w:val="en-GB"/>
              </w:rPr>
              <w:t>39</w:t>
            </w:r>
          </w:p>
        </w:tc>
        <w:tc>
          <w:tcPr>
            <w:tcW w:w="720" w:type="dxa"/>
            <w:shd w:val="clear" w:color="auto" w:fill="auto"/>
            <w:vAlign w:val="center"/>
          </w:tcPr>
          <w:p w14:paraId="484B1412" w14:textId="77777777" w:rsidR="00E96F44" w:rsidRPr="008D685A" w:rsidRDefault="00E96F44" w:rsidP="004F0A38">
            <w:pPr>
              <w:pStyle w:val="ExhibitText"/>
              <w:jc w:val="right"/>
              <w:rPr>
                <w:lang w:val="en-GB"/>
              </w:rPr>
            </w:pPr>
            <w:r w:rsidRPr="008D685A">
              <w:rPr>
                <w:lang w:val="en-GB"/>
              </w:rPr>
              <w:t>53</w:t>
            </w:r>
          </w:p>
        </w:tc>
        <w:tc>
          <w:tcPr>
            <w:tcW w:w="720" w:type="dxa"/>
            <w:shd w:val="clear" w:color="auto" w:fill="auto"/>
            <w:vAlign w:val="center"/>
          </w:tcPr>
          <w:p w14:paraId="034DDEB2" w14:textId="77777777" w:rsidR="00E96F44" w:rsidRPr="008D685A" w:rsidRDefault="00E96F44" w:rsidP="004F0A38">
            <w:pPr>
              <w:pStyle w:val="ExhibitText"/>
              <w:jc w:val="right"/>
              <w:rPr>
                <w:lang w:val="en-GB"/>
              </w:rPr>
            </w:pPr>
            <w:r w:rsidRPr="008D685A">
              <w:rPr>
                <w:lang w:val="en-GB"/>
              </w:rPr>
              <w:t>73</w:t>
            </w:r>
          </w:p>
        </w:tc>
        <w:tc>
          <w:tcPr>
            <w:tcW w:w="900" w:type="dxa"/>
            <w:shd w:val="clear" w:color="auto" w:fill="auto"/>
            <w:vAlign w:val="center"/>
          </w:tcPr>
          <w:p w14:paraId="5D64F235" w14:textId="77777777" w:rsidR="00E96F44" w:rsidRPr="008D685A" w:rsidRDefault="00E96F44" w:rsidP="004F0A38">
            <w:pPr>
              <w:pStyle w:val="ExhibitText"/>
              <w:jc w:val="right"/>
              <w:rPr>
                <w:lang w:val="en-GB"/>
              </w:rPr>
            </w:pPr>
            <w:r w:rsidRPr="008D685A">
              <w:rPr>
                <w:lang w:val="en-GB"/>
              </w:rPr>
              <w:t>87</w:t>
            </w:r>
          </w:p>
        </w:tc>
        <w:tc>
          <w:tcPr>
            <w:tcW w:w="810" w:type="dxa"/>
            <w:shd w:val="clear" w:color="auto" w:fill="auto"/>
            <w:vAlign w:val="center"/>
          </w:tcPr>
          <w:p w14:paraId="04ACC728" w14:textId="77777777" w:rsidR="00E96F44" w:rsidRPr="008D685A" w:rsidRDefault="00E96F44" w:rsidP="004F0A38">
            <w:pPr>
              <w:pStyle w:val="ExhibitText"/>
              <w:jc w:val="right"/>
              <w:rPr>
                <w:lang w:val="en-GB"/>
              </w:rPr>
            </w:pPr>
            <w:r w:rsidRPr="008D685A">
              <w:rPr>
                <w:lang w:val="en-GB"/>
              </w:rPr>
              <w:t>65</w:t>
            </w:r>
          </w:p>
        </w:tc>
        <w:tc>
          <w:tcPr>
            <w:tcW w:w="2382" w:type="dxa"/>
            <w:shd w:val="clear" w:color="auto" w:fill="auto"/>
            <w:vAlign w:val="center"/>
          </w:tcPr>
          <w:p w14:paraId="73610339" w14:textId="77777777" w:rsidR="00E96F44" w:rsidRPr="008D685A" w:rsidRDefault="00E96F44" w:rsidP="004F0A38">
            <w:pPr>
              <w:pStyle w:val="ExhibitText"/>
              <w:jc w:val="right"/>
              <w:rPr>
                <w:lang w:val="en-GB"/>
              </w:rPr>
            </w:pPr>
            <w:r w:rsidRPr="008D685A">
              <w:rPr>
                <w:lang w:val="en-GB"/>
              </w:rPr>
              <w:t>135</w:t>
            </w:r>
          </w:p>
        </w:tc>
      </w:tr>
      <w:tr w:rsidR="004F0A38" w:rsidRPr="008D685A" w14:paraId="7FD664E2" w14:textId="77777777" w:rsidTr="00E463F5">
        <w:trPr>
          <w:jc w:val="center"/>
        </w:trPr>
        <w:tc>
          <w:tcPr>
            <w:tcW w:w="2293" w:type="dxa"/>
            <w:shd w:val="clear" w:color="auto" w:fill="auto"/>
            <w:vAlign w:val="center"/>
          </w:tcPr>
          <w:p w14:paraId="17180272" w14:textId="77777777" w:rsidR="00E96F44" w:rsidRPr="008D685A" w:rsidRDefault="00E96F44" w:rsidP="004F0A38">
            <w:pPr>
              <w:pStyle w:val="ExhibitText"/>
              <w:jc w:val="left"/>
              <w:rPr>
                <w:b/>
                <w:lang w:val="en-GB"/>
              </w:rPr>
            </w:pPr>
            <w:r w:rsidRPr="008D685A">
              <w:rPr>
                <w:b/>
                <w:lang w:val="en-GB"/>
              </w:rPr>
              <w:t>Central and South America</w:t>
            </w:r>
          </w:p>
        </w:tc>
        <w:tc>
          <w:tcPr>
            <w:tcW w:w="697" w:type="dxa"/>
            <w:shd w:val="clear" w:color="auto" w:fill="auto"/>
            <w:vAlign w:val="center"/>
          </w:tcPr>
          <w:p w14:paraId="0F229D6B" w14:textId="77777777" w:rsidR="00E96F44" w:rsidRPr="008D685A" w:rsidRDefault="00E96F44" w:rsidP="004F0A38">
            <w:pPr>
              <w:pStyle w:val="ExhibitText"/>
              <w:jc w:val="right"/>
              <w:rPr>
                <w:b/>
                <w:lang w:val="en-GB"/>
              </w:rPr>
            </w:pPr>
            <w:r w:rsidRPr="008D685A">
              <w:rPr>
                <w:b/>
                <w:lang w:val="en-GB"/>
              </w:rPr>
              <w:t>87</w:t>
            </w:r>
          </w:p>
        </w:tc>
        <w:tc>
          <w:tcPr>
            <w:tcW w:w="743" w:type="dxa"/>
            <w:shd w:val="clear" w:color="auto" w:fill="auto"/>
            <w:vAlign w:val="center"/>
          </w:tcPr>
          <w:p w14:paraId="3DFDC8B8" w14:textId="77777777" w:rsidR="00E96F44" w:rsidRPr="008D685A" w:rsidRDefault="00E96F44" w:rsidP="004F0A38">
            <w:pPr>
              <w:pStyle w:val="ExhibitText"/>
              <w:jc w:val="right"/>
              <w:rPr>
                <w:b/>
                <w:lang w:val="en-GB"/>
              </w:rPr>
            </w:pPr>
            <w:r w:rsidRPr="008D685A">
              <w:rPr>
                <w:b/>
                <w:lang w:val="en-GB"/>
              </w:rPr>
              <w:t>91</w:t>
            </w:r>
          </w:p>
        </w:tc>
        <w:tc>
          <w:tcPr>
            <w:tcW w:w="720" w:type="dxa"/>
            <w:shd w:val="clear" w:color="auto" w:fill="auto"/>
            <w:vAlign w:val="center"/>
          </w:tcPr>
          <w:p w14:paraId="4C0A132F" w14:textId="77777777" w:rsidR="00E96F44" w:rsidRPr="008D685A" w:rsidRDefault="00E96F44" w:rsidP="004F0A38">
            <w:pPr>
              <w:pStyle w:val="ExhibitText"/>
              <w:jc w:val="right"/>
              <w:rPr>
                <w:b/>
                <w:lang w:val="en-GB"/>
              </w:rPr>
            </w:pPr>
            <w:r w:rsidRPr="008D685A">
              <w:rPr>
                <w:b/>
                <w:lang w:val="en-GB"/>
              </w:rPr>
              <w:t>94</w:t>
            </w:r>
          </w:p>
        </w:tc>
        <w:tc>
          <w:tcPr>
            <w:tcW w:w="720" w:type="dxa"/>
            <w:shd w:val="clear" w:color="auto" w:fill="auto"/>
            <w:vAlign w:val="center"/>
          </w:tcPr>
          <w:p w14:paraId="398ED1D5" w14:textId="77777777" w:rsidR="00E96F44" w:rsidRPr="008D685A" w:rsidRDefault="00E96F44" w:rsidP="004F0A38">
            <w:pPr>
              <w:pStyle w:val="ExhibitText"/>
              <w:jc w:val="right"/>
              <w:rPr>
                <w:b/>
                <w:lang w:val="en-GB"/>
              </w:rPr>
            </w:pPr>
            <w:r w:rsidRPr="008D685A">
              <w:rPr>
                <w:b/>
                <w:lang w:val="en-GB"/>
              </w:rPr>
              <w:t>97</w:t>
            </w:r>
          </w:p>
        </w:tc>
        <w:tc>
          <w:tcPr>
            <w:tcW w:w="900" w:type="dxa"/>
            <w:shd w:val="clear" w:color="auto" w:fill="auto"/>
            <w:vAlign w:val="center"/>
          </w:tcPr>
          <w:p w14:paraId="3714B777" w14:textId="77777777" w:rsidR="00E96F44" w:rsidRPr="008D685A" w:rsidRDefault="00E96F44" w:rsidP="004F0A38">
            <w:pPr>
              <w:pStyle w:val="ExhibitText"/>
              <w:jc w:val="right"/>
              <w:rPr>
                <w:b/>
                <w:lang w:val="en-GB"/>
              </w:rPr>
            </w:pPr>
            <w:r w:rsidRPr="008D685A">
              <w:rPr>
                <w:b/>
                <w:lang w:val="en-GB"/>
              </w:rPr>
              <w:t>98</w:t>
            </w:r>
          </w:p>
        </w:tc>
        <w:tc>
          <w:tcPr>
            <w:tcW w:w="810" w:type="dxa"/>
            <w:shd w:val="clear" w:color="auto" w:fill="auto"/>
            <w:vAlign w:val="center"/>
          </w:tcPr>
          <w:p w14:paraId="30CF16F7" w14:textId="77777777" w:rsidR="00E96F44" w:rsidRPr="008D685A" w:rsidRDefault="00E96F44" w:rsidP="004F0A38">
            <w:pPr>
              <w:pStyle w:val="ExhibitText"/>
              <w:jc w:val="right"/>
              <w:rPr>
                <w:b/>
                <w:lang w:val="en-GB"/>
              </w:rPr>
            </w:pPr>
            <w:r w:rsidRPr="008D685A">
              <w:rPr>
                <w:b/>
                <w:lang w:val="en-GB"/>
              </w:rPr>
              <w:t>86</w:t>
            </w:r>
          </w:p>
        </w:tc>
        <w:tc>
          <w:tcPr>
            <w:tcW w:w="2382" w:type="dxa"/>
            <w:shd w:val="clear" w:color="auto" w:fill="auto"/>
            <w:vAlign w:val="center"/>
          </w:tcPr>
          <w:p w14:paraId="13B0C731" w14:textId="77777777" w:rsidR="00E96F44" w:rsidRPr="008D685A" w:rsidRDefault="00E96F44" w:rsidP="004F0A38">
            <w:pPr>
              <w:pStyle w:val="ExhibitText"/>
              <w:jc w:val="right"/>
              <w:rPr>
                <w:b/>
                <w:lang w:val="en-GB"/>
              </w:rPr>
            </w:pPr>
            <w:r w:rsidRPr="008D685A">
              <w:rPr>
                <w:b/>
                <w:lang w:val="en-GB"/>
              </w:rPr>
              <w:t>17</w:t>
            </w:r>
          </w:p>
        </w:tc>
      </w:tr>
      <w:tr w:rsidR="004F0A38" w:rsidRPr="008D685A" w14:paraId="201354CF" w14:textId="77777777" w:rsidTr="00E463F5">
        <w:trPr>
          <w:jc w:val="center"/>
        </w:trPr>
        <w:tc>
          <w:tcPr>
            <w:tcW w:w="2293" w:type="dxa"/>
            <w:shd w:val="clear" w:color="auto" w:fill="auto"/>
            <w:vAlign w:val="center"/>
          </w:tcPr>
          <w:p w14:paraId="5EE93A3F" w14:textId="77777777" w:rsidR="00E96F44" w:rsidRPr="008D685A" w:rsidRDefault="00E96F44" w:rsidP="004F0A38">
            <w:pPr>
              <w:pStyle w:val="ExhibitText"/>
              <w:jc w:val="left"/>
              <w:rPr>
                <w:b/>
                <w:lang w:val="en-GB"/>
              </w:rPr>
            </w:pPr>
            <w:r w:rsidRPr="008D685A">
              <w:rPr>
                <w:b/>
                <w:lang w:val="en-GB"/>
              </w:rPr>
              <w:t>Middle East</w:t>
            </w:r>
          </w:p>
        </w:tc>
        <w:tc>
          <w:tcPr>
            <w:tcW w:w="697" w:type="dxa"/>
            <w:shd w:val="clear" w:color="auto" w:fill="auto"/>
            <w:vAlign w:val="center"/>
          </w:tcPr>
          <w:p w14:paraId="346C5E60" w14:textId="77777777" w:rsidR="00E96F44" w:rsidRPr="008D685A" w:rsidRDefault="00E96F44" w:rsidP="004F0A38">
            <w:pPr>
              <w:pStyle w:val="ExhibitText"/>
              <w:jc w:val="right"/>
              <w:rPr>
                <w:b/>
                <w:lang w:val="en-GB"/>
              </w:rPr>
            </w:pPr>
            <w:r w:rsidRPr="008D685A">
              <w:rPr>
                <w:b/>
                <w:lang w:val="en-GB"/>
              </w:rPr>
              <w:t>91</w:t>
            </w:r>
          </w:p>
        </w:tc>
        <w:tc>
          <w:tcPr>
            <w:tcW w:w="743" w:type="dxa"/>
            <w:shd w:val="clear" w:color="auto" w:fill="auto"/>
            <w:vAlign w:val="center"/>
          </w:tcPr>
          <w:p w14:paraId="3C6D5A66" w14:textId="77777777" w:rsidR="00E96F44" w:rsidRPr="008D685A" w:rsidRDefault="00E96F44" w:rsidP="004F0A38">
            <w:pPr>
              <w:pStyle w:val="ExhibitText"/>
              <w:jc w:val="right"/>
              <w:rPr>
                <w:b/>
                <w:lang w:val="en-GB"/>
              </w:rPr>
            </w:pPr>
            <w:r w:rsidRPr="008D685A">
              <w:rPr>
                <w:b/>
                <w:lang w:val="en-GB"/>
              </w:rPr>
              <w:t>80</w:t>
            </w:r>
          </w:p>
        </w:tc>
        <w:tc>
          <w:tcPr>
            <w:tcW w:w="720" w:type="dxa"/>
            <w:shd w:val="clear" w:color="auto" w:fill="auto"/>
            <w:vAlign w:val="center"/>
          </w:tcPr>
          <w:p w14:paraId="4A31C682" w14:textId="77777777" w:rsidR="00E96F44" w:rsidRPr="008D685A" w:rsidRDefault="00E96F44" w:rsidP="004F0A38">
            <w:pPr>
              <w:pStyle w:val="ExhibitText"/>
              <w:jc w:val="right"/>
              <w:rPr>
                <w:b/>
                <w:lang w:val="en-GB"/>
              </w:rPr>
            </w:pPr>
            <w:r w:rsidRPr="008D685A">
              <w:rPr>
                <w:b/>
                <w:lang w:val="en-GB"/>
              </w:rPr>
              <w:t>91</w:t>
            </w:r>
          </w:p>
        </w:tc>
        <w:tc>
          <w:tcPr>
            <w:tcW w:w="720" w:type="dxa"/>
            <w:shd w:val="clear" w:color="auto" w:fill="auto"/>
            <w:vAlign w:val="center"/>
          </w:tcPr>
          <w:p w14:paraId="72993FB1" w14:textId="77777777" w:rsidR="00E96F44" w:rsidRPr="008D685A" w:rsidRDefault="00E96F44" w:rsidP="004F0A38">
            <w:pPr>
              <w:pStyle w:val="ExhibitText"/>
              <w:jc w:val="right"/>
              <w:rPr>
                <w:b/>
                <w:lang w:val="en-GB"/>
              </w:rPr>
            </w:pPr>
            <w:r w:rsidRPr="008D685A">
              <w:rPr>
                <w:b/>
                <w:lang w:val="en-GB"/>
              </w:rPr>
              <w:t>93</w:t>
            </w:r>
          </w:p>
        </w:tc>
        <w:tc>
          <w:tcPr>
            <w:tcW w:w="900" w:type="dxa"/>
            <w:shd w:val="clear" w:color="auto" w:fill="auto"/>
            <w:vAlign w:val="center"/>
          </w:tcPr>
          <w:p w14:paraId="7C2D5AAA" w14:textId="77777777" w:rsidR="00E96F44" w:rsidRPr="008D685A" w:rsidRDefault="00E96F44" w:rsidP="004F0A38">
            <w:pPr>
              <w:pStyle w:val="ExhibitText"/>
              <w:jc w:val="right"/>
              <w:rPr>
                <w:b/>
                <w:lang w:val="en-GB"/>
              </w:rPr>
            </w:pPr>
            <w:r w:rsidRPr="008D685A">
              <w:rPr>
                <w:b/>
                <w:lang w:val="en-GB"/>
              </w:rPr>
              <w:t>98</w:t>
            </w:r>
          </w:p>
        </w:tc>
        <w:tc>
          <w:tcPr>
            <w:tcW w:w="810" w:type="dxa"/>
            <w:shd w:val="clear" w:color="auto" w:fill="auto"/>
            <w:vAlign w:val="center"/>
          </w:tcPr>
          <w:p w14:paraId="72FC2537" w14:textId="77777777" w:rsidR="00E96F44" w:rsidRPr="008D685A" w:rsidRDefault="00E96F44" w:rsidP="004F0A38">
            <w:pPr>
              <w:pStyle w:val="ExhibitText"/>
              <w:jc w:val="right"/>
              <w:rPr>
                <w:b/>
                <w:lang w:val="en-GB"/>
              </w:rPr>
            </w:pPr>
            <w:r w:rsidRPr="008D685A">
              <w:rPr>
                <w:b/>
                <w:lang w:val="en-GB"/>
              </w:rPr>
              <w:t>79</w:t>
            </w:r>
          </w:p>
        </w:tc>
        <w:tc>
          <w:tcPr>
            <w:tcW w:w="2382" w:type="dxa"/>
            <w:shd w:val="clear" w:color="auto" w:fill="auto"/>
            <w:vAlign w:val="center"/>
          </w:tcPr>
          <w:p w14:paraId="4E2C99C1" w14:textId="77777777" w:rsidR="00E96F44" w:rsidRPr="008D685A" w:rsidRDefault="00E96F44" w:rsidP="004F0A38">
            <w:pPr>
              <w:pStyle w:val="ExhibitText"/>
              <w:jc w:val="right"/>
              <w:rPr>
                <w:b/>
                <w:lang w:val="en-GB"/>
              </w:rPr>
            </w:pPr>
            <w:r w:rsidRPr="008D685A">
              <w:rPr>
                <w:b/>
                <w:lang w:val="en-GB"/>
              </w:rPr>
              <w:t>17</w:t>
            </w:r>
          </w:p>
        </w:tc>
      </w:tr>
    </w:tbl>
    <w:p w14:paraId="20A95EEB" w14:textId="77777777" w:rsidR="00E96F44" w:rsidRPr="008D685A" w:rsidRDefault="00E96F44" w:rsidP="004F0A38">
      <w:pPr>
        <w:pStyle w:val="ExhibitText"/>
        <w:rPr>
          <w:lang w:val="en-GB"/>
        </w:rPr>
      </w:pPr>
    </w:p>
    <w:p w14:paraId="1CAB2F6C" w14:textId="3898E7A0" w:rsidR="004F0A38" w:rsidRPr="00BB2CB2" w:rsidRDefault="00BB2CB2" w:rsidP="004425FF">
      <w:pPr>
        <w:pStyle w:val="Footnote"/>
        <w:rPr>
          <w:spacing w:val="-4"/>
          <w:kern w:val="17"/>
          <w:lang w:val="en-GB"/>
        </w:rPr>
      </w:pPr>
      <w:r w:rsidRPr="00BB2CB2">
        <w:rPr>
          <w:spacing w:val="-4"/>
          <w:kern w:val="17"/>
          <w:lang w:val="en-GB"/>
        </w:rPr>
        <w:t>Source: “Energy Access Database,” International Energy </w:t>
      </w:r>
      <w:r w:rsidR="0024165C" w:rsidRPr="00BB2CB2">
        <w:rPr>
          <w:spacing w:val="-4"/>
          <w:kern w:val="17"/>
          <w:lang w:val="en-GB"/>
        </w:rPr>
        <w:t>Agency</w:t>
      </w:r>
      <w:r w:rsidRPr="00BB2CB2">
        <w:rPr>
          <w:spacing w:val="-4"/>
          <w:kern w:val="17"/>
          <w:lang w:val="en-GB"/>
        </w:rPr>
        <w:t>, accessed May 13, 2018, </w:t>
      </w:r>
      <w:r w:rsidR="004F0A38" w:rsidRPr="00BB2CB2">
        <w:rPr>
          <w:spacing w:val="-4"/>
          <w:kern w:val="17"/>
          <w:lang w:val="en-GB"/>
        </w:rPr>
        <w:t>www.iea.org/energyaccess/database/.</w:t>
      </w:r>
    </w:p>
    <w:p w14:paraId="6E46F1BD" w14:textId="77777777" w:rsidR="002C5D53" w:rsidRPr="008D685A" w:rsidRDefault="002C5D53" w:rsidP="004F0A38">
      <w:pPr>
        <w:pStyle w:val="ExhibitText"/>
        <w:rPr>
          <w:lang w:val="en-GB"/>
        </w:rPr>
      </w:pPr>
    </w:p>
    <w:p w14:paraId="32B4BFA5" w14:textId="77777777" w:rsidR="004F0A38" w:rsidRPr="008D685A" w:rsidRDefault="004F0A38" w:rsidP="004F0A38">
      <w:pPr>
        <w:pStyle w:val="ExhibitText"/>
        <w:rPr>
          <w:lang w:val="en-GB"/>
        </w:rPr>
      </w:pPr>
    </w:p>
    <w:p w14:paraId="5B28EAA4" w14:textId="4E00EB92" w:rsidR="00BD5583" w:rsidRPr="008D685A" w:rsidRDefault="00BD5583" w:rsidP="004425FF">
      <w:pPr>
        <w:pStyle w:val="ExhibitHeading"/>
        <w:rPr>
          <w:lang w:val="en-GB"/>
        </w:rPr>
      </w:pPr>
      <w:r w:rsidRPr="008D685A">
        <w:rPr>
          <w:lang w:val="en-GB"/>
        </w:rPr>
        <w:t>Exhibit 2: typical supply chain for solar lights in developing countries</w:t>
      </w:r>
    </w:p>
    <w:p w14:paraId="4BBE7D47" w14:textId="77777777" w:rsidR="00BD5583" w:rsidRPr="008D685A" w:rsidRDefault="00BD5583" w:rsidP="004425FF">
      <w:pPr>
        <w:pStyle w:val="ExhibitText"/>
        <w:rPr>
          <w:lang w:val="en-GB"/>
        </w:rPr>
      </w:pPr>
    </w:p>
    <w:p w14:paraId="65D8F59E" w14:textId="52D38879" w:rsidR="00BD5583" w:rsidRPr="008D685A" w:rsidRDefault="00891FDD" w:rsidP="004425FF">
      <w:pPr>
        <w:spacing w:after="160" w:line="276" w:lineRule="auto"/>
        <w:jc w:val="center"/>
        <w:rPr>
          <w:b/>
          <w:sz w:val="24"/>
          <w:szCs w:val="22"/>
          <w:lang w:val="en-GB"/>
        </w:rPr>
      </w:pPr>
      <w:r>
        <w:rPr>
          <w:b/>
          <w:noProof/>
          <w:sz w:val="24"/>
          <w:szCs w:val="22"/>
        </w:rPr>
        <w:drawing>
          <wp:inline distT="0" distB="0" distL="0" distR="0" wp14:anchorId="440C185E" wp14:editId="07867E2A">
            <wp:extent cx="594423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1524000"/>
                    </a:xfrm>
                    <a:prstGeom prst="rect">
                      <a:avLst/>
                    </a:prstGeom>
                    <a:noFill/>
                  </pic:spPr>
                </pic:pic>
              </a:graphicData>
            </a:graphic>
          </wp:inline>
        </w:drawing>
      </w:r>
    </w:p>
    <w:p w14:paraId="4F538CA8" w14:textId="77777777" w:rsidR="00BD5583" w:rsidRPr="008D685A" w:rsidRDefault="00BD5583" w:rsidP="004425FF">
      <w:pPr>
        <w:pStyle w:val="ExhibitText"/>
        <w:rPr>
          <w:lang w:val="en-GB"/>
        </w:rPr>
      </w:pPr>
    </w:p>
    <w:p w14:paraId="477A0B16" w14:textId="3EA07B1A" w:rsidR="0024165C" w:rsidRDefault="0024165C" w:rsidP="004425FF">
      <w:pPr>
        <w:pStyle w:val="Footnote"/>
        <w:rPr>
          <w:lang w:val="en-GB"/>
        </w:rPr>
      </w:pPr>
      <w:r>
        <w:rPr>
          <w:lang w:val="en-GB"/>
        </w:rPr>
        <w:t>Note: NGO = non-governmental organization</w:t>
      </w:r>
    </w:p>
    <w:p w14:paraId="5347F633" w14:textId="5D188C80" w:rsidR="00BD5583" w:rsidRPr="008D685A" w:rsidRDefault="004425FF" w:rsidP="004425FF">
      <w:pPr>
        <w:pStyle w:val="Footnote"/>
        <w:rPr>
          <w:lang w:val="en-GB"/>
        </w:rPr>
      </w:pPr>
      <w:r w:rsidRPr="008D685A">
        <w:rPr>
          <w:lang w:val="en-GB"/>
        </w:rPr>
        <w:t xml:space="preserve">Source: </w:t>
      </w:r>
      <w:r w:rsidR="003A5CE1" w:rsidRPr="008D685A">
        <w:rPr>
          <w:lang w:val="en-GB"/>
        </w:rPr>
        <w:t xml:space="preserve">Created by </w:t>
      </w:r>
      <w:r w:rsidR="00DE65C9">
        <w:rPr>
          <w:lang w:val="en-GB"/>
        </w:rPr>
        <w:t xml:space="preserve">the case </w:t>
      </w:r>
      <w:r w:rsidR="003A5CE1" w:rsidRPr="008D685A">
        <w:rPr>
          <w:lang w:val="en-GB"/>
        </w:rPr>
        <w:t>authors</w:t>
      </w:r>
    </w:p>
    <w:p w14:paraId="1F73CC8F" w14:textId="77777777" w:rsidR="00E74733" w:rsidRDefault="00E74733">
      <w:pPr>
        <w:spacing w:after="200" w:line="276" w:lineRule="auto"/>
        <w:rPr>
          <w:lang w:val="en-GB"/>
        </w:rPr>
        <w:sectPr w:rsidR="00E74733" w:rsidSect="00751E0B">
          <w:headerReference w:type="default" r:id="rId15"/>
          <w:pgSz w:w="12240" w:h="15840" w:code="1"/>
          <w:pgMar w:top="1080" w:right="1440" w:bottom="1440" w:left="1440" w:header="1080" w:footer="720" w:gutter="0"/>
          <w:cols w:space="720"/>
          <w:titlePg/>
          <w:docGrid w:linePitch="360"/>
        </w:sectPr>
      </w:pPr>
      <w:r>
        <w:rPr>
          <w:lang w:val="en-GB"/>
        </w:rPr>
        <w:br w:type="page"/>
      </w:r>
    </w:p>
    <w:p w14:paraId="27A7F1D9" w14:textId="296A579B" w:rsidR="00306397" w:rsidRPr="008D685A" w:rsidRDefault="00306397" w:rsidP="00306397">
      <w:pPr>
        <w:pStyle w:val="ExhibitHeading"/>
        <w:ind w:left="-567" w:right="-705"/>
        <w:rPr>
          <w:lang w:val="en-GB"/>
        </w:rPr>
      </w:pPr>
      <w:r w:rsidRPr="008D685A">
        <w:rPr>
          <w:lang w:val="en-GB"/>
        </w:rPr>
        <w:lastRenderedPageBreak/>
        <w:t>Exhibit 3: COMPARISON OF ILLUMINATION AND COMPETITORS IN AUSTRALIAN MARKET</w:t>
      </w:r>
    </w:p>
    <w:p w14:paraId="70F5E29A" w14:textId="77777777" w:rsidR="00306397" w:rsidRPr="008D685A" w:rsidRDefault="00306397" w:rsidP="00306397">
      <w:pPr>
        <w:pStyle w:val="ExhibitHeading"/>
        <w:ind w:left="-567" w:right="-705"/>
        <w:rPr>
          <w:sz w:val="10"/>
          <w:szCs w:val="10"/>
          <w:lang w:val="en-GB"/>
        </w:rPr>
      </w:pPr>
    </w:p>
    <w:tbl>
      <w:tblPr>
        <w:tblStyle w:val="TableGrid"/>
        <w:tblW w:w="13003" w:type="dxa"/>
        <w:jc w:val="center"/>
        <w:tblLook w:val="04A0" w:firstRow="1" w:lastRow="0" w:firstColumn="1" w:lastColumn="0" w:noHBand="0" w:noVBand="1"/>
      </w:tblPr>
      <w:tblGrid>
        <w:gridCol w:w="2245"/>
        <w:gridCol w:w="3240"/>
        <w:gridCol w:w="4320"/>
        <w:gridCol w:w="3198"/>
      </w:tblGrid>
      <w:tr w:rsidR="00306397" w:rsidRPr="008D685A" w14:paraId="2FF823D7" w14:textId="77777777" w:rsidTr="00EC2398">
        <w:trPr>
          <w:tblHeader/>
          <w:jc w:val="center"/>
        </w:trPr>
        <w:tc>
          <w:tcPr>
            <w:tcW w:w="2245" w:type="dxa"/>
          </w:tcPr>
          <w:p w14:paraId="240326CF" w14:textId="77777777" w:rsidR="00306397" w:rsidRPr="008D685A" w:rsidRDefault="00306397" w:rsidP="00791526">
            <w:pPr>
              <w:pStyle w:val="Footnote"/>
              <w:jc w:val="left"/>
              <w:rPr>
                <w:b/>
                <w:sz w:val="16"/>
                <w:szCs w:val="16"/>
                <w:lang w:val="en-GB"/>
              </w:rPr>
            </w:pPr>
          </w:p>
        </w:tc>
        <w:tc>
          <w:tcPr>
            <w:tcW w:w="3240" w:type="dxa"/>
          </w:tcPr>
          <w:p w14:paraId="27F4863A" w14:textId="21A7BABB" w:rsidR="00306397" w:rsidRPr="008D685A" w:rsidRDefault="00306397" w:rsidP="00FC5319">
            <w:pPr>
              <w:pStyle w:val="Footnote"/>
              <w:rPr>
                <w:b/>
                <w:sz w:val="16"/>
                <w:szCs w:val="16"/>
                <w:lang w:val="en-GB"/>
              </w:rPr>
            </w:pPr>
            <w:r w:rsidRPr="008D685A">
              <w:rPr>
                <w:b/>
                <w:sz w:val="16"/>
                <w:szCs w:val="16"/>
                <w:lang w:val="en-GB"/>
              </w:rPr>
              <w:t>Illumination</w:t>
            </w:r>
            <w:r w:rsidR="00CA0E46">
              <w:rPr>
                <w:b/>
                <w:sz w:val="16"/>
                <w:szCs w:val="16"/>
                <w:lang w:val="en-GB"/>
              </w:rPr>
              <w:t xml:space="preserve"> Solar</w:t>
            </w:r>
          </w:p>
        </w:tc>
        <w:tc>
          <w:tcPr>
            <w:tcW w:w="4320" w:type="dxa"/>
          </w:tcPr>
          <w:p w14:paraId="6ACE2D4B" w14:textId="502C7541" w:rsidR="00306397" w:rsidRPr="008D685A" w:rsidRDefault="00306397" w:rsidP="00791526">
            <w:pPr>
              <w:pStyle w:val="Footnote"/>
              <w:rPr>
                <w:b/>
                <w:sz w:val="16"/>
                <w:szCs w:val="16"/>
                <w:lang w:val="en-GB"/>
              </w:rPr>
            </w:pPr>
            <w:r w:rsidRPr="008D685A">
              <w:rPr>
                <w:b/>
                <w:sz w:val="16"/>
                <w:szCs w:val="16"/>
                <w:lang w:val="en-GB"/>
              </w:rPr>
              <w:t>Kathmandu</w:t>
            </w:r>
            <w:r w:rsidR="00CA0E46">
              <w:rPr>
                <w:b/>
                <w:sz w:val="16"/>
                <w:szCs w:val="16"/>
                <w:lang w:val="en-GB"/>
              </w:rPr>
              <w:t xml:space="preserve"> Limited</w:t>
            </w:r>
          </w:p>
        </w:tc>
        <w:tc>
          <w:tcPr>
            <w:tcW w:w="3198" w:type="dxa"/>
          </w:tcPr>
          <w:p w14:paraId="02AC885E" w14:textId="31EAB505" w:rsidR="00306397" w:rsidRPr="008D685A" w:rsidRDefault="00306397" w:rsidP="00791526">
            <w:pPr>
              <w:pStyle w:val="Footnote"/>
              <w:rPr>
                <w:b/>
                <w:sz w:val="16"/>
                <w:szCs w:val="16"/>
                <w:lang w:val="en-GB"/>
              </w:rPr>
            </w:pPr>
            <w:r w:rsidRPr="008D685A">
              <w:rPr>
                <w:b/>
                <w:sz w:val="16"/>
                <w:szCs w:val="16"/>
                <w:lang w:val="en-GB"/>
              </w:rPr>
              <w:t>Anaconda</w:t>
            </w:r>
            <w:r w:rsidR="00CA0E46">
              <w:rPr>
                <w:b/>
                <w:sz w:val="16"/>
                <w:szCs w:val="16"/>
                <w:lang w:val="en-GB"/>
              </w:rPr>
              <w:t xml:space="preserve"> Group Pty Ltd</w:t>
            </w:r>
          </w:p>
        </w:tc>
      </w:tr>
      <w:tr w:rsidR="00306397" w:rsidRPr="008D685A" w14:paraId="50577D98" w14:textId="77777777" w:rsidTr="00EC2398">
        <w:trPr>
          <w:trHeight w:val="719"/>
          <w:jc w:val="center"/>
        </w:trPr>
        <w:tc>
          <w:tcPr>
            <w:tcW w:w="2245" w:type="dxa"/>
            <w:vAlign w:val="center"/>
          </w:tcPr>
          <w:p w14:paraId="5D83B098" w14:textId="77777777" w:rsidR="00306397" w:rsidRPr="008D685A" w:rsidRDefault="00306397" w:rsidP="00ED3810">
            <w:pPr>
              <w:pStyle w:val="Footnote"/>
              <w:jc w:val="left"/>
              <w:rPr>
                <w:b/>
                <w:sz w:val="16"/>
                <w:szCs w:val="16"/>
                <w:lang w:val="en-GB"/>
              </w:rPr>
            </w:pPr>
            <w:r w:rsidRPr="008D685A">
              <w:rPr>
                <w:b/>
                <w:sz w:val="16"/>
                <w:szCs w:val="16"/>
                <w:lang w:val="en-GB"/>
              </w:rPr>
              <w:t>Company origins</w:t>
            </w:r>
          </w:p>
        </w:tc>
        <w:tc>
          <w:tcPr>
            <w:tcW w:w="3240" w:type="dxa"/>
          </w:tcPr>
          <w:p w14:paraId="201A9E9F" w14:textId="23F89DAF" w:rsidR="00306397" w:rsidRPr="008D685A" w:rsidRDefault="0024165C" w:rsidP="00ED3810">
            <w:pPr>
              <w:pStyle w:val="Footnote"/>
              <w:jc w:val="left"/>
              <w:rPr>
                <w:sz w:val="16"/>
                <w:szCs w:val="16"/>
                <w:lang w:val="en-GB"/>
              </w:rPr>
            </w:pPr>
            <w:r>
              <w:rPr>
                <w:sz w:val="16"/>
                <w:szCs w:val="16"/>
                <w:lang w:val="en-GB"/>
              </w:rPr>
              <w:t>E</w:t>
            </w:r>
            <w:r w:rsidR="00306397" w:rsidRPr="008D685A">
              <w:rPr>
                <w:sz w:val="16"/>
                <w:szCs w:val="16"/>
                <w:lang w:val="en-GB"/>
              </w:rPr>
              <w:t>stablished in 2010 to address energy poverty</w:t>
            </w:r>
            <w:r>
              <w:rPr>
                <w:sz w:val="16"/>
                <w:szCs w:val="16"/>
                <w:lang w:val="en-GB"/>
              </w:rPr>
              <w:t>, this Australian</w:t>
            </w:r>
            <w:r w:rsidR="00306397" w:rsidRPr="008D685A">
              <w:rPr>
                <w:sz w:val="16"/>
                <w:szCs w:val="16"/>
                <w:lang w:val="en-GB"/>
              </w:rPr>
              <w:t xml:space="preserve"> </w:t>
            </w:r>
            <w:r>
              <w:rPr>
                <w:sz w:val="16"/>
                <w:szCs w:val="16"/>
                <w:lang w:val="en-GB"/>
              </w:rPr>
              <w:t>c</w:t>
            </w:r>
            <w:r w:rsidR="00306397" w:rsidRPr="008D685A">
              <w:rPr>
                <w:sz w:val="16"/>
                <w:szCs w:val="16"/>
                <w:lang w:val="en-GB"/>
              </w:rPr>
              <w:t>ompany designs, develops</w:t>
            </w:r>
            <w:r>
              <w:rPr>
                <w:sz w:val="16"/>
                <w:szCs w:val="16"/>
                <w:lang w:val="en-GB"/>
              </w:rPr>
              <w:t>,</w:t>
            </w:r>
            <w:r w:rsidR="00306397" w:rsidRPr="008D685A">
              <w:rPr>
                <w:sz w:val="16"/>
                <w:szCs w:val="16"/>
                <w:lang w:val="en-GB"/>
              </w:rPr>
              <w:t xml:space="preserve"> and distributes its own eco solar products.</w:t>
            </w:r>
          </w:p>
        </w:tc>
        <w:tc>
          <w:tcPr>
            <w:tcW w:w="4320" w:type="dxa"/>
          </w:tcPr>
          <w:p w14:paraId="384406B7" w14:textId="652BCCBD" w:rsidR="00306397" w:rsidRPr="008D685A" w:rsidRDefault="00306397" w:rsidP="00ED3810">
            <w:pPr>
              <w:pStyle w:val="Footnote"/>
              <w:jc w:val="left"/>
              <w:rPr>
                <w:sz w:val="16"/>
                <w:szCs w:val="16"/>
                <w:lang w:val="en-GB"/>
              </w:rPr>
            </w:pPr>
            <w:r w:rsidRPr="008D685A">
              <w:rPr>
                <w:sz w:val="16"/>
                <w:szCs w:val="16"/>
                <w:lang w:val="en-GB"/>
              </w:rPr>
              <w:t xml:space="preserve">Founded in New Zealand in 1987, </w:t>
            </w:r>
            <w:r w:rsidR="0024165C">
              <w:rPr>
                <w:sz w:val="16"/>
                <w:szCs w:val="16"/>
                <w:lang w:val="en-GB"/>
              </w:rPr>
              <w:t xml:space="preserve">this </w:t>
            </w:r>
            <w:r w:rsidRPr="008D685A">
              <w:rPr>
                <w:sz w:val="16"/>
                <w:szCs w:val="16"/>
                <w:lang w:val="en-GB"/>
              </w:rPr>
              <w:t>company sells camping, hiking</w:t>
            </w:r>
            <w:r w:rsidR="0024165C">
              <w:rPr>
                <w:sz w:val="16"/>
                <w:szCs w:val="16"/>
                <w:lang w:val="en-GB"/>
              </w:rPr>
              <w:t>,</w:t>
            </w:r>
            <w:r w:rsidRPr="008D685A">
              <w:rPr>
                <w:sz w:val="16"/>
                <w:szCs w:val="16"/>
                <w:lang w:val="en-GB"/>
              </w:rPr>
              <w:t xml:space="preserve"> and outdoor equipment</w:t>
            </w:r>
            <w:r w:rsidR="0024165C">
              <w:rPr>
                <w:sz w:val="16"/>
                <w:szCs w:val="16"/>
                <w:lang w:val="en-GB"/>
              </w:rPr>
              <w:t>, m</w:t>
            </w:r>
            <w:r w:rsidRPr="008D685A">
              <w:rPr>
                <w:sz w:val="16"/>
                <w:szCs w:val="16"/>
                <w:lang w:val="en-GB"/>
              </w:rPr>
              <w:t>ost</w:t>
            </w:r>
            <w:r w:rsidR="0024165C">
              <w:rPr>
                <w:sz w:val="16"/>
                <w:szCs w:val="16"/>
                <w:lang w:val="en-GB"/>
              </w:rPr>
              <w:t>ly</w:t>
            </w:r>
            <w:r w:rsidRPr="008D685A">
              <w:rPr>
                <w:sz w:val="16"/>
                <w:szCs w:val="16"/>
                <w:lang w:val="en-GB"/>
              </w:rPr>
              <w:t xml:space="preserve"> Kathmandu branded.</w:t>
            </w:r>
          </w:p>
        </w:tc>
        <w:tc>
          <w:tcPr>
            <w:tcW w:w="3198" w:type="dxa"/>
          </w:tcPr>
          <w:p w14:paraId="24C262DD" w14:textId="5C5A6A97" w:rsidR="00306397" w:rsidRPr="008D685A" w:rsidRDefault="00306397" w:rsidP="00ED3810">
            <w:pPr>
              <w:pStyle w:val="Footnote"/>
              <w:jc w:val="left"/>
              <w:rPr>
                <w:sz w:val="16"/>
                <w:szCs w:val="16"/>
                <w:lang w:val="en-GB"/>
              </w:rPr>
            </w:pPr>
            <w:r w:rsidRPr="008D685A">
              <w:rPr>
                <w:sz w:val="16"/>
                <w:szCs w:val="16"/>
                <w:lang w:val="en-GB"/>
              </w:rPr>
              <w:t xml:space="preserve">Established in 2004 by an Australian family, </w:t>
            </w:r>
            <w:r w:rsidR="0024165C">
              <w:rPr>
                <w:sz w:val="16"/>
                <w:szCs w:val="16"/>
                <w:lang w:val="en-GB"/>
              </w:rPr>
              <w:t>this company</w:t>
            </w:r>
            <w:r w:rsidRPr="008D685A">
              <w:rPr>
                <w:sz w:val="16"/>
                <w:szCs w:val="16"/>
                <w:lang w:val="en-GB"/>
              </w:rPr>
              <w:t xml:space="preserve"> stocks a large range of camping and leisure equipment brands. </w:t>
            </w:r>
          </w:p>
        </w:tc>
      </w:tr>
      <w:tr w:rsidR="00306397" w:rsidRPr="008D685A" w14:paraId="020A2045" w14:textId="77777777" w:rsidTr="00EC2398">
        <w:trPr>
          <w:trHeight w:val="719"/>
          <w:jc w:val="center"/>
        </w:trPr>
        <w:tc>
          <w:tcPr>
            <w:tcW w:w="2245" w:type="dxa"/>
            <w:vAlign w:val="center"/>
          </w:tcPr>
          <w:p w14:paraId="477A0ABB" w14:textId="4AB7325C" w:rsidR="00306397" w:rsidRPr="008D685A" w:rsidRDefault="00306397" w:rsidP="00ED3810">
            <w:pPr>
              <w:pStyle w:val="Footnote"/>
              <w:jc w:val="left"/>
              <w:rPr>
                <w:b/>
                <w:sz w:val="16"/>
                <w:szCs w:val="16"/>
                <w:lang w:val="en-GB"/>
              </w:rPr>
            </w:pPr>
            <w:r w:rsidRPr="008D685A">
              <w:rPr>
                <w:b/>
                <w:sz w:val="16"/>
                <w:szCs w:val="16"/>
                <w:lang w:val="en-GB"/>
              </w:rPr>
              <w:t xml:space="preserve">Company </w:t>
            </w:r>
            <w:r w:rsidR="0024165C">
              <w:rPr>
                <w:b/>
                <w:sz w:val="16"/>
                <w:szCs w:val="16"/>
                <w:lang w:val="en-GB"/>
              </w:rPr>
              <w:t>m</w:t>
            </w:r>
            <w:r w:rsidRPr="008D685A">
              <w:rPr>
                <w:b/>
                <w:sz w:val="16"/>
                <w:szCs w:val="16"/>
                <w:lang w:val="en-GB"/>
              </w:rPr>
              <w:t xml:space="preserve">ission </w:t>
            </w:r>
            <w:r w:rsidR="0024165C">
              <w:rPr>
                <w:b/>
                <w:sz w:val="16"/>
                <w:szCs w:val="16"/>
                <w:lang w:val="en-GB"/>
              </w:rPr>
              <w:t>and</w:t>
            </w:r>
            <w:r w:rsidRPr="008D685A">
              <w:rPr>
                <w:b/>
                <w:sz w:val="16"/>
                <w:szCs w:val="16"/>
                <w:lang w:val="en-GB"/>
              </w:rPr>
              <w:t xml:space="preserve"> </w:t>
            </w:r>
            <w:r w:rsidR="0024165C">
              <w:rPr>
                <w:b/>
                <w:sz w:val="16"/>
                <w:szCs w:val="16"/>
                <w:lang w:val="en-GB"/>
              </w:rPr>
              <w:t>p</w:t>
            </w:r>
            <w:r w:rsidRPr="008D685A">
              <w:rPr>
                <w:b/>
                <w:sz w:val="16"/>
                <w:szCs w:val="16"/>
                <w:lang w:val="en-GB"/>
              </w:rPr>
              <w:t>rinciples</w:t>
            </w:r>
          </w:p>
        </w:tc>
        <w:tc>
          <w:tcPr>
            <w:tcW w:w="3240" w:type="dxa"/>
          </w:tcPr>
          <w:p w14:paraId="2FFA91F5" w14:textId="7113C817" w:rsidR="00306397" w:rsidRPr="008D685A" w:rsidRDefault="00306397" w:rsidP="00ED3810">
            <w:pPr>
              <w:pStyle w:val="Footnote"/>
              <w:jc w:val="left"/>
              <w:rPr>
                <w:i/>
                <w:sz w:val="16"/>
                <w:szCs w:val="16"/>
                <w:lang w:val="en-GB"/>
              </w:rPr>
            </w:pPr>
            <w:r w:rsidRPr="008D685A">
              <w:rPr>
                <w:i/>
                <w:sz w:val="16"/>
                <w:szCs w:val="16"/>
                <w:lang w:val="en-GB"/>
              </w:rPr>
              <w:t>“To help improve the health, wealth and education of people who live without power.”</w:t>
            </w:r>
          </w:p>
        </w:tc>
        <w:tc>
          <w:tcPr>
            <w:tcW w:w="4320" w:type="dxa"/>
          </w:tcPr>
          <w:p w14:paraId="3ABE3EAB" w14:textId="1FE134D4" w:rsidR="00306397" w:rsidRPr="008D685A" w:rsidRDefault="00306397" w:rsidP="00ED3810">
            <w:pPr>
              <w:pStyle w:val="Footnote"/>
              <w:jc w:val="left"/>
              <w:rPr>
                <w:i/>
                <w:sz w:val="16"/>
                <w:szCs w:val="16"/>
                <w:lang w:val="en-GB"/>
              </w:rPr>
            </w:pPr>
            <w:r w:rsidRPr="008D685A">
              <w:rPr>
                <w:sz w:val="16"/>
                <w:szCs w:val="16"/>
                <w:lang w:val="en-GB"/>
              </w:rPr>
              <w:t> “</w:t>
            </w:r>
            <w:r w:rsidR="0050434F">
              <w:rPr>
                <w:i/>
                <w:sz w:val="16"/>
                <w:szCs w:val="16"/>
                <w:lang w:val="en-GB"/>
              </w:rPr>
              <w:t>T</w:t>
            </w:r>
            <w:r w:rsidRPr="008D685A">
              <w:rPr>
                <w:i/>
                <w:sz w:val="16"/>
                <w:szCs w:val="16"/>
                <w:lang w:val="en-GB"/>
              </w:rPr>
              <w:t>o inspire and enable people to live their dreams of travel and adventure</w:t>
            </w:r>
            <w:r w:rsidRPr="008D685A">
              <w:rPr>
                <w:sz w:val="16"/>
                <w:szCs w:val="16"/>
                <w:lang w:val="en-GB"/>
              </w:rPr>
              <w:t>.”</w:t>
            </w:r>
          </w:p>
        </w:tc>
        <w:tc>
          <w:tcPr>
            <w:tcW w:w="3198" w:type="dxa"/>
          </w:tcPr>
          <w:p w14:paraId="2F76F7B8" w14:textId="2F63705F" w:rsidR="00306397" w:rsidRPr="00ED3810" w:rsidRDefault="00306397" w:rsidP="00ED3810">
            <w:pPr>
              <w:pStyle w:val="Footnote"/>
              <w:jc w:val="left"/>
              <w:rPr>
                <w:i/>
                <w:spacing w:val="-4"/>
                <w:kern w:val="16"/>
                <w:sz w:val="16"/>
                <w:szCs w:val="16"/>
                <w:lang w:val="en-GB"/>
              </w:rPr>
            </w:pPr>
            <w:r w:rsidRPr="00ED3810">
              <w:rPr>
                <w:i/>
                <w:spacing w:val="-4"/>
                <w:kern w:val="16"/>
                <w:sz w:val="16"/>
                <w:szCs w:val="16"/>
                <w:lang w:val="en-GB"/>
              </w:rPr>
              <w:t>“</w:t>
            </w:r>
            <w:r w:rsidR="0050434F" w:rsidRPr="00ED3810">
              <w:rPr>
                <w:i/>
                <w:spacing w:val="-4"/>
                <w:kern w:val="16"/>
                <w:sz w:val="16"/>
                <w:szCs w:val="16"/>
                <w:lang w:val="en-GB"/>
              </w:rPr>
              <w:t>T</w:t>
            </w:r>
            <w:r w:rsidRPr="00ED3810">
              <w:rPr>
                <w:i/>
                <w:spacing w:val="-4"/>
                <w:kern w:val="16"/>
                <w:sz w:val="16"/>
                <w:szCs w:val="16"/>
                <w:lang w:val="en-GB"/>
              </w:rPr>
              <w:t xml:space="preserve">o </w:t>
            </w:r>
            <w:r w:rsidRPr="00ED3810">
              <w:rPr>
                <w:bCs/>
                <w:i/>
                <w:spacing w:val="-4"/>
                <w:kern w:val="16"/>
                <w:sz w:val="16"/>
                <w:szCs w:val="16"/>
                <w:lang w:val="en-GB"/>
              </w:rPr>
              <w:t>inspire, equip and enable</w:t>
            </w:r>
            <w:r w:rsidRPr="00ED3810">
              <w:rPr>
                <w:i/>
                <w:spacing w:val="-4"/>
                <w:kern w:val="16"/>
                <w:sz w:val="16"/>
                <w:szCs w:val="16"/>
                <w:lang w:val="en-GB"/>
              </w:rPr>
              <w:t>, we will help people enjoy the benefits of outdoor-oriented recreation, encouraging happier and healthier lifestyles.”</w:t>
            </w:r>
          </w:p>
        </w:tc>
      </w:tr>
      <w:tr w:rsidR="00306397" w:rsidRPr="008D685A" w14:paraId="0C7AD72B" w14:textId="77777777" w:rsidTr="00EC2398">
        <w:trPr>
          <w:trHeight w:val="537"/>
          <w:jc w:val="center"/>
        </w:trPr>
        <w:tc>
          <w:tcPr>
            <w:tcW w:w="2245" w:type="dxa"/>
            <w:vAlign w:val="center"/>
          </w:tcPr>
          <w:p w14:paraId="5984A30C" w14:textId="77777777" w:rsidR="00306397" w:rsidRPr="008D685A" w:rsidRDefault="00306397" w:rsidP="00ED3810">
            <w:pPr>
              <w:pStyle w:val="Footnote"/>
              <w:jc w:val="left"/>
              <w:rPr>
                <w:b/>
                <w:sz w:val="16"/>
                <w:szCs w:val="16"/>
                <w:lang w:val="en-GB"/>
              </w:rPr>
            </w:pPr>
            <w:r w:rsidRPr="008D685A">
              <w:rPr>
                <w:b/>
                <w:sz w:val="16"/>
                <w:szCs w:val="16"/>
                <w:lang w:val="en-GB"/>
              </w:rPr>
              <w:t>Sale and distribution model (for portable solar lanterns)</w:t>
            </w:r>
          </w:p>
        </w:tc>
        <w:tc>
          <w:tcPr>
            <w:tcW w:w="3240" w:type="dxa"/>
          </w:tcPr>
          <w:p w14:paraId="506FF51A" w14:textId="33276681" w:rsidR="00306397" w:rsidRPr="008D685A" w:rsidRDefault="00306397" w:rsidP="00ED3810">
            <w:pPr>
              <w:pStyle w:val="Footnote"/>
              <w:jc w:val="left"/>
              <w:rPr>
                <w:sz w:val="16"/>
                <w:szCs w:val="16"/>
                <w:lang w:val="en-GB"/>
              </w:rPr>
            </w:pPr>
            <w:r w:rsidRPr="008D685A">
              <w:rPr>
                <w:sz w:val="16"/>
                <w:szCs w:val="16"/>
                <w:lang w:val="en-GB"/>
              </w:rPr>
              <w:t>Lantern</w:t>
            </w:r>
            <w:r w:rsidR="0024165C">
              <w:rPr>
                <w:sz w:val="16"/>
                <w:szCs w:val="16"/>
                <w:lang w:val="en-GB"/>
              </w:rPr>
              <w:t>s are</w:t>
            </w:r>
            <w:r w:rsidRPr="008D685A">
              <w:rPr>
                <w:sz w:val="16"/>
                <w:szCs w:val="16"/>
                <w:lang w:val="en-GB"/>
              </w:rPr>
              <w:t xml:space="preserve"> sold online. </w:t>
            </w:r>
          </w:p>
        </w:tc>
        <w:tc>
          <w:tcPr>
            <w:tcW w:w="4320" w:type="dxa"/>
          </w:tcPr>
          <w:p w14:paraId="721ACCF2" w14:textId="148DA8ED" w:rsidR="00306397" w:rsidRPr="008D685A" w:rsidRDefault="0024165C" w:rsidP="00ED3810">
            <w:pPr>
              <w:pStyle w:val="Footnote"/>
              <w:jc w:val="left"/>
              <w:rPr>
                <w:sz w:val="16"/>
                <w:szCs w:val="16"/>
                <w:lang w:val="en-GB"/>
              </w:rPr>
            </w:pPr>
            <w:r>
              <w:rPr>
                <w:sz w:val="16"/>
                <w:szCs w:val="16"/>
                <w:lang w:val="en-GB"/>
              </w:rPr>
              <w:t>Lanterns are sold through its</w:t>
            </w:r>
            <w:r w:rsidR="00306397" w:rsidRPr="008D685A">
              <w:rPr>
                <w:sz w:val="16"/>
                <w:szCs w:val="16"/>
                <w:lang w:val="en-GB"/>
              </w:rPr>
              <w:t xml:space="preserve"> 115 stores in Australia or </w:t>
            </w:r>
            <w:r>
              <w:rPr>
                <w:sz w:val="16"/>
                <w:szCs w:val="16"/>
                <w:lang w:val="en-GB"/>
              </w:rPr>
              <w:t xml:space="preserve">through </w:t>
            </w:r>
            <w:r w:rsidR="00306397" w:rsidRPr="008D685A">
              <w:rPr>
                <w:sz w:val="16"/>
                <w:szCs w:val="16"/>
                <w:lang w:val="en-GB"/>
              </w:rPr>
              <w:t xml:space="preserve">other retailers. </w:t>
            </w:r>
          </w:p>
        </w:tc>
        <w:tc>
          <w:tcPr>
            <w:tcW w:w="3198" w:type="dxa"/>
          </w:tcPr>
          <w:p w14:paraId="5CBE52C9" w14:textId="0714D0DD" w:rsidR="00306397" w:rsidRPr="008D685A" w:rsidRDefault="0024165C" w:rsidP="00ED3810">
            <w:pPr>
              <w:pStyle w:val="Footnote"/>
              <w:jc w:val="left"/>
              <w:rPr>
                <w:sz w:val="16"/>
                <w:szCs w:val="16"/>
                <w:lang w:val="en-GB"/>
              </w:rPr>
            </w:pPr>
            <w:r w:rsidRPr="008D685A">
              <w:rPr>
                <w:sz w:val="16"/>
                <w:szCs w:val="16"/>
                <w:lang w:val="en-GB"/>
              </w:rPr>
              <w:t>Lantern</w:t>
            </w:r>
            <w:r>
              <w:rPr>
                <w:sz w:val="16"/>
                <w:szCs w:val="16"/>
                <w:lang w:val="en-GB"/>
              </w:rPr>
              <w:t>s are</w:t>
            </w:r>
            <w:r w:rsidRPr="008D685A">
              <w:rPr>
                <w:sz w:val="16"/>
                <w:szCs w:val="16"/>
                <w:lang w:val="en-GB"/>
              </w:rPr>
              <w:t xml:space="preserve"> sold </w:t>
            </w:r>
            <w:r>
              <w:rPr>
                <w:sz w:val="16"/>
                <w:szCs w:val="16"/>
                <w:lang w:val="en-GB"/>
              </w:rPr>
              <w:t>through its</w:t>
            </w:r>
            <w:r w:rsidR="00306397" w:rsidRPr="008D685A">
              <w:rPr>
                <w:sz w:val="16"/>
                <w:szCs w:val="16"/>
                <w:lang w:val="en-GB"/>
              </w:rPr>
              <w:t xml:space="preserve"> 35 stores across Australia and online. </w:t>
            </w:r>
          </w:p>
        </w:tc>
      </w:tr>
      <w:tr w:rsidR="00306397" w:rsidRPr="008D685A" w14:paraId="6C5A6008" w14:textId="77777777" w:rsidTr="00EC2398">
        <w:trPr>
          <w:trHeight w:val="2996"/>
          <w:jc w:val="center"/>
        </w:trPr>
        <w:tc>
          <w:tcPr>
            <w:tcW w:w="2245" w:type="dxa"/>
            <w:vAlign w:val="center"/>
          </w:tcPr>
          <w:p w14:paraId="5F9D408B" w14:textId="65ECF9CD" w:rsidR="00306397" w:rsidRPr="008D685A" w:rsidRDefault="00306397" w:rsidP="00ED3810">
            <w:pPr>
              <w:pStyle w:val="Footnote"/>
              <w:jc w:val="left"/>
              <w:rPr>
                <w:b/>
                <w:sz w:val="16"/>
                <w:szCs w:val="16"/>
                <w:lang w:val="en-GB"/>
              </w:rPr>
            </w:pPr>
            <w:r w:rsidRPr="008D685A">
              <w:rPr>
                <w:b/>
                <w:sz w:val="16"/>
                <w:szCs w:val="16"/>
                <w:lang w:val="en-GB"/>
              </w:rPr>
              <w:t xml:space="preserve">Solar </w:t>
            </w:r>
            <w:r w:rsidR="00050039">
              <w:rPr>
                <w:b/>
                <w:sz w:val="16"/>
                <w:szCs w:val="16"/>
                <w:lang w:val="en-GB"/>
              </w:rPr>
              <w:t>l</w:t>
            </w:r>
            <w:r w:rsidRPr="008D685A">
              <w:rPr>
                <w:b/>
                <w:sz w:val="16"/>
                <w:szCs w:val="16"/>
                <w:lang w:val="en-GB"/>
              </w:rPr>
              <w:t xml:space="preserve">antern </w:t>
            </w:r>
            <w:r w:rsidR="00050039">
              <w:rPr>
                <w:b/>
                <w:sz w:val="16"/>
                <w:szCs w:val="16"/>
                <w:lang w:val="en-GB"/>
              </w:rPr>
              <w:t>p</w:t>
            </w:r>
            <w:r w:rsidRPr="008D685A">
              <w:rPr>
                <w:b/>
                <w:sz w:val="16"/>
                <w:szCs w:val="16"/>
                <w:lang w:val="en-GB"/>
              </w:rPr>
              <w:t>roduct</w:t>
            </w:r>
          </w:p>
        </w:tc>
        <w:tc>
          <w:tcPr>
            <w:tcW w:w="3240" w:type="dxa"/>
          </w:tcPr>
          <w:p w14:paraId="2EC20FFB" w14:textId="4F381E64" w:rsidR="00306397" w:rsidRPr="008D685A" w:rsidRDefault="00306397" w:rsidP="00ED3810">
            <w:pPr>
              <w:pStyle w:val="Footnote"/>
              <w:jc w:val="left"/>
              <w:rPr>
                <w:sz w:val="16"/>
                <w:szCs w:val="16"/>
                <w:lang w:val="en-GB"/>
              </w:rPr>
            </w:pPr>
            <w:r w:rsidRPr="008D685A">
              <w:rPr>
                <w:b/>
                <w:sz w:val="16"/>
                <w:szCs w:val="16"/>
                <w:lang w:val="en-GB"/>
              </w:rPr>
              <w:t>Mandarin 2</w:t>
            </w:r>
          </w:p>
          <w:p w14:paraId="65EBD0D8" w14:textId="77777777" w:rsidR="00306397" w:rsidRPr="008D685A" w:rsidRDefault="00306397" w:rsidP="00ED3810">
            <w:pPr>
              <w:pStyle w:val="Footnote"/>
              <w:jc w:val="left"/>
              <w:rPr>
                <w:sz w:val="16"/>
                <w:szCs w:val="16"/>
                <w:lang w:val="en-GB"/>
              </w:rPr>
            </w:pPr>
          </w:p>
          <w:p w14:paraId="79663996" w14:textId="68910F6E" w:rsidR="00306397" w:rsidRPr="008D685A" w:rsidRDefault="00306397" w:rsidP="00ED3810">
            <w:pPr>
              <w:pStyle w:val="Footnote"/>
              <w:numPr>
                <w:ilvl w:val="0"/>
                <w:numId w:val="41"/>
              </w:numPr>
              <w:jc w:val="left"/>
              <w:rPr>
                <w:sz w:val="16"/>
                <w:szCs w:val="16"/>
                <w:lang w:val="en-GB"/>
              </w:rPr>
            </w:pPr>
            <w:r w:rsidRPr="008D685A">
              <w:rPr>
                <w:sz w:val="16"/>
                <w:szCs w:val="16"/>
                <w:lang w:val="en-GB"/>
              </w:rPr>
              <w:t>Luminance: </w:t>
            </w:r>
            <w:r w:rsidR="0050434F">
              <w:rPr>
                <w:sz w:val="16"/>
                <w:szCs w:val="16"/>
                <w:lang w:val="en-GB"/>
              </w:rPr>
              <w:t>h</w:t>
            </w:r>
            <w:r w:rsidRPr="008D685A">
              <w:rPr>
                <w:sz w:val="16"/>
                <w:szCs w:val="16"/>
                <w:lang w:val="en-GB"/>
              </w:rPr>
              <w:t>igh: 100 lumens</w:t>
            </w:r>
            <w:r w:rsidR="0050434F">
              <w:rPr>
                <w:sz w:val="16"/>
                <w:szCs w:val="16"/>
                <w:lang w:val="en-GB"/>
              </w:rPr>
              <w:t>;</w:t>
            </w:r>
            <w:r w:rsidRPr="008D685A">
              <w:rPr>
                <w:sz w:val="16"/>
                <w:szCs w:val="16"/>
                <w:lang w:val="en-GB"/>
              </w:rPr>
              <w:t xml:space="preserve"> </w:t>
            </w:r>
            <w:r w:rsidR="0050434F">
              <w:rPr>
                <w:sz w:val="16"/>
                <w:szCs w:val="16"/>
                <w:lang w:val="en-GB"/>
              </w:rPr>
              <w:t>m</w:t>
            </w:r>
            <w:r w:rsidRPr="008D685A">
              <w:rPr>
                <w:sz w:val="16"/>
                <w:szCs w:val="16"/>
                <w:lang w:val="en-GB"/>
              </w:rPr>
              <w:t>edium: 60 lumens</w:t>
            </w:r>
            <w:r w:rsidR="0050434F">
              <w:rPr>
                <w:sz w:val="16"/>
                <w:szCs w:val="16"/>
                <w:lang w:val="en-GB"/>
              </w:rPr>
              <w:t>;</w:t>
            </w:r>
            <w:r w:rsidRPr="008D685A">
              <w:rPr>
                <w:sz w:val="16"/>
                <w:szCs w:val="16"/>
                <w:lang w:val="en-GB"/>
              </w:rPr>
              <w:t xml:space="preserve"> </w:t>
            </w:r>
            <w:r w:rsidR="0050434F">
              <w:rPr>
                <w:sz w:val="16"/>
                <w:szCs w:val="16"/>
                <w:lang w:val="en-GB"/>
              </w:rPr>
              <w:t>l</w:t>
            </w:r>
            <w:r w:rsidRPr="008D685A">
              <w:rPr>
                <w:sz w:val="16"/>
                <w:szCs w:val="16"/>
                <w:lang w:val="en-GB"/>
              </w:rPr>
              <w:t>ow: 15 lumens</w:t>
            </w:r>
          </w:p>
          <w:p w14:paraId="087C3413" w14:textId="2009E786" w:rsidR="00306397" w:rsidRPr="008D685A" w:rsidRDefault="00306397" w:rsidP="00ED3810">
            <w:pPr>
              <w:pStyle w:val="Footnote"/>
              <w:numPr>
                <w:ilvl w:val="0"/>
                <w:numId w:val="41"/>
              </w:numPr>
              <w:jc w:val="left"/>
              <w:rPr>
                <w:sz w:val="16"/>
                <w:szCs w:val="16"/>
                <w:lang w:val="en-GB"/>
              </w:rPr>
            </w:pPr>
            <w:r w:rsidRPr="008D685A">
              <w:rPr>
                <w:sz w:val="16"/>
                <w:szCs w:val="16"/>
                <w:lang w:val="en-GB"/>
              </w:rPr>
              <w:t>Charge time: </w:t>
            </w:r>
            <w:r w:rsidR="0050434F">
              <w:rPr>
                <w:sz w:val="16"/>
                <w:szCs w:val="16"/>
                <w:lang w:val="en-GB"/>
              </w:rPr>
              <w:t>s</w:t>
            </w:r>
            <w:r w:rsidRPr="008D685A">
              <w:rPr>
                <w:sz w:val="16"/>
                <w:szCs w:val="16"/>
                <w:lang w:val="en-GB"/>
              </w:rPr>
              <w:t xml:space="preserve">un: </w:t>
            </w:r>
            <w:r w:rsidR="0050434F">
              <w:rPr>
                <w:sz w:val="16"/>
                <w:szCs w:val="16"/>
                <w:lang w:val="en-GB"/>
              </w:rPr>
              <w:t>one</w:t>
            </w:r>
            <w:r w:rsidRPr="008D685A">
              <w:rPr>
                <w:sz w:val="16"/>
                <w:szCs w:val="16"/>
                <w:lang w:val="en-GB"/>
              </w:rPr>
              <w:t xml:space="preserve">-hour charge for </w:t>
            </w:r>
            <w:r w:rsidR="0050434F">
              <w:rPr>
                <w:sz w:val="16"/>
                <w:szCs w:val="16"/>
                <w:lang w:val="en-GB"/>
              </w:rPr>
              <w:t>one</w:t>
            </w:r>
            <w:r w:rsidRPr="008D685A">
              <w:rPr>
                <w:sz w:val="16"/>
                <w:szCs w:val="16"/>
                <w:lang w:val="en-GB"/>
              </w:rPr>
              <w:t xml:space="preserve"> hour light (medium setting)</w:t>
            </w:r>
            <w:r w:rsidR="0050434F">
              <w:rPr>
                <w:sz w:val="16"/>
                <w:szCs w:val="16"/>
                <w:lang w:val="en-GB"/>
              </w:rPr>
              <w:t>; six to eight</w:t>
            </w:r>
            <w:r w:rsidRPr="008D685A">
              <w:rPr>
                <w:sz w:val="16"/>
                <w:szCs w:val="16"/>
                <w:lang w:val="en-GB"/>
              </w:rPr>
              <w:t xml:space="preserve"> hour total charge</w:t>
            </w:r>
          </w:p>
          <w:p w14:paraId="18DA88DC" w14:textId="3703BD1F" w:rsidR="00CA0E46" w:rsidRDefault="00306397" w:rsidP="00ED3810">
            <w:pPr>
              <w:pStyle w:val="Footnote"/>
              <w:numPr>
                <w:ilvl w:val="0"/>
                <w:numId w:val="41"/>
              </w:numPr>
              <w:jc w:val="left"/>
              <w:rPr>
                <w:sz w:val="16"/>
                <w:szCs w:val="16"/>
                <w:lang w:val="en-GB"/>
              </w:rPr>
            </w:pPr>
            <w:r w:rsidRPr="008D685A">
              <w:rPr>
                <w:sz w:val="16"/>
                <w:szCs w:val="16"/>
                <w:lang w:val="en-GB"/>
              </w:rPr>
              <w:t>Hours of light per charge: </w:t>
            </w:r>
            <w:r w:rsidR="0050434F">
              <w:rPr>
                <w:sz w:val="16"/>
                <w:szCs w:val="16"/>
                <w:lang w:val="en-GB"/>
              </w:rPr>
              <w:t>h</w:t>
            </w:r>
            <w:r w:rsidRPr="008D685A">
              <w:rPr>
                <w:sz w:val="16"/>
                <w:szCs w:val="16"/>
                <w:lang w:val="en-GB"/>
              </w:rPr>
              <w:t>igh &gt; 2 hours</w:t>
            </w:r>
            <w:r w:rsidR="0050434F">
              <w:rPr>
                <w:sz w:val="16"/>
                <w:szCs w:val="16"/>
                <w:lang w:val="en-GB"/>
              </w:rPr>
              <w:t>;</w:t>
            </w:r>
            <w:r w:rsidRPr="008D685A">
              <w:rPr>
                <w:sz w:val="16"/>
                <w:szCs w:val="16"/>
                <w:lang w:val="en-GB"/>
              </w:rPr>
              <w:t> </w:t>
            </w:r>
            <w:r w:rsidR="0050434F">
              <w:rPr>
                <w:sz w:val="16"/>
                <w:szCs w:val="16"/>
                <w:lang w:val="en-GB"/>
              </w:rPr>
              <w:t>m</w:t>
            </w:r>
            <w:r w:rsidRPr="008D685A">
              <w:rPr>
                <w:sz w:val="16"/>
                <w:szCs w:val="16"/>
                <w:lang w:val="en-GB"/>
              </w:rPr>
              <w:t>edium &gt; 6 hours</w:t>
            </w:r>
            <w:r w:rsidR="0050434F">
              <w:rPr>
                <w:sz w:val="16"/>
                <w:szCs w:val="16"/>
                <w:lang w:val="en-GB"/>
              </w:rPr>
              <w:t>;</w:t>
            </w:r>
            <w:r w:rsidRPr="008D685A">
              <w:rPr>
                <w:sz w:val="16"/>
                <w:szCs w:val="16"/>
                <w:lang w:val="en-GB"/>
              </w:rPr>
              <w:t> </w:t>
            </w:r>
            <w:r w:rsidR="0050434F">
              <w:rPr>
                <w:sz w:val="16"/>
                <w:szCs w:val="16"/>
                <w:lang w:val="en-GB"/>
              </w:rPr>
              <w:t>l</w:t>
            </w:r>
            <w:r w:rsidRPr="008D685A">
              <w:rPr>
                <w:sz w:val="16"/>
                <w:szCs w:val="16"/>
                <w:lang w:val="en-GB"/>
              </w:rPr>
              <w:t>ow &gt; 15 hours</w:t>
            </w:r>
          </w:p>
          <w:p w14:paraId="3452B655" w14:textId="257B2601" w:rsidR="00306397" w:rsidRPr="008D685A" w:rsidRDefault="00306397" w:rsidP="00ED3810">
            <w:pPr>
              <w:pStyle w:val="Footnote"/>
              <w:numPr>
                <w:ilvl w:val="0"/>
                <w:numId w:val="41"/>
              </w:numPr>
              <w:jc w:val="left"/>
              <w:rPr>
                <w:sz w:val="16"/>
                <w:szCs w:val="16"/>
                <w:lang w:val="en-GB"/>
              </w:rPr>
            </w:pPr>
            <w:r w:rsidRPr="008D685A">
              <w:rPr>
                <w:sz w:val="16"/>
                <w:szCs w:val="16"/>
                <w:lang w:val="en-GB"/>
              </w:rPr>
              <w:t xml:space="preserve">Rechargeable batteries: </w:t>
            </w:r>
            <w:r w:rsidR="0050434F">
              <w:rPr>
                <w:sz w:val="16"/>
                <w:szCs w:val="16"/>
                <w:lang w:val="en-GB"/>
              </w:rPr>
              <w:t>three</w:t>
            </w:r>
            <w:r w:rsidRPr="008D685A">
              <w:rPr>
                <w:sz w:val="16"/>
                <w:szCs w:val="16"/>
                <w:lang w:val="en-GB"/>
              </w:rPr>
              <w:t xml:space="preserve"> AA 600mAh Ni-MH (replaceable)</w:t>
            </w:r>
          </w:p>
          <w:p w14:paraId="2C1B6A24" w14:textId="006DC2BE" w:rsidR="00306397" w:rsidRPr="008D685A" w:rsidRDefault="00306397" w:rsidP="00ED3810">
            <w:pPr>
              <w:pStyle w:val="Footnote"/>
              <w:numPr>
                <w:ilvl w:val="0"/>
                <w:numId w:val="41"/>
              </w:numPr>
              <w:jc w:val="left"/>
              <w:rPr>
                <w:sz w:val="16"/>
                <w:szCs w:val="16"/>
                <w:lang w:val="en-GB"/>
              </w:rPr>
            </w:pPr>
            <w:r w:rsidRPr="008D685A">
              <w:rPr>
                <w:sz w:val="16"/>
                <w:szCs w:val="16"/>
                <w:lang w:val="en-GB"/>
              </w:rPr>
              <w:t>Total weight for portable solar: 215</w:t>
            </w:r>
            <w:r w:rsidR="0050434F">
              <w:rPr>
                <w:sz w:val="16"/>
                <w:szCs w:val="16"/>
                <w:lang w:val="en-GB"/>
              </w:rPr>
              <w:t xml:space="preserve"> </w:t>
            </w:r>
            <w:r w:rsidRPr="008D685A">
              <w:rPr>
                <w:sz w:val="16"/>
                <w:szCs w:val="16"/>
                <w:lang w:val="en-GB"/>
              </w:rPr>
              <w:t>g</w:t>
            </w:r>
          </w:p>
          <w:p w14:paraId="32C3BDC5" w14:textId="13260FD9" w:rsidR="00306397" w:rsidRPr="00BB2CB2" w:rsidRDefault="00306397" w:rsidP="00ED3810">
            <w:pPr>
              <w:pStyle w:val="Footnote"/>
              <w:numPr>
                <w:ilvl w:val="0"/>
                <w:numId w:val="41"/>
              </w:numPr>
              <w:jc w:val="left"/>
              <w:rPr>
                <w:sz w:val="16"/>
                <w:szCs w:val="16"/>
                <w:lang w:val="en-GB"/>
              </w:rPr>
            </w:pPr>
            <w:r w:rsidRPr="00BB2CB2">
              <w:rPr>
                <w:sz w:val="16"/>
                <w:szCs w:val="16"/>
                <w:lang w:val="en-GB"/>
              </w:rPr>
              <w:t>Total cost for portable solar: AU</w:t>
            </w:r>
            <w:r w:rsidR="0050434F">
              <w:rPr>
                <w:sz w:val="16"/>
                <w:szCs w:val="16"/>
                <w:lang w:val="en-GB"/>
              </w:rPr>
              <w:t>$</w:t>
            </w:r>
            <w:r w:rsidRPr="00BB2CB2">
              <w:rPr>
                <w:sz w:val="16"/>
                <w:szCs w:val="16"/>
                <w:lang w:val="en-GB"/>
              </w:rPr>
              <w:t>27.50</w:t>
            </w:r>
          </w:p>
        </w:tc>
        <w:tc>
          <w:tcPr>
            <w:tcW w:w="4320" w:type="dxa"/>
          </w:tcPr>
          <w:p w14:paraId="1A540E7A" w14:textId="363AA8C3" w:rsidR="00306397" w:rsidRPr="008D685A" w:rsidRDefault="00306397" w:rsidP="00ED3810">
            <w:pPr>
              <w:pStyle w:val="Footnote"/>
              <w:jc w:val="left"/>
              <w:rPr>
                <w:b/>
                <w:sz w:val="16"/>
                <w:szCs w:val="16"/>
                <w:lang w:val="en-GB"/>
              </w:rPr>
            </w:pPr>
            <w:r w:rsidRPr="008D685A">
              <w:rPr>
                <w:b/>
                <w:sz w:val="16"/>
                <w:szCs w:val="16"/>
                <w:lang w:val="en-GB"/>
              </w:rPr>
              <w:t>Goal Zero Lighthouse Mini</w:t>
            </w:r>
          </w:p>
          <w:p w14:paraId="25BC24FB" w14:textId="77777777" w:rsidR="00306397" w:rsidRPr="008D685A" w:rsidRDefault="00306397" w:rsidP="00ED3810">
            <w:pPr>
              <w:pStyle w:val="Footnote"/>
              <w:jc w:val="left"/>
              <w:rPr>
                <w:sz w:val="16"/>
                <w:szCs w:val="16"/>
                <w:lang w:val="en-GB"/>
              </w:rPr>
            </w:pPr>
          </w:p>
          <w:p w14:paraId="5940060E" w14:textId="29F5AAEE" w:rsidR="00306397" w:rsidRPr="008D685A" w:rsidRDefault="00306397" w:rsidP="00ED3810">
            <w:pPr>
              <w:pStyle w:val="Footnote"/>
              <w:numPr>
                <w:ilvl w:val="0"/>
                <w:numId w:val="42"/>
              </w:numPr>
              <w:jc w:val="left"/>
              <w:rPr>
                <w:sz w:val="16"/>
                <w:szCs w:val="16"/>
                <w:lang w:val="en-GB"/>
              </w:rPr>
            </w:pPr>
            <w:r w:rsidRPr="008D685A">
              <w:rPr>
                <w:sz w:val="16"/>
                <w:szCs w:val="16"/>
                <w:lang w:val="en-GB"/>
              </w:rPr>
              <w:t xml:space="preserve">Luminance:210 </w:t>
            </w:r>
            <w:r w:rsidR="0050434F">
              <w:rPr>
                <w:sz w:val="16"/>
                <w:szCs w:val="16"/>
                <w:lang w:val="en-GB"/>
              </w:rPr>
              <w:t>l</w:t>
            </w:r>
            <w:r w:rsidR="00ED3810">
              <w:rPr>
                <w:sz w:val="16"/>
                <w:szCs w:val="16"/>
                <w:lang w:val="en-GB"/>
              </w:rPr>
              <w:t xml:space="preserve">umens </w:t>
            </w:r>
          </w:p>
          <w:p w14:paraId="7A5F48B4" w14:textId="545EB909" w:rsidR="00306397" w:rsidRPr="008D685A" w:rsidRDefault="00306397" w:rsidP="00ED3810">
            <w:pPr>
              <w:pStyle w:val="Footnote"/>
              <w:numPr>
                <w:ilvl w:val="0"/>
                <w:numId w:val="42"/>
              </w:numPr>
              <w:jc w:val="left"/>
              <w:rPr>
                <w:sz w:val="16"/>
                <w:szCs w:val="16"/>
                <w:lang w:val="en-GB"/>
              </w:rPr>
            </w:pPr>
            <w:r w:rsidRPr="008D685A">
              <w:rPr>
                <w:sz w:val="16"/>
                <w:szCs w:val="16"/>
                <w:lang w:val="en-GB"/>
              </w:rPr>
              <w:t xml:space="preserve">Run time: </w:t>
            </w:r>
            <w:r w:rsidR="00CA0E46">
              <w:rPr>
                <w:sz w:val="16"/>
                <w:szCs w:val="16"/>
                <w:lang w:val="en-GB"/>
              </w:rPr>
              <w:t>b</w:t>
            </w:r>
            <w:r w:rsidRPr="008D685A">
              <w:rPr>
                <w:sz w:val="16"/>
                <w:szCs w:val="16"/>
                <w:lang w:val="en-GB"/>
              </w:rPr>
              <w:t>rightness can be adjusted up to 500 hours on low</w:t>
            </w:r>
          </w:p>
          <w:p w14:paraId="23E8133D" w14:textId="50ED5F57" w:rsidR="0050434F" w:rsidRDefault="00306397" w:rsidP="00ED3810">
            <w:pPr>
              <w:pStyle w:val="Footnote"/>
              <w:numPr>
                <w:ilvl w:val="0"/>
                <w:numId w:val="42"/>
              </w:numPr>
              <w:jc w:val="left"/>
              <w:rPr>
                <w:sz w:val="16"/>
                <w:szCs w:val="16"/>
                <w:lang w:val="en-GB"/>
              </w:rPr>
            </w:pPr>
            <w:r w:rsidRPr="008D685A">
              <w:rPr>
                <w:sz w:val="16"/>
                <w:szCs w:val="16"/>
                <w:lang w:val="en-GB"/>
              </w:rPr>
              <w:t>Cost of lantern: AU</w:t>
            </w:r>
            <w:r w:rsidR="0050434F">
              <w:rPr>
                <w:sz w:val="16"/>
                <w:szCs w:val="16"/>
                <w:lang w:val="en-GB"/>
              </w:rPr>
              <w:t>$</w:t>
            </w:r>
            <w:r w:rsidRPr="008D685A">
              <w:rPr>
                <w:sz w:val="16"/>
                <w:szCs w:val="16"/>
                <w:lang w:val="en-GB"/>
              </w:rPr>
              <w:t xml:space="preserve">99.98 </w:t>
            </w:r>
          </w:p>
          <w:p w14:paraId="392A78B2" w14:textId="3D6F7AFA" w:rsidR="00CA0E46" w:rsidRDefault="00306397" w:rsidP="00ED3810">
            <w:pPr>
              <w:pStyle w:val="Footnote"/>
              <w:numPr>
                <w:ilvl w:val="0"/>
                <w:numId w:val="42"/>
              </w:numPr>
              <w:jc w:val="left"/>
              <w:rPr>
                <w:sz w:val="16"/>
                <w:szCs w:val="16"/>
                <w:lang w:val="en-GB"/>
              </w:rPr>
            </w:pPr>
            <w:r w:rsidRPr="008D685A">
              <w:rPr>
                <w:sz w:val="16"/>
                <w:szCs w:val="16"/>
                <w:lang w:val="en-GB"/>
              </w:rPr>
              <w:t>To recharge using solar power</w:t>
            </w:r>
            <w:r w:rsidR="0050434F">
              <w:rPr>
                <w:sz w:val="16"/>
                <w:szCs w:val="16"/>
                <w:lang w:val="en-GB"/>
              </w:rPr>
              <w:t>,</w:t>
            </w:r>
            <w:r w:rsidRPr="008D685A">
              <w:rPr>
                <w:sz w:val="16"/>
                <w:szCs w:val="16"/>
                <w:lang w:val="en-GB"/>
              </w:rPr>
              <w:t xml:space="preserve"> the light can be plugged into or Nomad 7 Solar Panel (AU $159.98). </w:t>
            </w:r>
          </w:p>
          <w:p w14:paraId="1705FFB7" w14:textId="78CD91A6" w:rsidR="00CA0E46" w:rsidRDefault="00306397" w:rsidP="00ED3810">
            <w:pPr>
              <w:pStyle w:val="Footnote"/>
              <w:numPr>
                <w:ilvl w:val="0"/>
                <w:numId w:val="42"/>
              </w:numPr>
              <w:jc w:val="left"/>
              <w:rPr>
                <w:sz w:val="16"/>
                <w:szCs w:val="16"/>
                <w:lang w:val="en-GB"/>
              </w:rPr>
            </w:pPr>
            <w:r w:rsidRPr="008D685A">
              <w:rPr>
                <w:sz w:val="16"/>
                <w:szCs w:val="16"/>
                <w:lang w:val="en-GB"/>
              </w:rPr>
              <w:t>Weight</w:t>
            </w:r>
            <w:r w:rsidR="0050434F">
              <w:rPr>
                <w:sz w:val="16"/>
                <w:szCs w:val="16"/>
                <w:lang w:val="en-GB"/>
              </w:rPr>
              <w:t>:</w:t>
            </w:r>
            <w:r w:rsidRPr="008D685A">
              <w:rPr>
                <w:sz w:val="16"/>
                <w:szCs w:val="16"/>
                <w:lang w:val="en-GB"/>
              </w:rPr>
              <w:t xml:space="preserve"> 260</w:t>
            </w:r>
            <w:r w:rsidR="0050434F">
              <w:rPr>
                <w:sz w:val="16"/>
                <w:szCs w:val="16"/>
                <w:lang w:val="en-GB"/>
              </w:rPr>
              <w:t xml:space="preserve"> </w:t>
            </w:r>
            <w:r w:rsidRPr="008D685A">
              <w:rPr>
                <w:sz w:val="16"/>
                <w:szCs w:val="16"/>
                <w:lang w:val="en-GB"/>
              </w:rPr>
              <w:t xml:space="preserve">g </w:t>
            </w:r>
          </w:p>
          <w:p w14:paraId="1D8E4333" w14:textId="01597C6D" w:rsidR="00306397" w:rsidRPr="008D685A" w:rsidRDefault="00306397" w:rsidP="00ED3810">
            <w:pPr>
              <w:pStyle w:val="Footnote"/>
              <w:numPr>
                <w:ilvl w:val="0"/>
                <w:numId w:val="42"/>
              </w:numPr>
              <w:jc w:val="left"/>
              <w:rPr>
                <w:sz w:val="16"/>
                <w:szCs w:val="16"/>
                <w:lang w:val="en-GB"/>
              </w:rPr>
            </w:pPr>
            <w:r w:rsidRPr="008D685A">
              <w:rPr>
                <w:sz w:val="16"/>
                <w:szCs w:val="16"/>
                <w:lang w:val="en-GB"/>
              </w:rPr>
              <w:t>May be compatible with other solar panels.</w:t>
            </w:r>
          </w:p>
          <w:p w14:paraId="30AD3F66" w14:textId="61072375" w:rsidR="00306397" w:rsidRPr="008D685A" w:rsidRDefault="00306397" w:rsidP="00ED3810">
            <w:pPr>
              <w:pStyle w:val="Footnote"/>
              <w:numPr>
                <w:ilvl w:val="0"/>
                <w:numId w:val="42"/>
              </w:numPr>
              <w:jc w:val="left"/>
              <w:rPr>
                <w:sz w:val="16"/>
                <w:szCs w:val="16"/>
                <w:lang w:val="en-GB"/>
              </w:rPr>
            </w:pPr>
            <w:r w:rsidRPr="008D685A">
              <w:rPr>
                <w:sz w:val="16"/>
                <w:szCs w:val="16"/>
                <w:lang w:val="en-GB"/>
              </w:rPr>
              <w:t>Total weight for portable solar: 486.8</w:t>
            </w:r>
            <w:r w:rsidR="0050434F">
              <w:rPr>
                <w:sz w:val="16"/>
                <w:szCs w:val="16"/>
                <w:lang w:val="en-GB"/>
              </w:rPr>
              <w:t xml:space="preserve"> </w:t>
            </w:r>
            <w:r w:rsidRPr="008D685A">
              <w:rPr>
                <w:sz w:val="16"/>
                <w:szCs w:val="16"/>
                <w:lang w:val="en-GB"/>
              </w:rPr>
              <w:t>g</w:t>
            </w:r>
          </w:p>
          <w:p w14:paraId="0165EBD3" w14:textId="1A94417E" w:rsidR="00306397" w:rsidRPr="00BB2CB2" w:rsidRDefault="00306397" w:rsidP="00ED3810">
            <w:pPr>
              <w:pStyle w:val="Footnote"/>
              <w:numPr>
                <w:ilvl w:val="0"/>
                <w:numId w:val="42"/>
              </w:numPr>
              <w:jc w:val="left"/>
              <w:rPr>
                <w:sz w:val="16"/>
                <w:szCs w:val="16"/>
                <w:lang w:val="en-GB"/>
              </w:rPr>
            </w:pPr>
            <w:r w:rsidRPr="00BB2CB2">
              <w:rPr>
                <w:sz w:val="16"/>
                <w:szCs w:val="16"/>
                <w:lang w:val="en-GB"/>
              </w:rPr>
              <w:t>Total cost for portable solar: AU</w:t>
            </w:r>
            <w:r w:rsidR="0050434F">
              <w:rPr>
                <w:sz w:val="16"/>
                <w:szCs w:val="16"/>
                <w:lang w:val="en-GB"/>
              </w:rPr>
              <w:t>$</w:t>
            </w:r>
            <w:r w:rsidRPr="00BB2CB2">
              <w:rPr>
                <w:sz w:val="16"/>
                <w:szCs w:val="16"/>
                <w:lang w:val="en-GB"/>
              </w:rPr>
              <w:t>259.96</w:t>
            </w:r>
          </w:p>
        </w:tc>
        <w:tc>
          <w:tcPr>
            <w:tcW w:w="3198" w:type="dxa"/>
          </w:tcPr>
          <w:p w14:paraId="3E14A0DE" w14:textId="44A144E8" w:rsidR="00306397" w:rsidRPr="008D685A" w:rsidRDefault="00306397" w:rsidP="00ED3810">
            <w:pPr>
              <w:pStyle w:val="Footnote"/>
              <w:jc w:val="left"/>
              <w:rPr>
                <w:sz w:val="16"/>
                <w:szCs w:val="16"/>
                <w:lang w:val="en-GB"/>
              </w:rPr>
            </w:pPr>
            <w:r w:rsidRPr="008D685A">
              <w:rPr>
                <w:b/>
                <w:sz w:val="16"/>
                <w:szCs w:val="16"/>
                <w:lang w:val="en-GB"/>
              </w:rPr>
              <w:t>Coleman Vanquish Spin 550 Lantern</w:t>
            </w:r>
          </w:p>
          <w:p w14:paraId="386C4CBA" w14:textId="77777777" w:rsidR="00306397" w:rsidRPr="008D685A" w:rsidRDefault="00306397" w:rsidP="00ED3810">
            <w:pPr>
              <w:pStyle w:val="Footnote"/>
              <w:jc w:val="left"/>
              <w:rPr>
                <w:sz w:val="16"/>
                <w:szCs w:val="16"/>
                <w:lang w:val="en-GB"/>
              </w:rPr>
            </w:pPr>
          </w:p>
          <w:p w14:paraId="38DBEBD7" w14:textId="433367B6" w:rsidR="00306397" w:rsidRPr="008D685A" w:rsidRDefault="00306397" w:rsidP="00ED3810">
            <w:pPr>
              <w:pStyle w:val="Footnote"/>
              <w:numPr>
                <w:ilvl w:val="0"/>
                <w:numId w:val="43"/>
              </w:numPr>
              <w:jc w:val="left"/>
              <w:rPr>
                <w:sz w:val="16"/>
                <w:szCs w:val="16"/>
                <w:lang w:val="en-GB"/>
              </w:rPr>
            </w:pPr>
            <w:r w:rsidRPr="008D685A">
              <w:rPr>
                <w:sz w:val="16"/>
                <w:szCs w:val="16"/>
                <w:lang w:val="en-GB"/>
              </w:rPr>
              <w:t>Luminance:</w:t>
            </w:r>
            <w:r w:rsidR="0050434F">
              <w:rPr>
                <w:sz w:val="16"/>
                <w:szCs w:val="16"/>
                <w:lang w:val="en-GB"/>
              </w:rPr>
              <w:t>h</w:t>
            </w:r>
            <w:r w:rsidRPr="008D685A">
              <w:rPr>
                <w:sz w:val="16"/>
                <w:szCs w:val="16"/>
                <w:lang w:val="en-GB"/>
              </w:rPr>
              <w:t xml:space="preserve">igh: 550 </w:t>
            </w:r>
            <w:r w:rsidR="0050434F">
              <w:rPr>
                <w:sz w:val="16"/>
                <w:szCs w:val="16"/>
                <w:lang w:val="en-GB"/>
              </w:rPr>
              <w:t>l</w:t>
            </w:r>
            <w:r w:rsidRPr="008D685A">
              <w:rPr>
                <w:sz w:val="16"/>
                <w:szCs w:val="16"/>
                <w:lang w:val="en-GB"/>
              </w:rPr>
              <w:t>umens</w:t>
            </w:r>
            <w:r w:rsidR="0050434F">
              <w:rPr>
                <w:sz w:val="16"/>
                <w:szCs w:val="16"/>
                <w:lang w:val="en-GB"/>
              </w:rPr>
              <w:t>;</w:t>
            </w:r>
            <w:r w:rsidRPr="008D685A">
              <w:rPr>
                <w:sz w:val="16"/>
                <w:szCs w:val="16"/>
                <w:lang w:val="en-GB"/>
              </w:rPr>
              <w:t xml:space="preserve"> </w:t>
            </w:r>
            <w:r w:rsidR="0050434F">
              <w:rPr>
                <w:sz w:val="16"/>
                <w:szCs w:val="16"/>
                <w:lang w:val="en-GB"/>
              </w:rPr>
              <w:t>m</w:t>
            </w:r>
            <w:r w:rsidRPr="008D685A">
              <w:rPr>
                <w:sz w:val="16"/>
                <w:szCs w:val="16"/>
                <w:lang w:val="en-GB"/>
              </w:rPr>
              <w:t xml:space="preserve">edium: 200 </w:t>
            </w:r>
            <w:r w:rsidR="0050434F">
              <w:rPr>
                <w:sz w:val="16"/>
                <w:szCs w:val="16"/>
                <w:lang w:val="en-GB"/>
              </w:rPr>
              <w:t>l</w:t>
            </w:r>
            <w:r w:rsidRPr="008D685A">
              <w:rPr>
                <w:sz w:val="16"/>
                <w:szCs w:val="16"/>
                <w:lang w:val="en-GB"/>
              </w:rPr>
              <w:t>umens</w:t>
            </w:r>
            <w:r w:rsidR="0050434F">
              <w:rPr>
                <w:sz w:val="16"/>
                <w:szCs w:val="16"/>
                <w:lang w:val="en-GB"/>
              </w:rPr>
              <w:t>;</w:t>
            </w:r>
            <w:r w:rsidRPr="008D685A">
              <w:rPr>
                <w:sz w:val="16"/>
                <w:szCs w:val="16"/>
                <w:lang w:val="en-GB"/>
              </w:rPr>
              <w:t xml:space="preserve"> </w:t>
            </w:r>
            <w:r w:rsidR="0050434F">
              <w:rPr>
                <w:sz w:val="16"/>
                <w:szCs w:val="16"/>
                <w:lang w:val="en-GB"/>
              </w:rPr>
              <w:t>l</w:t>
            </w:r>
            <w:r w:rsidRPr="008D685A">
              <w:rPr>
                <w:sz w:val="16"/>
                <w:szCs w:val="16"/>
                <w:lang w:val="en-GB"/>
              </w:rPr>
              <w:t xml:space="preserve">ow: 50 </w:t>
            </w:r>
            <w:r w:rsidR="0050434F">
              <w:rPr>
                <w:sz w:val="16"/>
                <w:szCs w:val="16"/>
                <w:lang w:val="en-GB"/>
              </w:rPr>
              <w:t>l</w:t>
            </w:r>
            <w:r w:rsidRPr="008D685A">
              <w:rPr>
                <w:sz w:val="16"/>
                <w:szCs w:val="16"/>
                <w:lang w:val="en-GB"/>
              </w:rPr>
              <w:t>umens</w:t>
            </w:r>
          </w:p>
          <w:p w14:paraId="7F74DA46" w14:textId="261E8111" w:rsidR="00306397" w:rsidRPr="008D685A" w:rsidRDefault="00306397" w:rsidP="00ED3810">
            <w:pPr>
              <w:pStyle w:val="Footnote"/>
              <w:numPr>
                <w:ilvl w:val="0"/>
                <w:numId w:val="43"/>
              </w:numPr>
              <w:jc w:val="left"/>
              <w:rPr>
                <w:sz w:val="16"/>
                <w:szCs w:val="16"/>
                <w:lang w:val="en-GB"/>
              </w:rPr>
            </w:pPr>
            <w:r w:rsidRPr="008D685A">
              <w:rPr>
                <w:sz w:val="16"/>
                <w:szCs w:val="16"/>
                <w:lang w:val="en-GB"/>
              </w:rPr>
              <w:t xml:space="preserve">Run time: 15 hours </w:t>
            </w:r>
            <w:r w:rsidR="0050434F">
              <w:rPr>
                <w:sz w:val="16"/>
                <w:szCs w:val="16"/>
                <w:lang w:val="en-GB"/>
              </w:rPr>
              <w:t>on h</w:t>
            </w:r>
            <w:r w:rsidRPr="008D685A">
              <w:rPr>
                <w:sz w:val="16"/>
                <w:szCs w:val="16"/>
                <w:lang w:val="en-GB"/>
              </w:rPr>
              <w:t>igh</w:t>
            </w:r>
            <w:r w:rsidR="0050434F">
              <w:rPr>
                <w:sz w:val="16"/>
                <w:szCs w:val="16"/>
                <w:lang w:val="en-GB"/>
              </w:rPr>
              <w:t>;</w:t>
            </w:r>
            <w:r w:rsidRPr="008D685A">
              <w:rPr>
                <w:sz w:val="16"/>
                <w:szCs w:val="16"/>
                <w:lang w:val="en-GB"/>
              </w:rPr>
              <w:t xml:space="preserve"> 45 hours </w:t>
            </w:r>
            <w:r w:rsidR="0050434F">
              <w:rPr>
                <w:sz w:val="16"/>
                <w:szCs w:val="16"/>
                <w:lang w:val="en-GB"/>
              </w:rPr>
              <w:t xml:space="preserve">on </w:t>
            </w:r>
            <w:r w:rsidRPr="008D685A">
              <w:rPr>
                <w:sz w:val="16"/>
                <w:szCs w:val="16"/>
                <w:lang w:val="en-GB"/>
              </w:rPr>
              <w:t>medium</w:t>
            </w:r>
            <w:r w:rsidR="0050434F">
              <w:rPr>
                <w:sz w:val="16"/>
                <w:szCs w:val="16"/>
                <w:lang w:val="en-GB"/>
              </w:rPr>
              <w:t>;</w:t>
            </w:r>
            <w:r w:rsidRPr="008D685A">
              <w:rPr>
                <w:sz w:val="16"/>
                <w:szCs w:val="16"/>
                <w:lang w:val="en-GB"/>
              </w:rPr>
              <w:t xml:space="preserve"> 300 hours </w:t>
            </w:r>
            <w:r w:rsidR="0050434F">
              <w:rPr>
                <w:sz w:val="16"/>
                <w:szCs w:val="16"/>
                <w:lang w:val="en-GB"/>
              </w:rPr>
              <w:t xml:space="preserve">on </w:t>
            </w:r>
            <w:r w:rsidRPr="008D685A">
              <w:rPr>
                <w:sz w:val="16"/>
                <w:szCs w:val="16"/>
                <w:lang w:val="en-GB"/>
              </w:rPr>
              <w:t>low</w:t>
            </w:r>
          </w:p>
          <w:p w14:paraId="6DEF5FF5" w14:textId="7B4A3BBE" w:rsidR="00306397" w:rsidRPr="008D685A" w:rsidRDefault="00306397" w:rsidP="00ED3810">
            <w:pPr>
              <w:pStyle w:val="Footnote"/>
              <w:numPr>
                <w:ilvl w:val="0"/>
                <w:numId w:val="43"/>
              </w:numPr>
              <w:jc w:val="left"/>
              <w:rPr>
                <w:sz w:val="16"/>
                <w:szCs w:val="16"/>
                <w:lang w:val="en-GB"/>
              </w:rPr>
            </w:pPr>
            <w:r w:rsidRPr="008D685A">
              <w:rPr>
                <w:sz w:val="16"/>
                <w:szCs w:val="16"/>
                <w:lang w:val="en-GB"/>
              </w:rPr>
              <w:t>Cost of lantern: AU</w:t>
            </w:r>
            <w:r w:rsidR="0050434F">
              <w:rPr>
                <w:sz w:val="16"/>
                <w:szCs w:val="16"/>
                <w:lang w:val="en-GB"/>
              </w:rPr>
              <w:t>$</w:t>
            </w:r>
            <w:r w:rsidRPr="008D685A">
              <w:rPr>
                <w:sz w:val="16"/>
                <w:szCs w:val="16"/>
                <w:lang w:val="en-GB"/>
              </w:rPr>
              <w:t>79.99</w:t>
            </w:r>
          </w:p>
          <w:p w14:paraId="173E5557" w14:textId="69E2EEAB" w:rsidR="0050434F" w:rsidRDefault="00306397" w:rsidP="00ED3810">
            <w:pPr>
              <w:pStyle w:val="Footnote"/>
              <w:numPr>
                <w:ilvl w:val="0"/>
                <w:numId w:val="43"/>
              </w:numPr>
              <w:jc w:val="left"/>
              <w:rPr>
                <w:sz w:val="16"/>
                <w:szCs w:val="16"/>
                <w:lang w:val="en-GB"/>
              </w:rPr>
            </w:pPr>
            <w:r w:rsidRPr="008D685A">
              <w:rPr>
                <w:sz w:val="16"/>
                <w:szCs w:val="16"/>
                <w:lang w:val="en-GB"/>
              </w:rPr>
              <w:t xml:space="preserve">To recharge using solar power, use the BioLite Solar Panel </w:t>
            </w:r>
          </w:p>
          <w:p w14:paraId="3A6BE75E" w14:textId="41EAFFB2" w:rsidR="00306397" w:rsidRPr="008D685A" w:rsidRDefault="0050434F" w:rsidP="00ED3810">
            <w:pPr>
              <w:pStyle w:val="Footnote"/>
              <w:numPr>
                <w:ilvl w:val="0"/>
                <w:numId w:val="43"/>
              </w:numPr>
              <w:jc w:val="left"/>
              <w:rPr>
                <w:sz w:val="16"/>
                <w:szCs w:val="16"/>
                <w:lang w:val="en-GB"/>
              </w:rPr>
            </w:pPr>
            <w:r>
              <w:rPr>
                <w:sz w:val="16"/>
                <w:szCs w:val="16"/>
                <w:lang w:val="en-GB"/>
              </w:rPr>
              <w:t xml:space="preserve">Cost: </w:t>
            </w:r>
            <w:r w:rsidR="00306397" w:rsidRPr="008D685A">
              <w:rPr>
                <w:sz w:val="16"/>
                <w:szCs w:val="16"/>
                <w:lang w:val="en-GB"/>
              </w:rPr>
              <w:t>AU$149.99</w:t>
            </w:r>
          </w:p>
          <w:p w14:paraId="55E99FDF" w14:textId="6F6026E1" w:rsidR="00306397" w:rsidRPr="008D685A" w:rsidRDefault="00306397" w:rsidP="00ED3810">
            <w:pPr>
              <w:pStyle w:val="Footnote"/>
              <w:numPr>
                <w:ilvl w:val="0"/>
                <w:numId w:val="43"/>
              </w:numPr>
              <w:jc w:val="left"/>
              <w:rPr>
                <w:sz w:val="16"/>
                <w:szCs w:val="16"/>
                <w:lang w:val="en-GB"/>
              </w:rPr>
            </w:pPr>
            <w:r w:rsidRPr="008D685A">
              <w:rPr>
                <w:sz w:val="16"/>
                <w:szCs w:val="16"/>
                <w:lang w:val="en-GB"/>
              </w:rPr>
              <w:t>Total weight for portable solar: 390</w:t>
            </w:r>
            <w:r w:rsidR="0050434F">
              <w:rPr>
                <w:sz w:val="16"/>
                <w:szCs w:val="16"/>
                <w:lang w:val="en-GB"/>
              </w:rPr>
              <w:t xml:space="preserve"> </w:t>
            </w:r>
            <w:r w:rsidRPr="008D685A">
              <w:rPr>
                <w:sz w:val="16"/>
                <w:szCs w:val="16"/>
                <w:lang w:val="en-GB"/>
              </w:rPr>
              <w:t>g</w:t>
            </w:r>
          </w:p>
          <w:p w14:paraId="7EA71EED" w14:textId="41089C21" w:rsidR="00306397" w:rsidRPr="00BB2CB2" w:rsidRDefault="00306397" w:rsidP="00ED3810">
            <w:pPr>
              <w:pStyle w:val="Footnote"/>
              <w:numPr>
                <w:ilvl w:val="0"/>
                <w:numId w:val="43"/>
              </w:numPr>
              <w:jc w:val="left"/>
              <w:rPr>
                <w:sz w:val="16"/>
                <w:szCs w:val="16"/>
                <w:lang w:val="en-GB"/>
              </w:rPr>
            </w:pPr>
            <w:r w:rsidRPr="00BB2CB2">
              <w:rPr>
                <w:sz w:val="16"/>
                <w:szCs w:val="16"/>
                <w:lang w:val="en-GB"/>
              </w:rPr>
              <w:t>Total cost for portable solar: AU</w:t>
            </w:r>
            <w:r w:rsidR="0050434F">
              <w:rPr>
                <w:sz w:val="16"/>
                <w:szCs w:val="16"/>
                <w:lang w:val="en-GB"/>
              </w:rPr>
              <w:t>$</w:t>
            </w:r>
            <w:r w:rsidRPr="00BB2CB2">
              <w:rPr>
                <w:sz w:val="16"/>
                <w:szCs w:val="16"/>
                <w:lang w:val="en-GB"/>
              </w:rPr>
              <w:t>229.98</w:t>
            </w:r>
          </w:p>
        </w:tc>
      </w:tr>
      <w:tr w:rsidR="00306397" w:rsidRPr="008D685A" w14:paraId="62E65591" w14:textId="77777777" w:rsidTr="00EC2398">
        <w:trPr>
          <w:trHeight w:val="755"/>
          <w:jc w:val="center"/>
        </w:trPr>
        <w:tc>
          <w:tcPr>
            <w:tcW w:w="2245" w:type="dxa"/>
            <w:vAlign w:val="center"/>
          </w:tcPr>
          <w:p w14:paraId="62230F83" w14:textId="025A627A" w:rsidR="00306397" w:rsidRPr="008D685A" w:rsidRDefault="00306397" w:rsidP="00ED3810">
            <w:pPr>
              <w:pStyle w:val="Footnote"/>
              <w:jc w:val="left"/>
              <w:rPr>
                <w:b/>
                <w:sz w:val="16"/>
                <w:szCs w:val="16"/>
                <w:lang w:val="en-GB"/>
              </w:rPr>
            </w:pPr>
            <w:r w:rsidRPr="008D685A">
              <w:rPr>
                <w:b/>
                <w:sz w:val="16"/>
                <w:szCs w:val="16"/>
                <w:lang w:val="en-GB"/>
              </w:rPr>
              <w:t>S</w:t>
            </w:r>
            <w:r w:rsidR="001C5993" w:rsidRPr="008D685A">
              <w:rPr>
                <w:b/>
                <w:sz w:val="16"/>
                <w:szCs w:val="16"/>
                <w:lang w:val="en-GB"/>
              </w:rPr>
              <w:t>ocial partnerships</w:t>
            </w:r>
            <w:r w:rsidR="0050434F">
              <w:rPr>
                <w:b/>
                <w:sz w:val="16"/>
                <w:szCs w:val="16"/>
                <w:lang w:val="en-GB"/>
              </w:rPr>
              <w:t xml:space="preserve"> and</w:t>
            </w:r>
            <w:r w:rsidR="001C5993" w:rsidRPr="008D685A">
              <w:rPr>
                <w:b/>
                <w:sz w:val="16"/>
                <w:szCs w:val="16"/>
                <w:lang w:val="en-GB"/>
              </w:rPr>
              <w:t xml:space="preserve"> initiatives</w:t>
            </w:r>
          </w:p>
        </w:tc>
        <w:tc>
          <w:tcPr>
            <w:tcW w:w="3240" w:type="dxa"/>
          </w:tcPr>
          <w:p w14:paraId="692D3EFA" w14:textId="6C945BF6" w:rsidR="00306397" w:rsidRPr="008D685A" w:rsidRDefault="001C5993" w:rsidP="00ED3810">
            <w:pPr>
              <w:pStyle w:val="Footnote"/>
              <w:jc w:val="left"/>
              <w:rPr>
                <w:sz w:val="16"/>
                <w:szCs w:val="16"/>
                <w:lang w:val="en-GB"/>
              </w:rPr>
            </w:pPr>
            <w:r w:rsidRPr="008D685A">
              <w:rPr>
                <w:sz w:val="16"/>
                <w:szCs w:val="16"/>
                <w:lang w:val="en-GB"/>
              </w:rPr>
              <w:t>Give Power</w:t>
            </w:r>
            <w:r w:rsidR="00306397" w:rsidRPr="008D685A">
              <w:rPr>
                <w:sz w:val="16"/>
                <w:szCs w:val="16"/>
                <w:lang w:val="en-GB"/>
              </w:rPr>
              <w:t xml:space="preserve"> provides solar lighting to end-users in developing countries</w:t>
            </w:r>
            <w:r w:rsidR="0050434F">
              <w:rPr>
                <w:sz w:val="16"/>
                <w:szCs w:val="16"/>
                <w:lang w:val="en-GB"/>
              </w:rPr>
              <w:t>.</w:t>
            </w:r>
          </w:p>
        </w:tc>
        <w:tc>
          <w:tcPr>
            <w:tcW w:w="4320" w:type="dxa"/>
          </w:tcPr>
          <w:p w14:paraId="07D5DB75" w14:textId="594922E8" w:rsidR="00306397" w:rsidRPr="008D685A" w:rsidRDefault="00306397" w:rsidP="00ED3810">
            <w:pPr>
              <w:pStyle w:val="Footnote"/>
              <w:jc w:val="left"/>
              <w:rPr>
                <w:sz w:val="16"/>
                <w:szCs w:val="16"/>
                <w:lang w:val="en-GB"/>
              </w:rPr>
            </w:pPr>
            <w:r w:rsidRPr="008D685A">
              <w:rPr>
                <w:sz w:val="16"/>
                <w:szCs w:val="16"/>
                <w:lang w:val="en-GB"/>
              </w:rPr>
              <w:t>Partnerships with over a dozen organi</w:t>
            </w:r>
            <w:r w:rsidR="005769A1" w:rsidRPr="008D685A">
              <w:rPr>
                <w:sz w:val="16"/>
                <w:szCs w:val="16"/>
                <w:lang w:val="en-GB"/>
              </w:rPr>
              <w:t>z</w:t>
            </w:r>
            <w:r w:rsidRPr="008D685A">
              <w:rPr>
                <w:sz w:val="16"/>
                <w:szCs w:val="16"/>
                <w:lang w:val="en-GB"/>
              </w:rPr>
              <w:t>ations to achieve sustai</w:t>
            </w:r>
            <w:r w:rsidR="001C5993" w:rsidRPr="008D685A">
              <w:rPr>
                <w:sz w:val="16"/>
                <w:szCs w:val="16"/>
                <w:lang w:val="en-GB"/>
              </w:rPr>
              <w:t>nability goals and strategies</w:t>
            </w:r>
            <w:r w:rsidRPr="008D685A">
              <w:rPr>
                <w:sz w:val="16"/>
                <w:szCs w:val="16"/>
                <w:lang w:val="en-GB"/>
              </w:rPr>
              <w:t xml:space="preserve"> include Australian Red Cross, Australian Himalayan Foundation and Sustainable Apparel Coalition</w:t>
            </w:r>
            <w:r w:rsidR="001C5993" w:rsidRPr="008D685A">
              <w:rPr>
                <w:sz w:val="16"/>
                <w:szCs w:val="16"/>
                <w:lang w:val="en-GB"/>
              </w:rPr>
              <w:t>.</w:t>
            </w:r>
          </w:p>
        </w:tc>
        <w:tc>
          <w:tcPr>
            <w:tcW w:w="3198" w:type="dxa"/>
          </w:tcPr>
          <w:p w14:paraId="3250DACA" w14:textId="65CD145E" w:rsidR="00306397" w:rsidRPr="008D685A" w:rsidRDefault="00306397" w:rsidP="00ED3810">
            <w:pPr>
              <w:pStyle w:val="Footnote"/>
              <w:jc w:val="left"/>
              <w:rPr>
                <w:sz w:val="16"/>
                <w:szCs w:val="16"/>
                <w:lang w:val="en-GB"/>
              </w:rPr>
            </w:pPr>
            <w:r w:rsidRPr="008D685A">
              <w:rPr>
                <w:sz w:val="16"/>
                <w:szCs w:val="16"/>
                <w:lang w:val="en-GB"/>
              </w:rPr>
              <w:t xml:space="preserve">Partnerships </w:t>
            </w:r>
            <w:r w:rsidR="00011830">
              <w:rPr>
                <w:sz w:val="16"/>
                <w:szCs w:val="16"/>
                <w:lang w:val="en-GB"/>
              </w:rPr>
              <w:t>include</w:t>
            </w:r>
            <w:r w:rsidRPr="008D685A">
              <w:rPr>
                <w:sz w:val="16"/>
                <w:szCs w:val="16"/>
                <w:lang w:val="en-GB"/>
              </w:rPr>
              <w:t xml:space="preserve"> Big 4, Murdoch Children’s Research Institute, Places We Go</w:t>
            </w:r>
            <w:r w:rsidR="00011830">
              <w:rPr>
                <w:sz w:val="16"/>
                <w:szCs w:val="16"/>
                <w:lang w:val="en-GB"/>
              </w:rPr>
              <w:t>,</w:t>
            </w:r>
            <w:r w:rsidRPr="008D685A">
              <w:rPr>
                <w:sz w:val="16"/>
                <w:szCs w:val="16"/>
                <w:lang w:val="en-GB"/>
              </w:rPr>
              <w:t xml:space="preserve"> and Heat the Homelessness. </w:t>
            </w:r>
          </w:p>
        </w:tc>
      </w:tr>
      <w:tr w:rsidR="00306397" w:rsidRPr="008D685A" w14:paraId="779FCFC4" w14:textId="77777777" w:rsidTr="00EC2398">
        <w:trPr>
          <w:trHeight w:val="512"/>
          <w:jc w:val="center"/>
        </w:trPr>
        <w:tc>
          <w:tcPr>
            <w:tcW w:w="2245" w:type="dxa"/>
            <w:vAlign w:val="center"/>
          </w:tcPr>
          <w:p w14:paraId="396D81E1" w14:textId="459F25E8" w:rsidR="00306397" w:rsidRPr="008D685A" w:rsidRDefault="00306397" w:rsidP="00ED3810">
            <w:pPr>
              <w:pStyle w:val="Footnote"/>
              <w:jc w:val="left"/>
              <w:rPr>
                <w:b/>
                <w:sz w:val="16"/>
                <w:szCs w:val="16"/>
                <w:lang w:val="en-GB"/>
              </w:rPr>
            </w:pPr>
            <w:r w:rsidRPr="008D685A">
              <w:rPr>
                <w:b/>
                <w:sz w:val="16"/>
                <w:szCs w:val="16"/>
                <w:lang w:val="en-GB"/>
              </w:rPr>
              <w:t>Examples of awards, certifications, recognition</w:t>
            </w:r>
            <w:r w:rsidR="00050039">
              <w:rPr>
                <w:b/>
                <w:sz w:val="16"/>
                <w:szCs w:val="16"/>
                <w:lang w:val="en-GB"/>
              </w:rPr>
              <w:t>,</w:t>
            </w:r>
            <w:r w:rsidRPr="008D685A">
              <w:rPr>
                <w:b/>
                <w:sz w:val="16"/>
                <w:szCs w:val="16"/>
                <w:lang w:val="en-GB"/>
              </w:rPr>
              <w:t xml:space="preserve"> and endorsements </w:t>
            </w:r>
          </w:p>
        </w:tc>
        <w:tc>
          <w:tcPr>
            <w:tcW w:w="3240" w:type="dxa"/>
          </w:tcPr>
          <w:p w14:paraId="1166857A" w14:textId="07CAFF1B" w:rsidR="00306397" w:rsidRPr="008D685A" w:rsidRDefault="00306397" w:rsidP="00ED3810">
            <w:pPr>
              <w:pStyle w:val="Footnote"/>
              <w:jc w:val="left"/>
              <w:rPr>
                <w:sz w:val="16"/>
                <w:szCs w:val="16"/>
                <w:lang w:val="en-GB"/>
              </w:rPr>
            </w:pPr>
            <w:r w:rsidRPr="008D685A">
              <w:rPr>
                <w:sz w:val="16"/>
                <w:szCs w:val="16"/>
                <w:lang w:val="en-GB"/>
              </w:rPr>
              <w:t>Business 3000+ Award</w:t>
            </w:r>
            <w:r w:rsidR="00CA0E46">
              <w:rPr>
                <w:sz w:val="16"/>
                <w:szCs w:val="16"/>
                <w:lang w:val="en-GB"/>
              </w:rPr>
              <w:t xml:space="preserve"> in 2011</w:t>
            </w:r>
            <w:r w:rsidRPr="008D685A">
              <w:rPr>
                <w:sz w:val="16"/>
                <w:szCs w:val="16"/>
                <w:lang w:val="en-GB"/>
              </w:rPr>
              <w:t>, Premier’s Design Award</w:t>
            </w:r>
            <w:r w:rsidR="00CA0E46">
              <w:rPr>
                <w:sz w:val="16"/>
                <w:szCs w:val="16"/>
                <w:lang w:val="en-GB"/>
              </w:rPr>
              <w:t xml:space="preserve"> in 2012, </w:t>
            </w:r>
            <w:r w:rsidRPr="008D685A">
              <w:rPr>
                <w:sz w:val="16"/>
                <w:szCs w:val="16"/>
                <w:lang w:val="en-GB"/>
              </w:rPr>
              <w:t>and StartupSmart Award</w:t>
            </w:r>
            <w:r w:rsidR="00CA0E46">
              <w:rPr>
                <w:sz w:val="16"/>
                <w:szCs w:val="16"/>
                <w:lang w:val="en-GB"/>
              </w:rPr>
              <w:t xml:space="preserve"> in</w:t>
            </w:r>
            <w:r w:rsidRPr="008D685A">
              <w:rPr>
                <w:sz w:val="16"/>
                <w:szCs w:val="16"/>
                <w:lang w:val="en-GB"/>
              </w:rPr>
              <w:t xml:space="preserve"> 2012</w:t>
            </w:r>
          </w:p>
        </w:tc>
        <w:tc>
          <w:tcPr>
            <w:tcW w:w="4320" w:type="dxa"/>
          </w:tcPr>
          <w:p w14:paraId="251B58A3" w14:textId="2EFFE7D9" w:rsidR="00306397" w:rsidRPr="00ED3810" w:rsidRDefault="00306397" w:rsidP="00ED3810">
            <w:pPr>
              <w:pStyle w:val="Footnote"/>
              <w:jc w:val="left"/>
              <w:rPr>
                <w:spacing w:val="-4"/>
                <w:kern w:val="16"/>
                <w:sz w:val="16"/>
                <w:szCs w:val="16"/>
                <w:lang w:val="en-GB"/>
              </w:rPr>
            </w:pPr>
            <w:r w:rsidRPr="00ED3810">
              <w:rPr>
                <w:spacing w:val="-4"/>
                <w:kern w:val="16"/>
                <w:sz w:val="16"/>
                <w:szCs w:val="16"/>
                <w:lang w:val="en-GB"/>
              </w:rPr>
              <w:t>Bankia Large Business Sustainability Leadership award</w:t>
            </w:r>
            <w:r w:rsidR="00011830" w:rsidRPr="00ED3810">
              <w:rPr>
                <w:spacing w:val="-4"/>
                <w:kern w:val="16"/>
                <w:sz w:val="16"/>
                <w:szCs w:val="16"/>
                <w:lang w:val="en-GB"/>
              </w:rPr>
              <w:t>; r</w:t>
            </w:r>
            <w:r w:rsidRPr="00ED3810">
              <w:rPr>
                <w:spacing w:val="-4"/>
                <w:kern w:val="16"/>
                <w:sz w:val="16"/>
                <w:szCs w:val="16"/>
                <w:lang w:val="en-GB"/>
              </w:rPr>
              <w:t xml:space="preserve">anked </w:t>
            </w:r>
            <w:r w:rsidR="00CA0E46" w:rsidRPr="00ED3810">
              <w:rPr>
                <w:spacing w:val="-4"/>
                <w:kern w:val="16"/>
                <w:sz w:val="16"/>
                <w:szCs w:val="16"/>
                <w:lang w:val="en-GB"/>
              </w:rPr>
              <w:t>second</w:t>
            </w:r>
            <w:r w:rsidRPr="00ED3810">
              <w:rPr>
                <w:spacing w:val="-4"/>
                <w:kern w:val="16"/>
                <w:sz w:val="16"/>
                <w:szCs w:val="16"/>
                <w:lang w:val="en-GB"/>
              </w:rPr>
              <w:t xml:space="preserve"> in the outdoor and sports category </w:t>
            </w:r>
            <w:r w:rsidR="00011830" w:rsidRPr="00ED3810">
              <w:rPr>
                <w:spacing w:val="-4"/>
                <w:kern w:val="16"/>
                <w:sz w:val="16"/>
                <w:szCs w:val="16"/>
                <w:lang w:val="en-GB"/>
              </w:rPr>
              <w:t xml:space="preserve">of the </w:t>
            </w:r>
            <w:r w:rsidRPr="00ED3810">
              <w:rPr>
                <w:spacing w:val="-4"/>
                <w:kern w:val="16"/>
                <w:sz w:val="16"/>
                <w:szCs w:val="16"/>
                <w:lang w:val="en-GB"/>
              </w:rPr>
              <w:t>2017 Textile Exchange Preferred Fibres and Materials report</w:t>
            </w:r>
          </w:p>
        </w:tc>
        <w:tc>
          <w:tcPr>
            <w:tcW w:w="3198" w:type="dxa"/>
          </w:tcPr>
          <w:p w14:paraId="25242B5A" w14:textId="77777777" w:rsidR="00306397" w:rsidRPr="008D685A" w:rsidRDefault="00306397" w:rsidP="00ED3810">
            <w:pPr>
              <w:pStyle w:val="Footnote"/>
              <w:jc w:val="left"/>
              <w:rPr>
                <w:sz w:val="16"/>
                <w:szCs w:val="16"/>
                <w:lang w:val="en-GB"/>
              </w:rPr>
            </w:pPr>
            <w:r w:rsidRPr="008D685A">
              <w:rPr>
                <w:sz w:val="16"/>
                <w:szCs w:val="16"/>
                <w:lang w:val="en-GB"/>
              </w:rPr>
              <w:t xml:space="preserve">Not applicable </w:t>
            </w:r>
          </w:p>
        </w:tc>
      </w:tr>
    </w:tbl>
    <w:p w14:paraId="50EBA05D" w14:textId="77777777" w:rsidR="00050039" w:rsidRPr="00ED3810" w:rsidRDefault="00050039">
      <w:pPr>
        <w:pStyle w:val="Footnote"/>
        <w:rPr>
          <w:sz w:val="14"/>
          <w:szCs w:val="14"/>
          <w:lang w:val="en-GB"/>
        </w:rPr>
      </w:pPr>
    </w:p>
    <w:p w14:paraId="3E864B4F" w14:textId="09910FAC" w:rsidR="005F21E5" w:rsidRPr="00ED3810" w:rsidRDefault="004B5AB5" w:rsidP="00ED3810">
      <w:pPr>
        <w:pStyle w:val="Footnote"/>
        <w:rPr>
          <w:lang w:val="en-GB"/>
        </w:rPr>
      </w:pPr>
      <w:r>
        <w:rPr>
          <w:lang w:val="en-GB"/>
        </w:rPr>
        <w:t xml:space="preserve">Source: </w:t>
      </w:r>
      <w:r w:rsidRPr="004B5AB5">
        <w:rPr>
          <w:lang w:val="en-GB"/>
        </w:rPr>
        <w:t xml:space="preserve">“About </w:t>
      </w:r>
      <w:r>
        <w:rPr>
          <w:lang w:val="en-GB"/>
        </w:rPr>
        <w:t>U</w:t>
      </w:r>
      <w:r w:rsidRPr="004B5AB5">
        <w:rPr>
          <w:lang w:val="en-GB"/>
        </w:rPr>
        <w:t xml:space="preserve">s,” Kathmandu, accessed </w:t>
      </w:r>
      <w:r>
        <w:rPr>
          <w:lang w:val="en-GB"/>
        </w:rPr>
        <w:t>J</w:t>
      </w:r>
      <w:r w:rsidRPr="004B5AB5">
        <w:rPr>
          <w:lang w:val="en-GB"/>
        </w:rPr>
        <w:t>une</w:t>
      </w:r>
      <w:r>
        <w:rPr>
          <w:lang w:val="en-GB"/>
        </w:rPr>
        <w:t xml:space="preserve"> 12</w:t>
      </w:r>
      <w:r w:rsidRPr="004B5AB5">
        <w:rPr>
          <w:lang w:val="en-GB"/>
        </w:rPr>
        <w:t xml:space="preserve">, 2018, </w:t>
      </w:r>
      <w:r w:rsidRPr="00050039">
        <w:rPr>
          <w:lang w:val="en-GB"/>
        </w:rPr>
        <w:t>www.kathmanduholdings.com/about-us/our-history</w:t>
      </w:r>
      <w:r>
        <w:rPr>
          <w:lang w:val="en-GB"/>
        </w:rPr>
        <w:t xml:space="preserve">; </w:t>
      </w:r>
      <w:r w:rsidRPr="004B5AB5">
        <w:rPr>
          <w:lang w:val="en-GB"/>
        </w:rPr>
        <w:t xml:space="preserve">“About Illumination,” Illumination, accessed </w:t>
      </w:r>
      <w:r>
        <w:rPr>
          <w:lang w:val="en-GB"/>
        </w:rPr>
        <w:t>J</w:t>
      </w:r>
      <w:r w:rsidRPr="004B5AB5">
        <w:rPr>
          <w:lang w:val="en-GB"/>
        </w:rPr>
        <w:t>une</w:t>
      </w:r>
      <w:r>
        <w:rPr>
          <w:lang w:val="en-GB"/>
        </w:rPr>
        <w:t xml:space="preserve"> 12</w:t>
      </w:r>
      <w:r w:rsidRPr="004B5AB5">
        <w:rPr>
          <w:lang w:val="en-GB"/>
        </w:rPr>
        <w:t xml:space="preserve">, 2018, </w:t>
      </w:r>
      <w:r w:rsidRPr="00050039">
        <w:rPr>
          <w:lang w:val="en-GB"/>
        </w:rPr>
        <w:t>http://illuminationsolar.com.au/about-us</w:t>
      </w:r>
      <w:r>
        <w:rPr>
          <w:lang w:val="en-GB"/>
        </w:rPr>
        <w:t xml:space="preserve">; </w:t>
      </w:r>
      <w:r w:rsidRPr="004B5AB5">
        <w:rPr>
          <w:lang w:val="en-GB"/>
        </w:rPr>
        <w:t xml:space="preserve">“Values that </w:t>
      </w:r>
      <w:r>
        <w:rPr>
          <w:lang w:val="en-GB"/>
        </w:rPr>
        <w:t>D</w:t>
      </w:r>
      <w:r w:rsidRPr="004B5AB5">
        <w:rPr>
          <w:lang w:val="en-GB"/>
        </w:rPr>
        <w:t xml:space="preserve">rive </w:t>
      </w:r>
      <w:r>
        <w:rPr>
          <w:lang w:val="en-GB"/>
        </w:rPr>
        <w:t>U</w:t>
      </w:r>
      <w:r w:rsidRPr="004B5AB5">
        <w:rPr>
          <w:lang w:val="en-GB"/>
        </w:rPr>
        <w:t xml:space="preserve">s,” Kathmandu, accessed </w:t>
      </w:r>
      <w:r>
        <w:rPr>
          <w:lang w:val="en-GB"/>
        </w:rPr>
        <w:t>J</w:t>
      </w:r>
      <w:r w:rsidRPr="004B5AB5">
        <w:rPr>
          <w:lang w:val="en-GB"/>
        </w:rPr>
        <w:t>une</w:t>
      </w:r>
      <w:r>
        <w:rPr>
          <w:lang w:val="en-GB"/>
        </w:rPr>
        <w:t xml:space="preserve"> 14</w:t>
      </w:r>
      <w:r w:rsidRPr="004B5AB5">
        <w:rPr>
          <w:lang w:val="en-GB"/>
        </w:rPr>
        <w:t xml:space="preserve">, 2018, </w:t>
      </w:r>
      <w:r w:rsidRPr="00050039">
        <w:rPr>
          <w:lang w:val="en-GB"/>
        </w:rPr>
        <w:t>www.kathmandu.com.au/careers/values-that-drive-us</w:t>
      </w:r>
      <w:r>
        <w:rPr>
          <w:lang w:val="en-GB"/>
        </w:rPr>
        <w:t xml:space="preserve">; </w:t>
      </w:r>
      <w:r w:rsidRPr="004B5AB5">
        <w:rPr>
          <w:lang w:val="en-GB"/>
        </w:rPr>
        <w:t>“About Us,</w:t>
      </w:r>
      <w:r>
        <w:rPr>
          <w:lang w:val="en-GB"/>
        </w:rPr>
        <w:t xml:space="preserve">” </w:t>
      </w:r>
      <w:r w:rsidRPr="004B5AB5">
        <w:rPr>
          <w:lang w:val="en-GB"/>
        </w:rPr>
        <w:t xml:space="preserve">Anaconda Unit Trust, 2018, accessed </w:t>
      </w:r>
      <w:r>
        <w:rPr>
          <w:lang w:val="en-GB"/>
        </w:rPr>
        <w:t>June 14</w:t>
      </w:r>
      <w:r w:rsidRPr="004B5AB5">
        <w:rPr>
          <w:lang w:val="en-GB"/>
        </w:rPr>
        <w:t xml:space="preserve">, 2018, </w:t>
      </w:r>
      <w:r w:rsidRPr="00050039">
        <w:rPr>
          <w:lang w:val="en-GB"/>
        </w:rPr>
        <w:t>www.anacondastores.com/about-anaconda</w:t>
      </w:r>
      <w:r>
        <w:rPr>
          <w:lang w:val="en-GB"/>
        </w:rPr>
        <w:t xml:space="preserve">; </w:t>
      </w:r>
      <w:r w:rsidRPr="004B5AB5">
        <w:rPr>
          <w:lang w:val="en-GB"/>
        </w:rPr>
        <w:t xml:space="preserve">“Social Responsibility,” Anaconda Unit Trust, accessed </w:t>
      </w:r>
      <w:r>
        <w:rPr>
          <w:lang w:val="en-GB"/>
        </w:rPr>
        <w:t>June 14</w:t>
      </w:r>
      <w:r w:rsidRPr="004B5AB5">
        <w:rPr>
          <w:lang w:val="en-GB"/>
        </w:rPr>
        <w:t>, 2016, www.anacondastores.com/community/social-responsibility</w:t>
      </w:r>
      <w:r>
        <w:rPr>
          <w:lang w:val="en-GB"/>
        </w:rPr>
        <w:t>;</w:t>
      </w:r>
      <w:r w:rsidRPr="004B5AB5">
        <w:rPr>
          <w:lang w:val="en-GB"/>
        </w:rPr>
        <w:t xml:space="preserve"> “Portable Solar Light</w:t>
      </w:r>
      <w:r>
        <w:rPr>
          <w:lang w:val="en-GB"/>
        </w:rPr>
        <w:t>—</w:t>
      </w:r>
      <w:r w:rsidRPr="004B5AB5">
        <w:rPr>
          <w:lang w:val="en-GB"/>
        </w:rPr>
        <w:t>Mandarin 2,” Illumination,</w:t>
      </w:r>
      <w:r>
        <w:rPr>
          <w:lang w:val="en-GB"/>
        </w:rPr>
        <w:t xml:space="preserve"> </w:t>
      </w:r>
      <w:r w:rsidRPr="004B5AB5">
        <w:rPr>
          <w:lang w:val="en-GB"/>
        </w:rPr>
        <w:t xml:space="preserve">accessed </w:t>
      </w:r>
      <w:r>
        <w:rPr>
          <w:lang w:val="en-GB"/>
        </w:rPr>
        <w:t>June 14</w:t>
      </w:r>
      <w:r w:rsidRPr="004B5AB5">
        <w:rPr>
          <w:lang w:val="en-GB"/>
        </w:rPr>
        <w:t>, 2018, http://illuminationsolar.com.au/produc t/mandarin-2-solar-light</w:t>
      </w:r>
      <w:r>
        <w:rPr>
          <w:lang w:val="en-GB"/>
        </w:rPr>
        <w:t>;</w:t>
      </w:r>
      <w:r w:rsidRPr="004B5AB5">
        <w:rPr>
          <w:lang w:val="en-GB"/>
        </w:rPr>
        <w:t xml:space="preserve"> “Lighthouse Mini,” Goal Zero, accessed </w:t>
      </w:r>
      <w:r>
        <w:rPr>
          <w:lang w:val="en-GB"/>
        </w:rPr>
        <w:t>June 14</w:t>
      </w:r>
      <w:r w:rsidRPr="004B5AB5">
        <w:rPr>
          <w:lang w:val="en-GB"/>
        </w:rPr>
        <w:t xml:space="preserve">, 2018, </w:t>
      </w:r>
      <w:r w:rsidRPr="00CA0E46">
        <w:rPr>
          <w:lang w:val="en-GB"/>
        </w:rPr>
        <w:t>www.goalzero.com.au/shop/lighting/lighthouse-mini/#.WylhDkiFNPY</w:t>
      </w:r>
      <w:r>
        <w:rPr>
          <w:lang w:val="en-GB"/>
        </w:rPr>
        <w:t xml:space="preserve">; </w:t>
      </w:r>
      <w:r w:rsidRPr="004B5AB5">
        <w:rPr>
          <w:lang w:val="en-GB"/>
        </w:rPr>
        <w:t xml:space="preserve">“Extract Goal Zero Lighthouse Mini,” Kathmandu, accessed </w:t>
      </w:r>
      <w:r>
        <w:rPr>
          <w:lang w:val="en-GB"/>
        </w:rPr>
        <w:t>June 14</w:t>
      </w:r>
      <w:r w:rsidRPr="004B5AB5">
        <w:rPr>
          <w:lang w:val="en-GB"/>
        </w:rPr>
        <w:t>, 2018, www.kathmandu.com.au/goal-zero-lighthouse-mini.html</w:t>
      </w:r>
      <w:r>
        <w:rPr>
          <w:lang w:val="en-GB"/>
        </w:rPr>
        <w:t>;</w:t>
      </w:r>
      <w:r w:rsidRPr="004B5AB5">
        <w:rPr>
          <w:lang w:val="en-GB"/>
        </w:rPr>
        <w:t xml:space="preserve"> “Nomad 7 Solar Panel,” Kathmandu, accessed June</w:t>
      </w:r>
      <w:r>
        <w:rPr>
          <w:lang w:val="en-GB"/>
        </w:rPr>
        <w:t xml:space="preserve"> 13</w:t>
      </w:r>
      <w:r w:rsidRPr="004B5AB5">
        <w:rPr>
          <w:lang w:val="en-GB"/>
        </w:rPr>
        <w:t>, 2018</w:t>
      </w:r>
      <w:r>
        <w:rPr>
          <w:lang w:val="en-GB"/>
        </w:rPr>
        <w:t>,</w:t>
      </w:r>
      <w:r w:rsidRPr="004B5AB5">
        <w:rPr>
          <w:lang w:val="en-GB"/>
        </w:rPr>
        <w:t xml:space="preserve"> http://gear.kathmandu.com.au/gear/Nomad-7-Solar-Panel</w:t>
      </w:r>
      <w:r>
        <w:rPr>
          <w:lang w:val="en-GB"/>
        </w:rPr>
        <w:t>;</w:t>
      </w:r>
      <w:r w:rsidRPr="004B5AB5">
        <w:rPr>
          <w:lang w:val="en-GB"/>
        </w:rPr>
        <w:t xml:space="preserve"> “Coleman Vanquish Spin 550 Lantern Red,</w:t>
      </w:r>
      <w:r>
        <w:rPr>
          <w:lang w:val="en-GB"/>
        </w:rPr>
        <w:t xml:space="preserve">” </w:t>
      </w:r>
      <w:r w:rsidRPr="004B5AB5">
        <w:rPr>
          <w:lang w:val="en-GB"/>
        </w:rPr>
        <w:t xml:space="preserve">Anaconda Unit Trust, accessed </w:t>
      </w:r>
      <w:r>
        <w:rPr>
          <w:lang w:val="en-GB"/>
        </w:rPr>
        <w:t>June 14</w:t>
      </w:r>
      <w:r w:rsidRPr="004B5AB5">
        <w:rPr>
          <w:lang w:val="en-GB"/>
        </w:rPr>
        <w:t xml:space="preserve">, 2018, </w:t>
      </w:r>
      <w:r w:rsidRPr="00CA0E46">
        <w:rPr>
          <w:lang w:val="en-GB"/>
        </w:rPr>
        <w:t>www.anacondastores.com/camping-hiking/camp-lighting/lanterns/coleman-vanquish-spin-550-lantern/BP90099801</w:t>
      </w:r>
      <w:r w:rsidR="00F13D6A">
        <w:rPr>
          <w:lang w:val="en-GB"/>
        </w:rPr>
        <w:t>;</w:t>
      </w:r>
      <w:r>
        <w:rPr>
          <w:lang w:val="en-GB"/>
        </w:rPr>
        <w:t xml:space="preserve"> </w:t>
      </w:r>
      <w:r w:rsidRPr="004B5AB5">
        <w:rPr>
          <w:lang w:val="en-GB"/>
        </w:rPr>
        <w:t xml:space="preserve">Kathmandu, </w:t>
      </w:r>
      <w:r w:rsidRPr="00BB2CB2">
        <w:rPr>
          <w:i/>
          <w:lang w:val="en-GB"/>
        </w:rPr>
        <w:t>Sustainability Report 2017</w:t>
      </w:r>
      <w:r w:rsidRPr="004B5AB5">
        <w:rPr>
          <w:lang w:val="en-GB"/>
        </w:rPr>
        <w:t xml:space="preserve">, accessed </w:t>
      </w:r>
      <w:r>
        <w:rPr>
          <w:lang w:val="en-GB"/>
        </w:rPr>
        <w:t>June 14</w:t>
      </w:r>
      <w:r w:rsidRPr="004B5AB5">
        <w:rPr>
          <w:lang w:val="en-GB"/>
        </w:rPr>
        <w:t xml:space="preserve">, 2018, </w:t>
      </w:r>
      <w:r w:rsidR="0050434F" w:rsidRPr="00CA0E46">
        <w:rPr>
          <w:lang w:val="en-GB"/>
        </w:rPr>
        <w:t>www.kathmanduholdings.com/wp-content/uploads/2012/08/Kathmandu-Sustainability-Report-2017.pdf</w:t>
      </w:r>
      <w:r w:rsidRPr="004B5AB5">
        <w:rPr>
          <w:lang w:val="en-GB"/>
        </w:rPr>
        <w:t xml:space="preserve">. </w:t>
      </w:r>
      <w:r w:rsidR="005F21E5">
        <w:rPr>
          <w:lang w:val="en-GB"/>
        </w:rPr>
        <w:br w:type="page"/>
      </w:r>
    </w:p>
    <w:p w14:paraId="46157442" w14:textId="077F6D07" w:rsidR="00306397" w:rsidRPr="008D685A" w:rsidRDefault="00306397" w:rsidP="00306397">
      <w:pPr>
        <w:pStyle w:val="ExhibitHeading"/>
        <w:ind w:left="-567" w:right="-705"/>
        <w:rPr>
          <w:lang w:val="en-GB"/>
        </w:rPr>
      </w:pPr>
      <w:r w:rsidRPr="008D685A">
        <w:rPr>
          <w:lang w:val="en-GB"/>
        </w:rPr>
        <w:lastRenderedPageBreak/>
        <w:t>Exhibit 4: selection of australian initiatives s</w:t>
      </w:r>
      <w:r w:rsidR="001C5993" w:rsidRPr="008D685A">
        <w:rPr>
          <w:lang w:val="en-GB"/>
        </w:rPr>
        <w:t>imilar to illumination’s give power</w:t>
      </w:r>
    </w:p>
    <w:p w14:paraId="4019DC7F" w14:textId="77777777" w:rsidR="00306397" w:rsidRPr="008D685A" w:rsidRDefault="00306397" w:rsidP="00306397">
      <w:pPr>
        <w:pStyle w:val="ExhibitHeading"/>
        <w:ind w:left="-567" w:right="-705"/>
        <w:rPr>
          <w:lang w:val="en-GB"/>
        </w:rPr>
      </w:pPr>
    </w:p>
    <w:tbl>
      <w:tblPr>
        <w:tblStyle w:val="TableGrid"/>
        <w:tblW w:w="0" w:type="auto"/>
        <w:jc w:val="center"/>
        <w:tblLook w:val="04A0" w:firstRow="1" w:lastRow="0" w:firstColumn="1" w:lastColumn="0" w:noHBand="0" w:noVBand="1"/>
      </w:tblPr>
      <w:tblGrid>
        <w:gridCol w:w="1525"/>
        <w:gridCol w:w="3690"/>
        <w:gridCol w:w="3870"/>
        <w:gridCol w:w="2610"/>
      </w:tblGrid>
      <w:tr w:rsidR="00306397" w:rsidRPr="008D685A" w14:paraId="2FD8F123" w14:textId="77777777" w:rsidTr="00ED3810">
        <w:trPr>
          <w:jc w:val="center"/>
        </w:trPr>
        <w:tc>
          <w:tcPr>
            <w:tcW w:w="1525" w:type="dxa"/>
          </w:tcPr>
          <w:p w14:paraId="3B2CC9C8" w14:textId="77777777" w:rsidR="00306397" w:rsidRPr="008D685A" w:rsidRDefault="00306397" w:rsidP="00DE65C9">
            <w:pPr>
              <w:pStyle w:val="Footnote"/>
              <w:jc w:val="left"/>
              <w:rPr>
                <w:b/>
                <w:lang w:val="en-GB"/>
              </w:rPr>
            </w:pPr>
          </w:p>
        </w:tc>
        <w:tc>
          <w:tcPr>
            <w:tcW w:w="3690" w:type="dxa"/>
            <w:vAlign w:val="center"/>
          </w:tcPr>
          <w:p w14:paraId="7BB97DE7" w14:textId="1E59428D" w:rsidR="00DE65C9" w:rsidRDefault="00306397" w:rsidP="00ED3810">
            <w:pPr>
              <w:pStyle w:val="Footnote"/>
              <w:jc w:val="center"/>
              <w:rPr>
                <w:b/>
                <w:lang w:val="en-GB"/>
              </w:rPr>
            </w:pPr>
            <w:r w:rsidRPr="008D685A">
              <w:rPr>
                <w:b/>
                <w:lang w:val="en-GB"/>
              </w:rPr>
              <w:t xml:space="preserve">Australian </w:t>
            </w:r>
            <w:r w:rsidR="006368CB">
              <w:rPr>
                <w:b/>
                <w:lang w:val="en-GB"/>
              </w:rPr>
              <w:t>N</w:t>
            </w:r>
            <w:r w:rsidR="005F21E5">
              <w:rPr>
                <w:b/>
                <w:lang w:val="en-GB"/>
              </w:rPr>
              <w:t xml:space="preserve">on-governmental </w:t>
            </w:r>
            <w:r w:rsidR="006368CB">
              <w:rPr>
                <w:b/>
                <w:lang w:val="en-GB"/>
              </w:rPr>
              <w:t>O</w:t>
            </w:r>
            <w:r w:rsidR="005F21E5">
              <w:rPr>
                <w:b/>
                <w:lang w:val="en-GB"/>
              </w:rPr>
              <w:t>rganization (</w:t>
            </w:r>
            <w:r w:rsidRPr="008D685A">
              <w:rPr>
                <w:b/>
                <w:lang w:val="en-GB"/>
              </w:rPr>
              <w:t>NGO</w:t>
            </w:r>
            <w:r w:rsidR="005F21E5">
              <w:rPr>
                <w:b/>
                <w:lang w:val="en-GB"/>
              </w:rPr>
              <w:t>)</w:t>
            </w:r>
            <w:r w:rsidRPr="008D685A">
              <w:rPr>
                <w:b/>
                <w:lang w:val="en-GB"/>
              </w:rPr>
              <w:t xml:space="preserve"> Co</w:t>
            </w:r>
            <w:r w:rsidR="00011830">
              <w:rPr>
                <w:b/>
                <w:lang w:val="en-GB"/>
              </w:rPr>
              <w:t>-</w:t>
            </w:r>
            <w:r w:rsidRPr="008D685A">
              <w:rPr>
                <w:b/>
                <w:lang w:val="en-GB"/>
              </w:rPr>
              <w:t>operation Program (ANCP):</w:t>
            </w:r>
          </w:p>
          <w:p w14:paraId="4045C8BC" w14:textId="35F4566E" w:rsidR="00306397" w:rsidRPr="008D685A" w:rsidRDefault="00306397" w:rsidP="00ED3810">
            <w:pPr>
              <w:pStyle w:val="Footnote"/>
              <w:jc w:val="center"/>
              <w:rPr>
                <w:b/>
                <w:lang w:val="en-GB"/>
              </w:rPr>
            </w:pPr>
            <w:r w:rsidRPr="008D685A">
              <w:rPr>
                <w:b/>
                <w:lang w:val="en-GB"/>
              </w:rPr>
              <w:t xml:space="preserve">Bringing </w:t>
            </w:r>
            <w:r w:rsidR="00011830">
              <w:rPr>
                <w:b/>
                <w:lang w:val="en-GB"/>
              </w:rPr>
              <w:t>L</w:t>
            </w:r>
            <w:r w:rsidRPr="008D685A">
              <w:rPr>
                <w:b/>
                <w:lang w:val="en-GB"/>
              </w:rPr>
              <w:t xml:space="preserve">ight to </w:t>
            </w:r>
            <w:r w:rsidR="00011830">
              <w:rPr>
                <w:b/>
                <w:lang w:val="en-GB"/>
              </w:rPr>
              <w:t>R</w:t>
            </w:r>
            <w:r w:rsidRPr="008D685A">
              <w:rPr>
                <w:b/>
                <w:lang w:val="en-GB"/>
              </w:rPr>
              <w:t xml:space="preserve">ural </w:t>
            </w:r>
            <w:r w:rsidR="00011830">
              <w:rPr>
                <w:b/>
                <w:lang w:val="en-GB"/>
              </w:rPr>
              <w:t>C</w:t>
            </w:r>
            <w:r w:rsidRPr="008D685A">
              <w:rPr>
                <w:b/>
                <w:lang w:val="en-GB"/>
              </w:rPr>
              <w:t>ommunities</w:t>
            </w:r>
          </w:p>
        </w:tc>
        <w:tc>
          <w:tcPr>
            <w:tcW w:w="3870" w:type="dxa"/>
            <w:vAlign w:val="center"/>
          </w:tcPr>
          <w:p w14:paraId="5032AE49" w14:textId="536FB9B4" w:rsidR="00306397" w:rsidRPr="008D685A" w:rsidRDefault="00306397" w:rsidP="00ED3810">
            <w:pPr>
              <w:pStyle w:val="Footnote"/>
              <w:jc w:val="center"/>
              <w:rPr>
                <w:b/>
                <w:lang w:val="en-GB"/>
              </w:rPr>
            </w:pPr>
            <w:r w:rsidRPr="008D685A">
              <w:rPr>
                <w:b/>
                <w:lang w:val="en-GB"/>
              </w:rPr>
              <w:t xml:space="preserve">Business Partnerships Platform: Connecting </w:t>
            </w:r>
            <w:r w:rsidR="00011830">
              <w:rPr>
                <w:b/>
                <w:lang w:val="en-GB"/>
              </w:rPr>
              <w:t>C</w:t>
            </w:r>
            <w:r w:rsidRPr="008D685A">
              <w:rPr>
                <w:b/>
                <w:lang w:val="en-GB"/>
              </w:rPr>
              <w:t xml:space="preserve">ommunities to </w:t>
            </w:r>
            <w:r w:rsidR="00011830">
              <w:rPr>
                <w:b/>
                <w:lang w:val="en-GB"/>
              </w:rPr>
              <w:t>C</w:t>
            </w:r>
            <w:r w:rsidRPr="008D685A">
              <w:rPr>
                <w:b/>
                <w:lang w:val="en-GB"/>
              </w:rPr>
              <w:t xml:space="preserve">lean </w:t>
            </w:r>
            <w:r w:rsidR="00011830">
              <w:rPr>
                <w:b/>
                <w:lang w:val="en-GB"/>
              </w:rPr>
              <w:t>E</w:t>
            </w:r>
            <w:r w:rsidRPr="008D685A">
              <w:rPr>
                <w:b/>
                <w:lang w:val="en-GB"/>
              </w:rPr>
              <w:t xml:space="preserve">nergy and the </w:t>
            </w:r>
            <w:r w:rsidR="00011830">
              <w:rPr>
                <w:b/>
                <w:lang w:val="en-GB"/>
              </w:rPr>
              <w:t>D</w:t>
            </w:r>
            <w:r w:rsidRPr="008D685A">
              <w:rPr>
                <w:b/>
                <w:lang w:val="en-GB"/>
              </w:rPr>
              <w:t xml:space="preserve">igital </w:t>
            </w:r>
            <w:r w:rsidR="00011830">
              <w:rPr>
                <w:b/>
                <w:lang w:val="en-GB"/>
              </w:rPr>
              <w:t>E</w:t>
            </w:r>
            <w:r w:rsidRPr="008D685A">
              <w:rPr>
                <w:b/>
                <w:lang w:val="en-GB"/>
              </w:rPr>
              <w:t xml:space="preserve">conomy in </w:t>
            </w:r>
            <w:r w:rsidR="005F21E5" w:rsidRPr="00BB2CB2">
              <w:rPr>
                <w:b/>
                <w:lang w:val="en-GB"/>
              </w:rPr>
              <w:t>Papua New Guinea (</w:t>
            </w:r>
            <w:r w:rsidRPr="008D685A">
              <w:rPr>
                <w:b/>
                <w:lang w:val="en-GB"/>
              </w:rPr>
              <w:t>PNG</w:t>
            </w:r>
            <w:r w:rsidR="005F21E5">
              <w:rPr>
                <w:b/>
                <w:lang w:val="en-GB"/>
              </w:rPr>
              <w:t>)</w:t>
            </w:r>
          </w:p>
        </w:tc>
        <w:tc>
          <w:tcPr>
            <w:tcW w:w="2610" w:type="dxa"/>
            <w:vAlign w:val="center"/>
          </w:tcPr>
          <w:p w14:paraId="43550621" w14:textId="2D6CC089" w:rsidR="00306397" w:rsidRPr="008D685A" w:rsidRDefault="00306397" w:rsidP="00ED3810">
            <w:pPr>
              <w:pStyle w:val="Footnote"/>
              <w:jc w:val="center"/>
              <w:rPr>
                <w:b/>
                <w:lang w:val="en-GB"/>
              </w:rPr>
            </w:pPr>
            <w:r w:rsidRPr="008D685A">
              <w:rPr>
                <w:b/>
                <w:lang w:val="en-GB"/>
              </w:rPr>
              <w:t>SolarBuddy: Buddy2Buddy Program</w:t>
            </w:r>
          </w:p>
        </w:tc>
      </w:tr>
      <w:tr w:rsidR="00306397" w:rsidRPr="008D685A" w14:paraId="54749D1F" w14:textId="77777777" w:rsidTr="00ED3810">
        <w:trPr>
          <w:jc w:val="center"/>
        </w:trPr>
        <w:tc>
          <w:tcPr>
            <w:tcW w:w="1525" w:type="dxa"/>
            <w:vAlign w:val="center"/>
          </w:tcPr>
          <w:p w14:paraId="30A79AB1" w14:textId="77777777" w:rsidR="00306397" w:rsidRPr="008D685A" w:rsidRDefault="00306397" w:rsidP="00ED3810">
            <w:pPr>
              <w:pStyle w:val="Footnote"/>
              <w:jc w:val="left"/>
              <w:rPr>
                <w:b/>
                <w:lang w:val="en-GB"/>
              </w:rPr>
            </w:pPr>
            <w:r w:rsidRPr="008D685A">
              <w:rPr>
                <w:b/>
                <w:lang w:val="en-GB"/>
              </w:rPr>
              <w:t>Program details</w:t>
            </w:r>
          </w:p>
        </w:tc>
        <w:tc>
          <w:tcPr>
            <w:tcW w:w="3690" w:type="dxa"/>
            <w:vAlign w:val="center"/>
          </w:tcPr>
          <w:p w14:paraId="28E63D03" w14:textId="3D6FF73C" w:rsidR="00306397" w:rsidRPr="008D685A" w:rsidRDefault="00306397" w:rsidP="00ED3810">
            <w:pPr>
              <w:pStyle w:val="Footnote"/>
              <w:jc w:val="left"/>
              <w:rPr>
                <w:lang w:val="en-GB"/>
              </w:rPr>
            </w:pPr>
            <w:r w:rsidRPr="008D685A">
              <w:rPr>
                <w:lang w:val="en-GB"/>
              </w:rPr>
              <w:t xml:space="preserve">The ANCP is a grants program for accredited Australian NGOs delivered by the Australian government. </w:t>
            </w:r>
          </w:p>
        </w:tc>
        <w:tc>
          <w:tcPr>
            <w:tcW w:w="3870" w:type="dxa"/>
            <w:vAlign w:val="center"/>
          </w:tcPr>
          <w:p w14:paraId="23BF6539" w14:textId="5E87714B" w:rsidR="00306397" w:rsidRPr="008D685A" w:rsidRDefault="00306397" w:rsidP="00ED3810">
            <w:pPr>
              <w:pStyle w:val="Footnote"/>
              <w:jc w:val="left"/>
              <w:rPr>
                <w:lang w:val="en-GB"/>
              </w:rPr>
            </w:pPr>
            <w:r w:rsidRPr="008D685A">
              <w:rPr>
                <w:lang w:val="en-GB"/>
              </w:rPr>
              <w:t xml:space="preserve">The Business Partnership Platform is a collaboration between private enterprise and government. </w:t>
            </w:r>
            <w:r w:rsidRPr="008D685A">
              <w:rPr>
                <w:i/>
                <w:lang w:val="en-GB"/>
              </w:rPr>
              <w:t>Digicel</w:t>
            </w:r>
            <w:r w:rsidRPr="008D685A">
              <w:rPr>
                <w:lang w:val="en-GB"/>
              </w:rPr>
              <w:t xml:space="preserve"> is a well-known corporate mobile communications provider within PNG, an important factor in the potential success of distributing and selling solar power solutions within this market.</w:t>
            </w:r>
          </w:p>
        </w:tc>
        <w:tc>
          <w:tcPr>
            <w:tcW w:w="2610" w:type="dxa"/>
            <w:vAlign w:val="center"/>
          </w:tcPr>
          <w:p w14:paraId="009AF9FA" w14:textId="7C2A3E8E" w:rsidR="00306397" w:rsidRPr="008D685A" w:rsidRDefault="00306397" w:rsidP="00ED3810">
            <w:pPr>
              <w:pStyle w:val="Footnote"/>
              <w:jc w:val="left"/>
              <w:rPr>
                <w:lang w:val="en-GB"/>
              </w:rPr>
            </w:pPr>
            <w:r w:rsidRPr="008D685A">
              <w:rPr>
                <w:lang w:val="en-GB"/>
              </w:rPr>
              <w:t>School communities raise funds for the purchase, build</w:t>
            </w:r>
            <w:r w:rsidR="005F21E5">
              <w:rPr>
                <w:lang w:val="en-GB"/>
              </w:rPr>
              <w:t>ing</w:t>
            </w:r>
            <w:r w:rsidR="006368CB">
              <w:rPr>
                <w:lang w:val="en-GB"/>
              </w:rPr>
              <w:t>,</w:t>
            </w:r>
            <w:r w:rsidRPr="008D685A">
              <w:rPr>
                <w:lang w:val="en-GB"/>
              </w:rPr>
              <w:t xml:space="preserve"> and distribution costs for each student to participate in the program. School</w:t>
            </w:r>
            <w:r w:rsidR="005F21E5">
              <w:rPr>
                <w:lang w:val="en-GB"/>
              </w:rPr>
              <w:t xml:space="preserve"> </w:t>
            </w:r>
            <w:r w:rsidRPr="008D685A">
              <w:rPr>
                <w:lang w:val="en-GB"/>
              </w:rPr>
              <w:t>children a</w:t>
            </w:r>
            <w:r w:rsidR="001C5993" w:rsidRPr="008D685A">
              <w:rPr>
                <w:lang w:val="en-GB"/>
              </w:rPr>
              <w:t xml:space="preserve">ssemble the lanterns in class. </w:t>
            </w:r>
            <w:r w:rsidRPr="008D685A">
              <w:rPr>
                <w:lang w:val="en-GB"/>
              </w:rPr>
              <w:t xml:space="preserve">These lanterns are then distributed to families experiencing energy poverty elsewhere in the world. </w:t>
            </w:r>
          </w:p>
        </w:tc>
      </w:tr>
      <w:tr w:rsidR="00306397" w:rsidRPr="008D685A" w14:paraId="08FD991B" w14:textId="77777777" w:rsidTr="00ED3810">
        <w:trPr>
          <w:jc w:val="center"/>
        </w:trPr>
        <w:tc>
          <w:tcPr>
            <w:tcW w:w="1525" w:type="dxa"/>
            <w:vAlign w:val="center"/>
          </w:tcPr>
          <w:p w14:paraId="18BC9C09" w14:textId="77777777" w:rsidR="00306397" w:rsidRPr="008D685A" w:rsidRDefault="00306397" w:rsidP="00ED3810">
            <w:pPr>
              <w:pStyle w:val="Footnote"/>
              <w:jc w:val="left"/>
              <w:rPr>
                <w:b/>
                <w:lang w:val="en-GB"/>
              </w:rPr>
            </w:pPr>
            <w:r w:rsidRPr="008D685A">
              <w:rPr>
                <w:b/>
                <w:lang w:val="en-GB"/>
              </w:rPr>
              <w:t>Countries</w:t>
            </w:r>
          </w:p>
        </w:tc>
        <w:tc>
          <w:tcPr>
            <w:tcW w:w="3690" w:type="dxa"/>
            <w:vAlign w:val="center"/>
          </w:tcPr>
          <w:p w14:paraId="16BAC82F" w14:textId="77777777" w:rsidR="00306397" w:rsidRPr="008D685A" w:rsidRDefault="00306397" w:rsidP="00ED3810">
            <w:pPr>
              <w:pStyle w:val="Footnote"/>
              <w:jc w:val="left"/>
              <w:rPr>
                <w:lang w:val="en-GB"/>
              </w:rPr>
            </w:pPr>
            <w:r w:rsidRPr="008D685A">
              <w:rPr>
                <w:lang w:val="en-GB"/>
              </w:rPr>
              <w:t>Solomon Islands</w:t>
            </w:r>
          </w:p>
        </w:tc>
        <w:tc>
          <w:tcPr>
            <w:tcW w:w="3870" w:type="dxa"/>
            <w:vAlign w:val="center"/>
          </w:tcPr>
          <w:p w14:paraId="169E6E6C" w14:textId="77777777" w:rsidR="00306397" w:rsidRPr="008D685A" w:rsidRDefault="00306397" w:rsidP="00ED3810">
            <w:pPr>
              <w:pStyle w:val="Footnote"/>
              <w:jc w:val="left"/>
              <w:rPr>
                <w:lang w:val="en-GB"/>
              </w:rPr>
            </w:pPr>
            <w:r w:rsidRPr="008D685A">
              <w:rPr>
                <w:lang w:val="en-GB"/>
              </w:rPr>
              <w:t>Papua New Guinea</w:t>
            </w:r>
          </w:p>
        </w:tc>
        <w:tc>
          <w:tcPr>
            <w:tcW w:w="2610" w:type="dxa"/>
            <w:vAlign w:val="center"/>
          </w:tcPr>
          <w:p w14:paraId="56FED350" w14:textId="7BAED9A0" w:rsidR="00306397" w:rsidRPr="008D685A" w:rsidRDefault="00306397" w:rsidP="00ED3810">
            <w:pPr>
              <w:pStyle w:val="Footnote"/>
              <w:jc w:val="left"/>
              <w:rPr>
                <w:lang w:val="en-GB"/>
              </w:rPr>
            </w:pPr>
            <w:r w:rsidRPr="008D685A">
              <w:rPr>
                <w:lang w:val="en-GB"/>
              </w:rPr>
              <w:t>India, Uganda, Kenya, Tanzania, Tibet, Thailand, Myanmar, Vanuatu</w:t>
            </w:r>
            <w:r w:rsidR="006368CB">
              <w:rPr>
                <w:lang w:val="en-GB"/>
              </w:rPr>
              <w:t>,</w:t>
            </w:r>
            <w:r w:rsidRPr="008D685A">
              <w:rPr>
                <w:lang w:val="en-GB"/>
              </w:rPr>
              <w:t xml:space="preserve"> and Papua New Guinea</w:t>
            </w:r>
          </w:p>
        </w:tc>
      </w:tr>
      <w:tr w:rsidR="00306397" w:rsidRPr="008D685A" w14:paraId="3B8206E6" w14:textId="77777777" w:rsidTr="00ED3810">
        <w:trPr>
          <w:jc w:val="center"/>
        </w:trPr>
        <w:tc>
          <w:tcPr>
            <w:tcW w:w="1525" w:type="dxa"/>
            <w:vAlign w:val="center"/>
          </w:tcPr>
          <w:p w14:paraId="03E749A6" w14:textId="0D1222F7" w:rsidR="00306397" w:rsidRPr="008D685A" w:rsidRDefault="00306397" w:rsidP="00ED3810">
            <w:pPr>
              <w:pStyle w:val="Footnote"/>
              <w:jc w:val="left"/>
              <w:rPr>
                <w:b/>
                <w:lang w:val="en-GB"/>
              </w:rPr>
            </w:pPr>
            <w:r w:rsidRPr="008D685A">
              <w:rPr>
                <w:b/>
                <w:lang w:val="en-GB"/>
              </w:rPr>
              <w:t>Organi</w:t>
            </w:r>
            <w:r w:rsidR="005769A1" w:rsidRPr="008D685A">
              <w:rPr>
                <w:b/>
                <w:lang w:val="en-GB"/>
              </w:rPr>
              <w:t>z</w:t>
            </w:r>
            <w:r w:rsidRPr="008D685A">
              <w:rPr>
                <w:b/>
                <w:lang w:val="en-GB"/>
              </w:rPr>
              <w:t xml:space="preserve">ational </w:t>
            </w:r>
            <w:r w:rsidR="00011830">
              <w:rPr>
                <w:b/>
                <w:lang w:val="en-GB"/>
              </w:rPr>
              <w:t>p</w:t>
            </w:r>
            <w:r w:rsidRPr="008D685A">
              <w:rPr>
                <w:b/>
                <w:lang w:val="en-GB"/>
              </w:rPr>
              <w:t>artners</w:t>
            </w:r>
          </w:p>
        </w:tc>
        <w:tc>
          <w:tcPr>
            <w:tcW w:w="3690" w:type="dxa"/>
            <w:vAlign w:val="center"/>
          </w:tcPr>
          <w:p w14:paraId="5B01188E" w14:textId="77777777" w:rsidR="00306397" w:rsidRPr="00BB2CB2" w:rsidRDefault="00306397" w:rsidP="00ED3810">
            <w:pPr>
              <w:pStyle w:val="Footnote"/>
              <w:jc w:val="left"/>
              <w:rPr>
                <w:lang w:val="en-GB"/>
              </w:rPr>
            </w:pPr>
            <w:r w:rsidRPr="00BB2CB2">
              <w:rPr>
                <w:lang w:val="en-GB"/>
              </w:rPr>
              <w:t>Anglican Overseas Aid</w:t>
            </w:r>
          </w:p>
        </w:tc>
        <w:tc>
          <w:tcPr>
            <w:tcW w:w="3870" w:type="dxa"/>
            <w:vAlign w:val="center"/>
          </w:tcPr>
          <w:p w14:paraId="5417E2B7" w14:textId="77777777" w:rsidR="00306397" w:rsidRPr="00BB2CB2" w:rsidRDefault="00306397" w:rsidP="00ED3810">
            <w:pPr>
              <w:pStyle w:val="Footnote"/>
              <w:jc w:val="left"/>
              <w:rPr>
                <w:lang w:val="en-GB"/>
              </w:rPr>
            </w:pPr>
            <w:r w:rsidRPr="00BB2CB2">
              <w:rPr>
                <w:lang w:val="en-GB"/>
              </w:rPr>
              <w:t>Digicel</w:t>
            </w:r>
          </w:p>
        </w:tc>
        <w:tc>
          <w:tcPr>
            <w:tcW w:w="2610" w:type="dxa"/>
            <w:vAlign w:val="center"/>
          </w:tcPr>
          <w:p w14:paraId="33616C3C" w14:textId="77777777" w:rsidR="00306397" w:rsidRPr="00BB2CB2" w:rsidRDefault="00306397" w:rsidP="00ED3810">
            <w:pPr>
              <w:pStyle w:val="Footnote"/>
              <w:jc w:val="left"/>
              <w:rPr>
                <w:lang w:val="en-GB"/>
              </w:rPr>
            </w:pPr>
            <w:r w:rsidRPr="00BB2CB2">
              <w:rPr>
                <w:lang w:val="en-GB"/>
              </w:rPr>
              <w:t>Australian schools</w:t>
            </w:r>
          </w:p>
        </w:tc>
      </w:tr>
      <w:tr w:rsidR="00306397" w:rsidRPr="008D685A" w14:paraId="0762C8E9" w14:textId="77777777" w:rsidTr="00ED3810">
        <w:trPr>
          <w:jc w:val="center"/>
        </w:trPr>
        <w:tc>
          <w:tcPr>
            <w:tcW w:w="1525" w:type="dxa"/>
            <w:vAlign w:val="center"/>
          </w:tcPr>
          <w:p w14:paraId="064F7BE0" w14:textId="52FC001F" w:rsidR="00306397" w:rsidRPr="008D685A" w:rsidRDefault="00306397" w:rsidP="00ED3810">
            <w:pPr>
              <w:pStyle w:val="Footnote"/>
              <w:jc w:val="left"/>
              <w:rPr>
                <w:b/>
                <w:lang w:val="en-GB"/>
              </w:rPr>
            </w:pPr>
            <w:r w:rsidRPr="008D685A">
              <w:rPr>
                <w:b/>
                <w:lang w:val="en-GB"/>
              </w:rPr>
              <w:t>Investment</w:t>
            </w:r>
            <w:r w:rsidR="00011830">
              <w:rPr>
                <w:b/>
                <w:lang w:val="en-GB"/>
              </w:rPr>
              <w:t xml:space="preserve"> and a</w:t>
            </w:r>
            <w:r w:rsidRPr="008D685A">
              <w:rPr>
                <w:b/>
                <w:lang w:val="en-GB"/>
              </w:rPr>
              <w:t xml:space="preserve">ctivity in </w:t>
            </w:r>
            <w:r w:rsidR="00011830">
              <w:rPr>
                <w:b/>
                <w:lang w:val="en-GB"/>
              </w:rPr>
              <w:t>s</w:t>
            </w:r>
            <w:r w:rsidRPr="008D685A">
              <w:rPr>
                <w:b/>
                <w:lang w:val="en-GB"/>
              </w:rPr>
              <w:t xml:space="preserve">olar </w:t>
            </w:r>
            <w:r w:rsidR="00011830">
              <w:rPr>
                <w:b/>
                <w:lang w:val="en-GB"/>
              </w:rPr>
              <w:t>e</w:t>
            </w:r>
            <w:r w:rsidRPr="008D685A">
              <w:rPr>
                <w:b/>
                <w:lang w:val="en-GB"/>
              </w:rPr>
              <w:t>nergy</w:t>
            </w:r>
          </w:p>
        </w:tc>
        <w:tc>
          <w:tcPr>
            <w:tcW w:w="3690" w:type="dxa"/>
            <w:vAlign w:val="center"/>
          </w:tcPr>
          <w:p w14:paraId="324FFD71" w14:textId="77777777" w:rsidR="00306397" w:rsidRPr="008D685A" w:rsidRDefault="00306397" w:rsidP="00ED3810">
            <w:pPr>
              <w:pStyle w:val="Footnote"/>
              <w:jc w:val="left"/>
              <w:rPr>
                <w:lang w:val="en-GB"/>
              </w:rPr>
            </w:pPr>
            <w:r w:rsidRPr="008D685A">
              <w:rPr>
                <w:lang w:val="en-GB"/>
              </w:rPr>
              <w:t>Solar lighting provided for approximately 400 families</w:t>
            </w:r>
          </w:p>
        </w:tc>
        <w:tc>
          <w:tcPr>
            <w:tcW w:w="3870" w:type="dxa"/>
            <w:vAlign w:val="center"/>
          </w:tcPr>
          <w:p w14:paraId="327DE70B" w14:textId="4309DDF2" w:rsidR="00306397" w:rsidRPr="008D685A" w:rsidRDefault="00306397" w:rsidP="00ED3810">
            <w:pPr>
              <w:pStyle w:val="Footnote"/>
              <w:jc w:val="left"/>
              <w:rPr>
                <w:lang w:val="en-GB"/>
              </w:rPr>
            </w:pPr>
            <w:r w:rsidRPr="008D685A">
              <w:rPr>
                <w:lang w:val="en-GB"/>
              </w:rPr>
              <w:t xml:space="preserve">Solar lanterns (in addition to other solar energy solutions and access to the digital economy) distributed through </w:t>
            </w:r>
            <w:r w:rsidRPr="00BB2CB2">
              <w:rPr>
                <w:lang w:val="en-GB"/>
              </w:rPr>
              <w:t>Digicel</w:t>
            </w:r>
            <w:r w:rsidRPr="00011830">
              <w:rPr>
                <w:lang w:val="en-GB"/>
              </w:rPr>
              <w:t>’s</w:t>
            </w:r>
            <w:r w:rsidRPr="008D685A">
              <w:rPr>
                <w:lang w:val="en-GB"/>
              </w:rPr>
              <w:t xml:space="preserve"> existing supply chains</w:t>
            </w:r>
          </w:p>
        </w:tc>
        <w:tc>
          <w:tcPr>
            <w:tcW w:w="2610" w:type="dxa"/>
            <w:vAlign w:val="center"/>
          </w:tcPr>
          <w:p w14:paraId="231568D0" w14:textId="30A4CB5D" w:rsidR="00306397" w:rsidRPr="008D685A" w:rsidRDefault="00011830" w:rsidP="00ED3810">
            <w:pPr>
              <w:pStyle w:val="Footnote"/>
              <w:jc w:val="left"/>
              <w:rPr>
                <w:lang w:val="en-GB"/>
              </w:rPr>
            </w:pPr>
            <w:r>
              <w:rPr>
                <w:lang w:val="en-GB"/>
              </w:rPr>
              <w:t xml:space="preserve">Cost for </w:t>
            </w:r>
            <w:r w:rsidR="00306397" w:rsidRPr="008D685A">
              <w:rPr>
                <w:lang w:val="en-GB"/>
              </w:rPr>
              <w:t>SolarBuddy lights from AU</w:t>
            </w:r>
            <w:r>
              <w:rPr>
                <w:lang w:val="en-GB"/>
              </w:rPr>
              <w:t>$</w:t>
            </w:r>
            <w:r w:rsidR="00306397" w:rsidRPr="008D685A">
              <w:rPr>
                <w:lang w:val="en-GB"/>
              </w:rPr>
              <w:t xml:space="preserve">25 each </w:t>
            </w:r>
          </w:p>
        </w:tc>
      </w:tr>
    </w:tbl>
    <w:p w14:paraId="43EA8B97" w14:textId="77777777" w:rsidR="005F21E5" w:rsidRDefault="005F21E5" w:rsidP="004425FF">
      <w:pPr>
        <w:pStyle w:val="Footnote"/>
        <w:rPr>
          <w:lang w:val="en-GB"/>
        </w:rPr>
      </w:pPr>
    </w:p>
    <w:p w14:paraId="68769353" w14:textId="615ADC1C" w:rsidR="00306397" w:rsidRPr="008D685A" w:rsidRDefault="00011830" w:rsidP="004425FF">
      <w:pPr>
        <w:pStyle w:val="Footnote"/>
        <w:rPr>
          <w:lang w:val="en-GB"/>
        </w:rPr>
      </w:pPr>
      <w:r w:rsidRPr="00011830">
        <w:rPr>
          <w:lang w:val="en-GB"/>
        </w:rPr>
        <w:t xml:space="preserve">Source: “Bringing </w:t>
      </w:r>
      <w:r w:rsidR="00EF5B15">
        <w:rPr>
          <w:lang w:val="en-GB"/>
        </w:rPr>
        <w:t>L</w:t>
      </w:r>
      <w:r w:rsidRPr="00011830">
        <w:rPr>
          <w:lang w:val="en-GB"/>
        </w:rPr>
        <w:t xml:space="preserve">ight to </w:t>
      </w:r>
      <w:r w:rsidR="00EF5B15">
        <w:rPr>
          <w:lang w:val="en-GB"/>
        </w:rPr>
        <w:t>R</w:t>
      </w:r>
      <w:r w:rsidRPr="00011830">
        <w:rPr>
          <w:lang w:val="en-GB"/>
        </w:rPr>
        <w:t xml:space="preserve">ural </w:t>
      </w:r>
      <w:r w:rsidR="00EF5B15">
        <w:rPr>
          <w:lang w:val="en-GB"/>
        </w:rPr>
        <w:t>C</w:t>
      </w:r>
      <w:r w:rsidRPr="00011830">
        <w:rPr>
          <w:lang w:val="en-GB"/>
        </w:rPr>
        <w:t xml:space="preserve">ommunities,” Australian Government, Department of Foreign Affairs and Trade, January 14, 2016, accessed June 14, 2018, http://dfat.gov.au/aid/who-we-work-with/ngos/ancp/news/Pages/bringing-light-to-rural-communities.aspx; “Connecting </w:t>
      </w:r>
      <w:r w:rsidR="00EF5B15">
        <w:rPr>
          <w:lang w:val="en-GB"/>
        </w:rPr>
        <w:t>C</w:t>
      </w:r>
      <w:r w:rsidRPr="00011830">
        <w:rPr>
          <w:lang w:val="en-GB"/>
        </w:rPr>
        <w:t xml:space="preserve">ommunities to </w:t>
      </w:r>
      <w:r w:rsidR="00EF5B15">
        <w:rPr>
          <w:lang w:val="en-GB"/>
        </w:rPr>
        <w:t>C</w:t>
      </w:r>
      <w:r w:rsidRPr="00011830">
        <w:rPr>
          <w:lang w:val="en-GB"/>
        </w:rPr>
        <w:t xml:space="preserve">lean </w:t>
      </w:r>
      <w:r w:rsidR="00EF5B15">
        <w:rPr>
          <w:lang w:val="en-GB"/>
        </w:rPr>
        <w:t>E</w:t>
      </w:r>
      <w:r w:rsidRPr="00011830">
        <w:rPr>
          <w:lang w:val="en-GB"/>
        </w:rPr>
        <w:t xml:space="preserve">nergy and the </w:t>
      </w:r>
      <w:r w:rsidR="00EF5B15">
        <w:rPr>
          <w:lang w:val="en-GB"/>
        </w:rPr>
        <w:t>D</w:t>
      </w:r>
      <w:r w:rsidRPr="00011830">
        <w:rPr>
          <w:lang w:val="en-GB"/>
        </w:rPr>
        <w:t xml:space="preserve">igital </w:t>
      </w:r>
      <w:r w:rsidR="00EF5B15">
        <w:rPr>
          <w:lang w:val="en-GB"/>
        </w:rPr>
        <w:t>E</w:t>
      </w:r>
      <w:r w:rsidRPr="00011830">
        <w:rPr>
          <w:lang w:val="en-GB"/>
        </w:rPr>
        <w:t>conomy in PNG,” Australian Government, Department of Foreign Affairs and Trade, accessed June 14, 2018, http://dfat.gov.au/aid/who-we-work-with/private-sector-partnerships/bpp/Pages/connecting-communities-to-clean-energy-and-the-digital-economy-in-png.aspx; “Schools,” SolarBuddy, accessed June 14, 2018,</w:t>
      </w:r>
      <w:r w:rsidR="00B46172" w:rsidRPr="00B46172">
        <w:t xml:space="preserve"> </w:t>
      </w:r>
      <w:r w:rsidR="00B46172" w:rsidRPr="00B46172">
        <w:rPr>
          <w:lang w:val="en-GB"/>
        </w:rPr>
        <w:t>https://solarbuddy.org/about-solarbuddy/</w:t>
      </w:r>
      <w:r w:rsidR="00E52E65">
        <w:rPr>
          <w:lang w:val="en-GB"/>
        </w:rPr>
        <w:t>.</w:t>
      </w:r>
    </w:p>
    <w:sectPr w:rsidR="00306397" w:rsidRPr="008D685A" w:rsidSect="00E74733">
      <w:headerReference w:type="default" r:id="rId16"/>
      <w:pgSz w:w="15840" w:h="12240" w:orient="landscape" w:code="1"/>
      <w:pgMar w:top="144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0EA95" w16cid:durableId="1F2A664B"/>
  <w16cid:commentId w16cid:paraId="1DAF37DA" w16cid:durableId="1F2D35C8"/>
  <w16cid:commentId w16cid:paraId="43897071" w16cid:durableId="1F2A79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FD445" w14:textId="77777777" w:rsidR="00904DB6" w:rsidRDefault="00904DB6" w:rsidP="00D75295">
      <w:r>
        <w:separator/>
      </w:r>
    </w:p>
  </w:endnote>
  <w:endnote w:type="continuationSeparator" w:id="0">
    <w:p w14:paraId="6E838029" w14:textId="77777777" w:rsidR="00904DB6" w:rsidRDefault="00904DB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3262C" w14:textId="77777777" w:rsidR="00904DB6" w:rsidRDefault="00904DB6" w:rsidP="00D75295">
      <w:r>
        <w:separator/>
      </w:r>
    </w:p>
  </w:footnote>
  <w:footnote w:type="continuationSeparator" w:id="0">
    <w:p w14:paraId="3613FB28" w14:textId="77777777" w:rsidR="00904DB6" w:rsidRDefault="00904DB6" w:rsidP="00D75295">
      <w:r>
        <w:continuationSeparator/>
      </w:r>
    </w:p>
  </w:footnote>
  <w:footnote w:id="1">
    <w:p w14:paraId="0D67DEE8" w14:textId="6B2B63DD" w:rsidR="00E74733" w:rsidRPr="00BB2CB2" w:rsidRDefault="00E74733" w:rsidP="002C5D53">
      <w:pPr>
        <w:pStyle w:val="Footnote"/>
        <w:rPr>
          <w:spacing w:val="-4"/>
          <w:kern w:val="17"/>
        </w:rPr>
      </w:pPr>
      <w:r w:rsidRPr="00BB2CB2">
        <w:rPr>
          <w:spacing w:val="-4"/>
          <w:kern w:val="17"/>
          <w:vertAlign w:val="superscript"/>
        </w:rPr>
        <w:footnoteRef/>
      </w:r>
      <w:r>
        <w:rPr>
          <w:spacing w:val="-4"/>
          <w:kern w:val="17"/>
        </w:rPr>
        <w:t> International Energy </w:t>
      </w:r>
      <w:r w:rsidRPr="00BB2CB2">
        <w:rPr>
          <w:spacing w:val="-4"/>
          <w:kern w:val="17"/>
        </w:rPr>
        <w:t>Agency,</w:t>
      </w:r>
      <w:r>
        <w:rPr>
          <w:spacing w:val="-4"/>
          <w:kern w:val="17"/>
        </w:rPr>
        <w:t> </w:t>
      </w:r>
      <w:r>
        <w:rPr>
          <w:i/>
          <w:spacing w:val="-4"/>
          <w:kern w:val="17"/>
        </w:rPr>
        <w:t>Energy Access Outlook 2017: From Poverty to </w:t>
      </w:r>
      <w:r w:rsidRPr="00BB2CB2">
        <w:rPr>
          <w:i/>
          <w:spacing w:val="-4"/>
          <w:kern w:val="17"/>
        </w:rPr>
        <w:t>Prosperity</w:t>
      </w:r>
      <w:r>
        <w:rPr>
          <w:spacing w:val="-4"/>
          <w:kern w:val="17"/>
        </w:rPr>
        <w:t>, </w:t>
      </w:r>
      <w:r w:rsidRPr="00BB2CB2">
        <w:rPr>
          <w:spacing w:val="-4"/>
          <w:kern w:val="17"/>
        </w:rPr>
        <w:t>report,</w:t>
      </w:r>
      <w:r>
        <w:rPr>
          <w:spacing w:val="-4"/>
          <w:kern w:val="17"/>
        </w:rPr>
        <w:t> </w:t>
      </w:r>
      <w:r w:rsidRPr="00BB2CB2">
        <w:rPr>
          <w:spacing w:val="-4"/>
          <w:kern w:val="17"/>
        </w:rPr>
        <w:t>11</w:t>
      </w:r>
      <w:r>
        <w:rPr>
          <w:spacing w:val="-4"/>
          <w:kern w:val="17"/>
        </w:rPr>
        <w:t>, </w:t>
      </w:r>
      <w:r w:rsidRPr="00BB2CB2">
        <w:rPr>
          <w:spacing w:val="-4"/>
          <w:kern w:val="17"/>
        </w:rPr>
        <w:t>accessed May 13, 2018, www.iea.org/publications/freepublications/publication/WEO2017SpecialReport_EnergyAccessOutlook.pdf.</w:t>
      </w:r>
    </w:p>
  </w:footnote>
  <w:footnote w:id="2">
    <w:p w14:paraId="2E421BA5" w14:textId="3E543164" w:rsidR="00E74733" w:rsidRPr="00B9585D" w:rsidRDefault="00E74733" w:rsidP="00EC2398">
      <w:pPr>
        <w:pStyle w:val="FootnoteText"/>
        <w:jc w:val="both"/>
        <w:rPr>
          <w:rFonts w:ascii="Arial" w:hAnsi="Arial" w:cs="Arial"/>
          <w:sz w:val="17"/>
          <w:szCs w:val="17"/>
        </w:rPr>
      </w:pPr>
      <w:r w:rsidRPr="00B9585D">
        <w:rPr>
          <w:rFonts w:ascii="Arial" w:hAnsi="Arial" w:cs="Arial"/>
          <w:sz w:val="17"/>
          <w:szCs w:val="17"/>
          <w:vertAlign w:val="superscript"/>
        </w:rPr>
        <w:footnoteRef/>
      </w:r>
      <w:r w:rsidRPr="00B9585D">
        <w:rPr>
          <w:rFonts w:ascii="Arial" w:hAnsi="Arial" w:cs="Arial"/>
          <w:sz w:val="17"/>
          <w:szCs w:val="17"/>
          <w:vertAlign w:val="superscript"/>
        </w:rPr>
        <w:t xml:space="preserve"> </w:t>
      </w:r>
      <w:r w:rsidRPr="00B9585D">
        <w:rPr>
          <w:rFonts w:ascii="Arial" w:hAnsi="Arial" w:cs="Arial"/>
          <w:sz w:val="17"/>
          <w:szCs w:val="17"/>
        </w:rPr>
        <w:t>Claire Heaney, “Light-</w:t>
      </w:r>
      <w:r>
        <w:rPr>
          <w:rFonts w:ascii="Arial" w:hAnsi="Arial" w:cs="Arial"/>
          <w:sz w:val="17"/>
          <w:szCs w:val="17"/>
        </w:rPr>
        <w:t>B</w:t>
      </w:r>
      <w:r w:rsidRPr="00B9585D">
        <w:rPr>
          <w:rFonts w:ascii="Arial" w:hAnsi="Arial" w:cs="Arial"/>
          <w:sz w:val="17"/>
          <w:szCs w:val="17"/>
        </w:rPr>
        <w:t xml:space="preserve">ulb </w:t>
      </w:r>
      <w:r>
        <w:rPr>
          <w:rFonts w:ascii="Arial" w:hAnsi="Arial" w:cs="Arial"/>
          <w:sz w:val="17"/>
          <w:szCs w:val="17"/>
        </w:rPr>
        <w:t>M</w:t>
      </w:r>
      <w:r w:rsidRPr="00B9585D">
        <w:rPr>
          <w:rFonts w:ascii="Arial" w:hAnsi="Arial" w:cs="Arial"/>
          <w:sz w:val="17"/>
          <w:szCs w:val="17"/>
        </w:rPr>
        <w:t xml:space="preserve">oment </w:t>
      </w:r>
      <w:r>
        <w:rPr>
          <w:rFonts w:ascii="Arial" w:hAnsi="Arial" w:cs="Arial"/>
          <w:sz w:val="17"/>
          <w:szCs w:val="17"/>
        </w:rPr>
        <w:t>G</w:t>
      </w:r>
      <w:r w:rsidRPr="00B9585D">
        <w:rPr>
          <w:rFonts w:ascii="Arial" w:hAnsi="Arial" w:cs="Arial"/>
          <w:sz w:val="17"/>
          <w:szCs w:val="17"/>
        </w:rPr>
        <w:t xml:space="preserve">ifts </w:t>
      </w:r>
      <w:r>
        <w:rPr>
          <w:rFonts w:ascii="Arial" w:hAnsi="Arial" w:cs="Arial"/>
          <w:sz w:val="17"/>
          <w:szCs w:val="17"/>
        </w:rPr>
        <w:t>P</w:t>
      </w:r>
      <w:r w:rsidRPr="00B9585D">
        <w:rPr>
          <w:rFonts w:ascii="Arial" w:hAnsi="Arial" w:cs="Arial"/>
          <w:sz w:val="17"/>
          <w:szCs w:val="17"/>
        </w:rPr>
        <w:t xml:space="preserve">ower to </w:t>
      </w:r>
      <w:r>
        <w:rPr>
          <w:rFonts w:ascii="Arial" w:hAnsi="Arial" w:cs="Arial"/>
          <w:sz w:val="17"/>
          <w:szCs w:val="17"/>
        </w:rPr>
        <w:t>P</w:t>
      </w:r>
      <w:r w:rsidRPr="00B9585D">
        <w:rPr>
          <w:rFonts w:ascii="Arial" w:hAnsi="Arial" w:cs="Arial"/>
          <w:sz w:val="17"/>
          <w:szCs w:val="17"/>
        </w:rPr>
        <w:t>oor</w:t>
      </w:r>
      <w:r>
        <w:rPr>
          <w:rFonts w:ascii="Arial" w:hAnsi="Arial" w:cs="Arial"/>
          <w:sz w:val="17"/>
          <w:szCs w:val="17"/>
        </w:rPr>
        <w:t>,</w:t>
      </w:r>
      <w:r w:rsidRPr="00B9585D">
        <w:rPr>
          <w:rFonts w:ascii="Arial" w:hAnsi="Arial" w:cs="Arial"/>
          <w:sz w:val="17"/>
          <w:szCs w:val="17"/>
        </w:rPr>
        <w:t xml:space="preserve">” </w:t>
      </w:r>
      <w:r w:rsidRPr="00D8266C">
        <w:rPr>
          <w:rFonts w:ascii="Arial" w:hAnsi="Arial" w:cs="Arial"/>
          <w:i/>
          <w:sz w:val="17"/>
          <w:szCs w:val="17"/>
        </w:rPr>
        <w:t>Herald Sun</w:t>
      </w:r>
      <w:r>
        <w:rPr>
          <w:rFonts w:ascii="Arial" w:hAnsi="Arial" w:cs="Arial"/>
          <w:sz w:val="17"/>
          <w:szCs w:val="17"/>
        </w:rPr>
        <w:t xml:space="preserve">, May 28, 2015, </w:t>
      </w:r>
      <w:r w:rsidRPr="00B9585D">
        <w:rPr>
          <w:rFonts w:ascii="Arial" w:hAnsi="Arial" w:cs="Arial"/>
          <w:sz w:val="17"/>
          <w:szCs w:val="17"/>
        </w:rPr>
        <w:t xml:space="preserve">accessed July 7, 2018, </w:t>
      </w:r>
      <w:r w:rsidR="00F13D6A" w:rsidRPr="00F13D6A">
        <w:rPr>
          <w:rFonts w:ascii="Arial" w:hAnsi="Arial" w:cs="Arial"/>
          <w:sz w:val="17"/>
          <w:szCs w:val="17"/>
        </w:rPr>
        <w:t>www.pressreader.com/australia/herald-sun/20150528/282827894743439</w:t>
      </w:r>
      <w:r>
        <w:rPr>
          <w:rFonts w:ascii="Arial" w:hAnsi="Arial" w:cs="Arial"/>
          <w:sz w:val="17"/>
          <w:szCs w:val="17"/>
        </w:rPr>
        <w:t>.</w:t>
      </w:r>
    </w:p>
  </w:footnote>
  <w:footnote w:id="3">
    <w:p w14:paraId="64DF2DA4" w14:textId="495B0CD9" w:rsidR="00E74733" w:rsidRPr="00E463F5" w:rsidRDefault="00E74733" w:rsidP="00EC2398">
      <w:pPr>
        <w:pStyle w:val="Footnote"/>
        <w:rPr>
          <w:spacing w:val="-4"/>
          <w:kern w:val="17"/>
        </w:rPr>
      </w:pPr>
      <w:r w:rsidRPr="00EC2398">
        <w:rPr>
          <w:rStyle w:val="FootnoteReference"/>
          <w:spacing w:val="-4"/>
          <w:kern w:val="17"/>
        </w:rPr>
        <w:footnoteRef/>
      </w:r>
      <w:r w:rsidRPr="00E463F5">
        <w:rPr>
          <w:spacing w:val="-4"/>
          <w:kern w:val="17"/>
        </w:rPr>
        <w:t xml:space="preserve"> Mikel González-Eguino, “Energy Poverty: An Overview,” </w:t>
      </w:r>
      <w:r w:rsidRPr="00E463F5">
        <w:rPr>
          <w:i/>
          <w:spacing w:val="-4"/>
          <w:kern w:val="17"/>
        </w:rPr>
        <w:t>Renewable and Sustainable Energy Reviews</w:t>
      </w:r>
      <w:r w:rsidRPr="00E463F5">
        <w:rPr>
          <w:spacing w:val="-4"/>
          <w:kern w:val="17"/>
        </w:rPr>
        <w:t xml:space="preserve"> 47, (2015): 377–385.</w:t>
      </w:r>
    </w:p>
  </w:footnote>
  <w:footnote w:id="4">
    <w:p w14:paraId="60E6D1BB" w14:textId="136C8193" w:rsidR="00E74733" w:rsidRPr="00BB2CB2" w:rsidRDefault="00E74733" w:rsidP="00EC2398">
      <w:pPr>
        <w:pStyle w:val="Footnote"/>
        <w:rPr>
          <w:spacing w:val="-4"/>
          <w:kern w:val="17"/>
        </w:rPr>
      </w:pPr>
      <w:r w:rsidRPr="00EC2398">
        <w:rPr>
          <w:rStyle w:val="FootnoteReference"/>
          <w:spacing w:val="-4"/>
          <w:kern w:val="17"/>
        </w:rPr>
        <w:footnoteRef/>
      </w:r>
      <w:r w:rsidRPr="00BB2CB2">
        <w:rPr>
          <w:spacing w:val="-4"/>
          <w:kern w:val="17"/>
        </w:rPr>
        <w:t xml:space="preserve"> Amulya K.N. Reddy, Wendy Annecke, Kornelis Blok, David Bloom, Brenda Boardman, Anton Eberhard, Jamuna Ramakrishna, Quentin Wodon, and Anita Kaniz Mehdi Zaidi, “Energy and Social Issues,” </w:t>
      </w:r>
      <w:r w:rsidRPr="00BB2CB2">
        <w:rPr>
          <w:i/>
          <w:spacing w:val="-4"/>
          <w:kern w:val="17"/>
        </w:rPr>
        <w:t>World Energy Assessment</w:t>
      </w:r>
      <w:r w:rsidRPr="00BB2CB2">
        <w:rPr>
          <w:spacing w:val="-4"/>
          <w:kern w:val="17"/>
        </w:rPr>
        <w:t xml:space="preserve"> (2000): 44.</w:t>
      </w:r>
    </w:p>
  </w:footnote>
  <w:footnote w:id="5">
    <w:p w14:paraId="77E0CB5F" w14:textId="3BB6C2A4" w:rsidR="00E74733" w:rsidRPr="001052CA" w:rsidRDefault="00E74733" w:rsidP="00EC2398">
      <w:pPr>
        <w:pStyle w:val="Footnote"/>
      </w:pPr>
      <w:r w:rsidRPr="00EC2398">
        <w:rPr>
          <w:rStyle w:val="FootnoteReference"/>
        </w:rPr>
        <w:footnoteRef/>
      </w:r>
      <w:r w:rsidRPr="001052CA">
        <w:t xml:space="preserve"> </w:t>
      </w:r>
      <w:r w:rsidRPr="00B9667C">
        <w:rPr>
          <w:spacing w:val="-2"/>
        </w:rPr>
        <w:t>“Energy Access,” Sustainable Energy for All, accessed May 13, 2018, www.seforall.org/energy-access.</w:t>
      </w:r>
    </w:p>
  </w:footnote>
  <w:footnote w:id="6">
    <w:p w14:paraId="05E70250" w14:textId="0DED9554" w:rsidR="00E74733" w:rsidRPr="00864404" w:rsidRDefault="00E74733" w:rsidP="00EC2398">
      <w:pPr>
        <w:pStyle w:val="Footnote"/>
      </w:pPr>
      <w:r w:rsidRPr="00EC2398">
        <w:rPr>
          <w:rStyle w:val="FootnoteReference"/>
        </w:rPr>
        <w:footnoteRef/>
      </w:r>
      <w:r w:rsidRPr="00864404">
        <w:t xml:space="preserve"> </w:t>
      </w:r>
      <w:bookmarkStart w:id="1" w:name="_Hlk514820492"/>
      <w:r w:rsidRPr="00864404">
        <w:t xml:space="preserve">Bloomberg New Energy Finance and Lighting Global in </w:t>
      </w:r>
      <w:r>
        <w:t>C</w:t>
      </w:r>
      <w:r w:rsidRPr="00864404">
        <w:t>ooperation with the Global Off-Grid Lighting Association</w:t>
      </w:r>
      <w:r>
        <w:t>,</w:t>
      </w:r>
      <w:r w:rsidRPr="00864404">
        <w:t xml:space="preserve"> </w:t>
      </w:r>
      <w:r w:rsidRPr="00864404">
        <w:rPr>
          <w:i/>
        </w:rPr>
        <w:t>Off-</w:t>
      </w:r>
      <w:r>
        <w:rPr>
          <w:i/>
        </w:rPr>
        <w:t>G</w:t>
      </w:r>
      <w:r w:rsidRPr="00864404">
        <w:rPr>
          <w:i/>
        </w:rPr>
        <w:t xml:space="preserve">rid </w:t>
      </w:r>
      <w:r>
        <w:rPr>
          <w:i/>
        </w:rPr>
        <w:t>S</w:t>
      </w:r>
      <w:r w:rsidRPr="00864404">
        <w:rPr>
          <w:i/>
        </w:rPr>
        <w:t xml:space="preserve">olar </w:t>
      </w:r>
      <w:r>
        <w:rPr>
          <w:i/>
        </w:rPr>
        <w:t>M</w:t>
      </w:r>
      <w:r w:rsidRPr="00864404">
        <w:rPr>
          <w:i/>
        </w:rPr>
        <w:t xml:space="preserve">arket </w:t>
      </w:r>
      <w:r>
        <w:rPr>
          <w:i/>
        </w:rPr>
        <w:t>T</w:t>
      </w:r>
      <w:r w:rsidRPr="00864404">
        <w:rPr>
          <w:i/>
        </w:rPr>
        <w:t xml:space="preserve">rends </w:t>
      </w:r>
      <w:r>
        <w:rPr>
          <w:i/>
        </w:rPr>
        <w:t>R</w:t>
      </w:r>
      <w:r w:rsidRPr="00864404">
        <w:rPr>
          <w:i/>
        </w:rPr>
        <w:t>eport 2016</w:t>
      </w:r>
      <w:r>
        <w:rPr>
          <w:i/>
        </w:rPr>
        <w:t>,</w:t>
      </w:r>
      <w:r>
        <w:t xml:space="preserve"> February 2016, report</w:t>
      </w:r>
      <w:r w:rsidRPr="00864404">
        <w:t>, accessed May 13, 2018, www.energynet.co.uk/webfm_send/1690</w:t>
      </w:r>
      <w:r>
        <w:t>.</w:t>
      </w:r>
    </w:p>
    <w:bookmarkEnd w:id="1"/>
  </w:footnote>
  <w:footnote w:id="7">
    <w:p w14:paraId="0A5061DA" w14:textId="3EF7AAE3" w:rsidR="00E74733" w:rsidRDefault="00E74733" w:rsidP="00EC2398">
      <w:pPr>
        <w:pStyle w:val="Footnote"/>
      </w:pPr>
      <w:r>
        <w:rPr>
          <w:rStyle w:val="FootnoteReference"/>
        </w:rPr>
        <w:footnoteRef/>
      </w:r>
      <w:r>
        <w:t xml:space="preserve"> AU$ = Australian dollar; AU$1 = US$0.77 on March 31, 2016; </w:t>
      </w:r>
      <w:r w:rsidR="00F13D6A">
        <w:t>a</w:t>
      </w:r>
      <w:r>
        <w:t>ll currency amounts are in AU$ unless otherwise specified.</w:t>
      </w:r>
    </w:p>
  </w:footnote>
  <w:footnote w:id="8">
    <w:p w14:paraId="48C690CE" w14:textId="271E5192" w:rsidR="00E74733" w:rsidRPr="00864404" w:rsidRDefault="00E74733" w:rsidP="00EC2398">
      <w:pPr>
        <w:pStyle w:val="Footnote"/>
      </w:pPr>
      <w:r w:rsidRPr="00EC2398">
        <w:rPr>
          <w:rStyle w:val="FootnoteReference"/>
        </w:rPr>
        <w:footnoteRef/>
      </w:r>
      <w:r w:rsidRPr="00EC2398">
        <w:t xml:space="preserve"> </w:t>
      </w:r>
      <w:r w:rsidRPr="00864404">
        <w:t>Bloomberg New Energy Finance</w:t>
      </w:r>
      <w:r>
        <w:t>, op. cit., 2.</w:t>
      </w:r>
    </w:p>
  </w:footnote>
  <w:footnote w:id="9">
    <w:p w14:paraId="04AE19EA" w14:textId="244DC812" w:rsidR="00E74733" w:rsidRPr="00864404" w:rsidRDefault="00E74733" w:rsidP="00EC2398">
      <w:pPr>
        <w:pStyle w:val="Footnote"/>
      </w:pPr>
      <w:r w:rsidRPr="00EC2398">
        <w:rPr>
          <w:rStyle w:val="FootnoteReference"/>
        </w:rPr>
        <w:footnoteRef/>
      </w:r>
      <w:r w:rsidRPr="00864404">
        <w:t xml:space="preserve"> </w:t>
      </w:r>
      <w:r>
        <w:t>Ibid</w:t>
      </w:r>
      <w:r w:rsidRPr="00864404">
        <w:t>.</w:t>
      </w:r>
    </w:p>
  </w:footnote>
  <w:footnote w:id="10">
    <w:p w14:paraId="2624C8C7" w14:textId="6CFAA6B7" w:rsidR="00E74733" w:rsidRPr="00864404" w:rsidRDefault="00E74733" w:rsidP="00E96F44">
      <w:pPr>
        <w:pStyle w:val="Footnote"/>
      </w:pPr>
      <w:r w:rsidRPr="00EC2398">
        <w:rPr>
          <w:rStyle w:val="FootnoteReference"/>
        </w:rPr>
        <w:footnoteRef/>
      </w:r>
      <w:r w:rsidRPr="00EC2398">
        <w:t xml:space="preserve"> </w:t>
      </w:r>
      <w:r w:rsidRPr="00864404">
        <w:t>“Our Projects</w:t>
      </w:r>
      <w:r>
        <w:t>:</w:t>
      </w:r>
      <w:r w:rsidRPr="00864404">
        <w:t xml:space="preserve"> Lights. Camera. Action,” Illumination,</w:t>
      </w:r>
      <w:r>
        <w:t xml:space="preserve"> </w:t>
      </w:r>
      <w:r w:rsidRPr="00864404">
        <w:t>accessed 23 May 2018,</w:t>
      </w:r>
      <w:r>
        <w:t xml:space="preserve"> </w:t>
      </w:r>
      <w:r w:rsidRPr="00864404">
        <w:t>http://illuminationsolar.com.au/our-projects.</w:t>
      </w:r>
      <w:r w:rsidRPr="00864404" w:rsidDel="00D64B03">
        <w:t xml:space="preserve"> </w:t>
      </w:r>
    </w:p>
  </w:footnote>
  <w:footnote w:id="11">
    <w:p w14:paraId="4CA53684" w14:textId="6EB864CF" w:rsidR="00E74733" w:rsidRPr="00BD5583" w:rsidRDefault="00E74733" w:rsidP="00027523">
      <w:pPr>
        <w:pStyle w:val="Footnote"/>
      </w:pPr>
      <w:r w:rsidRPr="00BD5583">
        <w:rPr>
          <w:rStyle w:val="FootnoteReference"/>
        </w:rPr>
        <w:footnoteRef/>
      </w:r>
      <w:r w:rsidRPr="00BD5583">
        <w:t xml:space="preserve"> Lighting Global, </w:t>
      </w:r>
      <w:r w:rsidRPr="00891FDD">
        <w:rPr>
          <w:i/>
        </w:rPr>
        <w:t>Pico-PV Quality Standards</w:t>
      </w:r>
      <w:r w:rsidRPr="00BD5583">
        <w:t xml:space="preserve">, </w:t>
      </w:r>
      <w:r>
        <w:t>v</w:t>
      </w:r>
      <w:r w:rsidRPr="00BD5583">
        <w:t xml:space="preserve">ersion 7.1, September 2017, accessed May 13, 2018, </w:t>
      </w:r>
      <w:hyperlink r:id="rId1" w:history="1">
        <w:r w:rsidRPr="00BD5583">
          <w:rPr>
            <w:rStyle w:val="Hyperlink"/>
            <w:color w:val="auto"/>
            <w:u w:val="none"/>
          </w:rPr>
          <w:t>www.lightingglobal.org/wp-content/uploads/2017/05/Pico_MQS_v7_1.pdf</w:t>
        </w:r>
      </w:hyperlink>
      <w:r w:rsidRPr="00BD5583">
        <w:rPr>
          <w:rStyle w:val="Hyperlink"/>
          <w:color w:val="auto"/>
          <w:u w:val="none"/>
        </w:rPr>
        <w:t>.</w:t>
      </w:r>
      <w:r>
        <w:t xml:space="preserve"> </w:t>
      </w:r>
    </w:p>
  </w:footnote>
  <w:footnote w:id="12">
    <w:p w14:paraId="1D819D9E" w14:textId="33005A9A" w:rsidR="00E74733" w:rsidRPr="00BD5583" w:rsidRDefault="00E74733" w:rsidP="00BD5583">
      <w:pPr>
        <w:pStyle w:val="Footnote"/>
      </w:pPr>
      <w:r w:rsidRPr="00BD5583">
        <w:rPr>
          <w:rStyle w:val="FootnoteReference"/>
        </w:rPr>
        <w:footnoteRef/>
      </w:r>
      <w:r w:rsidRPr="00BD5583">
        <w:t xml:space="preserve"> </w:t>
      </w:r>
      <w:bookmarkStart w:id="2" w:name="_Hlk514820340"/>
      <w:r w:rsidRPr="00BD5583">
        <w:t xml:space="preserve">Lighting Africa, </w:t>
      </w:r>
      <w:r w:rsidRPr="00891FDD">
        <w:rPr>
          <w:i/>
        </w:rPr>
        <w:t>Mali: Mapping the Supply Chain for Solar Lighting Products</w:t>
      </w:r>
      <w:r w:rsidRPr="00BD5583">
        <w:t xml:space="preserve">, </w:t>
      </w:r>
      <w:r>
        <w:t>report</w:t>
      </w:r>
      <w:r w:rsidRPr="00BD5583">
        <w:t>, July 2013, accessed May 13, 2018, www.lightingafrica.org/wp-content/uploads/2014/02/Mali-Supply-Chain-Mapping-Final.pdf</w:t>
      </w:r>
      <w:bookmarkEnd w:id="2"/>
      <w:r w:rsidRPr="00BD5583">
        <w:t>.</w:t>
      </w:r>
    </w:p>
  </w:footnote>
  <w:footnote w:id="13">
    <w:p w14:paraId="69713FA6" w14:textId="77777777" w:rsidR="00E74733" w:rsidRPr="00BD5583" w:rsidRDefault="00E74733" w:rsidP="00891FDD">
      <w:pPr>
        <w:pStyle w:val="Footnote"/>
      </w:pPr>
      <w:r w:rsidRPr="00BD5583">
        <w:rPr>
          <w:rStyle w:val="FootnoteReference"/>
        </w:rPr>
        <w:footnoteRef/>
      </w:r>
      <w:r w:rsidRPr="00BD5583">
        <w:t xml:space="preserve"> </w:t>
      </w:r>
      <w:r w:rsidRPr="001C5993">
        <w:rPr>
          <w:spacing w:val="-2"/>
        </w:rPr>
        <w:t xml:space="preserve">Altai Consulting, </w:t>
      </w:r>
      <w:r w:rsidRPr="009B2CAF">
        <w:rPr>
          <w:i/>
          <w:spacing w:val="-2"/>
        </w:rPr>
        <w:t>South Sudan: Mapping the Supply Chain for Solar Lighting Products</w:t>
      </w:r>
      <w:r w:rsidRPr="001C5993">
        <w:rPr>
          <w:spacing w:val="-2"/>
        </w:rPr>
        <w:t xml:space="preserve">, </w:t>
      </w:r>
      <w:r>
        <w:rPr>
          <w:spacing w:val="-2"/>
        </w:rPr>
        <w:t xml:space="preserve">report, </w:t>
      </w:r>
      <w:r w:rsidRPr="001C5993">
        <w:rPr>
          <w:spacing w:val="-2"/>
        </w:rPr>
        <w:t xml:space="preserve">17, </w:t>
      </w:r>
      <w:r>
        <w:rPr>
          <w:spacing w:val="-2"/>
        </w:rPr>
        <w:t xml:space="preserve">July </w:t>
      </w:r>
      <w:r w:rsidRPr="001C5993">
        <w:rPr>
          <w:spacing w:val="-2"/>
        </w:rPr>
        <w:t>2014, accessed May 13, 2018, www.altaiconsulting.com/wp-content/uploads/2016/03/South-Sudan-Mapping-the-Supply-Chain_July-2014.pdf.</w:t>
      </w:r>
    </w:p>
  </w:footnote>
  <w:footnote w:id="14">
    <w:p w14:paraId="5632C37F" w14:textId="3CC89A91" w:rsidR="00E74733" w:rsidRDefault="00E74733" w:rsidP="00891FDD">
      <w:pPr>
        <w:pStyle w:val="Footnote"/>
      </w:pPr>
      <w:r>
        <w:rPr>
          <w:rStyle w:val="FootnoteReference"/>
        </w:rPr>
        <w:footnoteRef/>
      </w:r>
      <w:r>
        <w:t xml:space="preserve"> Ibid.</w:t>
      </w:r>
    </w:p>
  </w:footnote>
  <w:footnote w:id="15">
    <w:p w14:paraId="5F54E563" w14:textId="5D4F82E5" w:rsidR="00E74733" w:rsidRPr="00BD5583" w:rsidRDefault="00E74733" w:rsidP="00BD5583">
      <w:pPr>
        <w:pStyle w:val="Footnote"/>
      </w:pPr>
      <w:r w:rsidRPr="00BD5583">
        <w:rPr>
          <w:rStyle w:val="FootnoteReference"/>
        </w:rPr>
        <w:footnoteRef/>
      </w:r>
      <w:r w:rsidRPr="00BD5583">
        <w:t xml:space="preserve"> “Sustainable Development Goals, 17 Goals to Transform our World</w:t>
      </w:r>
      <w:r>
        <w:t>,</w:t>
      </w:r>
      <w:r w:rsidRPr="00BD5583">
        <w:t>” United Nations, accessed on May 13, 2018, www.un.org/sustainabledevelopment/energy.</w:t>
      </w:r>
    </w:p>
  </w:footnote>
  <w:footnote w:id="16">
    <w:p w14:paraId="56F0E872" w14:textId="3E638CF9" w:rsidR="00E74733" w:rsidRPr="00BD5583" w:rsidRDefault="00E74733" w:rsidP="00BD5583">
      <w:pPr>
        <w:pStyle w:val="Footnote"/>
      </w:pPr>
      <w:r w:rsidRPr="00BD5583">
        <w:rPr>
          <w:rStyle w:val="FootnoteReference"/>
        </w:rPr>
        <w:footnoteRef/>
      </w:r>
      <w:r w:rsidRPr="00BD5583">
        <w:t xml:space="preserve"> “Our Goal? Universal Energy Access by 2030</w:t>
      </w:r>
      <w:r>
        <w:t>,</w:t>
      </w:r>
      <w:r w:rsidRPr="00BD5583">
        <w:t>”</w:t>
      </w:r>
      <w:r>
        <w:t xml:space="preserve"> </w:t>
      </w:r>
      <w:r w:rsidRPr="00BD5583">
        <w:t>Energy Access Practitioner Network</w:t>
      </w:r>
      <w:r w:rsidR="00F13D6A">
        <w:t>:</w:t>
      </w:r>
      <w:r w:rsidRPr="00BD5583">
        <w:t xml:space="preserve"> United Nations Foundation, accessed May 14, 2018, http://energyaccess.org.</w:t>
      </w:r>
    </w:p>
  </w:footnote>
  <w:footnote w:id="17">
    <w:p w14:paraId="73124350" w14:textId="68FFC0EB" w:rsidR="00E74733" w:rsidRPr="00BD5583" w:rsidRDefault="00E74733" w:rsidP="00BD5583">
      <w:pPr>
        <w:pStyle w:val="Footnote"/>
      </w:pPr>
      <w:r w:rsidRPr="00BD5583">
        <w:rPr>
          <w:rStyle w:val="FootnoteReference"/>
        </w:rPr>
        <w:footnoteRef/>
      </w:r>
      <w:r w:rsidRPr="00BD5583">
        <w:t xml:space="preserve"> “Partnerships for the SDGs: Goal 7 Ensure Access to </w:t>
      </w:r>
      <w:r>
        <w:t>A</w:t>
      </w:r>
      <w:r w:rsidRPr="00BD5583">
        <w:t xml:space="preserve">ffordable, </w:t>
      </w:r>
      <w:r>
        <w:t>R</w:t>
      </w:r>
      <w:r w:rsidRPr="00BD5583">
        <w:t xml:space="preserve">eliable, </w:t>
      </w:r>
      <w:r>
        <w:t>S</w:t>
      </w:r>
      <w:r w:rsidRPr="00BD5583">
        <w:t xml:space="preserve">ustainable and </w:t>
      </w:r>
      <w:r>
        <w:t>M</w:t>
      </w:r>
      <w:r w:rsidRPr="00BD5583">
        <w:t xml:space="preserve">odern </w:t>
      </w:r>
      <w:r>
        <w:t>E</w:t>
      </w:r>
      <w:r w:rsidRPr="00BD5583">
        <w:t xml:space="preserve">nergy for </w:t>
      </w:r>
      <w:r>
        <w:t>A</w:t>
      </w:r>
      <w:r w:rsidRPr="00BD5583">
        <w:t>ll</w:t>
      </w:r>
      <w:r>
        <w:t>,</w:t>
      </w:r>
      <w:r w:rsidRPr="00BD5583">
        <w:t xml:space="preserve">” United Nations, accessed May 13, 2018, </w:t>
      </w:r>
      <w:hyperlink r:id="rId2" w:history="1">
        <w:r w:rsidRPr="00BD5583">
          <w:rPr>
            <w:rStyle w:val="Hyperlink"/>
            <w:color w:val="auto"/>
            <w:u w:val="none"/>
          </w:rPr>
          <w:t>https://sustainabledevelopment.un.org/partnerships/goal7</w:t>
        </w:r>
      </w:hyperlink>
      <w:r w:rsidRPr="00BD5583">
        <w:rPr>
          <w:rStyle w:val="Hyperlink"/>
          <w:color w:val="auto"/>
          <w:u w:val="none"/>
        </w:rPr>
        <w:t>.</w:t>
      </w:r>
    </w:p>
  </w:footnote>
  <w:footnote w:id="18">
    <w:p w14:paraId="1EAD5577" w14:textId="7FDAB31A" w:rsidR="00E74733" w:rsidRPr="00BD5583" w:rsidRDefault="00E74733" w:rsidP="00BD5583">
      <w:pPr>
        <w:pStyle w:val="Footnote"/>
      </w:pPr>
      <w:r w:rsidRPr="00BD5583">
        <w:rPr>
          <w:rStyle w:val="FootnoteReference"/>
        </w:rPr>
        <w:footnoteRef/>
      </w:r>
      <w:r w:rsidRPr="00BD5583">
        <w:t xml:space="preserve"> Cle-Anne Gabriel and Jodyanne Kirkwood, </w:t>
      </w:r>
      <w:r>
        <w:t>“</w:t>
      </w:r>
      <w:r w:rsidRPr="00BD5583">
        <w:t xml:space="preserve">Business </w:t>
      </w:r>
      <w:r>
        <w:t>M</w:t>
      </w:r>
      <w:r w:rsidRPr="00BD5583">
        <w:t xml:space="preserve">odels for </w:t>
      </w:r>
      <w:r>
        <w:t>M</w:t>
      </w:r>
      <w:r w:rsidRPr="00BD5583">
        <w:t xml:space="preserve">odel </w:t>
      </w:r>
      <w:r>
        <w:t>B</w:t>
      </w:r>
      <w:r w:rsidRPr="00BD5583">
        <w:t xml:space="preserve">usinesses: Lessons from </w:t>
      </w:r>
      <w:r>
        <w:t>R</w:t>
      </w:r>
      <w:r w:rsidRPr="00BD5583">
        <w:t xml:space="preserve">enewable </w:t>
      </w:r>
      <w:r>
        <w:t>E</w:t>
      </w:r>
      <w:r w:rsidRPr="00BD5583">
        <w:t xml:space="preserve">nergy </w:t>
      </w:r>
      <w:r>
        <w:t>E</w:t>
      </w:r>
      <w:r w:rsidRPr="00BD5583">
        <w:t xml:space="preserve">ntrepreneurs in </w:t>
      </w:r>
      <w:r>
        <w:t>D</w:t>
      </w:r>
      <w:r w:rsidRPr="00BD5583">
        <w:t xml:space="preserve">eveloping </w:t>
      </w:r>
      <w:r>
        <w:t>C</w:t>
      </w:r>
      <w:r w:rsidRPr="00BD5583">
        <w:t>ountries,</w:t>
      </w:r>
      <w:r>
        <w:t>”</w:t>
      </w:r>
      <w:r w:rsidRPr="00BD5583">
        <w:t> </w:t>
      </w:r>
      <w:r w:rsidRPr="00891FDD">
        <w:rPr>
          <w:i/>
        </w:rPr>
        <w:t>Energy Policy</w:t>
      </w:r>
      <w:r w:rsidRPr="00BD5583">
        <w:t> 95 (2016): 336</w:t>
      </w:r>
      <w:r>
        <w:t>–</w:t>
      </w:r>
      <w:r w:rsidRPr="00BD5583">
        <w:t>349</w:t>
      </w:r>
      <w:r>
        <w:t xml:space="preserve">; </w:t>
      </w:r>
      <w:r w:rsidRPr="00BD5583">
        <w:t>David Swete-Kelly, Adam Doering, Rebecca Ford, Cle-Anne Gabriel</w:t>
      </w:r>
      <w:r>
        <w:t>,</w:t>
      </w:r>
      <w:r w:rsidRPr="00BD5583">
        <w:t xml:space="preserve"> and Sara Walton, </w:t>
      </w:r>
      <w:r w:rsidRPr="00891FDD">
        <w:rPr>
          <w:i/>
        </w:rPr>
        <w:t>Independent Completion Report: Lighting Vanuatu</w:t>
      </w:r>
      <w:r>
        <w:t xml:space="preserve">, </w:t>
      </w:r>
      <w:r w:rsidRPr="00791526">
        <w:t>DFAT Australian Aid 2014</w:t>
      </w:r>
      <w:r>
        <w:t>,</w:t>
      </w:r>
      <w:r w:rsidRPr="00BD5583">
        <w:t xml:space="preserve"> </w:t>
      </w:r>
      <w:r>
        <w:t xml:space="preserve">report, August </w:t>
      </w:r>
      <w:r w:rsidRPr="00BD5583">
        <w:t>2014</w:t>
      </w:r>
      <w:r>
        <w:t xml:space="preserve">, accessed August 24, 2018, </w:t>
      </w:r>
      <w:r w:rsidRPr="00981244">
        <w:t>https://dfat.gov.au/about-us/publications/Documents/lighting-vanuatu-independent-review.pdf</w:t>
      </w:r>
      <w:r w:rsidRPr="00BD5583">
        <w:t>.</w:t>
      </w:r>
    </w:p>
  </w:footnote>
  <w:footnote w:id="19">
    <w:p w14:paraId="7A476862" w14:textId="691CA5BD" w:rsidR="00E74733" w:rsidRDefault="00E74733" w:rsidP="00BD5583">
      <w:pPr>
        <w:pStyle w:val="Footnote"/>
      </w:pPr>
      <w:r w:rsidRPr="00BD5583">
        <w:rPr>
          <w:vertAlign w:val="superscript"/>
        </w:rPr>
        <w:footnoteRef/>
      </w:r>
      <w:r w:rsidRPr="001052CA">
        <w:t xml:space="preserve"> </w:t>
      </w:r>
      <w:r w:rsidRPr="00D71641">
        <w:t>International Energy Agency</w:t>
      </w:r>
      <w:r w:rsidRPr="00864404">
        <w:t xml:space="preserve">, </w:t>
      </w:r>
      <w:r>
        <w:t>op. cit.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17CF2" w14:textId="003CB97E" w:rsidR="00E74733" w:rsidRPr="00C92CC4" w:rsidRDefault="00E7473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C2398">
      <w:rPr>
        <w:rFonts w:ascii="Arial" w:hAnsi="Arial"/>
        <w:b/>
        <w:noProof/>
      </w:rPr>
      <w:t>5</w:t>
    </w:r>
    <w:r>
      <w:rPr>
        <w:rFonts w:ascii="Arial" w:hAnsi="Arial"/>
        <w:b/>
      </w:rPr>
      <w:fldChar w:fldCharType="end"/>
    </w:r>
    <w:r w:rsidR="00E463F5">
      <w:rPr>
        <w:rFonts w:ascii="Arial" w:hAnsi="Arial"/>
        <w:b/>
      </w:rPr>
      <w:tab/>
      <w:t>9B18M152</w:t>
    </w:r>
  </w:p>
  <w:p w14:paraId="60431D17" w14:textId="77777777" w:rsidR="00E74733" w:rsidRDefault="00E74733" w:rsidP="00D13667">
    <w:pPr>
      <w:pStyle w:val="Header"/>
      <w:tabs>
        <w:tab w:val="clear" w:pos="4680"/>
      </w:tabs>
      <w:rPr>
        <w:sz w:val="18"/>
        <w:szCs w:val="18"/>
      </w:rPr>
    </w:pPr>
  </w:p>
  <w:p w14:paraId="09BFD8A5" w14:textId="77777777" w:rsidR="00E74733" w:rsidRPr="00C92CC4" w:rsidRDefault="00E74733"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A56D" w14:textId="0CA48889" w:rsidR="00E74733" w:rsidRPr="00C92CC4" w:rsidRDefault="00E74733" w:rsidP="00E74733">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C2398">
      <w:rPr>
        <w:rFonts w:ascii="Arial" w:hAnsi="Arial"/>
        <w:b/>
        <w:noProof/>
      </w:rPr>
      <w:t>9</w:t>
    </w:r>
    <w:r>
      <w:rPr>
        <w:rFonts w:ascii="Arial" w:hAnsi="Arial"/>
        <w:b/>
      </w:rPr>
      <w:fldChar w:fldCharType="end"/>
    </w:r>
    <w:r w:rsidR="00E463F5">
      <w:rPr>
        <w:rFonts w:ascii="Arial" w:hAnsi="Arial"/>
        <w:b/>
      </w:rPr>
      <w:tab/>
      <w:t>9B18M152</w:t>
    </w:r>
  </w:p>
  <w:p w14:paraId="150C2DC7" w14:textId="77777777" w:rsidR="00E74733" w:rsidRDefault="00E74733" w:rsidP="00E74733">
    <w:pPr>
      <w:pStyle w:val="Header"/>
      <w:tabs>
        <w:tab w:val="clear" w:pos="4680"/>
        <w:tab w:val="clear" w:pos="9360"/>
        <w:tab w:val="right" w:pos="12960"/>
      </w:tabs>
      <w:rPr>
        <w:sz w:val="18"/>
        <w:szCs w:val="18"/>
      </w:rPr>
    </w:pPr>
  </w:p>
  <w:p w14:paraId="0F44E358" w14:textId="77777777" w:rsidR="00E74733" w:rsidRPr="00C92CC4" w:rsidRDefault="00E74733" w:rsidP="00E74733">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D431FE"/>
    <w:multiLevelType w:val="hybridMultilevel"/>
    <w:tmpl w:val="1B54E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470A1"/>
    <w:multiLevelType w:val="hybridMultilevel"/>
    <w:tmpl w:val="57CCB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BF2F97"/>
    <w:multiLevelType w:val="hybridMultilevel"/>
    <w:tmpl w:val="E2C09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E70BEF"/>
    <w:multiLevelType w:val="hybridMultilevel"/>
    <w:tmpl w:val="02C80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34"/>
  </w:num>
  <w:num w:numId="4">
    <w:abstractNumId w:val="15"/>
  </w:num>
  <w:num w:numId="5">
    <w:abstractNumId w:val="27"/>
  </w:num>
  <w:num w:numId="6">
    <w:abstractNumId w:val="31"/>
  </w:num>
  <w:num w:numId="7">
    <w:abstractNumId w:val="24"/>
  </w:num>
  <w:num w:numId="8">
    <w:abstractNumId w:val="32"/>
  </w:num>
  <w:num w:numId="9">
    <w:abstractNumId w:val="11"/>
  </w:num>
  <w:num w:numId="10">
    <w:abstractNumId w:val="19"/>
  </w:num>
  <w:num w:numId="11">
    <w:abstractNumId w:val="13"/>
  </w:num>
  <w:num w:numId="12">
    <w:abstractNumId w:val="39"/>
  </w:num>
  <w:num w:numId="13">
    <w:abstractNumId w:val="16"/>
  </w:num>
  <w:num w:numId="14">
    <w:abstractNumId w:val="30"/>
  </w:num>
  <w:num w:numId="15">
    <w:abstractNumId w:val="40"/>
  </w:num>
  <w:num w:numId="16">
    <w:abstractNumId w:val="18"/>
  </w:num>
  <w:num w:numId="17">
    <w:abstractNumId w:val="26"/>
  </w:num>
  <w:num w:numId="18">
    <w:abstractNumId w:val="17"/>
  </w:num>
  <w:num w:numId="19">
    <w:abstractNumId w:val="21"/>
  </w:num>
  <w:num w:numId="20">
    <w:abstractNumId w:val="37"/>
  </w:num>
  <w:num w:numId="21">
    <w:abstractNumId w:val="28"/>
  </w:num>
  <w:num w:numId="22">
    <w:abstractNumId w:val="29"/>
  </w:num>
  <w:num w:numId="23">
    <w:abstractNumId w:val="10"/>
  </w:num>
  <w:num w:numId="24">
    <w:abstractNumId w:val="14"/>
  </w:num>
  <w:num w:numId="25">
    <w:abstractNumId w:val="41"/>
  </w:num>
  <w:num w:numId="26">
    <w:abstractNumId w:val="42"/>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5"/>
  </w:num>
  <w:num w:numId="40">
    <w:abstractNumId w:val="22"/>
  </w:num>
  <w:num w:numId="41">
    <w:abstractNumId w:val="12"/>
  </w:num>
  <w:num w:numId="42">
    <w:abstractNumId w:val="38"/>
  </w:num>
  <w:num w:numId="43">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15F3"/>
    <w:rsid w:val="00011830"/>
    <w:rsid w:val="00013360"/>
    <w:rsid w:val="00016759"/>
    <w:rsid w:val="000216CE"/>
    <w:rsid w:val="00024ED4"/>
    <w:rsid w:val="00025DC7"/>
    <w:rsid w:val="00027523"/>
    <w:rsid w:val="00032941"/>
    <w:rsid w:val="00035F09"/>
    <w:rsid w:val="00044ECC"/>
    <w:rsid w:val="00050039"/>
    <w:rsid w:val="00051525"/>
    <w:rsid w:val="000531D3"/>
    <w:rsid w:val="0005646B"/>
    <w:rsid w:val="0006039A"/>
    <w:rsid w:val="000609E8"/>
    <w:rsid w:val="0008102D"/>
    <w:rsid w:val="00094C0E"/>
    <w:rsid w:val="000C286B"/>
    <w:rsid w:val="000C3FE4"/>
    <w:rsid w:val="000D3813"/>
    <w:rsid w:val="000D7091"/>
    <w:rsid w:val="000E02C0"/>
    <w:rsid w:val="000F0C22"/>
    <w:rsid w:val="000F6B09"/>
    <w:rsid w:val="000F6FDC"/>
    <w:rsid w:val="00104567"/>
    <w:rsid w:val="00104916"/>
    <w:rsid w:val="00104AA7"/>
    <w:rsid w:val="00112AFD"/>
    <w:rsid w:val="0012732D"/>
    <w:rsid w:val="00133BA9"/>
    <w:rsid w:val="00143F25"/>
    <w:rsid w:val="00152682"/>
    <w:rsid w:val="00154FC9"/>
    <w:rsid w:val="001736D1"/>
    <w:rsid w:val="0019241A"/>
    <w:rsid w:val="001A22D1"/>
    <w:rsid w:val="001A752D"/>
    <w:rsid w:val="001A757E"/>
    <w:rsid w:val="001B5032"/>
    <w:rsid w:val="001C5993"/>
    <w:rsid w:val="001C7777"/>
    <w:rsid w:val="001D753D"/>
    <w:rsid w:val="001E364F"/>
    <w:rsid w:val="001F0191"/>
    <w:rsid w:val="001F3C47"/>
    <w:rsid w:val="001F4222"/>
    <w:rsid w:val="002014C8"/>
    <w:rsid w:val="00203AA1"/>
    <w:rsid w:val="00213E98"/>
    <w:rsid w:val="0022056E"/>
    <w:rsid w:val="00221899"/>
    <w:rsid w:val="0023081A"/>
    <w:rsid w:val="0024165C"/>
    <w:rsid w:val="002837AE"/>
    <w:rsid w:val="002A4C31"/>
    <w:rsid w:val="002C5D53"/>
    <w:rsid w:val="002F2C43"/>
    <w:rsid w:val="002F460C"/>
    <w:rsid w:val="002F48D6"/>
    <w:rsid w:val="00306397"/>
    <w:rsid w:val="00317391"/>
    <w:rsid w:val="00320723"/>
    <w:rsid w:val="00326216"/>
    <w:rsid w:val="003279B5"/>
    <w:rsid w:val="0033414C"/>
    <w:rsid w:val="00336580"/>
    <w:rsid w:val="00354899"/>
    <w:rsid w:val="00355FD6"/>
    <w:rsid w:val="00364A5C"/>
    <w:rsid w:val="00373FB1"/>
    <w:rsid w:val="00375D62"/>
    <w:rsid w:val="0038355B"/>
    <w:rsid w:val="00384752"/>
    <w:rsid w:val="00396C76"/>
    <w:rsid w:val="003A5CE1"/>
    <w:rsid w:val="003B30D8"/>
    <w:rsid w:val="003B7B75"/>
    <w:rsid w:val="003B7EF2"/>
    <w:rsid w:val="003C3FA4"/>
    <w:rsid w:val="003C4B67"/>
    <w:rsid w:val="003D0BA1"/>
    <w:rsid w:val="003F1B12"/>
    <w:rsid w:val="003F2B0C"/>
    <w:rsid w:val="00403A6A"/>
    <w:rsid w:val="004105B2"/>
    <w:rsid w:val="00412900"/>
    <w:rsid w:val="004221E4"/>
    <w:rsid w:val="004273F8"/>
    <w:rsid w:val="004355A3"/>
    <w:rsid w:val="004425FF"/>
    <w:rsid w:val="00444B94"/>
    <w:rsid w:val="00446546"/>
    <w:rsid w:val="00452769"/>
    <w:rsid w:val="00465348"/>
    <w:rsid w:val="00483583"/>
    <w:rsid w:val="004B1CCB"/>
    <w:rsid w:val="004B59B4"/>
    <w:rsid w:val="004B5AB5"/>
    <w:rsid w:val="004B632F"/>
    <w:rsid w:val="004C44F8"/>
    <w:rsid w:val="004C4508"/>
    <w:rsid w:val="004D2648"/>
    <w:rsid w:val="004D3149"/>
    <w:rsid w:val="004D3FB1"/>
    <w:rsid w:val="004D6F21"/>
    <w:rsid w:val="004D73A5"/>
    <w:rsid w:val="004F0A38"/>
    <w:rsid w:val="0050434F"/>
    <w:rsid w:val="00512A18"/>
    <w:rsid w:val="005160F1"/>
    <w:rsid w:val="00524F2F"/>
    <w:rsid w:val="00527E5C"/>
    <w:rsid w:val="00532CF5"/>
    <w:rsid w:val="005528CB"/>
    <w:rsid w:val="005541DD"/>
    <w:rsid w:val="00566771"/>
    <w:rsid w:val="005769A1"/>
    <w:rsid w:val="00581E2E"/>
    <w:rsid w:val="00584F15"/>
    <w:rsid w:val="00594C17"/>
    <w:rsid w:val="0059514B"/>
    <w:rsid w:val="005A1B0F"/>
    <w:rsid w:val="005A352F"/>
    <w:rsid w:val="005E7A4C"/>
    <w:rsid w:val="005F21E5"/>
    <w:rsid w:val="00602DD8"/>
    <w:rsid w:val="006163F7"/>
    <w:rsid w:val="00627C63"/>
    <w:rsid w:val="0063350B"/>
    <w:rsid w:val="006368CB"/>
    <w:rsid w:val="00643166"/>
    <w:rsid w:val="00652606"/>
    <w:rsid w:val="00680922"/>
    <w:rsid w:val="006946EE"/>
    <w:rsid w:val="006965FE"/>
    <w:rsid w:val="006A4C03"/>
    <w:rsid w:val="006A58A9"/>
    <w:rsid w:val="006A606D"/>
    <w:rsid w:val="006C0371"/>
    <w:rsid w:val="006C08B6"/>
    <w:rsid w:val="006C0B1A"/>
    <w:rsid w:val="006C6065"/>
    <w:rsid w:val="006C7F9F"/>
    <w:rsid w:val="006E2F6D"/>
    <w:rsid w:val="006E58F6"/>
    <w:rsid w:val="006E77E1"/>
    <w:rsid w:val="006F08AF"/>
    <w:rsid w:val="006F131D"/>
    <w:rsid w:val="00711642"/>
    <w:rsid w:val="0071477F"/>
    <w:rsid w:val="007507C6"/>
    <w:rsid w:val="00751E0B"/>
    <w:rsid w:val="00752BCD"/>
    <w:rsid w:val="00766DA1"/>
    <w:rsid w:val="00767006"/>
    <w:rsid w:val="00780D94"/>
    <w:rsid w:val="007866A6"/>
    <w:rsid w:val="00791526"/>
    <w:rsid w:val="007A130D"/>
    <w:rsid w:val="007A31BB"/>
    <w:rsid w:val="007A4F6A"/>
    <w:rsid w:val="007D1A2D"/>
    <w:rsid w:val="007D4102"/>
    <w:rsid w:val="007F43B7"/>
    <w:rsid w:val="00821FFC"/>
    <w:rsid w:val="008271CA"/>
    <w:rsid w:val="008467D5"/>
    <w:rsid w:val="00855CF9"/>
    <w:rsid w:val="0086397A"/>
    <w:rsid w:val="00891FDD"/>
    <w:rsid w:val="008A4DC4"/>
    <w:rsid w:val="008B438C"/>
    <w:rsid w:val="008D06CA"/>
    <w:rsid w:val="008D2B82"/>
    <w:rsid w:val="008D3A46"/>
    <w:rsid w:val="008D685A"/>
    <w:rsid w:val="008D75B7"/>
    <w:rsid w:val="00904DB6"/>
    <w:rsid w:val="009067A4"/>
    <w:rsid w:val="009216EA"/>
    <w:rsid w:val="00930885"/>
    <w:rsid w:val="00933D68"/>
    <w:rsid w:val="009340DB"/>
    <w:rsid w:val="00937C84"/>
    <w:rsid w:val="0094618C"/>
    <w:rsid w:val="0095684B"/>
    <w:rsid w:val="00972498"/>
    <w:rsid w:val="0097481F"/>
    <w:rsid w:val="00974CC6"/>
    <w:rsid w:val="00976AD4"/>
    <w:rsid w:val="00981244"/>
    <w:rsid w:val="00995547"/>
    <w:rsid w:val="009A312F"/>
    <w:rsid w:val="009A5348"/>
    <w:rsid w:val="009B0AB7"/>
    <w:rsid w:val="009C76D5"/>
    <w:rsid w:val="009F7AA4"/>
    <w:rsid w:val="00A10AD7"/>
    <w:rsid w:val="00A14D1B"/>
    <w:rsid w:val="00A559DB"/>
    <w:rsid w:val="00A569EA"/>
    <w:rsid w:val="00AA40BC"/>
    <w:rsid w:val="00AB5F87"/>
    <w:rsid w:val="00AB6059"/>
    <w:rsid w:val="00AC2A8F"/>
    <w:rsid w:val="00AE49A3"/>
    <w:rsid w:val="00AF35FC"/>
    <w:rsid w:val="00AF5556"/>
    <w:rsid w:val="00B03639"/>
    <w:rsid w:val="00B0652A"/>
    <w:rsid w:val="00B16133"/>
    <w:rsid w:val="00B17C1D"/>
    <w:rsid w:val="00B40937"/>
    <w:rsid w:val="00B423EF"/>
    <w:rsid w:val="00B453DE"/>
    <w:rsid w:val="00B46172"/>
    <w:rsid w:val="00B6319D"/>
    <w:rsid w:val="00B71F69"/>
    <w:rsid w:val="00B72597"/>
    <w:rsid w:val="00B7592C"/>
    <w:rsid w:val="00B901F9"/>
    <w:rsid w:val="00B9667C"/>
    <w:rsid w:val="00BB2CB2"/>
    <w:rsid w:val="00BB5005"/>
    <w:rsid w:val="00BC7064"/>
    <w:rsid w:val="00BD5583"/>
    <w:rsid w:val="00BD6EFB"/>
    <w:rsid w:val="00C1584D"/>
    <w:rsid w:val="00C15BE2"/>
    <w:rsid w:val="00C3447F"/>
    <w:rsid w:val="00C378B8"/>
    <w:rsid w:val="00C53355"/>
    <w:rsid w:val="00C67102"/>
    <w:rsid w:val="00C81491"/>
    <w:rsid w:val="00C81676"/>
    <w:rsid w:val="00C85C5D"/>
    <w:rsid w:val="00C92CC4"/>
    <w:rsid w:val="00CA0AFB"/>
    <w:rsid w:val="00CA0E46"/>
    <w:rsid w:val="00CA2CE1"/>
    <w:rsid w:val="00CA3976"/>
    <w:rsid w:val="00CA50E3"/>
    <w:rsid w:val="00CA757B"/>
    <w:rsid w:val="00CC1787"/>
    <w:rsid w:val="00CC182C"/>
    <w:rsid w:val="00CD0824"/>
    <w:rsid w:val="00CD2908"/>
    <w:rsid w:val="00CF16FC"/>
    <w:rsid w:val="00D03A82"/>
    <w:rsid w:val="00D13667"/>
    <w:rsid w:val="00D15344"/>
    <w:rsid w:val="00D23F57"/>
    <w:rsid w:val="00D31BEC"/>
    <w:rsid w:val="00D47B38"/>
    <w:rsid w:val="00D63150"/>
    <w:rsid w:val="00D636BA"/>
    <w:rsid w:val="00D64A32"/>
    <w:rsid w:val="00D64EFC"/>
    <w:rsid w:val="00D71641"/>
    <w:rsid w:val="00D7341A"/>
    <w:rsid w:val="00D75295"/>
    <w:rsid w:val="00D76CE9"/>
    <w:rsid w:val="00D8266C"/>
    <w:rsid w:val="00D87830"/>
    <w:rsid w:val="00D97F12"/>
    <w:rsid w:val="00DA6095"/>
    <w:rsid w:val="00DB42E7"/>
    <w:rsid w:val="00DD2F96"/>
    <w:rsid w:val="00DE01A6"/>
    <w:rsid w:val="00DE2C50"/>
    <w:rsid w:val="00DE65C9"/>
    <w:rsid w:val="00DE7A98"/>
    <w:rsid w:val="00DF32C2"/>
    <w:rsid w:val="00E463F5"/>
    <w:rsid w:val="00E471A7"/>
    <w:rsid w:val="00E52E65"/>
    <w:rsid w:val="00E635CF"/>
    <w:rsid w:val="00E74733"/>
    <w:rsid w:val="00E96F44"/>
    <w:rsid w:val="00EA0B51"/>
    <w:rsid w:val="00EC2398"/>
    <w:rsid w:val="00EC410C"/>
    <w:rsid w:val="00EC6E0A"/>
    <w:rsid w:val="00ED3810"/>
    <w:rsid w:val="00ED465E"/>
    <w:rsid w:val="00ED4E18"/>
    <w:rsid w:val="00EE1F37"/>
    <w:rsid w:val="00EF5B15"/>
    <w:rsid w:val="00F0159C"/>
    <w:rsid w:val="00F105B7"/>
    <w:rsid w:val="00F13220"/>
    <w:rsid w:val="00F13D6A"/>
    <w:rsid w:val="00F17A21"/>
    <w:rsid w:val="00F37B27"/>
    <w:rsid w:val="00F46556"/>
    <w:rsid w:val="00F50E91"/>
    <w:rsid w:val="00F57D29"/>
    <w:rsid w:val="00F6073D"/>
    <w:rsid w:val="00F66E42"/>
    <w:rsid w:val="00F87CC9"/>
    <w:rsid w:val="00F96201"/>
    <w:rsid w:val="00FA0172"/>
    <w:rsid w:val="00FC5319"/>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B7C1736"/>
  <w15:docId w15:val="{85F4469C-3154-4F16-B21A-4FDE4555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4B5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3Og5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veypubs.my.salesforce.com/003A0000020CrsN" TargetMode="External"/><Relationship Id="rId4" Type="http://schemas.openxmlformats.org/officeDocument/2006/relationships/settings" Target="settings.xml"/><Relationship Id="rId9" Type="http://schemas.openxmlformats.org/officeDocument/2006/relationships/hyperlink" Target="https://iveypubs.my.salesforce.com/003A00000209ZKP" TargetMode="External"/><Relationship Id="rId14" Type="http://schemas.openxmlformats.org/officeDocument/2006/relationships/image" Target="media/image2.png"/><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sustainabledevelopment.un.org/partnerships/goal7/" TargetMode="External"/><Relationship Id="rId1" Type="http://schemas.openxmlformats.org/officeDocument/2006/relationships/hyperlink" Target="https://www.lightingglobal.org/wp-content/uploads/2017/05/Pico_MQS_v7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FDA35-C36E-40F0-AAE6-AF3E0556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2018-10-03T14:20:00Z</dcterms:created>
  <dcterms:modified xsi:type="dcterms:W3CDTF">2018-10-05T14:00:00Z</dcterms:modified>
</cp:coreProperties>
</file>