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01224C"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01224C" w:rsidP="00F105B7">
      <w:pPr>
        <w:pStyle w:val="ProductNumber"/>
      </w:pPr>
      <w:r>
        <w:t>9B18M156</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01224C" w:rsidP="00013360">
      <w:pPr>
        <w:pStyle w:val="CaseTitle"/>
        <w:spacing w:after="0" w:line="240" w:lineRule="auto"/>
        <w:rPr>
          <w:sz w:val="20"/>
          <w:szCs w:val="20"/>
        </w:rPr>
      </w:pPr>
      <w:r w:rsidRPr="00B63846">
        <w:rPr>
          <w:szCs w:val="20"/>
          <w:lang w:val="en-GB"/>
        </w:rPr>
        <w:t>TLO Developers</w:t>
      </w:r>
      <w:r>
        <w:rPr>
          <w:szCs w:val="20"/>
          <w:lang w:val="en-GB"/>
        </w:rPr>
        <w:t>: strategic options</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01224C" w:rsidP="00627C63">
      <w:pPr>
        <w:pStyle w:val="StyleCopyrightStatementAfter0ptBottomSinglesolidline1"/>
      </w:pPr>
      <w:r>
        <w:t xml:space="preserve">Ethan </w:t>
      </w:r>
      <w:proofErr w:type="spellStart"/>
      <w:r>
        <w:t>Chochinov</w:t>
      </w:r>
      <w:proofErr w:type="spellEnd"/>
      <w:r w:rsidR="00F94C30" w:rsidRPr="00F94C30">
        <w:t xml:space="preserve"> </w:t>
      </w:r>
      <w:r w:rsidR="004B632F" w:rsidRPr="00104567">
        <w:t>wrote this</w:t>
      </w:r>
      <w:r w:rsidR="004B632F">
        <w:t xml:space="preserve"> </w:t>
      </w:r>
      <w:r w:rsidR="00152682">
        <w:t>case</w:t>
      </w:r>
      <w:r w:rsidR="004B632F">
        <w:t xml:space="preserve"> </w:t>
      </w:r>
      <w:r>
        <w:t xml:space="preserve">under the supervision of Professor Julie Gosse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01224C">
        <w:t>18</w:t>
      </w:r>
      <w:r>
        <w:t>, Ivey Business School Foundation</w:t>
      </w:r>
      <w:r>
        <w:tab/>
        <w:t xml:space="preserve">Version: </w:t>
      </w:r>
      <w:r w:rsidR="001138E6">
        <w:t>2022-03-29</w:t>
      </w:r>
    </w:p>
    <w:p w:rsidR="00751E0B" w:rsidRPr="00E90BBF" w:rsidRDefault="00751E0B" w:rsidP="00751E0B">
      <w:pPr>
        <w:pStyle w:val="StyleCopyrightStatementAfter0ptBottomSinglesolidline1"/>
        <w:rPr>
          <w:rFonts w:ascii="Times New Roman" w:hAnsi="Times New Roman"/>
          <w:szCs w:val="16"/>
        </w:rPr>
      </w:pPr>
    </w:p>
    <w:p w:rsidR="004B632F" w:rsidRPr="00E90BBF" w:rsidRDefault="004B632F" w:rsidP="004B632F">
      <w:pPr>
        <w:pStyle w:val="StyleCopyrightStatementAfter0ptBottomSinglesolidline1"/>
        <w:rPr>
          <w:rFonts w:ascii="Times New Roman" w:hAnsi="Times New Roman"/>
          <w:szCs w:val="16"/>
        </w:rPr>
      </w:pPr>
    </w:p>
    <w:p w:rsidR="00660C0E" w:rsidRPr="00B63846" w:rsidRDefault="00660C0E" w:rsidP="00660C0E">
      <w:pPr>
        <w:pStyle w:val="BodyTextMain"/>
        <w:rPr>
          <w:lang w:val="en-GB"/>
        </w:rPr>
      </w:pPr>
      <w:r>
        <w:rPr>
          <w:lang w:val="en-GB"/>
        </w:rPr>
        <w:t xml:space="preserve">Once again, </w:t>
      </w:r>
      <w:r w:rsidRPr="00B63846">
        <w:rPr>
          <w:lang w:val="en-GB"/>
        </w:rPr>
        <w:t xml:space="preserve">Leah Graham and Noah Hart sat in the boardroom to look over </w:t>
      </w:r>
      <w:r w:rsidRPr="00002604">
        <w:rPr>
          <w:lang w:val="en-GB"/>
        </w:rPr>
        <w:t>all</w:t>
      </w:r>
      <w:r w:rsidRPr="00B63846">
        <w:rPr>
          <w:lang w:val="en-GB"/>
        </w:rPr>
        <w:t xml:space="preserve"> their options. It was December 2013, and by early in the new year they wanted to have a clear direction for what should be developed on a parcel of land that their company, TLO Developers (TLO), had been holding for decades. The market seemed ready for a development, and TLO had been looking for ways to diversify </w:t>
      </w:r>
      <w:r>
        <w:rPr>
          <w:lang w:val="en-GB"/>
        </w:rPr>
        <w:t>its</w:t>
      </w:r>
      <w:r w:rsidRPr="00B63846">
        <w:rPr>
          <w:lang w:val="en-GB"/>
        </w:rPr>
        <w:t xml:space="preserve"> revenue streams, but what should it be? </w:t>
      </w:r>
      <w:r>
        <w:rPr>
          <w:lang w:val="en-GB"/>
        </w:rPr>
        <w:t>T</w:t>
      </w:r>
      <w:r w:rsidRPr="00B63846">
        <w:rPr>
          <w:lang w:val="en-GB"/>
        </w:rPr>
        <w:t xml:space="preserve">heir job </w:t>
      </w:r>
      <w:r>
        <w:rPr>
          <w:lang w:val="en-GB"/>
        </w:rPr>
        <w:t xml:space="preserve">was </w:t>
      </w:r>
      <w:r w:rsidRPr="00B63846">
        <w:rPr>
          <w:lang w:val="en-GB"/>
        </w:rPr>
        <w:t>to determine the best use of the parcel.</w:t>
      </w:r>
    </w:p>
    <w:p w:rsidR="00660C0E" w:rsidRPr="00E90BBF" w:rsidRDefault="00660C0E" w:rsidP="00660C0E">
      <w:pPr>
        <w:pStyle w:val="BodyTextMain"/>
        <w:rPr>
          <w:sz w:val="16"/>
          <w:szCs w:val="16"/>
          <w:lang w:val="en-GB"/>
        </w:rPr>
      </w:pPr>
    </w:p>
    <w:p w:rsidR="00660C0E" w:rsidRPr="00E90BBF" w:rsidRDefault="00660C0E" w:rsidP="00660C0E">
      <w:pPr>
        <w:pStyle w:val="BodyTextMain"/>
        <w:rPr>
          <w:sz w:val="16"/>
          <w:szCs w:val="16"/>
          <w:lang w:val="en-GB"/>
        </w:rPr>
      </w:pPr>
    </w:p>
    <w:p w:rsidR="00660C0E" w:rsidRPr="00B63846" w:rsidRDefault="00660C0E" w:rsidP="00660C0E">
      <w:pPr>
        <w:pStyle w:val="Casehead1"/>
        <w:rPr>
          <w:lang w:val="en-GB"/>
        </w:rPr>
      </w:pPr>
      <w:r w:rsidRPr="00B63846">
        <w:rPr>
          <w:lang w:val="en-GB"/>
        </w:rPr>
        <w:t>COMMERCIAL REAL ESTATE DEVELOPMENT</w:t>
      </w:r>
    </w:p>
    <w:p w:rsidR="00660C0E" w:rsidRPr="00E90BBF" w:rsidRDefault="00660C0E" w:rsidP="00660C0E">
      <w:pPr>
        <w:pStyle w:val="BodyTextMain"/>
        <w:rPr>
          <w:sz w:val="16"/>
          <w:szCs w:val="16"/>
          <w:lang w:val="en-GB"/>
        </w:rPr>
      </w:pPr>
    </w:p>
    <w:p w:rsidR="00660C0E" w:rsidRPr="00B63846" w:rsidRDefault="00660C0E" w:rsidP="00660C0E">
      <w:pPr>
        <w:pStyle w:val="BodyTextMain"/>
        <w:rPr>
          <w:lang w:val="en-GB"/>
        </w:rPr>
      </w:pPr>
      <w:r w:rsidRPr="00B63846">
        <w:rPr>
          <w:lang w:val="en-GB"/>
        </w:rPr>
        <w:t>Developing large commercial buildings, specifically high-rises, was no small task and typically took companies two to three years to complete. This exposed developers to significant financial risk when deciding to go forward with a building since markets could completely change within this time frame. To limit risk, when possible, most new buildings required some level of pre-leasing</w:t>
      </w:r>
      <w:r w:rsidRPr="00B63846">
        <w:rPr>
          <w:rStyle w:val="FootnoteReference"/>
        </w:rPr>
        <w:footnoteReference w:id="1"/>
      </w:r>
      <w:r w:rsidRPr="00B63846">
        <w:rPr>
          <w:lang w:val="en-GB"/>
        </w:rPr>
        <w:t xml:space="preserve"> but were not fully leased in advance. Typically, financing for a large building would not be approved until at least 50 per cent of the building had been pre-leased. </w:t>
      </w:r>
    </w:p>
    <w:p w:rsidR="00660C0E" w:rsidRPr="00E90BBF" w:rsidRDefault="00660C0E" w:rsidP="00660C0E">
      <w:pPr>
        <w:pStyle w:val="BodyTextMain"/>
        <w:rPr>
          <w:sz w:val="16"/>
          <w:szCs w:val="16"/>
          <w:lang w:val="en-GB"/>
        </w:rPr>
      </w:pPr>
    </w:p>
    <w:p w:rsidR="00660C0E" w:rsidRPr="00D105E3" w:rsidRDefault="00660C0E" w:rsidP="00660C0E">
      <w:pPr>
        <w:pStyle w:val="BodyTextMain"/>
        <w:rPr>
          <w:spacing w:val="-2"/>
          <w:lang w:val="en-GB"/>
        </w:rPr>
      </w:pPr>
      <w:r w:rsidRPr="00D105E3">
        <w:rPr>
          <w:spacing w:val="-2"/>
          <w:lang w:val="en-GB"/>
        </w:rPr>
        <w:t>Developing any commercial building was a long, iterative process that happened in three main phases: design, application, and construction. The design phase began with hiring third party architects and developers who met to discuss the general layout of the building and draw up blueprints with the company’s vision in mind. Once finished, the development companies went through a long application process to obtain various permits from the area’s municipal authority. Many changes to the original design would be made throughout this phase to ensure that all the city’s regulations were being met and that all parties were satisfied with the design. Lastly, after everything was approved and financing was secured, the development firm would find a construction company to build the tower through a bidding process.</w:t>
      </w:r>
    </w:p>
    <w:p w:rsidR="00660C0E" w:rsidRPr="00E90BBF" w:rsidRDefault="00660C0E" w:rsidP="00660C0E">
      <w:pPr>
        <w:pStyle w:val="BodyTextMain"/>
        <w:rPr>
          <w:sz w:val="16"/>
          <w:szCs w:val="16"/>
          <w:lang w:val="en-GB"/>
        </w:rPr>
      </w:pPr>
    </w:p>
    <w:p w:rsidR="00660C0E" w:rsidRDefault="00660C0E" w:rsidP="00660C0E">
      <w:pPr>
        <w:pStyle w:val="BodyTextMain"/>
        <w:rPr>
          <w:lang w:val="en-GB"/>
        </w:rPr>
      </w:pPr>
      <w:r w:rsidRPr="00B63846">
        <w:rPr>
          <w:lang w:val="en-GB"/>
        </w:rPr>
        <w:t>Two main factors affected the value and rental prices of commercial buildings: location and building quality. Newer buildings in a prime location that were built using top-quality design and materials were considered Class AA and Class A buildings. Generally, other buildings either in a strong location or of good build quality were considered Class B, and those in a poor location and that were of inferior quality in their build (or had worn down because of their age) were considered Class C. Buildings in higher classes were typically more sought-after and commanded higher rental prices.</w:t>
      </w:r>
    </w:p>
    <w:p w:rsidR="00E90BBF" w:rsidRPr="00B63846" w:rsidRDefault="00E90BBF" w:rsidP="00660C0E">
      <w:pPr>
        <w:pStyle w:val="BodyTextMain"/>
        <w:rPr>
          <w:lang w:val="en-GB"/>
        </w:rPr>
      </w:pPr>
    </w:p>
    <w:p w:rsidR="00660C0E" w:rsidRPr="00B63846" w:rsidRDefault="00660C0E" w:rsidP="00660C0E">
      <w:pPr>
        <w:pStyle w:val="Casehead1"/>
        <w:rPr>
          <w:lang w:val="en-GB"/>
        </w:rPr>
      </w:pPr>
      <w:r w:rsidRPr="00B63846">
        <w:rPr>
          <w:lang w:val="en-GB"/>
        </w:rPr>
        <w:lastRenderedPageBreak/>
        <w:t>CALGARY, ALBERTA</w:t>
      </w:r>
    </w:p>
    <w:p w:rsidR="00660C0E" w:rsidRPr="00E90BBF" w:rsidRDefault="00660C0E" w:rsidP="00660C0E">
      <w:pPr>
        <w:pStyle w:val="BodyTextMain"/>
        <w:rPr>
          <w:sz w:val="16"/>
          <w:szCs w:val="16"/>
          <w:lang w:val="en-GB"/>
        </w:rPr>
      </w:pPr>
    </w:p>
    <w:p w:rsidR="00660C0E" w:rsidRPr="00B63846" w:rsidRDefault="00660C0E" w:rsidP="00660C0E">
      <w:pPr>
        <w:pStyle w:val="BodyTextMain"/>
        <w:rPr>
          <w:lang w:val="en-GB"/>
        </w:rPr>
      </w:pPr>
      <w:r w:rsidRPr="00B63846">
        <w:rPr>
          <w:lang w:val="en-GB"/>
        </w:rPr>
        <w:t>Calgary, Alberta, was a major Canadian metropolis</w:t>
      </w:r>
      <w:r>
        <w:rPr>
          <w:lang w:val="en-GB"/>
        </w:rPr>
        <w:t>,</w:t>
      </w:r>
      <w:r w:rsidRPr="00B63846">
        <w:rPr>
          <w:lang w:val="en-GB"/>
        </w:rPr>
        <w:t xml:space="preserve"> with a growing population of 1.1 million.</w:t>
      </w:r>
      <w:r w:rsidRPr="00B63846">
        <w:rPr>
          <w:rStyle w:val="FootnoteReference"/>
        </w:rPr>
        <w:footnoteReference w:id="2"/>
      </w:r>
      <w:r w:rsidRPr="00B63846">
        <w:rPr>
          <w:lang w:val="en-GB"/>
        </w:rPr>
        <w:t xml:space="preserve"> Calgary’s location in Western Canada placed it near the Rocky Mountains and their surrounding national parks. This, in addition to major events such as the Calgary Stampede, helped attract millions of Canadian and international tourists to the city every year. Calgary was also one of Canada’s major business hubs, largely due to Alberta’s oil sands. </w:t>
      </w:r>
      <w:r w:rsidRPr="00B63846">
        <w:rPr>
          <w:bCs/>
          <w:lang w:val="en-GB" w:eastAsia="en-CA"/>
        </w:rPr>
        <w:t>Canada had the world’s third-largest proven oil reserves, 98 per cent of which was found within the oil sands.</w:t>
      </w:r>
      <w:r w:rsidRPr="00B63846">
        <w:rPr>
          <w:rStyle w:val="FootnoteReference"/>
        </w:rPr>
        <w:footnoteReference w:id="3"/>
      </w:r>
      <w:r w:rsidRPr="00B63846">
        <w:rPr>
          <w:bCs/>
          <w:lang w:val="en-GB" w:eastAsia="en-CA"/>
        </w:rPr>
        <w:t xml:space="preserve"> </w:t>
      </w:r>
      <w:r w:rsidRPr="00B63846">
        <w:rPr>
          <w:lang w:val="en-GB"/>
        </w:rPr>
        <w:t>The abundance of this resource brought significant fortunes to the province and represented over 23 per cent of Alberta’s growing gross domestic product.</w:t>
      </w:r>
      <w:r w:rsidRPr="00B63846">
        <w:rPr>
          <w:rStyle w:val="FootnoteReference"/>
        </w:rPr>
        <w:footnoteReference w:id="4"/>
      </w:r>
      <w:r w:rsidRPr="00B63846">
        <w:rPr>
          <w:lang w:val="en-GB"/>
        </w:rPr>
        <w:t xml:space="preserve"> Nearly every major Canadian oil and gas company was headquartered in Calgary, which created significant demand for office space and an ever-growing downtown centre.</w:t>
      </w:r>
    </w:p>
    <w:p w:rsidR="00660C0E" w:rsidRPr="00E90BBF" w:rsidRDefault="00660C0E" w:rsidP="00660C0E">
      <w:pPr>
        <w:pStyle w:val="BodyTextMain"/>
        <w:rPr>
          <w:sz w:val="16"/>
          <w:szCs w:val="16"/>
          <w:lang w:val="en-GB"/>
        </w:rPr>
      </w:pPr>
    </w:p>
    <w:p w:rsidR="00660C0E" w:rsidRPr="00E90BBF" w:rsidRDefault="00660C0E" w:rsidP="00660C0E">
      <w:pPr>
        <w:pStyle w:val="BodyTextMain"/>
        <w:rPr>
          <w:sz w:val="16"/>
          <w:szCs w:val="16"/>
          <w:lang w:val="en-GB"/>
        </w:rPr>
      </w:pPr>
    </w:p>
    <w:p w:rsidR="00660C0E" w:rsidRPr="00B63846" w:rsidRDefault="00660C0E" w:rsidP="00660C0E">
      <w:pPr>
        <w:pStyle w:val="Casehead1"/>
        <w:rPr>
          <w:lang w:val="en-GB"/>
        </w:rPr>
      </w:pPr>
      <w:r w:rsidRPr="00B63846">
        <w:rPr>
          <w:lang w:val="en-GB"/>
        </w:rPr>
        <w:t>COMMERCIAL REAL ESTATE IN CALGARY</w:t>
      </w:r>
      <w:r w:rsidRPr="00B63846">
        <w:rPr>
          <w:rStyle w:val="FootnoteReference"/>
          <w:b w:val="0"/>
        </w:rPr>
        <w:footnoteReference w:id="5"/>
      </w:r>
    </w:p>
    <w:p w:rsidR="00660C0E" w:rsidRPr="00E90BBF" w:rsidRDefault="00660C0E" w:rsidP="00660C0E">
      <w:pPr>
        <w:pStyle w:val="BodyTextMain"/>
        <w:rPr>
          <w:sz w:val="16"/>
          <w:szCs w:val="16"/>
          <w:lang w:val="en-GB"/>
        </w:rPr>
      </w:pPr>
    </w:p>
    <w:p w:rsidR="00660C0E" w:rsidRPr="00B63846" w:rsidRDefault="00660C0E" w:rsidP="00660C0E">
      <w:pPr>
        <w:pStyle w:val="BodyTextMain"/>
        <w:rPr>
          <w:lang w:val="en-GB"/>
        </w:rPr>
      </w:pPr>
      <w:r w:rsidRPr="00B63846">
        <w:rPr>
          <w:lang w:val="en-GB"/>
        </w:rPr>
        <w:t xml:space="preserve">As with most businesses in Alberta, the success of commercial real estate in Calgary was closely linked to the performance of oil and gas. </w:t>
      </w:r>
      <w:proofErr w:type="gramStart"/>
      <w:r w:rsidRPr="00B63846">
        <w:rPr>
          <w:lang w:val="en-GB"/>
        </w:rPr>
        <w:t>This left buildings</w:t>
      </w:r>
      <w:proofErr w:type="gramEnd"/>
      <w:r w:rsidRPr="00B63846">
        <w:rPr>
          <w:lang w:val="en-GB"/>
        </w:rPr>
        <w:t xml:space="preserve"> crippled with high vacancy rates</w:t>
      </w:r>
      <w:r w:rsidRPr="00B63846">
        <w:rPr>
          <w:rStyle w:val="FootnoteReference"/>
        </w:rPr>
        <w:footnoteReference w:id="6"/>
      </w:r>
      <w:r w:rsidRPr="00B63846">
        <w:rPr>
          <w:lang w:val="en-GB"/>
        </w:rPr>
        <w:t xml:space="preserve"> and lower rentals at certain times</w:t>
      </w:r>
      <w:r>
        <w:rPr>
          <w:lang w:val="en-GB"/>
        </w:rPr>
        <w:t xml:space="preserve"> but with</w:t>
      </w:r>
      <w:r w:rsidRPr="00B63846">
        <w:rPr>
          <w:lang w:val="en-GB"/>
        </w:rPr>
        <w:t xml:space="preserve"> full occupancy at others. As the commodity prices increased, the demand for office and industrial space increased</w:t>
      </w:r>
      <w:r>
        <w:rPr>
          <w:lang w:val="en-GB"/>
        </w:rPr>
        <w:t>,</w:t>
      </w:r>
      <w:r w:rsidRPr="00B63846">
        <w:rPr>
          <w:lang w:val="en-GB"/>
        </w:rPr>
        <w:t xml:space="preserve"> and the fortunes of</w:t>
      </w:r>
      <w:r>
        <w:rPr>
          <w:lang w:val="en-GB"/>
        </w:rPr>
        <w:t xml:space="preserve"> the companies in the city rose</w:t>
      </w:r>
      <w:r w:rsidRPr="00B63846">
        <w:rPr>
          <w:lang w:val="en-GB"/>
        </w:rPr>
        <w:t xml:space="preserve">. In 2013, the city was on an upward trajectory after the financial meltdown of 2009, and the demand for commercial real estate had been gaining steam. Announcements were being made to add over three million square feet (sq. ft.) of new downtown office space to an existing base of just over 36 million sq. ft. (see Exhibit </w:t>
      </w:r>
      <w:r>
        <w:rPr>
          <w:lang w:val="en-GB"/>
        </w:rPr>
        <w:t>1</w:t>
      </w:r>
      <w:r w:rsidRPr="00B63846">
        <w:rPr>
          <w:lang w:val="en-GB"/>
        </w:rPr>
        <w:t xml:space="preserve">). Rental rates were increasing, but not at the same crazed level seen before the financial crisis. </w:t>
      </w:r>
    </w:p>
    <w:p w:rsidR="00660C0E" w:rsidRPr="00E90BBF" w:rsidRDefault="00660C0E" w:rsidP="00660C0E">
      <w:pPr>
        <w:pStyle w:val="BodyTextMain"/>
        <w:rPr>
          <w:sz w:val="16"/>
          <w:szCs w:val="16"/>
          <w:lang w:val="en-GB"/>
        </w:rPr>
      </w:pPr>
    </w:p>
    <w:p w:rsidR="00660C0E" w:rsidRPr="00B63846" w:rsidRDefault="00660C0E" w:rsidP="00660C0E">
      <w:pPr>
        <w:pStyle w:val="BodyTextMain"/>
        <w:rPr>
          <w:lang w:val="en-GB"/>
        </w:rPr>
      </w:pPr>
      <w:r w:rsidRPr="00B63846">
        <w:rPr>
          <w:lang w:val="en-GB"/>
        </w:rPr>
        <w:t>Another important metric in commercial real estate was net absorption: the change in occupied space over a period of time. Despite the many new commercial developments in the works, current absorption of commercial real estate in Calgary was negative, meaning less space was being leased than before. Although vacancies in Class AA and Class A buildings were low, vacancies in Class B and Class C buildings were starting to increase, and in some cases had reached double digits. Some analysts were wary of this trend trickling down to Class A or even Class AA properties.</w:t>
      </w:r>
      <w:r w:rsidRPr="00B63846">
        <w:rPr>
          <w:rStyle w:val="FootnoteReference"/>
        </w:rPr>
        <w:footnoteReference w:id="7"/>
      </w:r>
    </w:p>
    <w:p w:rsidR="00660C0E" w:rsidRPr="00E90BBF" w:rsidRDefault="00660C0E" w:rsidP="00660C0E">
      <w:pPr>
        <w:pStyle w:val="BodyTextMain"/>
        <w:rPr>
          <w:sz w:val="16"/>
          <w:szCs w:val="16"/>
          <w:lang w:val="en-GB"/>
        </w:rPr>
      </w:pPr>
    </w:p>
    <w:p w:rsidR="00660C0E" w:rsidRPr="00B63846" w:rsidRDefault="00660C0E" w:rsidP="00660C0E">
      <w:pPr>
        <w:pStyle w:val="BodyTextMain"/>
        <w:rPr>
          <w:lang w:val="en-GB"/>
        </w:rPr>
      </w:pPr>
      <w:r w:rsidRPr="00B63846">
        <w:rPr>
          <w:lang w:val="en-GB"/>
        </w:rPr>
        <w:t>The City of Calgary imposed some limitations on what could be built in different parts of the city. For example, downtown Calgary had a maximum floor area ratio (FAR) of 20. Determining how large a property could be built was calculated by multiplying the FAR by the base size of the plot of land the property sat on. So, in downtown Calgary, a 10,000 sq. ft. site with a maximum FAR of 20 could house a building of up to 200,000 sq. ft.</w:t>
      </w:r>
    </w:p>
    <w:p w:rsidR="00660C0E" w:rsidRPr="00E90BBF" w:rsidRDefault="00660C0E" w:rsidP="00660C0E">
      <w:pPr>
        <w:pStyle w:val="BodyTextMain"/>
        <w:rPr>
          <w:sz w:val="16"/>
          <w:szCs w:val="16"/>
          <w:lang w:val="en-GB"/>
        </w:rPr>
      </w:pPr>
    </w:p>
    <w:p w:rsidR="00E90BBF" w:rsidRPr="00E90BBF" w:rsidRDefault="00E90BBF" w:rsidP="00660C0E">
      <w:pPr>
        <w:pStyle w:val="BodyTextMain"/>
        <w:rPr>
          <w:sz w:val="16"/>
          <w:szCs w:val="16"/>
          <w:lang w:val="en-GB"/>
        </w:rPr>
      </w:pPr>
    </w:p>
    <w:p w:rsidR="00660C0E" w:rsidRPr="00B63846" w:rsidRDefault="00660C0E" w:rsidP="00660C0E">
      <w:pPr>
        <w:pStyle w:val="Casehead1"/>
        <w:rPr>
          <w:lang w:val="en-GB"/>
        </w:rPr>
      </w:pPr>
      <w:r w:rsidRPr="00B63846">
        <w:rPr>
          <w:lang w:val="en-GB"/>
        </w:rPr>
        <w:t>TLO DEVELOPERS</w:t>
      </w:r>
    </w:p>
    <w:p w:rsidR="00660C0E" w:rsidRPr="00E90BBF" w:rsidRDefault="00660C0E" w:rsidP="00660C0E">
      <w:pPr>
        <w:pStyle w:val="BodyTextMain"/>
        <w:rPr>
          <w:sz w:val="16"/>
          <w:szCs w:val="16"/>
          <w:lang w:val="en-GB"/>
        </w:rPr>
      </w:pPr>
    </w:p>
    <w:p w:rsidR="00660C0E" w:rsidRPr="00B63846" w:rsidRDefault="00660C0E" w:rsidP="00660C0E">
      <w:pPr>
        <w:pStyle w:val="Casehead2"/>
        <w:rPr>
          <w:lang w:val="en-GB"/>
        </w:rPr>
      </w:pPr>
      <w:r w:rsidRPr="00B63846">
        <w:rPr>
          <w:lang w:val="en-GB"/>
        </w:rPr>
        <w:t>Company History</w:t>
      </w:r>
    </w:p>
    <w:p w:rsidR="00660C0E" w:rsidRPr="00E90BBF" w:rsidRDefault="00660C0E" w:rsidP="00660C0E">
      <w:pPr>
        <w:pStyle w:val="BodyTextMain"/>
        <w:rPr>
          <w:sz w:val="16"/>
          <w:szCs w:val="16"/>
          <w:lang w:val="en-GB"/>
        </w:rPr>
      </w:pPr>
    </w:p>
    <w:p w:rsidR="00660C0E" w:rsidRPr="00B63846" w:rsidRDefault="00660C0E" w:rsidP="00660C0E">
      <w:pPr>
        <w:pStyle w:val="BodyTextMain"/>
        <w:rPr>
          <w:lang w:val="en-GB"/>
        </w:rPr>
      </w:pPr>
      <w:r w:rsidRPr="00B63846">
        <w:rPr>
          <w:lang w:val="en-GB"/>
        </w:rPr>
        <w:t xml:space="preserve">Founded in 1965, TLO was a multi-faceted real estate development company known for the diverse portfolio of office, retail, and industrial properties it had acquired, developed, and managed in and around </w:t>
      </w:r>
      <w:r w:rsidRPr="00B63846">
        <w:rPr>
          <w:lang w:val="en-GB"/>
        </w:rPr>
        <w:lastRenderedPageBreak/>
        <w:t xml:space="preserve">Calgary. Whether renovating and re-leasing existing properties or purchasing and developing new or existing land holdings, TLO maintained strong historical and community ties to the city. In fact, TLO’s corporate headquarters were housed in a historic building downtown. Renamed the </w:t>
      </w:r>
      <w:proofErr w:type="spellStart"/>
      <w:r w:rsidRPr="00B63846">
        <w:rPr>
          <w:lang w:val="en-GB"/>
        </w:rPr>
        <w:t>Alecs</w:t>
      </w:r>
      <w:proofErr w:type="spellEnd"/>
      <w:r w:rsidRPr="00B63846">
        <w:rPr>
          <w:lang w:val="en-GB"/>
        </w:rPr>
        <w:t xml:space="preserve"> Graham building in 2005 after the founder of TLO Land &amp; Development, this award-winning property had received great attention and accolades. In keeping with the pioneering spirit of the Calgary business leaders who originally occupied the building, the team at TLO had committed for more than 45 years to offer exceptional customer service to </w:t>
      </w:r>
      <w:r>
        <w:rPr>
          <w:lang w:val="en-GB"/>
        </w:rPr>
        <w:t>its</w:t>
      </w:r>
      <w:r w:rsidRPr="00B63846">
        <w:rPr>
          <w:lang w:val="en-GB"/>
        </w:rPr>
        <w:t xml:space="preserve"> tenants and leading quality developments throughout Calgary and Western Canada. Currently, TLO had over 550,000 sq. ft. of building space in </w:t>
      </w:r>
      <w:r>
        <w:rPr>
          <w:lang w:val="en-GB"/>
        </w:rPr>
        <w:t>its</w:t>
      </w:r>
      <w:r w:rsidRPr="00B63846">
        <w:rPr>
          <w:lang w:val="en-GB"/>
        </w:rPr>
        <w:t xml:space="preserve"> company portfolio (see Exhibits </w:t>
      </w:r>
      <w:r>
        <w:rPr>
          <w:lang w:val="en-GB"/>
        </w:rPr>
        <w:t>2</w:t>
      </w:r>
      <w:r w:rsidRPr="00B63846">
        <w:rPr>
          <w:lang w:val="en-GB"/>
        </w:rPr>
        <w:t>–</w:t>
      </w:r>
      <w:r>
        <w:rPr>
          <w:lang w:val="en-GB"/>
        </w:rPr>
        <w:t>5</w:t>
      </w:r>
      <w:r w:rsidRPr="00B63846">
        <w:rPr>
          <w:lang w:val="en-GB"/>
        </w:rPr>
        <w:t>).</w:t>
      </w:r>
    </w:p>
    <w:p w:rsidR="00660C0E" w:rsidRPr="00E90BBF" w:rsidRDefault="00660C0E" w:rsidP="00660C0E">
      <w:pPr>
        <w:pStyle w:val="BodyTextMain"/>
        <w:rPr>
          <w:sz w:val="16"/>
          <w:szCs w:val="16"/>
          <w:lang w:val="en-GB"/>
        </w:rPr>
      </w:pPr>
    </w:p>
    <w:p w:rsidR="00660C0E" w:rsidRPr="00B63846" w:rsidRDefault="00660C0E" w:rsidP="00660C0E">
      <w:pPr>
        <w:pStyle w:val="BodyTextMain"/>
        <w:rPr>
          <w:lang w:val="en-GB"/>
        </w:rPr>
      </w:pPr>
      <w:r w:rsidRPr="00B63846">
        <w:rPr>
          <w:lang w:val="en-GB"/>
        </w:rPr>
        <w:t xml:space="preserve">TLO owned a multitude of buildings in Calgary, the majority of them used for office and industrial space. Although they had developed one high-rise in the 1980s, TLO did not currently own any high-rises, and most of their properties were located outside of the downtown core. TLO, like most other real estate companies, was lean at only 12 employees. This meant that they relied heavily on their industry relationships and reputation to work with numerous outside companies to complete any project they undertook. By pursuing property acquisitions that complemented the broad TLO portfolio, the company </w:t>
      </w:r>
      <w:r w:rsidRPr="00002604">
        <w:rPr>
          <w:lang w:val="en-GB"/>
        </w:rPr>
        <w:t>could</w:t>
      </w:r>
      <w:r w:rsidRPr="00B63846">
        <w:rPr>
          <w:lang w:val="en-GB"/>
        </w:rPr>
        <w:t xml:space="preserve"> ensure that the design and development of its high-quality properties identified and integrated the needs of its occupants, making the community a better place to live and work.</w:t>
      </w:r>
    </w:p>
    <w:p w:rsidR="00660C0E" w:rsidRPr="00E90BBF" w:rsidRDefault="00660C0E" w:rsidP="00660C0E">
      <w:pPr>
        <w:pStyle w:val="BodyTextMain"/>
        <w:rPr>
          <w:sz w:val="16"/>
          <w:szCs w:val="16"/>
          <w:lang w:val="en-GB"/>
        </w:rPr>
      </w:pPr>
    </w:p>
    <w:p w:rsidR="00660C0E" w:rsidRPr="00B63846" w:rsidRDefault="00660C0E" w:rsidP="00660C0E">
      <w:pPr>
        <w:pStyle w:val="BodyTextMain"/>
        <w:rPr>
          <w:lang w:val="en-GB"/>
        </w:rPr>
      </w:pPr>
      <w:r w:rsidRPr="00B63846">
        <w:rPr>
          <w:lang w:val="en-GB"/>
        </w:rPr>
        <w:t xml:space="preserve">TLO took pride in the relationships it had with its current tenants and placed a large value on the positive reputation the company had garnered for itself in the Calgary area. Graham believed that this reputation was built through TLO’s focus on its tenants’ success and the communities </w:t>
      </w:r>
      <w:r>
        <w:rPr>
          <w:lang w:val="en-GB"/>
        </w:rPr>
        <w:t>TLO</w:t>
      </w:r>
      <w:r w:rsidRPr="00B63846">
        <w:rPr>
          <w:lang w:val="en-GB"/>
        </w:rPr>
        <w:t xml:space="preserve"> built within each of its properties. Understanding the tenants’ businesses and their goals was central to TLO’s strategy. Whenever possible, Graham would lease spaces in the same building to companies with similar cultures and ambitions. This practice was designed to create synergies between tenants and provide greater opportunities for everyone. TLO’s focus on the property management side of the business </w:t>
      </w:r>
      <w:r w:rsidRPr="00002604">
        <w:rPr>
          <w:lang w:val="en-GB"/>
        </w:rPr>
        <w:t>was</w:t>
      </w:r>
      <w:r w:rsidRPr="00B63846">
        <w:rPr>
          <w:lang w:val="en-GB"/>
        </w:rPr>
        <w:t xml:space="preserve"> extremely successful and had resulted in some tenants remaining in </w:t>
      </w:r>
      <w:r>
        <w:rPr>
          <w:lang w:val="en-GB"/>
        </w:rPr>
        <w:t>TLO’s</w:t>
      </w:r>
      <w:r w:rsidRPr="00B63846">
        <w:rPr>
          <w:lang w:val="en-GB"/>
        </w:rPr>
        <w:t xml:space="preserve"> buildings for over three decades.</w:t>
      </w:r>
    </w:p>
    <w:p w:rsidR="00660C0E" w:rsidRPr="00E90BBF" w:rsidRDefault="00660C0E" w:rsidP="00660C0E">
      <w:pPr>
        <w:pStyle w:val="BodyTextMain"/>
        <w:rPr>
          <w:sz w:val="16"/>
          <w:szCs w:val="16"/>
          <w:lang w:val="en-GB"/>
        </w:rPr>
      </w:pPr>
    </w:p>
    <w:p w:rsidR="00660C0E" w:rsidRPr="00E90BBF" w:rsidRDefault="00660C0E" w:rsidP="00660C0E">
      <w:pPr>
        <w:pStyle w:val="BodyTextMain"/>
        <w:rPr>
          <w:sz w:val="16"/>
          <w:szCs w:val="16"/>
          <w:lang w:val="en-GB"/>
        </w:rPr>
      </w:pPr>
    </w:p>
    <w:p w:rsidR="00660C0E" w:rsidRPr="00B63846" w:rsidRDefault="00660C0E" w:rsidP="00D105E3">
      <w:pPr>
        <w:pStyle w:val="Casehead2"/>
        <w:rPr>
          <w:lang w:val="en-GB"/>
        </w:rPr>
      </w:pPr>
      <w:r w:rsidRPr="00B63846">
        <w:rPr>
          <w:lang w:val="en-GB"/>
        </w:rPr>
        <w:t>Leah Graham</w:t>
      </w:r>
    </w:p>
    <w:p w:rsidR="00660C0E" w:rsidRPr="00E90BBF" w:rsidRDefault="00660C0E" w:rsidP="00D105E3">
      <w:pPr>
        <w:pStyle w:val="BodyTextMain"/>
        <w:rPr>
          <w:sz w:val="16"/>
          <w:szCs w:val="16"/>
          <w:lang w:val="en-GB"/>
        </w:rPr>
      </w:pPr>
    </w:p>
    <w:p w:rsidR="00660C0E" w:rsidRPr="00B63846" w:rsidRDefault="00660C0E" w:rsidP="00D105E3">
      <w:pPr>
        <w:pStyle w:val="BodyTextMain"/>
        <w:rPr>
          <w:lang w:val="en-GB"/>
        </w:rPr>
      </w:pPr>
      <w:r w:rsidRPr="00B63846">
        <w:rPr>
          <w:lang w:val="en-GB"/>
        </w:rPr>
        <w:t xml:space="preserve">Leah Graham was the daughter of the late founder of TLO, </w:t>
      </w:r>
      <w:proofErr w:type="spellStart"/>
      <w:r w:rsidRPr="00B63846">
        <w:rPr>
          <w:lang w:val="en-GB"/>
        </w:rPr>
        <w:t>Alecs</w:t>
      </w:r>
      <w:proofErr w:type="spellEnd"/>
      <w:r w:rsidRPr="00B63846">
        <w:rPr>
          <w:lang w:val="en-GB"/>
        </w:rPr>
        <w:t xml:space="preserve"> Graham, and was now the chief executive officer. Graham took over the management of the company in 2008</w:t>
      </w:r>
      <w:r>
        <w:rPr>
          <w:lang w:val="en-GB"/>
        </w:rPr>
        <w:t>,</w:t>
      </w:r>
      <w:r w:rsidRPr="00B63846">
        <w:rPr>
          <w:lang w:val="en-GB"/>
        </w:rPr>
        <w:t xml:space="preserve"> and</w:t>
      </w:r>
      <w:r>
        <w:rPr>
          <w:lang w:val="en-GB"/>
        </w:rPr>
        <w:t xml:space="preserve"> </w:t>
      </w:r>
      <w:r w:rsidRPr="00B63846">
        <w:rPr>
          <w:lang w:val="en-GB"/>
        </w:rPr>
        <w:t>under her leadership the company focused on development. Her background was in investment banking prior to achieving her master of business administration from a major U.S. university, after which she founded three separate oil and gas exploration and development companies. In the 1990s, Graham led TLO’s development of the iconic Rocky Mountain Shopping Centre</w:t>
      </w:r>
      <w:r>
        <w:rPr>
          <w:lang w:val="en-GB"/>
        </w:rPr>
        <w:t>—</w:t>
      </w:r>
      <w:r w:rsidRPr="00B63846">
        <w:rPr>
          <w:lang w:val="en-GB"/>
        </w:rPr>
        <w:t>an award-winning retail complex.</w:t>
      </w:r>
    </w:p>
    <w:p w:rsidR="00660C0E" w:rsidRPr="00E90BBF" w:rsidRDefault="00660C0E" w:rsidP="00D105E3">
      <w:pPr>
        <w:pStyle w:val="BodyTextMain"/>
        <w:rPr>
          <w:sz w:val="16"/>
          <w:szCs w:val="16"/>
          <w:lang w:val="en-GB"/>
        </w:rPr>
      </w:pPr>
    </w:p>
    <w:p w:rsidR="00660C0E" w:rsidRPr="00E90BBF" w:rsidRDefault="00660C0E" w:rsidP="00D105E3">
      <w:pPr>
        <w:pStyle w:val="BodyTextMain"/>
        <w:rPr>
          <w:sz w:val="16"/>
          <w:szCs w:val="16"/>
          <w:lang w:val="en-GB"/>
        </w:rPr>
      </w:pPr>
    </w:p>
    <w:p w:rsidR="00660C0E" w:rsidRPr="00B63846" w:rsidRDefault="00660C0E" w:rsidP="00D105E3">
      <w:pPr>
        <w:pStyle w:val="Casehead2"/>
        <w:rPr>
          <w:lang w:val="en-GB"/>
        </w:rPr>
      </w:pPr>
      <w:r w:rsidRPr="00B63846">
        <w:rPr>
          <w:lang w:val="en-GB"/>
        </w:rPr>
        <w:t>Noah Hart</w:t>
      </w:r>
    </w:p>
    <w:p w:rsidR="00660C0E" w:rsidRPr="00E90BBF" w:rsidRDefault="00660C0E" w:rsidP="00D105E3">
      <w:pPr>
        <w:pStyle w:val="BodyTextMain"/>
        <w:rPr>
          <w:sz w:val="16"/>
          <w:szCs w:val="16"/>
          <w:lang w:val="en-GB"/>
        </w:rPr>
      </w:pPr>
    </w:p>
    <w:p w:rsidR="00660C0E" w:rsidRDefault="00660C0E" w:rsidP="00D105E3">
      <w:pPr>
        <w:pStyle w:val="BodyTextMain"/>
        <w:rPr>
          <w:lang w:val="en-GB"/>
        </w:rPr>
      </w:pPr>
      <w:r w:rsidRPr="00B63846">
        <w:rPr>
          <w:lang w:val="en-GB"/>
        </w:rPr>
        <w:t xml:space="preserve">Graham’s drive to start developing TLO’s abundance of land prompted her to bring on Noah Hart as senior vice-president of Real Estate and Development. His extensive background in development started in the 1990s when he was developing co-op grocery stores in Western Canada. He </w:t>
      </w:r>
      <w:r>
        <w:rPr>
          <w:lang w:val="en-GB"/>
        </w:rPr>
        <w:t xml:space="preserve">was </w:t>
      </w:r>
      <w:r w:rsidRPr="00B63846">
        <w:rPr>
          <w:lang w:val="en-GB"/>
        </w:rPr>
        <w:t xml:space="preserve">subsequently </w:t>
      </w:r>
      <w:r>
        <w:rPr>
          <w:lang w:val="en-GB"/>
        </w:rPr>
        <w:t xml:space="preserve">involved in </w:t>
      </w:r>
      <w:r w:rsidRPr="00B63846">
        <w:rPr>
          <w:lang w:val="en-GB"/>
        </w:rPr>
        <w:t>many other development projects, totalling over $1 billion, including a high-rise in downtown Calgary with a large property management group. Hart once joked that TLO had enough raw land that he could spend the rest of his career developing it.</w:t>
      </w:r>
    </w:p>
    <w:p w:rsidR="00492CC4" w:rsidRDefault="00492CC4" w:rsidP="00D105E3">
      <w:pPr>
        <w:pStyle w:val="BodyTextMain"/>
        <w:rPr>
          <w:lang w:val="en-GB"/>
        </w:rPr>
      </w:pPr>
    </w:p>
    <w:p w:rsidR="00492CC4" w:rsidRDefault="00492CC4">
      <w:pPr>
        <w:spacing w:after="200" w:line="276" w:lineRule="auto"/>
        <w:rPr>
          <w:sz w:val="22"/>
          <w:szCs w:val="22"/>
          <w:lang w:val="en-GB"/>
        </w:rPr>
      </w:pPr>
      <w:r>
        <w:rPr>
          <w:lang w:val="en-GB"/>
        </w:rPr>
        <w:br w:type="page"/>
      </w:r>
    </w:p>
    <w:p w:rsidR="00660C0E" w:rsidRPr="00B63846" w:rsidRDefault="00660C0E" w:rsidP="00D105E3">
      <w:pPr>
        <w:pStyle w:val="Casehead1"/>
        <w:rPr>
          <w:lang w:val="en-GB"/>
        </w:rPr>
      </w:pPr>
      <w:r w:rsidRPr="00B63846">
        <w:rPr>
          <w:lang w:val="en-GB"/>
        </w:rPr>
        <w:lastRenderedPageBreak/>
        <w:t>COMPETITION</w:t>
      </w:r>
    </w:p>
    <w:p w:rsidR="00660C0E" w:rsidRPr="00492CC4" w:rsidRDefault="00660C0E" w:rsidP="00D105E3">
      <w:pPr>
        <w:pStyle w:val="BodyTextMain"/>
        <w:rPr>
          <w:sz w:val="16"/>
          <w:szCs w:val="16"/>
          <w:lang w:val="en-GB"/>
        </w:rPr>
      </w:pPr>
    </w:p>
    <w:p w:rsidR="00660C0E" w:rsidRPr="001138E6" w:rsidRDefault="00660C0E" w:rsidP="00D105E3">
      <w:pPr>
        <w:pStyle w:val="BodyTextMain"/>
        <w:rPr>
          <w:spacing w:val="-4"/>
          <w:lang w:val="en-GB"/>
        </w:rPr>
      </w:pPr>
      <w:r w:rsidRPr="001138E6">
        <w:rPr>
          <w:spacing w:val="-4"/>
          <w:lang w:val="en-GB"/>
        </w:rPr>
        <w:t>Competition was fierce in the real estate development industry, ranging from massive, multinational companies with deep pockets to small mom-and-pop businesses, all competing for tenants to occupy their spaces.</w:t>
      </w:r>
    </w:p>
    <w:p w:rsidR="00660C0E" w:rsidRPr="00492CC4" w:rsidRDefault="00660C0E" w:rsidP="00D105E3">
      <w:pPr>
        <w:pStyle w:val="BodyTextMain"/>
        <w:rPr>
          <w:sz w:val="16"/>
          <w:szCs w:val="16"/>
          <w:lang w:val="en-GB"/>
        </w:rPr>
      </w:pPr>
    </w:p>
    <w:p w:rsidR="00660C0E" w:rsidRPr="00492CC4" w:rsidRDefault="00660C0E" w:rsidP="00D105E3">
      <w:pPr>
        <w:pStyle w:val="BodyTextMain"/>
        <w:rPr>
          <w:sz w:val="16"/>
          <w:szCs w:val="16"/>
          <w:lang w:val="en-GB"/>
        </w:rPr>
      </w:pPr>
    </w:p>
    <w:p w:rsidR="00660C0E" w:rsidRPr="00B63846" w:rsidRDefault="00660C0E" w:rsidP="00D105E3">
      <w:pPr>
        <w:pStyle w:val="Casehead2"/>
        <w:rPr>
          <w:lang w:val="en-GB"/>
        </w:rPr>
      </w:pPr>
      <w:r w:rsidRPr="00B63846">
        <w:rPr>
          <w:lang w:val="en-GB"/>
        </w:rPr>
        <w:t>Brookfield Properties</w:t>
      </w:r>
    </w:p>
    <w:p w:rsidR="00660C0E" w:rsidRPr="00492CC4" w:rsidRDefault="00660C0E" w:rsidP="00D105E3">
      <w:pPr>
        <w:pStyle w:val="BodyTextMain"/>
        <w:rPr>
          <w:sz w:val="16"/>
          <w:szCs w:val="16"/>
          <w:lang w:val="en-GB"/>
        </w:rPr>
      </w:pPr>
    </w:p>
    <w:p w:rsidR="00660C0E" w:rsidRPr="00B63846" w:rsidRDefault="00660C0E" w:rsidP="00D105E3">
      <w:pPr>
        <w:pStyle w:val="BodyTextMain"/>
        <w:rPr>
          <w:lang w:val="en-GB"/>
        </w:rPr>
      </w:pPr>
      <w:r w:rsidRPr="00B63846">
        <w:rPr>
          <w:lang w:val="en-GB"/>
        </w:rPr>
        <w:t>Brookfield Properties (Brookfield) was a world leader in developing and managing top-class office towers and owned some of the world’s most prestigious buildings in cities such as New York, London, and Dubai. Brookfield had developed seven properties in downtown Calgary and w</w:t>
      </w:r>
      <w:r>
        <w:rPr>
          <w:lang w:val="en-GB"/>
        </w:rPr>
        <w:t>as</w:t>
      </w:r>
      <w:r w:rsidRPr="00B63846">
        <w:rPr>
          <w:lang w:val="en-GB"/>
        </w:rPr>
        <w:t xml:space="preserve"> working on </w:t>
      </w:r>
      <w:r>
        <w:rPr>
          <w:lang w:val="en-GB"/>
        </w:rPr>
        <w:t>its</w:t>
      </w:r>
      <w:r w:rsidRPr="00B63846">
        <w:rPr>
          <w:lang w:val="en-GB"/>
        </w:rPr>
        <w:t xml:space="preserve"> eighth. </w:t>
      </w:r>
      <w:r>
        <w:rPr>
          <w:lang w:val="en-GB"/>
        </w:rPr>
        <w:t>Its</w:t>
      </w:r>
      <w:r w:rsidRPr="00B63846">
        <w:rPr>
          <w:lang w:val="en-GB"/>
        </w:rPr>
        <w:t xml:space="preserve"> state-of-the</w:t>
      </w:r>
      <w:r>
        <w:rPr>
          <w:lang w:val="en-GB"/>
        </w:rPr>
        <w:t>-</w:t>
      </w:r>
      <w:r w:rsidRPr="00B63846">
        <w:rPr>
          <w:lang w:val="en-GB"/>
        </w:rPr>
        <w:t>art designs and large floor plates, typically found in the downtown cores of major cities, helped attract large, multinational companies as tenants, who were willing to pay a premium for their offices. As a publicly traded company, owning over $40 billion in assets within over 250 properties, Brookfield had deep pockets, access to capital, and corporate experience.</w:t>
      </w:r>
      <w:r w:rsidRPr="00B63846">
        <w:rPr>
          <w:rStyle w:val="FootnoteReference"/>
        </w:rPr>
        <w:footnoteReference w:id="8"/>
      </w:r>
      <w:r w:rsidRPr="00B63846">
        <w:rPr>
          <w:lang w:val="en-GB"/>
        </w:rPr>
        <w:t xml:space="preserve"> With such a diverse portfolio of buildings and customers, Brookfield could survive economic downturns by supporting losses in one market with gains in others, limiting overall company risk. However, due to </w:t>
      </w:r>
      <w:r>
        <w:rPr>
          <w:lang w:val="en-GB"/>
        </w:rPr>
        <w:t>its</w:t>
      </w:r>
      <w:r w:rsidRPr="00B63846">
        <w:rPr>
          <w:lang w:val="en-GB"/>
        </w:rPr>
        <w:t xml:space="preserve"> buildings’ size and </w:t>
      </w:r>
      <w:r>
        <w:rPr>
          <w:lang w:val="en-GB"/>
        </w:rPr>
        <w:t xml:space="preserve">its </w:t>
      </w:r>
      <w:r w:rsidRPr="00B63846">
        <w:rPr>
          <w:lang w:val="en-GB"/>
        </w:rPr>
        <w:t xml:space="preserve">large tenant lists, Brookfield struggled to respond as quickly to </w:t>
      </w:r>
      <w:r>
        <w:rPr>
          <w:lang w:val="en-GB"/>
        </w:rPr>
        <w:t xml:space="preserve">its </w:t>
      </w:r>
      <w:r w:rsidRPr="00B63846">
        <w:rPr>
          <w:lang w:val="en-GB"/>
        </w:rPr>
        <w:t xml:space="preserve">smaller tenants’ needs as did local, privately run companies. </w:t>
      </w:r>
    </w:p>
    <w:p w:rsidR="00660C0E" w:rsidRPr="00492CC4" w:rsidRDefault="00660C0E" w:rsidP="00D105E3">
      <w:pPr>
        <w:pStyle w:val="BodyTextMain"/>
        <w:rPr>
          <w:sz w:val="16"/>
          <w:szCs w:val="16"/>
          <w:lang w:val="en-GB"/>
        </w:rPr>
      </w:pPr>
    </w:p>
    <w:p w:rsidR="00660C0E" w:rsidRPr="00492CC4" w:rsidRDefault="00660C0E" w:rsidP="00D105E3">
      <w:pPr>
        <w:pStyle w:val="BodyTextMain"/>
        <w:rPr>
          <w:sz w:val="16"/>
          <w:szCs w:val="16"/>
          <w:lang w:val="en-GB"/>
        </w:rPr>
      </w:pPr>
    </w:p>
    <w:p w:rsidR="00660C0E" w:rsidRPr="00B63846" w:rsidRDefault="00660C0E" w:rsidP="00D105E3">
      <w:pPr>
        <w:pStyle w:val="Casehead2"/>
        <w:rPr>
          <w:lang w:val="en-GB"/>
        </w:rPr>
      </w:pPr>
      <w:proofErr w:type="spellStart"/>
      <w:r w:rsidRPr="00B63846">
        <w:rPr>
          <w:lang w:val="en-GB"/>
        </w:rPr>
        <w:t>Ronmor</w:t>
      </w:r>
      <w:proofErr w:type="spellEnd"/>
      <w:r w:rsidRPr="00B63846">
        <w:rPr>
          <w:lang w:val="en-GB"/>
        </w:rPr>
        <w:t xml:space="preserve"> Developers Inc.</w:t>
      </w:r>
      <w:r w:rsidRPr="00B63846">
        <w:rPr>
          <w:rStyle w:val="FootnoteReference"/>
        </w:rPr>
        <w:footnoteReference w:id="9"/>
      </w:r>
    </w:p>
    <w:p w:rsidR="00660C0E" w:rsidRPr="00492CC4" w:rsidRDefault="00660C0E" w:rsidP="00D105E3">
      <w:pPr>
        <w:pStyle w:val="BodyTextMain"/>
        <w:rPr>
          <w:sz w:val="16"/>
          <w:szCs w:val="16"/>
          <w:lang w:val="en-GB"/>
        </w:rPr>
      </w:pPr>
    </w:p>
    <w:p w:rsidR="00660C0E" w:rsidRPr="00D105E3" w:rsidRDefault="00660C0E" w:rsidP="00D105E3">
      <w:pPr>
        <w:pStyle w:val="BodyTextMain"/>
        <w:rPr>
          <w:spacing w:val="-2"/>
          <w:lang w:val="en-GB"/>
        </w:rPr>
      </w:pPr>
      <w:proofErr w:type="spellStart"/>
      <w:r w:rsidRPr="00D105E3">
        <w:rPr>
          <w:spacing w:val="-2"/>
          <w:lang w:val="en-GB"/>
        </w:rPr>
        <w:t>Ronmor</w:t>
      </w:r>
      <w:proofErr w:type="spellEnd"/>
      <w:r w:rsidRPr="00D105E3">
        <w:rPr>
          <w:spacing w:val="-2"/>
          <w:lang w:val="en-GB"/>
        </w:rPr>
        <w:t xml:space="preserve"> Developers Inc. (</w:t>
      </w:r>
      <w:proofErr w:type="spellStart"/>
      <w:r w:rsidRPr="00D105E3">
        <w:rPr>
          <w:spacing w:val="-2"/>
          <w:lang w:val="en-GB"/>
        </w:rPr>
        <w:t>Ronmor</w:t>
      </w:r>
      <w:proofErr w:type="spellEnd"/>
      <w:r w:rsidRPr="00D105E3">
        <w:rPr>
          <w:spacing w:val="-2"/>
          <w:lang w:val="en-GB"/>
        </w:rPr>
        <w:t xml:space="preserve">) was a medium-sized, fast-growing real estate development and property management firm. Since opening its doors in Calgary in the 1980s, </w:t>
      </w:r>
      <w:proofErr w:type="spellStart"/>
      <w:r w:rsidRPr="00D105E3">
        <w:rPr>
          <w:spacing w:val="-2"/>
          <w:lang w:val="en-GB"/>
        </w:rPr>
        <w:t>Ronmor</w:t>
      </w:r>
      <w:proofErr w:type="spellEnd"/>
      <w:r w:rsidRPr="00D105E3">
        <w:rPr>
          <w:spacing w:val="-2"/>
          <w:lang w:val="en-GB"/>
        </w:rPr>
        <w:t xml:space="preserve"> had built a respectable portfolio of retail, industrial, and office buildings and expanded its operations to Saskatchewan and British Columbia. Although the company had developed office spaces, </w:t>
      </w:r>
      <w:proofErr w:type="spellStart"/>
      <w:r w:rsidRPr="00D105E3">
        <w:rPr>
          <w:spacing w:val="-2"/>
          <w:lang w:val="en-GB"/>
        </w:rPr>
        <w:t>Ronmor</w:t>
      </w:r>
      <w:proofErr w:type="spellEnd"/>
      <w:r w:rsidRPr="00D105E3">
        <w:rPr>
          <w:spacing w:val="-2"/>
          <w:lang w:val="en-GB"/>
        </w:rPr>
        <w:t xml:space="preserve"> focused most of its efforts on developing and managing large retail spaces such as outdoor malls, business parks, and mixed-use developments.</w:t>
      </w:r>
      <w:r w:rsidRPr="00D105E3">
        <w:rPr>
          <w:rStyle w:val="FootnoteReference"/>
          <w:spacing w:val="-2"/>
        </w:rPr>
        <w:footnoteReference w:id="10"/>
      </w:r>
      <w:r w:rsidRPr="00D105E3">
        <w:rPr>
          <w:spacing w:val="-2"/>
          <w:lang w:val="en-GB"/>
        </w:rPr>
        <w:t xml:space="preserve"> </w:t>
      </w:r>
      <w:proofErr w:type="spellStart"/>
      <w:r w:rsidRPr="00D105E3">
        <w:rPr>
          <w:spacing w:val="-2"/>
          <w:lang w:val="en-GB"/>
        </w:rPr>
        <w:t>Ronmor</w:t>
      </w:r>
      <w:proofErr w:type="spellEnd"/>
      <w:r w:rsidRPr="00D105E3">
        <w:rPr>
          <w:spacing w:val="-2"/>
          <w:lang w:val="en-GB"/>
        </w:rPr>
        <w:t xml:space="preserve"> had over 6,000 acres of buildable space in Calgary and planned on developing much of it within the near future. Positioning itself as a privately owned, family-run firm, </w:t>
      </w:r>
      <w:proofErr w:type="spellStart"/>
      <w:r w:rsidRPr="00D105E3">
        <w:rPr>
          <w:spacing w:val="-2"/>
          <w:lang w:val="en-GB"/>
        </w:rPr>
        <w:t>Ronmor</w:t>
      </w:r>
      <w:proofErr w:type="spellEnd"/>
      <w:r w:rsidRPr="00D105E3">
        <w:rPr>
          <w:spacing w:val="-2"/>
          <w:lang w:val="en-GB"/>
        </w:rPr>
        <w:t xml:space="preserve"> aimed to please its tenants with a focus on the upkeep of its buildings and a 24-hour tenant contact line.</w:t>
      </w:r>
    </w:p>
    <w:p w:rsidR="00660C0E" w:rsidRPr="00492CC4" w:rsidRDefault="00660C0E" w:rsidP="00D105E3">
      <w:pPr>
        <w:pStyle w:val="BodyTextMain"/>
        <w:rPr>
          <w:sz w:val="16"/>
          <w:szCs w:val="16"/>
          <w:lang w:val="en-GB"/>
        </w:rPr>
      </w:pPr>
    </w:p>
    <w:p w:rsidR="00660C0E" w:rsidRPr="00492CC4" w:rsidRDefault="00660C0E" w:rsidP="00D105E3">
      <w:pPr>
        <w:pStyle w:val="BodyTextMain"/>
        <w:rPr>
          <w:sz w:val="16"/>
          <w:szCs w:val="16"/>
          <w:lang w:val="en-GB"/>
        </w:rPr>
      </w:pPr>
    </w:p>
    <w:p w:rsidR="00660C0E" w:rsidRPr="00B63846" w:rsidRDefault="00660C0E" w:rsidP="00D105E3">
      <w:pPr>
        <w:pStyle w:val="Casehead1"/>
        <w:rPr>
          <w:lang w:val="en-GB"/>
        </w:rPr>
      </w:pPr>
      <w:r w:rsidRPr="00B63846">
        <w:rPr>
          <w:lang w:val="en-GB"/>
        </w:rPr>
        <w:t>CONSUMERS</w:t>
      </w:r>
    </w:p>
    <w:p w:rsidR="00660C0E" w:rsidRPr="00492CC4" w:rsidRDefault="00660C0E" w:rsidP="00D105E3">
      <w:pPr>
        <w:pStyle w:val="BodyTextMain"/>
        <w:rPr>
          <w:sz w:val="16"/>
          <w:szCs w:val="16"/>
          <w:lang w:val="en-GB"/>
        </w:rPr>
      </w:pPr>
    </w:p>
    <w:p w:rsidR="00660C0E" w:rsidRPr="00B63846" w:rsidRDefault="00660C0E" w:rsidP="00D105E3">
      <w:pPr>
        <w:pStyle w:val="Casehead2"/>
        <w:rPr>
          <w:lang w:val="en-GB"/>
        </w:rPr>
      </w:pPr>
      <w:r w:rsidRPr="00B63846">
        <w:rPr>
          <w:lang w:val="en-GB"/>
        </w:rPr>
        <w:t>Large Corporate Businesses</w:t>
      </w:r>
    </w:p>
    <w:p w:rsidR="00660C0E" w:rsidRPr="00492CC4" w:rsidRDefault="00660C0E" w:rsidP="00D105E3">
      <w:pPr>
        <w:pStyle w:val="BodyTextMain"/>
        <w:rPr>
          <w:sz w:val="16"/>
          <w:szCs w:val="16"/>
          <w:lang w:val="en-GB"/>
        </w:rPr>
      </w:pPr>
    </w:p>
    <w:p w:rsidR="00660C0E" w:rsidRPr="00D105E3" w:rsidRDefault="00660C0E" w:rsidP="00D105E3">
      <w:pPr>
        <w:pStyle w:val="BodyTextMain"/>
        <w:rPr>
          <w:spacing w:val="-2"/>
          <w:lang w:val="en-GB"/>
        </w:rPr>
      </w:pPr>
      <w:r w:rsidRPr="00D105E3">
        <w:rPr>
          <w:spacing w:val="-2"/>
          <w:lang w:val="en-GB"/>
        </w:rPr>
        <w:t>This customer group consisted of large corporations looking for spaces that showcased the success of their businesses. There was great pressure on large companies to uphold their corporate image in order to attract and retain top talent. To accommodate their large size, these consumers required significant amounts of office space and therefore preferred floor plates of 20,000 sq. ft. or larger. Larger floor plates allowed for added efficiency in these businesses, as it reduced their need to spread out over many floors. Bigger companies also valued the ability to custom design their own offices to their needs, and newly constructed buildings allowed for this. Typically, these customers signed five-year leases on their properties, meaning 20 per cent of customers’ contracts were up for renewal in any given year. When looking to change locations, this customer group relied on its network of real estate brokers for advice on available vacancies.</w:t>
      </w:r>
    </w:p>
    <w:p w:rsidR="00660C0E" w:rsidRPr="00D105E3" w:rsidRDefault="00660C0E" w:rsidP="00D105E3">
      <w:pPr>
        <w:pStyle w:val="BodyTextMain"/>
        <w:rPr>
          <w:sz w:val="18"/>
          <w:szCs w:val="18"/>
          <w:lang w:val="en-GB"/>
        </w:rPr>
      </w:pPr>
    </w:p>
    <w:p w:rsidR="00660C0E" w:rsidRDefault="00660C0E" w:rsidP="00D105E3">
      <w:pPr>
        <w:pStyle w:val="BodyTextMain"/>
        <w:rPr>
          <w:sz w:val="18"/>
          <w:szCs w:val="18"/>
          <w:lang w:val="en-GB"/>
        </w:rPr>
      </w:pPr>
    </w:p>
    <w:p w:rsidR="001138E6" w:rsidRPr="00D105E3" w:rsidRDefault="001138E6" w:rsidP="00D105E3">
      <w:pPr>
        <w:pStyle w:val="BodyTextMain"/>
        <w:rPr>
          <w:sz w:val="18"/>
          <w:szCs w:val="18"/>
          <w:lang w:val="en-GB"/>
        </w:rPr>
      </w:pPr>
    </w:p>
    <w:p w:rsidR="00660C0E" w:rsidRPr="00B63846" w:rsidRDefault="00660C0E" w:rsidP="00D105E3">
      <w:pPr>
        <w:pStyle w:val="Casehead2"/>
        <w:rPr>
          <w:lang w:val="en-GB"/>
        </w:rPr>
      </w:pPr>
      <w:r w:rsidRPr="00B63846">
        <w:rPr>
          <w:lang w:val="en-GB"/>
        </w:rPr>
        <w:lastRenderedPageBreak/>
        <w:t>Small- to Medium-Sized Corporate Businesses</w:t>
      </w:r>
    </w:p>
    <w:p w:rsidR="00660C0E" w:rsidRPr="00492CC4" w:rsidRDefault="00660C0E" w:rsidP="00D105E3">
      <w:pPr>
        <w:pStyle w:val="BodyTextMain"/>
        <w:rPr>
          <w:sz w:val="16"/>
          <w:szCs w:val="16"/>
          <w:lang w:val="en-GB"/>
        </w:rPr>
      </w:pPr>
    </w:p>
    <w:p w:rsidR="00660C0E" w:rsidRPr="00B63846" w:rsidRDefault="00660C0E" w:rsidP="00D105E3">
      <w:pPr>
        <w:pStyle w:val="BodyTextMain"/>
        <w:rPr>
          <w:lang w:val="en-GB"/>
        </w:rPr>
      </w:pPr>
      <w:r w:rsidRPr="00B63846">
        <w:rPr>
          <w:lang w:val="en-GB"/>
        </w:rPr>
        <w:t xml:space="preserve">These customers were typically at the end of their contracts and in search of a new office space to relocate their company headquarters. Their decision to move was usually prompted from a need to downsize due to financial difficulties or upgrade as a result of company growth. These consumers were often local to Calgary and were proud of their companies’ accomplishments. When looking for new spaces, they typically valued the functionality and price of their new office space and relied on real estate brokers to assist in the process. Location was not as key a concern to this customer group because they did not need to persuade their employees in the same way larger firms did. However, being in the heart of downtown added a degree of prestige to their businesses, which they appreciated, if affordable. It was rare to see a company in this group take up more than one floor of an office building; instead, they would more often split space on a floor with another business. </w:t>
      </w:r>
    </w:p>
    <w:p w:rsidR="00660C0E" w:rsidRPr="00492CC4" w:rsidRDefault="00660C0E" w:rsidP="00D105E3">
      <w:pPr>
        <w:pStyle w:val="BodyTextMain"/>
        <w:rPr>
          <w:sz w:val="16"/>
          <w:szCs w:val="16"/>
          <w:lang w:val="en-GB"/>
        </w:rPr>
      </w:pPr>
    </w:p>
    <w:p w:rsidR="00660C0E" w:rsidRPr="00492CC4" w:rsidRDefault="00660C0E" w:rsidP="00D105E3">
      <w:pPr>
        <w:pStyle w:val="BodyTextMain"/>
        <w:rPr>
          <w:sz w:val="16"/>
          <w:szCs w:val="16"/>
          <w:lang w:val="en-GB"/>
        </w:rPr>
      </w:pPr>
    </w:p>
    <w:p w:rsidR="00660C0E" w:rsidRPr="00B63846" w:rsidRDefault="00660C0E" w:rsidP="00D105E3">
      <w:pPr>
        <w:pStyle w:val="Casehead2"/>
        <w:rPr>
          <w:lang w:val="en-GB"/>
        </w:rPr>
      </w:pPr>
      <w:r w:rsidRPr="00B63846">
        <w:rPr>
          <w:lang w:val="en-GB"/>
        </w:rPr>
        <w:t>Retail and Industrial Businesses</w:t>
      </w:r>
    </w:p>
    <w:p w:rsidR="00660C0E" w:rsidRPr="00492CC4" w:rsidRDefault="00660C0E" w:rsidP="00D105E3">
      <w:pPr>
        <w:pStyle w:val="BodyTextMain"/>
        <w:rPr>
          <w:sz w:val="16"/>
          <w:szCs w:val="16"/>
          <w:lang w:val="en-GB"/>
        </w:rPr>
      </w:pPr>
    </w:p>
    <w:p w:rsidR="00660C0E" w:rsidRPr="00D105E3" w:rsidRDefault="00660C0E" w:rsidP="00D105E3">
      <w:pPr>
        <w:pStyle w:val="BodyTextMain"/>
        <w:rPr>
          <w:spacing w:val="-2"/>
          <w:lang w:val="en-GB"/>
        </w:rPr>
      </w:pPr>
      <w:r w:rsidRPr="00D105E3">
        <w:rPr>
          <w:spacing w:val="-2"/>
          <w:lang w:val="en-GB"/>
        </w:rPr>
        <w:t>These businesses made up the remainder of the commercial real estate space. Retail customers varied greatly in size from small corner shops to large grocery or department stores. In any case, these businesses constantly searched for ways to increase their margins and valued competitive rental prices. Since their businesses primarily serviced customers, locations in high-traffic, densely populated areas were important.</w:t>
      </w:r>
    </w:p>
    <w:p w:rsidR="00660C0E" w:rsidRPr="00492CC4" w:rsidRDefault="00660C0E" w:rsidP="00D105E3">
      <w:pPr>
        <w:pStyle w:val="BodyTextMain"/>
        <w:rPr>
          <w:sz w:val="16"/>
          <w:szCs w:val="16"/>
          <w:lang w:val="en-GB"/>
        </w:rPr>
      </w:pPr>
    </w:p>
    <w:p w:rsidR="00660C0E" w:rsidRPr="00B63846" w:rsidRDefault="00660C0E" w:rsidP="00D105E3">
      <w:pPr>
        <w:pStyle w:val="BodyTextMain"/>
        <w:rPr>
          <w:lang w:val="en-GB"/>
        </w:rPr>
      </w:pPr>
      <w:r w:rsidRPr="00B63846">
        <w:rPr>
          <w:lang w:val="en-GB"/>
        </w:rPr>
        <w:t>Industrial customers looked for larger spaces with high ceilings capable of housing their equipment and machinery. Typically, they searched for buildings located outside of the city’s core that supplied them with ample parking at a low cost. Both of these customer groups needed to run their businesses efficiently and relied heavily on their buildings to do so. This made the relationship with their property manager extremely important: If something went wrong with the building, it could cause a temporary shutdown in operations; therefore, industrial customers expected top-quality service from their property manager to limit this risk, and they worked with real-estate brokers to find a suitable fit.</w:t>
      </w:r>
    </w:p>
    <w:p w:rsidR="00660C0E" w:rsidRPr="00492CC4" w:rsidRDefault="00660C0E" w:rsidP="00D105E3">
      <w:pPr>
        <w:pStyle w:val="BodyTextMain"/>
        <w:rPr>
          <w:sz w:val="16"/>
          <w:szCs w:val="16"/>
          <w:lang w:val="en-GB"/>
        </w:rPr>
      </w:pPr>
    </w:p>
    <w:p w:rsidR="00660C0E" w:rsidRPr="00492CC4" w:rsidRDefault="00660C0E" w:rsidP="00D105E3">
      <w:pPr>
        <w:pStyle w:val="BodyTextMain"/>
        <w:rPr>
          <w:sz w:val="16"/>
          <w:szCs w:val="16"/>
          <w:lang w:val="en-GB"/>
        </w:rPr>
      </w:pPr>
    </w:p>
    <w:p w:rsidR="00660C0E" w:rsidRPr="00B63846" w:rsidRDefault="00660C0E" w:rsidP="00D105E3">
      <w:pPr>
        <w:pStyle w:val="Casehead2"/>
        <w:rPr>
          <w:lang w:val="en-GB"/>
        </w:rPr>
      </w:pPr>
      <w:r w:rsidRPr="00B63846">
        <w:rPr>
          <w:lang w:val="en-GB"/>
        </w:rPr>
        <w:t>615 8th Street SW</w:t>
      </w:r>
    </w:p>
    <w:p w:rsidR="00660C0E" w:rsidRPr="00492CC4" w:rsidRDefault="00660C0E" w:rsidP="00D105E3">
      <w:pPr>
        <w:pStyle w:val="BodyTextMain"/>
        <w:rPr>
          <w:sz w:val="16"/>
          <w:szCs w:val="16"/>
          <w:lang w:val="en-GB"/>
        </w:rPr>
      </w:pPr>
    </w:p>
    <w:p w:rsidR="00660C0E" w:rsidRDefault="00660C0E" w:rsidP="00D105E3">
      <w:pPr>
        <w:pStyle w:val="BodyTextMain"/>
        <w:rPr>
          <w:lang w:val="en-GB"/>
        </w:rPr>
      </w:pPr>
      <w:r w:rsidRPr="00B63846">
        <w:rPr>
          <w:lang w:val="en-GB"/>
        </w:rPr>
        <w:t xml:space="preserve">One of the first plots of land acquired by </w:t>
      </w:r>
      <w:proofErr w:type="spellStart"/>
      <w:r w:rsidRPr="00B63846">
        <w:rPr>
          <w:lang w:val="en-GB"/>
        </w:rPr>
        <w:t>Alecs</w:t>
      </w:r>
      <w:proofErr w:type="spellEnd"/>
      <w:r w:rsidRPr="00B63846">
        <w:rPr>
          <w:lang w:val="en-GB"/>
        </w:rPr>
        <w:t xml:space="preserve"> Graham, the founder of TLO, was 615 8th Street SW (615-8th). This downtown plot of land was in a prime location and shared a property line with a multi-storey office building to the west and a parking lot to the east. The total site size of the land was 16,250 sq. ft. with dimensions of 125 feet by 130 feet deep. For the past three decades the site had been home to an outdoor parking lot of roughly 60 stalls. Earlier in the year, the parking lot operator entered into a new lease with TLO and was paying $30,000 per month. The only costs to the site that TLO was responsible for were the property taxes, which typically increased annually and were expected to be $85,000 for 2014.</w:t>
      </w:r>
    </w:p>
    <w:p w:rsidR="00D105E3" w:rsidRPr="00492CC4" w:rsidRDefault="00D105E3" w:rsidP="00D105E3">
      <w:pPr>
        <w:pStyle w:val="BodyTextMain"/>
        <w:rPr>
          <w:sz w:val="16"/>
          <w:szCs w:val="16"/>
          <w:lang w:val="en-GB"/>
        </w:rPr>
      </w:pPr>
    </w:p>
    <w:p w:rsidR="00E90BBF" w:rsidRPr="00492CC4" w:rsidRDefault="00E90BBF" w:rsidP="00D105E3">
      <w:pPr>
        <w:pStyle w:val="BodyTextMain"/>
        <w:rPr>
          <w:sz w:val="16"/>
          <w:szCs w:val="16"/>
          <w:lang w:val="en-GB"/>
        </w:rPr>
      </w:pPr>
    </w:p>
    <w:p w:rsidR="00660C0E" w:rsidRPr="00B63846" w:rsidRDefault="00660C0E" w:rsidP="00D105E3">
      <w:pPr>
        <w:pStyle w:val="Casehead1"/>
        <w:rPr>
          <w:lang w:val="en-GB"/>
        </w:rPr>
      </w:pPr>
      <w:r w:rsidRPr="00B63846">
        <w:rPr>
          <w:lang w:val="en-GB"/>
        </w:rPr>
        <w:t>ALTERNATIVES</w:t>
      </w:r>
    </w:p>
    <w:p w:rsidR="00660C0E" w:rsidRPr="00492CC4" w:rsidRDefault="00660C0E" w:rsidP="00D105E3">
      <w:pPr>
        <w:pStyle w:val="BodyTextMain"/>
        <w:rPr>
          <w:sz w:val="16"/>
          <w:szCs w:val="16"/>
          <w:lang w:val="en-GB"/>
        </w:rPr>
      </w:pPr>
    </w:p>
    <w:p w:rsidR="00660C0E" w:rsidRPr="00B63846" w:rsidRDefault="00660C0E" w:rsidP="00D105E3">
      <w:pPr>
        <w:pStyle w:val="BodyTextMain"/>
        <w:rPr>
          <w:lang w:val="en-GB"/>
        </w:rPr>
      </w:pPr>
      <w:r w:rsidRPr="00B63846">
        <w:rPr>
          <w:lang w:val="en-GB"/>
        </w:rPr>
        <w:t>Graham and Hart were excited to explore the different options regarding the parking lot. For any alternative, TLO would follow its general company policy of a 60/40 loan to equity ratio, meaning only 60 per cent of any project could be funded through debt.</w:t>
      </w:r>
      <w:r w:rsidRPr="00B63846">
        <w:rPr>
          <w:rStyle w:val="FootnoteReference"/>
          <w:color w:val="000000"/>
        </w:rPr>
        <w:footnoteReference w:id="11"/>
      </w:r>
      <w:r w:rsidRPr="00B63846">
        <w:rPr>
          <w:lang w:val="en-GB"/>
        </w:rPr>
        <w:t xml:space="preserve"> Additionally, TLO assumed that if any major development were to be built, TLO would take ownership of only 60 per cent of the project. Outside investors would own the remaining 40 per cent and be responsible for all the costs and revenues associated with it.</w:t>
      </w:r>
    </w:p>
    <w:p w:rsidR="00660C0E" w:rsidRPr="00E90BBF" w:rsidRDefault="00660C0E" w:rsidP="00D105E3">
      <w:pPr>
        <w:pStyle w:val="BodyTextMain"/>
        <w:rPr>
          <w:sz w:val="18"/>
          <w:szCs w:val="18"/>
          <w:lang w:val="en-GB"/>
        </w:rPr>
      </w:pPr>
    </w:p>
    <w:p w:rsidR="00660C0E" w:rsidRDefault="00660C0E" w:rsidP="00D105E3">
      <w:pPr>
        <w:pStyle w:val="BodyTextMain"/>
        <w:rPr>
          <w:sz w:val="18"/>
          <w:szCs w:val="18"/>
          <w:lang w:val="en-GB"/>
        </w:rPr>
      </w:pPr>
    </w:p>
    <w:p w:rsidR="001138E6" w:rsidRDefault="001138E6" w:rsidP="00D105E3">
      <w:pPr>
        <w:pStyle w:val="BodyTextMain"/>
        <w:rPr>
          <w:sz w:val="18"/>
          <w:szCs w:val="18"/>
          <w:lang w:val="en-GB"/>
        </w:rPr>
      </w:pPr>
    </w:p>
    <w:p w:rsidR="001138E6" w:rsidRPr="00E90BBF" w:rsidRDefault="001138E6" w:rsidP="00D105E3">
      <w:pPr>
        <w:pStyle w:val="BodyTextMain"/>
        <w:rPr>
          <w:sz w:val="18"/>
          <w:szCs w:val="18"/>
          <w:lang w:val="en-GB"/>
        </w:rPr>
      </w:pPr>
    </w:p>
    <w:p w:rsidR="00660C0E" w:rsidRPr="00B63846" w:rsidRDefault="00660C0E" w:rsidP="00D105E3">
      <w:pPr>
        <w:pStyle w:val="Casehead2"/>
        <w:rPr>
          <w:lang w:val="en-GB"/>
        </w:rPr>
      </w:pPr>
      <w:r w:rsidRPr="00B63846">
        <w:rPr>
          <w:lang w:val="en-GB"/>
        </w:rPr>
        <w:lastRenderedPageBreak/>
        <w:t>Status Quo</w:t>
      </w:r>
    </w:p>
    <w:p w:rsidR="00660C0E" w:rsidRPr="00492CC4" w:rsidRDefault="00660C0E" w:rsidP="00D105E3">
      <w:pPr>
        <w:pStyle w:val="BodyTextMain"/>
        <w:rPr>
          <w:sz w:val="16"/>
          <w:szCs w:val="16"/>
          <w:lang w:val="en-GB"/>
        </w:rPr>
      </w:pPr>
    </w:p>
    <w:p w:rsidR="00660C0E" w:rsidRPr="00D105E3" w:rsidRDefault="00660C0E" w:rsidP="00D105E3">
      <w:pPr>
        <w:pStyle w:val="BodyTextMain"/>
        <w:rPr>
          <w:spacing w:val="-2"/>
          <w:lang w:val="en-GB"/>
        </w:rPr>
      </w:pPr>
      <w:r w:rsidRPr="00D105E3">
        <w:rPr>
          <w:spacing w:val="-2"/>
          <w:lang w:val="en-GB"/>
        </w:rPr>
        <w:t>Graham had been working in real estate for over 20 years and knew all too well the potential for failure when jumping into a project just because the markets were performing well. TLO and 615-8th had been generating a significant profit year after year, and the price of the land continued to appreciate. She considered remaining with the status quo and re-evaluating what to do with the land in 2016 when the parking agreement was up for renewal. This would give TLO more time to scope the market and see how the current projects were panning out. Graham was happy with the growth her company had seen in the previous years and believed that all revenue streams would increase by 5 per cent in the upcoming year. All expenses were expected to remain at the same dollar amount or percentage of sales from the previous year.</w:t>
      </w:r>
    </w:p>
    <w:p w:rsidR="00660C0E" w:rsidRPr="00492CC4" w:rsidRDefault="00660C0E" w:rsidP="00D105E3">
      <w:pPr>
        <w:pStyle w:val="BodyTextMain"/>
        <w:rPr>
          <w:sz w:val="16"/>
          <w:szCs w:val="16"/>
          <w:lang w:val="en-GB"/>
        </w:rPr>
      </w:pPr>
    </w:p>
    <w:p w:rsidR="00660C0E" w:rsidRPr="00492CC4" w:rsidRDefault="00660C0E" w:rsidP="00D105E3">
      <w:pPr>
        <w:pStyle w:val="BodyTextMain"/>
        <w:rPr>
          <w:sz w:val="16"/>
          <w:szCs w:val="16"/>
          <w:lang w:val="en-GB"/>
        </w:rPr>
      </w:pPr>
    </w:p>
    <w:p w:rsidR="00660C0E" w:rsidRPr="00B63846" w:rsidRDefault="00660C0E" w:rsidP="00D105E3">
      <w:pPr>
        <w:pStyle w:val="Casehead2"/>
        <w:rPr>
          <w:lang w:val="en-GB"/>
        </w:rPr>
      </w:pPr>
      <w:r w:rsidRPr="00B63846">
        <w:rPr>
          <w:lang w:val="en-GB"/>
        </w:rPr>
        <w:t>Office Development</w:t>
      </w:r>
    </w:p>
    <w:p w:rsidR="00660C0E" w:rsidRPr="00492CC4" w:rsidRDefault="00660C0E" w:rsidP="00D105E3">
      <w:pPr>
        <w:pStyle w:val="BodyTextMain"/>
        <w:rPr>
          <w:sz w:val="16"/>
          <w:szCs w:val="16"/>
          <w:lang w:val="en-GB"/>
        </w:rPr>
      </w:pPr>
    </w:p>
    <w:p w:rsidR="00660C0E" w:rsidRPr="00D105E3" w:rsidRDefault="00660C0E" w:rsidP="00D105E3">
      <w:pPr>
        <w:pStyle w:val="BodyTextMain"/>
        <w:rPr>
          <w:spacing w:val="-4"/>
          <w:lang w:val="en-GB"/>
        </w:rPr>
      </w:pPr>
      <w:r w:rsidRPr="00D105E3">
        <w:rPr>
          <w:spacing w:val="-4"/>
          <w:lang w:val="en-GB"/>
        </w:rPr>
        <w:t>The multitude of office buildings being announced in Calgary piqued Graham’s interest and prompted her to explore the idea of a TLO office development. She knew that there would be a finite demand for future office space, and if the decision was made to go forward, she wanted to get construction up and running quickly.</w:t>
      </w:r>
    </w:p>
    <w:p w:rsidR="00660C0E" w:rsidRPr="00492CC4" w:rsidRDefault="00660C0E" w:rsidP="00D105E3">
      <w:pPr>
        <w:pStyle w:val="BodyTextMain"/>
        <w:rPr>
          <w:sz w:val="16"/>
          <w:szCs w:val="16"/>
          <w:lang w:val="en-GB"/>
        </w:rPr>
      </w:pPr>
    </w:p>
    <w:p w:rsidR="00660C0E" w:rsidRPr="00B63846" w:rsidRDefault="00660C0E" w:rsidP="00D105E3">
      <w:pPr>
        <w:pStyle w:val="BodyTextMain"/>
        <w:rPr>
          <w:lang w:val="en-GB"/>
        </w:rPr>
      </w:pPr>
      <w:r w:rsidRPr="00B63846">
        <w:rPr>
          <w:lang w:val="en-GB"/>
        </w:rPr>
        <w:t>If pursued, the office building would be of premium quality and considered a Class A building. In order to achieve this, Hart estimated that the cost of construction would be $500 per square foot. Although the maximum FAR was 20 in Calgary’s downtown core, TLO expected that a FAR of 13 would be the most it would ever build in any scenario due to the additional costs and onerous requirements to reach the maximum of 20. Graham and Hart both had extensive connections to various real estate brokers in the city and believed that if they could find the right anchor tenant, they would be able to fill their building up to industry-average rates.</w:t>
      </w:r>
    </w:p>
    <w:p w:rsidR="00660C0E" w:rsidRPr="00492CC4" w:rsidRDefault="00660C0E" w:rsidP="00D105E3">
      <w:pPr>
        <w:pStyle w:val="BodyTextMain"/>
        <w:rPr>
          <w:sz w:val="16"/>
          <w:szCs w:val="16"/>
          <w:lang w:val="en-GB"/>
        </w:rPr>
      </w:pPr>
    </w:p>
    <w:p w:rsidR="00660C0E" w:rsidRPr="00B63846" w:rsidRDefault="00660C0E" w:rsidP="00D105E3">
      <w:pPr>
        <w:pStyle w:val="BodyTextMain"/>
        <w:rPr>
          <w:lang w:val="en-GB"/>
        </w:rPr>
      </w:pPr>
      <w:r w:rsidRPr="00B63846">
        <w:rPr>
          <w:lang w:val="en-GB"/>
        </w:rPr>
        <w:t xml:space="preserve">Most office buildings were leased using net leases. A net lease was an agreement that designated the tenant as being solely responsible for all operating costs relating to the asset being leased, in addition to the base rent fee charged by the owner. TLO would charge an average of $36.22 per square foot to </w:t>
      </w:r>
      <w:r>
        <w:rPr>
          <w:lang w:val="en-GB"/>
        </w:rPr>
        <w:t>its</w:t>
      </w:r>
      <w:r w:rsidRPr="00B63846">
        <w:rPr>
          <w:lang w:val="en-GB"/>
        </w:rPr>
        <w:t xml:space="preserve"> tenants </w:t>
      </w:r>
      <w:r w:rsidR="001138E6">
        <w:rPr>
          <w:lang w:val="en-GB"/>
        </w:rPr>
        <w:t xml:space="preserve">as an annual rate </w:t>
      </w:r>
      <w:r w:rsidRPr="00B63846">
        <w:rPr>
          <w:lang w:val="en-GB"/>
        </w:rPr>
        <w:t>on top of the operating costs the tenants were responsible for. Net leases took much of the responsibility away from the building owners, as the rent they collected would be predominantly profit. However, the overhead costs of any vacant spaces in the building were the responsibility of the owner and were estimated at $18 per square foot</w:t>
      </w:r>
      <w:r w:rsidR="001138E6">
        <w:rPr>
          <w:lang w:val="en-GB"/>
        </w:rPr>
        <w:t xml:space="preserve"> per annum</w:t>
      </w:r>
      <w:bookmarkStart w:id="0" w:name="_GoBack"/>
      <w:bookmarkEnd w:id="0"/>
      <w:r w:rsidRPr="00B63846">
        <w:rPr>
          <w:lang w:val="en-GB"/>
        </w:rPr>
        <w:t>.</w:t>
      </w:r>
    </w:p>
    <w:p w:rsidR="00660C0E" w:rsidRPr="00492CC4" w:rsidRDefault="00660C0E" w:rsidP="00D105E3">
      <w:pPr>
        <w:pStyle w:val="BodyTextMain"/>
        <w:rPr>
          <w:sz w:val="16"/>
          <w:szCs w:val="16"/>
          <w:lang w:val="en-GB"/>
        </w:rPr>
      </w:pPr>
    </w:p>
    <w:p w:rsidR="00660C0E" w:rsidRPr="00492CC4" w:rsidRDefault="00660C0E" w:rsidP="00D105E3">
      <w:pPr>
        <w:pStyle w:val="BodyTextMain"/>
        <w:rPr>
          <w:sz w:val="16"/>
          <w:szCs w:val="16"/>
          <w:lang w:val="en-GB"/>
        </w:rPr>
      </w:pPr>
    </w:p>
    <w:p w:rsidR="00660C0E" w:rsidRPr="00B63846" w:rsidRDefault="00660C0E" w:rsidP="00D105E3">
      <w:pPr>
        <w:pStyle w:val="Casehead2"/>
        <w:rPr>
          <w:lang w:val="en-GB"/>
        </w:rPr>
      </w:pPr>
      <w:r w:rsidRPr="00B63846">
        <w:rPr>
          <w:lang w:val="en-GB"/>
        </w:rPr>
        <w:t>Hotel Development</w:t>
      </w:r>
    </w:p>
    <w:p w:rsidR="00660C0E" w:rsidRPr="00492CC4" w:rsidRDefault="00660C0E" w:rsidP="00D105E3">
      <w:pPr>
        <w:pStyle w:val="BodyTextMain"/>
        <w:rPr>
          <w:sz w:val="16"/>
          <w:szCs w:val="16"/>
          <w:lang w:val="en-GB"/>
        </w:rPr>
      </w:pPr>
    </w:p>
    <w:p w:rsidR="00660C0E" w:rsidRPr="00B63846" w:rsidRDefault="00660C0E" w:rsidP="00D105E3">
      <w:pPr>
        <w:pStyle w:val="BodyTextMain"/>
        <w:rPr>
          <w:lang w:val="en-GB"/>
        </w:rPr>
      </w:pPr>
      <w:r w:rsidRPr="00B63846">
        <w:rPr>
          <w:lang w:val="en-GB"/>
        </w:rPr>
        <w:t xml:space="preserve">Graham and Hart wanted to explore the possibility of erecting a new, upscale hotel on 615-8th. Calgary had 11 hotels in the downtown area, and Graham knew them all to be profitable. During Stampede or while large conferences were in town, the room rates could reach as high as $800 per night, although the average daily rate (ADR) was closer to $217. Typically, at upscale hotels, a large portion of guests were there on business and stayed Monday to Friday. In fact, the rates tended to go down on weekends because the demand was lower. TLO believed that a new hotel would be welcomed in the city and that the high rates would </w:t>
      </w:r>
      <w:r w:rsidRPr="00002604">
        <w:rPr>
          <w:lang w:val="en-GB"/>
        </w:rPr>
        <w:t>persist</w:t>
      </w:r>
      <w:r w:rsidRPr="00B63846">
        <w:rPr>
          <w:lang w:val="en-GB"/>
        </w:rPr>
        <w:t xml:space="preserve">. TLO would not manage the hotel internally; instead, they would hire an experienced </w:t>
      </w:r>
      <w:proofErr w:type="gramStart"/>
      <w:r w:rsidRPr="00B63846">
        <w:rPr>
          <w:lang w:val="en-GB"/>
        </w:rPr>
        <w:t>third party</w:t>
      </w:r>
      <w:proofErr w:type="gramEnd"/>
      <w:r w:rsidRPr="00B63846">
        <w:rPr>
          <w:lang w:val="en-GB"/>
        </w:rPr>
        <w:t xml:space="preserve"> operator, thus minimizing TLO’s responsibility and learning curve. Graham believed all operating costs, including the </w:t>
      </w:r>
      <w:proofErr w:type="gramStart"/>
      <w:r w:rsidRPr="00B63846">
        <w:rPr>
          <w:lang w:val="en-GB"/>
        </w:rPr>
        <w:t>third party</w:t>
      </w:r>
      <w:proofErr w:type="gramEnd"/>
      <w:r w:rsidRPr="00B63846">
        <w:rPr>
          <w:lang w:val="en-GB"/>
        </w:rPr>
        <w:t xml:space="preserve"> operator, would take up a 62 per cent share of revenues.</w:t>
      </w:r>
    </w:p>
    <w:p w:rsidR="00660C0E" w:rsidRPr="00492CC4" w:rsidRDefault="00660C0E" w:rsidP="00D105E3">
      <w:pPr>
        <w:pStyle w:val="BodyTextMain"/>
        <w:rPr>
          <w:sz w:val="18"/>
          <w:szCs w:val="18"/>
          <w:lang w:val="en-GB"/>
        </w:rPr>
      </w:pPr>
    </w:p>
    <w:p w:rsidR="00660C0E" w:rsidRPr="00B63846" w:rsidRDefault="00660C0E" w:rsidP="00D105E3">
      <w:pPr>
        <w:pStyle w:val="BodyTextMain"/>
        <w:rPr>
          <w:lang w:val="en-GB"/>
        </w:rPr>
      </w:pPr>
      <w:r w:rsidRPr="00B63846">
        <w:rPr>
          <w:lang w:val="en-GB"/>
        </w:rPr>
        <w:t xml:space="preserve">Hart and Graham believed that the cost to build the hotel would be $475 per square foot, including land, all room furniture, fixtures, and amenities. The site would be the same size as the office building and could accommodate an estimated 300 rooms, main-floor lobby, restaurant, and all back-end functions. TLO was unsure how much revenue the restaurant would bring in, but assumed it would break even and act as a means of attracting more customers to the hotel. An encouraging stat on Calgary hotels was that the average </w:t>
      </w:r>
      <w:r w:rsidRPr="00B63846">
        <w:rPr>
          <w:lang w:val="en-GB"/>
        </w:rPr>
        <w:lastRenderedPageBreak/>
        <w:t xml:space="preserve">occupancy rate had increased from 69.0 per cent in 2009 to 74.7 per cent in 2013. TLO believed that </w:t>
      </w:r>
      <w:r>
        <w:rPr>
          <w:lang w:val="en-GB"/>
        </w:rPr>
        <w:t>its</w:t>
      </w:r>
      <w:r w:rsidRPr="00B63846">
        <w:rPr>
          <w:lang w:val="en-GB"/>
        </w:rPr>
        <w:t xml:space="preserve"> newer, upscale hotel could charge a 30 per cent premium on the ADR, while still filling </w:t>
      </w:r>
      <w:r>
        <w:rPr>
          <w:lang w:val="en-GB"/>
        </w:rPr>
        <w:t>its</w:t>
      </w:r>
      <w:r w:rsidRPr="00B63846">
        <w:rPr>
          <w:lang w:val="en-GB"/>
        </w:rPr>
        <w:t xml:space="preserve"> rooms to industry</w:t>
      </w:r>
      <w:r>
        <w:rPr>
          <w:lang w:val="en-GB"/>
        </w:rPr>
        <w:t>-</w:t>
      </w:r>
      <w:r w:rsidRPr="00B63846">
        <w:rPr>
          <w:lang w:val="en-GB"/>
        </w:rPr>
        <w:t>average rates.</w:t>
      </w:r>
    </w:p>
    <w:p w:rsidR="00660C0E" w:rsidRPr="00492CC4" w:rsidRDefault="00660C0E" w:rsidP="00D105E3">
      <w:pPr>
        <w:pStyle w:val="BodyTextMain"/>
        <w:rPr>
          <w:sz w:val="18"/>
          <w:szCs w:val="18"/>
          <w:lang w:val="en-GB"/>
        </w:rPr>
      </w:pPr>
    </w:p>
    <w:p w:rsidR="00660C0E" w:rsidRPr="00B63846" w:rsidRDefault="00660C0E" w:rsidP="00D105E3">
      <w:pPr>
        <w:pStyle w:val="BodyTextMain"/>
        <w:rPr>
          <w:lang w:val="en-GB"/>
        </w:rPr>
      </w:pPr>
      <w:r w:rsidRPr="00B63846">
        <w:rPr>
          <w:lang w:val="en-GB"/>
        </w:rPr>
        <w:t>Hotel customers, specifically those who travelled often, had strong brand loyalty to hotels, which heavily influenced their purchasing decisions. Graham knew that if TLO were to pursue this option, it would have to be under the banner of another hotel company: TLO’s hotel would be a franchisee of a larger company that was expected to charge a 4 per cent royalty on revenues. Graham wondered what she should look for in a franchisor and how those qualities would affect demand.</w:t>
      </w:r>
    </w:p>
    <w:p w:rsidR="00660C0E" w:rsidRPr="00492CC4" w:rsidRDefault="00660C0E" w:rsidP="00D105E3">
      <w:pPr>
        <w:pStyle w:val="BodyTextMain"/>
        <w:rPr>
          <w:sz w:val="18"/>
          <w:szCs w:val="18"/>
          <w:lang w:val="en-GB"/>
        </w:rPr>
      </w:pPr>
    </w:p>
    <w:p w:rsidR="00660C0E" w:rsidRPr="00492CC4" w:rsidRDefault="00660C0E" w:rsidP="00D105E3">
      <w:pPr>
        <w:pStyle w:val="BodyTextMain"/>
        <w:rPr>
          <w:sz w:val="18"/>
          <w:szCs w:val="18"/>
          <w:lang w:val="en-GB"/>
        </w:rPr>
      </w:pPr>
    </w:p>
    <w:p w:rsidR="00660C0E" w:rsidRPr="00B63846" w:rsidRDefault="00660C0E" w:rsidP="00D105E3">
      <w:pPr>
        <w:pStyle w:val="Casehead2"/>
        <w:rPr>
          <w:lang w:val="en-GB"/>
        </w:rPr>
      </w:pPr>
      <w:r w:rsidRPr="00B63846">
        <w:rPr>
          <w:lang w:val="en-GB"/>
        </w:rPr>
        <w:t>Taking over the Parking Lot</w:t>
      </w:r>
    </w:p>
    <w:p w:rsidR="00660C0E" w:rsidRPr="00492CC4" w:rsidRDefault="00660C0E" w:rsidP="00D105E3">
      <w:pPr>
        <w:pStyle w:val="BodyTextMain"/>
        <w:rPr>
          <w:sz w:val="18"/>
          <w:szCs w:val="18"/>
          <w:lang w:val="en-GB"/>
        </w:rPr>
      </w:pPr>
    </w:p>
    <w:p w:rsidR="00660C0E" w:rsidRPr="00B63846" w:rsidRDefault="00660C0E" w:rsidP="00D105E3">
      <w:pPr>
        <w:pStyle w:val="BodyTextMain"/>
        <w:rPr>
          <w:lang w:val="en-GB"/>
        </w:rPr>
      </w:pPr>
      <w:r w:rsidRPr="00B63846">
        <w:rPr>
          <w:lang w:val="en-GB"/>
        </w:rPr>
        <w:t>TLO viewed the parking lot as an easy, low-risk revenue stream and appreciated its value; however, Graham constantly found herself questioning if it would be worthwhile to manage the lot in-house. Graham knew that with the technology now used in parking lots, overhead costs were low, and she wondered how many spots she would need to sell to break even. She was unsure how many spots were currently occupied but assumed for the most part that it was full. Still, she pondered how difficult it would be to cover all the costs under an alternative like this and, ultimately, if the extra work would bring in additional profitability.</w:t>
      </w:r>
    </w:p>
    <w:p w:rsidR="00660C0E" w:rsidRPr="00492CC4" w:rsidRDefault="00660C0E" w:rsidP="00D105E3">
      <w:pPr>
        <w:pStyle w:val="BodyTextMain"/>
        <w:rPr>
          <w:sz w:val="16"/>
          <w:szCs w:val="16"/>
          <w:lang w:val="en-GB"/>
        </w:rPr>
      </w:pPr>
    </w:p>
    <w:p w:rsidR="00660C0E" w:rsidRPr="00B63846" w:rsidRDefault="00660C0E" w:rsidP="00D105E3">
      <w:pPr>
        <w:pStyle w:val="BodyTextMain"/>
        <w:rPr>
          <w:lang w:val="en-GB"/>
        </w:rPr>
      </w:pPr>
      <w:r w:rsidRPr="00B63846">
        <w:rPr>
          <w:lang w:val="en-GB"/>
        </w:rPr>
        <w:t>Parking spots varied in price based on many factors, but Graham imagined that she would be able to charge $500 per spot, per month. Each spot would require a year-round agreement from the occupant. The parking lot would utilize the same gate and scanning system currently on the property</w:t>
      </w:r>
      <w:r>
        <w:rPr>
          <w:lang w:val="en-GB"/>
        </w:rPr>
        <w:t xml:space="preserve"> that</w:t>
      </w:r>
      <w:r w:rsidRPr="00B63846">
        <w:rPr>
          <w:lang w:val="en-GB"/>
        </w:rPr>
        <w:t xml:space="preserve"> TLO owned. Each car would need a yearly parking tag that triggered the gate to open. TLO would be responsible for ordering, distributing, and paying for each parking tag, for a cost of $90 per tag. Graham believed that the only other additional costs that TLO would incur were lot maintenance, at $500 per month, and a $15,000 share of a TLO employee’s salary to represent the time managing it.</w:t>
      </w:r>
    </w:p>
    <w:p w:rsidR="00660C0E" w:rsidRPr="00492CC4" w:rsidRDefault="00660C0E" w:rsidP="00D105E3">
      <w:pPr>
        <w:pStyle w:val="BodyTextMain"/>
        <w:rPr>
          <w:sz w:val="16"/>
          <w:szCs w:val="16"/>
          <w:lang w:val="en-GB"/>
        </w:rPr>
      </w:pPr>
    </w:p>
    <w:p w:rsidR="00660C0E" w:rsidRPr="00492CC4" w:rsidRDefault="00660C0E" w:rsidP="00D105E3">
      <w:pPr>
        <w:pStyle w:val="BodyTextMain"/>
        <w:rPr>
          <w:sz w:val="16"/>
          <w:szCs w:val="16"/>
          <w:lang w:val="en-GB"/>
        </w:rPr>
      </w:pPr>
    </w:p>
    <w:p w:rsidR="00660C0E" w:rsidRPr="00B63846" w:rsidRDefault="00660C0E" w:rsidP="00D105E3">
      <w:pPr>
        <w:pStyle w:val="Casehead2"/>
        <w:rPr>
          <w:lang w:val="en-GB"/>
        </w:rPr>
      </w:pPr>
      <w:r w:rsidRPr="00B63846">
        <w:rPr>
          <w:lang w:val="en-GB"/>
        </w:rPr>
        <w:t>Sell the Business</w:t>
      </w:r>
    </w:p>
    <w:p w:rsidR="00660C0E" w:rsidRPr="00492CC4" w:rsidRDefault="00660C0E" w:rsidP="00660C0E">
      <w:pPr>
        <w:jc w:val="both"/>
        <w:rPr>
          <w:sz w:val="16"/>
          <w:szCs w:val="16"/>
          <w:lang w:val="en-GB"/>
        </w:rPr>
      </w:pPr>
    </w:p>
    <w:p w:rsidR="00660C0E" w:rsidRPr="00E90BBF" w:rsidRDefault="00660C0E" w:rsidP="00D105E3">
      <w:pPr>
        <w:pStyle w:val="BodyTextMain"/>
        <w:rPr>
          <w:spacing w:val="-2"/>
          <w:lang w:val="en-GB"/>
        </w:rPr>
      </w:pPr>
      <w:r w:rsidRPr="00E90BBF">
        <w:rPr>
          <w:spacing w:val="-2"/>
          <w:lang w:val="en-GB"/>
        </w:rPr>
        <w:t>TLO had been buying, developing, and updating all of its holdings for over 50 years and two generations. During this time its portfolio of commercial developments had attracted the attention of many larger real estate companies who were eager to break into the Calgary market. Graham had no intention of leaving the industry any time soon but thought it wise to consider every option. With growing interest in TLO and a well-performing oil and gas market, Graham wondered if now would be the best time to sell the company.</w:t>
      </w:r>
    </w:p>
    <w:p w:rsidR="00660C0E" w:rsidRPr="00492CC4" w:rsidRDefault="00660C0E" w:rsidP="00D105E3">
      <w:pPr>
        <w:pStyle w:val="BodyTextMain"/>
        <w:rPr>
          <w:sz w:val="16"/>
          <w:szCs w:val="16"/>
          <w:lang w:val="en-GB"/>
        </w:rPr>
      </w:pPr>
    </w:p>
    <w:p w:rsidR="00660C0E" w:rsidRPr="00492CC4" w:rsidRDefault="00660C0E" w:rsidP="00D105E3">
      <w:pPr>
        <w:pStyle w:val="BodyTextMain"/>
        <w:rPr>
          <w:sz w:val="16"/>
          <w:szCs w:val="16"/>
          <w:lang w:val="en-GB"/>
        </w:rPr>
      </w:pPr>
    </w:p>
    <w:p w:rsidR="00660C0E" w:rsidRPr="00B63846" w:rsidRDefault="00660C0E" w:rsidP="00D105E3">
      <w:pPr>
        <w:pStyle w:val="Casehead1"/>
        <w:rPr>
          <w:lang w:val="en-GB"/>
        </w:rPr>
      </w:pPr>
      <w:r w:rsidRPr="00B63846">
        <w:rPr>
          <w:lang w:val="en-GB"/>
        </w:rPr>
        <w:t>CONCLUSION</w:t>
      </w:r>
    </w:p>
    <w:p w:rsidR="00660C0E" w:rsidRPr="00492CC4" w:rsidRDefault="00660C0E" w:rsidP="00D105E3">
      <w:pPr>
        <w:pStyle w:val="BodyTextMain"/>
        <w:rPr>
          <w:sz w:val="16"/>
          <w:szCs w:val="16"/>
          <w:lang w:val="en-GB"/>
        </w:rPr>
      </w:pPr>
    </w:p>
    <w:p w:rsidR="00660C0E" w:rsidRPr="00B63846" w:rsidRDefault="00660C0E" w:rsidP="00D105E3">
      <w:pPr>
        <w:pStyle w:val="BodyTextMain"/>
        <w:rPr>
          <w:lang w:val="en-GB"/>
        </w:rPr>
      </w:pPr>
      <w:r w:rsidRPr="00B63846">
        <w:rPr>
          <w:lang w:val="en-GB"/>
        </w:rPr>
        <w:t>This decision weighed heavily on Graham and Hart. Both knew that TLO had the resources and experience to start a major development, but was this the right one? Was TLO ready to jump into a major project and compete with some of the world’s biggest development companies? Or was it wiser to step on the brakes and consider a different alternative?</w:t>
      </w:r>
    </w:p>
    <w:p w:rsidR="00660C0E" w:rsidRPr="00B63846" w:rsidRDefault="00660C0E" w:rsidP="00D105E3">
      <w:pPr>
        <w:pStyle w:val="BodyTextMain"/>
        <w:rPr>
          <w:lang w:val="en-GB"/>
        </w:rPr>
      </w:pPr>
      <w:r w:rsidRPr="00B63846">
        <w:rPr>
          <w:b/>
          <w:lang w:val="en-GB"/>
        </w:rPr>
        <w:br w:type="page"/>
      </w:r>
    </w:p>
    <w:p w:rsidR="00660C0E" w:rsidRPr="009E6947" w:rsidRDefault="00660C0E" w:rsidP="00D105E3">
      <w:pPr>
        <w:pStyle w:val="Casehead1"/>
        <w:jc w:val="center"/>
        <w:rPr>
          <w:lang w:val="en-GB"/>
        </w:rPr>
      </w:pPr>
      <w:r w:rsidRPr="009E6947">
        <w:rPr>
          <w:lang w:val="en-GB"/>
        </w:rPr>
        <w:lastRenderedPageBreak/>
        <w:t xml:space="preserve">EXHIBIT </w:t>
      </w:r>
      <w:r>
        <w:rPr>
          <w:lang w:val="en-GB"/>
        </w:rPr>
        <w:t>1</w:t>
      </w:r>
      <w:r w:rsidRPr="009E6947">
        <w:rPr>
          <w:lang w:val="en-GB"/>
        </w:rPr>
        <w:t>: FUTURE OFFICE BUILDING DEVELOPMENTS IN DOWNTOWN CALGARY</w:t>
      </w:r>
    </w:p>
    <w:p w:rsidR="00660C0E" w:rsidRPr="009E6947" w:rsidRDefault="00660C0E" w:rsidP="00D105E3">
      <w:pPr>
        <w:pStyle w:val="BodyTextMain"/>
        <w:rPr>
          <w:lang w:val="en-GB"/>
        </w:rPr>
      </w:pPr>
    </w:p>
    <w:tbl>
      <w:tblPr>
        <w:tblW w:w="9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1417"/>
        <w:gridCol w:w="2452"/>
        <w:gridCol w:w="2279"/>
      </w:tblGrid>
      <w:tr w:rsidR="00660C0E" w:rsidRPr="00002604" w:rsidTr="00660C0E">
        <w:trPr>
          <w:trHeight w:val="290"/>
          <w:jc w:val="center"/>
        </w:trPr>
        <w:tc>
          <w:tcPr>
            <w:tcW w:w="3114" w:type="dxa"/>
            <w:shd w:val="clear" w:color="auto" w:fill="auto"/>
            <w:noWrap/>
            <w:vAlign w:val="center"/>
            <w:hideMark/>
          </w:tcPr>
          <w:p w:rsidR="00660C0E" w:rsidRPr="009E6947" w:rsidRDefault="00660C0E" w:rsidP="00660C0E">
            <w:pPr>
              <w:jc w:val="center"/>
              <w:rPr>
                <w:rFonts w:ascii="Arial" w:hAnsi="Arial" w:cs="Arial"/>
                <w:b/>
                <w:bCs/>
                <w:color w:val="000000"/>
                <w:lang w:val="en-GB" w:eastAsia="en-CA"/>
              </w:rPr>
            </w:pPr>
            <w:r w:rsidRPr="009E6947">
              <w:rPr>
                <w:rFonts w:ascii="Arial" w:hAnsi="Arial" w:cs="Arial"/>
                <w:b/>
                <w:bCs/>
                <w:color w:val="000000"/>
                <w:lang w:val="en-GB" w:eastAsia="en-CA"/>
              </w:rPr>
              <w:t>Building</w:t>
            </w:r>
          </w:p>
        </w:tc>
        <w:tc>
          <w:tcPr>
            <w:tcW w:w="1417" w:type="dxa"/>
            <w:shd w:val="clear" w:color="auto" w:fill="auto"/>
            <w:noWrap/>
            <w:vAlign w:val="center"/>
            <w:hideMark/>
          </w:tcPr>
          <w:p w:rsidR="00660C0E" w:rsidRPr="009E6947" w:rsidRDefault="00660C0E" w:rsidP="00660C0E">
            <w:pPr>
              <w:jc w:val="center"/>
              <w:rPr>
                <w:rFonts w:ascii="Arial" w:hAnsi="Arial" w:cs="Arial"/>
                <w:b/>
                <w:bCs/>
                <w:color w:val="000000"/>
                <w:lang w:val="en-GB" w:eastAsia="en-CA"/>
              </w:rPr>
            </w:pPr>
            <w:r w:rsidRPr="009E6947">
              <w:rPr>
                <w:rFonts w:ascii="Arial" w:hAnsi="Arial" w:cs="Arial"/>
                <w:b/>
                <w:bCs/>
                <w:color w:val="000000"/>
                <w:lang w:val="en-GB" w:eastAsia="en-CA"/>
              </w:rPr>
              <w:t>Total Square Feet</w:t>
            </w:r>
          </w:p>
        </w:tc>
        <w:tc>
          <w:tcPr>
            <w:tcW w:w="2452" w:type="dxa"/>
            <w:shd w:val="clear" w:color="auto" w:fill="auto"/>
            <w:noWrap/>
            <w:vAlign w:val="center"/>
            <w:hideMark/>
          </w:tcPr>
          <w:p w:rsidR="00660C0E" w:rsidRPr="009E6947" w:rsidRDefault="00660C0E" w:rsidP="00660C0E">
            <w:pPr>
              <w:jc w:val="center"/>
              <w:rPr>
                <w:rFonts w:ascii="Arial" w:hAnsi="Arial" w:cs="Arial"/>
                <w:b/>
                <w:bCs/>
                <w:color w:val="000000"/>
                <w:lang w:val="en-GB" w:eastAsia="en-CA"/>
              </w:rPr>
            </w:pPr>
            <w:r w:rsidRPr="009E6947">
              <w:rPr>
                <w:rFonts w:ascii="Arial" w:hAnsi="Arial" w:cs="Arial"/>
                <w:b/>
                <w:bCs/>
                <w:color w:val="000000"/>
                <w:lang w:val="en-GB" w:eastAsia="en-CA"/>
              </w:rPr>
              <w:t>Anchor Tenant</w:t>
            </w:r>
          </w:p>
        </w:tc>
        <w:tc>
          <w:tcPr>
            <w:tcW w:w="2279" w:type="dxa"/>
            <w:shd w:val="clear" w:color="auto" w:fill="auto"/>
            <w:noWrap/>
            <w:vAlign w:val="center"/>
            <w:hideMark/>
          </w:tcPr>
          <w:p w:rsidR="00660C0E" w:rsidRPr="009E6947" w:rsidRDefault="00660C0E" w:rsidP="00660C0E">
            <w:pPr>
              <w:jc w:val="center"/>
              <w:rPr>
                <w:rFonts w:ascii="Arial" w:hAnsi="Arial" w:cs="Arial"/>
                <w:b/>
                <w:bCs/>
                <w:color w:val="000000"/>
                <w:lang w:val="en-GB" w:eastAsia="en-CA"/>
              </w:rPr>
            </w:pPr>
            <w:r w:rsidRPr="009E6947">
              <w:rPr>
                <w:rFonts w:ascii="Arial" w:hAnsi="Arial" w:cs="Arial"/>
                <w:b/>
                <w:bCs/>
                <w:color w:val="000000"/>
                <w:lang w:val="en-GB" w:eastAsia="en-CA"/>
              </w:rPr>
              <w:t>Anchor Tenant Area (Square Feet)</w:t>
            </w:r>
          </w:p>
        </w:tc>
      </w:tr>
      <w:tr w:rsidR="00660C0E" w:rsidRPr="00002604" w:rsidTr="00660C0E">
        <w:trPr>
          <w:trHeight w:val="290"/>
          <w:jc w:val="center"/>
        </w:trPr>
        <w:tc>
          <w:tcPr>
            <w:tcW w:w="3114" w:type="dxa"/>
            <w:shd w:val="clear" w:color="auto" w:fill="auto"/>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Brookfield Place Calgary - East</w:t>
            </w:r>
          </w:p>
        </w:tc>
        <w:tc>
          <w:tcPr>
            <w:tcW w:w="1417" w:type="dxa"/>
            <w:shd w:val="clear" w:color="auto" w:fill="auto"/>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1,400,000</w:t>
            </w:r>
          </w:p>
        </w:tc>
        <w:tc>
          <w:tcPr>
            <w:tcW w:w="2452" w:type="dxa"/>
            <w:shd w:val="clear" w:color="auto" w:fill="auto"/>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Cenovus</w:t>
            </w:r>
            <w:r>
              <w:rPr>
                <w:rFonts w:ascii="Arial" w:hAnsi="Arial" w:cs="Arial"/>
                <w:color w:val="000000"/>
                <w:lang w:val="en-GB" w:eastAsia="en-CA"/>
              </w:rPr>
              <w:t xml:space="preserve"> Energy Inc.</w:t>
            </w:r>
          </w:p>
        </w:tc>
        <w:tc>
          <w:tcPr>
            <w:tcW w:w="2279" w:type="dxa"/>
            <w:shd w:val="clear" w:color="auto" w:fill="auto"/>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1,000,000</w:t>
            </w:r>
          </w:p>
        </w:tc>
      </w:tr>
      <w:tr w:rsidR="00660C0E" w:rsidRPr="00002604" w:rsidTr="00660C0E">
        <w:trPr>
          <w:trHeight w:val="290"/>
          <w:jc w:val="center"/>
        </w:trPr>
        <w:tc>
          <w:tcPr>
            <w:tcW w:w="3114" w:type="dxa"/>
            <w:shd w:val="clear" w:color="auto" w:fill="auto"/>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707 Fifth Street SW</w:t>
            </w:r>
          </w:p>
        </w:tc>
        <w:tc>
          <w:tcPr>
            <w:tcW w:w="1417" w:type="dxa"/>
            <w:shd w:val="clear" w:color="auto" w:fill="auto"/>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564,000</w:t>
            </w:r>
          </w:p>
        </w:tc>
        <w:tc>
          <w:tcPr>
            <w:tcW w:w="2452" w:type="dxa"/>
            <w:shd w:val="clear" w:color="auto" w:fill="auto"/>
            <w:noWrap/>
            <w:vAlign w:val="center"/>
            <w:hideMark/>
          </w:tcPr>
          <w:p w:rsidR="00660C0E" w:rsidRPr="009E6947" w:rsidRDefault="00660C0E" w:rsidP="00660C0E">
            <w:pPr>
              <w:rPr>
                <w:rFonts w:ascii="Arial" w:hAnsi="Arial" w:cs="Arial"/>
                <w:color w:val="000000"/>
                <w:lang w:val="en-GB" w:eastAsia="en-CA"/>
              </w:rPr>
            </w:pPr>
            <w:proofErr w:type="spellStart"/>
            <w:r w:rsidRPr="009E6947">
              <w:rPr>
                <w:rFonts w:ascii="Arial" w:hAnsi="Arial" w:cs="Arial"/>
                <w:color w:val="000000"/>
                <w:lang w:val="en-GB" w:eastAsia="en-CA"/>
              </w:rPr>
              <w:t>Brion</w:t>
            </w:r>
            <w:proofErr w:type="spellEnd"/>
            <w:r w:rsidRPr="009E6947">
              <w:rPr>
                <w:rFonts w:ascii="Arial" w:hAnsi="Arial" w:cs="Arial"/>
                <w:color w:val="000000"/>
                <w:lang w:val="en-GB" w:eastAsia="en-CA"/>
              </w:rPr>
              <w:t xml:space="preserve"> Energy</w:t>
            </w:r>
            <w:r>
              <w:rPr>
                <w:rFonts w:ascii="Arial" w:hAnsi="Arial" w:cs="Arial"/>
                <w:color w:val="000000"/>
                <w:lang w:val="en-GB" w:eastAsia="en-CA"/>
              </w:rPr>
              <w:t xml:space="preserve"> Corp.</w:t>
            </w:r>
          </w:p>
        </w:tc>
        <w:tc>
          <w:tcPr>
            <w:tcW w:w="2279" w:type="dxa"/>
            <w:shd w:val="clear" w:color="auto" w:fill="auto"/>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250,000</w:t>
            </w:r>
          </w:p>
        </w:tc>
      </w:tr>
      <w:tr w:rsidR="00660C0E" w:rsidRPr="00002604" w:rsidTr="00660C0E">
        <w:trPr>
          <w:trHeight w:val="290"/>
          <w:jc w:val="center"/>
        </w:trPr>
        <w:tc>
          <w:tcPr>
            <w:tcW w:w="3114" w:type="dxa"/>
            <w:shd w:val="clear" w:color="auto" w:fill="auto"/>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20/20 4th Street</w:t>
            </w:r>
          </w:p>
        </w:tc>
        <w:tc>
          <w:tcPr>
            <w:tcW w:w="1417" w:type="dxa"/>
            <w:shd w:val="clear" w:color="auto" w:fill="auto"/>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130,539</w:t>
            </w:r>
          </w:p>
        </w:tc>
        <w:tc>
          <w:tcPr>
            <w:tcW w:w="2452" w:type="dxa"/>
            <w:shd w:val="clear" w:color="auto" w:fill="auto"/>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Hopewell Energy</w:t>
            </w:r>
          </w:p>
        </w:tc>
        <w:tc>
          <w:tcPr>
            <w:tcW w:w="2279" w:type="dxa"/>
            <w:shd w:val="clear" w:color="auto" w:fill="auto"/>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52,000</w:t>
            </w:r>
          </w:p>
        </w:tc>
      </w:tr>
      <w:tr w:rsidR="00660C0E" w:rsidRPr="00002604" w:rsidTr="00660C0E">
        <w:trPr>
          <w:trHeight w:val="290"/>
          <w:jc w:val="center"/>
        </w:trPr>
        <w:tc>
          <w:tcPr>
            <w:tcW w:w="3114" w:type="dxa"/>
            <w:shd w:val="clear" w:color="auto" w:fill="auto"/>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First Alberta Place</w:t>
            </w:r>
          </w:p>
        </w:tc>
        <w:tc>
          <w:tcPr>
            <w:tcW w:w="1417" w:type="dxa"/>
            <w:shd w:val="clear" w:color="auto" w:fill="auto"/>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311,145</w:t>
            </w:r>
          </w:p>
        </w:tc>
        <w:tc>
          <w:tcPr>
            <w:tcW w:w="2452" w:type="dxa"/>
            <w:shd w:val="clear" w:color="auto" w:fill="auto"/>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Bankers Petroleum</w:t>
            </w:r>
            <w:r>
              <w:rPr>
                <w:rFonts w:ascii="Arial" w:hAnsi="Arial" w:cs="Arial"/>
                <w:color w:val="000000"/>
                <w:lang w:val="en-GB" w:eastAsia="en-CA"/>
              </w:rPr>
              <w:t xml:space="preserve"> Ltd.</w:t>
            </w:r>
          </w:p>
        </w:tc>
        <w:tc>
          <w:tcPr>
            <w:tcW w:w="2279" w:type="dxa"/>
            <w:shd w:val="clear" w:color="auto" w:fill="auto"/>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29,900</w:t>
            </w:r>
          </w:p>
        </w:tc>
      </w:tr>
      <w:tr w:rsidR="00660C0E" w:rsidRPr="00002604" w:rsidTr="00660C0E">
        <w:trPr>
          <w:trHeight w:val="290"/>
          <w:jc w:val="center"/>
        </w:trPr>
        <w:tc>
          <w:tcPr>
            <w:tcW w:w="3114" w:type="dxa"/>
            <w:shd w:val="clear" w:color="auto" w:fill="auto"/>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First Canadian Centre</w:t>
            </w:r>
          </w:p>
        </w:tc>
        <w:tc>
          <w:tcPr>
            <w:tcW w:w="1417" w:type="dxa"/>
            <w:shd w:val="clear" w:color="auto" w:fill="auto"/>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508,688</w:t>
            </w:r>
          </w:p>
        </w:tc>
        <w:tc>
          <w:tcPr>
            <w:tcW w:w="2452" w:type="dxa"/>
            <w:shd w:val="clear" w:color="auto" w:fill="auto"/>
            <w:noWrap/>
            <w:vAlign w:val="center"/>
            <w:hideMark/>
          </w:tcPr>
          <w:p w:rsidR="00660C0E" w:rsidRPr="009E6947" w:rsidRDefault="00660C0E" w:rsidP="00660C0E">
            <w:pPr>
              <w:rPr>
                <w:rFonts w:ascii="Arial" w:hAnsi="Arial" w:cs="Arial"/>
                <w:color w:val="000000"/>
                <w:lang w:val="en-GB" w:eastAsia="en-CA"/>
              </w:rPr>
            </w:pPr>
            <w:r>
              <w:rPr>
                <w:rFonts w:ascii="Arial" w:hAnsi="Arial" w:cs="Arial"/>
                <w:color w:val="000000"/>
                <w:lang w:val="en-GB" w:eastAsia="en-CA"/>
              </w:rPr>
              <w:t>Canadian Association of Petroleum Producers</w:t>
            </w:r>
          </w:p>
        </w:tc>
        <w:tc>
          <w:tcPr>
            <w:tcW w:w="2279" w:type="dxa"/>
            <w:shd w:val="clear" w:color="auto" w:fill="auto"/>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27,000</w:t>
            </w:r>
          </w:p>
        </w:tc>
      </w:tr>
      <w:tr w:rsidR="00660C0E" w:rsidRPr="00002604" w:rsidTr="00660C0E">
        <w:trPr>
          <w:trHeight w:val="298"/>
          <w:jc w:val="center"/>
        </w:trPr>
        <w:tc>
          <w:tcPr>
            <w:tcW w:w="3114" w:type="dxa"/>
            <w:shd w:val="clear" w:color="auto" w:fill="auto"/>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Eighth Avenue Place - West</w:t>
            </w:r>
          </w:p>
        </w:tc>
        <w:tc>
          <w:tcPr>
            <w:tcW w:w="1417" w:type="dxa"/>
            <w:shd w:val="clear" w:color="auto" w:fill="auto"/>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840,000</w:t>
            </w:r>
          </w:p>
        </w:tc>
        <w:tc>
          <w:tcPr>
            <w:tcW w:w="2452" w:type="dxa"/>
            <w:shd w:val="clear" w:color="auto" w:fill="auto"/>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Pembina Pipeline Corp.</w:t>
            </w:r>
          </w:p>
        </w:tc>
        <w:tc>
          <w:tcPr>
            <w:tcW w:w="2279" w:type="dxa"/>
            <w:shd w:val="clear" w:color="auto" w:fill="auto"/>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27,000</w:t>
            </w:r>
          </w:p>
        </w:tc>
      </w:tr>
    </w:tbl>
    <w:p w:rsidR="00660C0E" w:rsidRPr="009E6947" w:rsidRDefault="00660C0E" w:rsidP="00D105E3">
      <w:pPr>
        <w:pStyle w:val="FootnoteText1"/>
        <w:rPr>
          <w:lang w:val="en-GB"/>
        </w:rPr>
      </w:pPr>
    </w:p>
    <w:p w:rsidR="00660C0E" w:rsidRPr="009E6947" w:rsidRDefault="00660C0E" w:rsidP="00D105E3">
      <w:pPr>
        <w:pStyle w:val="FootnoteText1"/>
        <w:rPr>
          <w:lang w:val="en-GB"/>
        </w:rPr>
      </w:pPr>
      <w:r w:rsidRPr="009E6947">
        <w:rPr>
          <w:lang w:val="en-GB"/>
        </w:rPr>
        <w:t xml:space="preserve">Source: </w:t>
      </w:r>
      <w:r>
        <w:rPr>
          <w:lang w:val="en-GB"/>
        </w:rPr>
        <w:t>Company files</w:t>
      </w:r>
      <w:r w:rsidRPr="009E6947">
        <w:rPr>
          <w:lang w:val="en-GB"/>
        </w:rPr>
        <w:t>.</w:t>
      </w:r>
    </w:p>
    <w:p w:rsidR="00660C0E" w:rsidRPr="009E6947" w:rsidRDefault="00660C0E" w:rsidP="00D105E3">
      <w:pPr>
        <w:pStyle w:val="BodyTextMain"/>
        <w:rPr>
          <w:lang w:val="en-GB"/>
        </w:rPr>
      </w:pPr>
    </w:p>
    <w:p w:rsidR="00660C0E" w:rsidRPr="009E6947" w:rsidRDefault="00660C0E" w:rsidP="00D105E3">
      <w:pPr>
        <w:pStyle w:val="BodyTextMain"/>
        <w:rPr>
          <w:lang w:val="en-GB"/>
        </w:rPr>
      </w:pPr>
    </w:p>
    <w:p w:rsidR="00660C0E" w:rsidRPr="009E6947" w:rsidRDefault="00660C0E" w:rsidP="00D105E3">
      <w:pPr>
        <w:pStyle w:val="Casehead1"/>
        <w:jc w:val="center"/>
        <w:rPr>
          <w:lang w:val="en-GB"/>
        </w:rPr>
      </w:pPr>
      <w:r w:rsidRPr="009E6947">
        <w:rPr>
          <w:lang w:val="en-GB"/>
        </w:rPr>
        <w:t xml:space="preserve">EXHIBIT </w:t>
      </w:r>
      <w:r>
        <w:rPr>
          <w:lang w:val="en-GB"/>
        </w:rPr>
        <w:t>2</w:t>
      </w:r>
      <w:r w:rsidRPr="009E6947">
        <w:rPr>
          <w:lang w:val="en-GB"/>
        </w:rPr>
        <w:t>: INCOME STATEMENTS AND FINANCIAL RATIOS (UNAUDITED) for years ending December 31</w:t>
      </w:r>
    </w:p>
    <w:p w:rsidR="00660C0E" w:rsidRPr="009E6947" w:rsidRDefault="00660C0E" w:rsidP="00D105E3">
      <w:pPr>
        <w:pStyle w:val="BodyTextMain"/>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559"/>
        <w:gridCol w:w="851"/>
        <w:gridCol w:w="1417"/>
        <w:gridCol w:w="851"/>
        <w:gridCol w:w="1417"/>
        <w:gridCol w:w="850"/>
      </w:tblGrid>
      <w:tr w:rsidR="00660C0E" w:rsidRPr="00002604" w:rsidTr="00660C0E">
        <w:trPr>
          <w:trHeight w:val="20"/>
        </w:trPr>
        <w:tc>
          <w:tcPr>
            <w:tcW w:w="2405" w:type="dxa"/>
            <w:noWrap/>
            <w:hideMark/>
          </w:tcPr>
          <w:p w:rsidR="00660C0E" w:rsidRPr="009E6947" w:rsidRDefault="00660C0E" w:rsidP="00660C0E">
            <w:pPr>
              <w:rPr>
                <w:rFonts w:ascii="Arial" w:hAnsi="Arial" w:cs="Arial"/>
                <w:lang w:val="en-GB" w:eastAsia="en-CA"/>
              </w:rPr>
            </w:pPr>
          </w:p>
        </w:tc>
        <w:tc>
          <w:tcPr>
            <w:tcW w:w="1559" w:type="dxa"/>
            <w:noWrap/>
            <w:vAlign w:val="center"/>
            <w:hideMark/>
          </w:tcPr>
          <w:p w:rsidR="00660C0E" w:rsidRPr="009E6947" w:rsidRDefault="00660C0E" w:rsidP="00660C0E">
            <w:pPr>
              <w:jc w:val="center"/>
              <w:rPr>
                <w:rFonts w:ascii="Arial" w:hAnsi="Arial" w:cs="Arial"/>
                <w:b/>
                <w:color w:val="000000"/>
                <w:lang w:val="en-GB" w:eastAsia="en-CA"/>
              </w:rPr>
            </w:pPr>
            <w:r w:rsidRPr="009E6947">
              <w:rPr>
                <w:rFonts w:ascii="Arial" w:hAnsi="Arial" w:cs="Arial"/>
                <w:b/>
                <w:color w:val="000000"/>
                <w:lang w:val="en-GB" w:eastAsia="en-CA"/>
              </w:rPr>
              <w:t>2013</w:t>
            </w:r>
          </w:p>
        </w:tc>
        <w:tc>
          <w:tcPr>
            <w:tcW w:w="851" w:type="dxa"/>
            <w:noWrap/>
            <w:vAlign w:val="center"/>
            <w:hideMark/>
          </w:tcPr>
          <w:p w:rsidR="00660C0E" w:rsidRPr="009E6947" w:rsidRDefault="00660C0E" w:rsidP="00660C0E">
            <w:pPr>
              <w:jc w:val="center"/>
              <w:rPr>
                <w:rFonts w:ascii="Arial" w:hAnsi="Arial" w:cs="Arial"/>
                <w:b/>
                <w:color w:val="000000"/>
                <w:lang w:val="en-GB" w:eastAsia="en-CA"/>
              </w:rPr>
            </w:pPr>
          </w:p>
        </w:tc>
        <w:tc>
          <w:tcPr>
            <w:tcW w:w="1417" w:type="dxa"/>
            <w:noWrap/>
            <w:vAlign w:val="center"/>
            <w:hideMark/>
          </w:tcPr>
          <w:p w:rsidR="00660C0E" w:rsidRPr="009E6947" w:rsidRDefault="00660C0E" w:rsidP="00660C0E">
            <w:pPr>
              <w:jc w:val="center"/>
              <w:rPr>
                <w:rFonts w:ascii="Arial" w:hAnsi="Arial" w:cs="Arial"/>
                <w:b/>
                <w:color w:val="000000"/>
                <w:lang w:val="en-GB" w:eastAsia="en-CA"/>
              </w:rPr>
            </w:pPr>
            <w:r w:rsidRPr="009E6947">
              <w:rPr>
                <w:rFonts w:ascii="Arial" w:hAnsi="Arial" w:cs="Arial"/>
                <w:b/>
                <w:color w:val="000000"/>
                <w:lang w:val="en-GB" w:eastAsia="en-CA"/>
              </w:rPr>
              <w:t>2012</w:t>
            </w:r>
          </w:p>
        </w:tc>
        <w:tc>
          <w:tcPr>
            <w:tcW w:w="851" w:type="dxa"/>
            <w:noWrap/>
            <w:vAlign w:val="center"/>
            <w:hideMark/>
          </w:tcPr>
          <w:p w:rsidR="00660C0E" w:rsidRPr="009E6947" w:rsidRDefault="00660C0E" w:rsidP="00660C0E">
            <w:pPr>
              <w:jc w:val="center"/>
              <w:rPr>
                <w:rFonts w:ascii="Arial" w:hAnsi="Arial" w:cs="Arial"/>
                <w:b/>
                <w:color w:val="000000"/>
                <w:lang w:val="en-GB" w:eastAsia="en-CA"/>
              </w:rPr>
            </w:pPr>
          </w:p>
        </w:tc>
        <w:tc>
          <w:tcPr>
            <w:tcW w:w="1417" w:type="dxa"/>
            <w:noWrap/>
            <w:vAlign w:val="center"/>
            <w:hideMark/>
          </w:tcPr>
          <w:p w:rsidR="00660C0E" w:rsidRPr="009E6947" w:rsidRDefault="00660C0E" w:rsidP="00660C0E">
            <w:pPr>
              <w:jc w:val="center"/>
              <w:rPr>
                <w:rFonts w:ascii="Arial" w:hAnsi="Arial" w:cs="Arial"/>
                <w:b/>
                <w:color w:val="000000"/>
                <w:lang w:val="en-GB" w:eastAsia="en-CA"/>
              </w:rPr>
            </w:pPr>
            <w:r w:rsidRPr="009E6947">
              <w:rPr>
                <w:rFonts w:ascii="Arial" w:hAnsi="Arial" w:cs="Arial"/>
                <w:b/>
                <w:color w:val="000000"/>
                <w:lang w:val="en-GB" w:eastAsia="en-CA"/>
              </w:rPr>
              <w:t>2011</w:t>
            </w:r>
          </w:p>
        </w:tc>
        <w:tc>
          <w:tcPr>
            <w:tcW w:w="850" w:type="dxa"/>
            <w:noWrap/>
            <w:hideMark/>
          </w:tcPr>
          <w:p w:rsidR="00660C0E" w:rsidRPr="009E6947" w:rsidRDefault="00660C0E" w:rsidP="00660C0E">
            <w:pPr>
              <w:jc w:val="center"/>
              <w:rPr>
                <w:rFonts w:ascii="Arial" w:hAnsi="Arial" w:cs="Arial"/>
                <w:color w:val="000000"/>
                <w:lang w:val="en-GB" w:eastAsia="en-CA"/>
              </w:rPr>
            </w:pPr>
          </w:p>
        </w:tc>
      </w:tr>
      <w:tr w:rsidR="00660C0E" w:rsidRPr="00002604" w:rsidTr="00660C0E">
        <w:trPr>
          <w:trHeight w:val="20"/>
        </w:trPr>
        <w:tc>
          <w:tcPr>
            <w:tcW w:w="2405"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Revenue:</w:t>
            </w:r>
          </w:p>
        </w:tc>
        <w:tc>
          <w:tcPr>
            <w:tcW w:w="1559" w:type="dxa"/>
            <w:noWrap/>
            <w:hideMark/>
          </w:tcPr>
          <w:p w:rsidR="00660C0E" w:rsidRPr="009E6947" w:rsidRDefault="00660C0E" w:rsidP="00660C0E">
            <w:pPr>
              <w:jc w:val="center"/>
              <w:rPr>
                <w:rFonts w:ascii="Arial" w:hAnsi="Arial" w:cs="Arial"/>
                <w:color w:val="000000"/>
                <w:lang w:val="en-GB" w:eastAsia="en-CA"/>
              </w:rPr>
            </w:pPr>
          </w:p>
        </w:tc>
        <w:tc>
          <w:tcPr>
            <w:tcW w:w="851" w:type="dxa"/>
            <w:noWrap/>
            <w:hideMark/>
          </w:tcPr>
          <w:p w:rsidR="00660C0E" w:rsidRPr="009E6947" w:rsidRDefault="00660C0E" w:rsidP="00660C0E">
            <w:pPr>
              <w:jc w:val="center"/>
              <w:rPr>
                <w:rFonts w:ascii="Arial" w:hAnsi="Arial" w:cs="Arial"/>
                <w:lang w:val="en-GB" w:eastAsia="en-CA"/>
              </w:rPr>
            </w:pPr>
          </w:p>
        </w:tc>
        <w:tc>
          <w:tcPr>
            <w:tcW w:w="1417" w:type="dxa"/>
            <w:noWrap/>
            <w:hideMark/>
          </w:tcPr>
          <w:p w:rsidR="00660C0E" w:rsidRPr="009E6947" w:rsidRDefault="00660C0E" w:rsidP="00660C0E">
            <w:pPr>
              <w:jc w:val="center"/>
              <w:rPr>
                <w:rFonts w:ascii="Arial" w:hAnsi="Arial" w:cs="Arial"/>
                <w:lang w:val="en-GB" w:eastAsia="en-CA"/>
              </w:rPr>
            </w:pPr>
          </w:p>
        </w:tc>
        <w:tc>
          <w:tcPr>
            <w:tcW w:w="851" w:type="dxa"/>
            <w:noWrap/>
            <w:hideMark/>
          </w:tcPr>
          <w:p w:rsidR="00660C0E" w:rsidRPr="009E6947" w:rsidRDefault="00660C0E" w:rsidP="00660C0E">
            <w:pPr>
              <w:jc w:val="center"/>
              <w:rPr>
                <w:rFonts w:ascii="Arial" w:hAnsi="Arial" w:cs="Arial"/>
                <w:lang w:val="en-GB" w:eastAsia="en-CA"/>
              </w:rPr>
            </w:pPr>
          </w:p>
        </w:tc>
        <w:tc>
          <w:tcPr>
            <w:tcW w:w="1417" w:type="dxa"/>
            <w:noWrap/>
            <w:hideMark/>
          </w:tcPr>
          <w:p w:rsidR="00660C0E" w:rsidRPr="009E6947" w:rsidRDefault="00660C0E" w:rsidP="00660C0E">
            <w:pPr>
              <w:jc w:val="center"/>
              <w:rPr>
                <w:rFonts w:ascii="Arial" w:hAnsi="Arial" w:cs="Arial"/>
                <w:lang w:val="en-GB" w:eastAsia="en-CA"/>
              </w:rPr>
            </w:pPr>
          </w:p>
        </w:tc>
        <w:tc>
          <w:tcPr>
            <w:tcW w:w="850" w:type="dxa"/>
            <w:noWrap/>
            <w:hideMark/>
          </w:tcPr>
          <w:p w:rsidR="00660C0E" w:rsidRPr="009E6947" w:rsidRDefault="00660C0E" w:rsidP="00660C0E">
            <w:pPr>
              <w:jc w:val="center"/>
              <w:rPr>
                <w:rFonts w:ascii="Arial" w:hAnsi="Arial" w:cs="Arial"/>
                <w:lang w:val="en-GB" w:eastAsia="en-CA"/>
              </w:rPr>
            </w:pPr>
          </w:p>
        </w:tc>
      </w:tr>
      <w:tr w:rsidR="00660C0E" w:rsidRPr="00002604" w:rsidTr="00660C0E">
        <w:trPr>
          <w:trHeight w:val="20"/>
        </w:trPr>
        <w:tc>
          <w:tcPr>
            <w:tcW w:w="2405"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Rental income</w:t>
            </w:r>
          </w:p>
        </w:tc>
        <w:tc>
          <w:tcPr>
            <w:tcW w:w="1559" w:type="dxa"/>
            <w:noWrap/>
            <w:hideMark/>
          </w:tcPr>
          <w:p w:rsidR="00660C0E" w:rsidRPr="009E6947" w:rsidRDefault="00660C0E" w:rsidP="00660C0E">
            <w:pPr>
              <w:jc w:val="center"/>
              <w:rPr>
                <w:rFonts w:ascii="Arial" w:hAnsi="Arial" w:cs="Arial"/>
                <w:color w:val="000000"/>
                <w:lang w:val="en-GB" w:eastAsia="en-CA"/>
              </w:rPr>
            </w:pPr>
          </w:p>
        </w:tc>
        <w:tc>
          <w:tcPr>
            <w:tcW w:w="851" w:type="dxa"/>
            <w:noWrap/>
            <w:hideMark/>
          </w:tcPr>
          <w:p w:rsidR="00660C0E" w:rsidRPr="009E6947" w:rsidRDefault="00660C0E" w:rsidP="00660C0E">
            <w:pPr>
              <w:jc w:val="center"/>
              <w:rPr>
                <w:rFonts w:ascii="Arial" w:hAnsi="Arial" w:cs="Arial"/>
                <w:lang w:val="en-GB" w:eastAsia="en-CA"/>
              </w:rPr>
            </w:pPr>
          </w:p>
        </w:tc>
        <w:tc>
          <w:tcPr>
            <w:tcW w:w="1417" w:type="dxa"/>
            <w:noWrap/>
            <w:hideMark/>
          </w:tcPr>
          <w:p w:rsidR="00660C0E" w:rsidRPr="009E6947" w:rsidRDefault="00660C0E" w:rsidP="00660C0E">
            <w:pPr>
              <w:jc w:val="center"/>
              <w:rPr>
                <w:rFonts w:ascii="Arial" w:hAnsi="Arial" w:cs="Arial"/>
                <w:lang w:val="en-GB" w:eastAsia="en-CA"/>
              </w:rPr>
            </w:pPr>
          </w:p>
        </w:tc>
        <w:tc>
          <w:tcPr>
            <w:tcW w:w="851" w:type="dxa"/>
            <w:noWrap/>
            <w:hideMark/>
          </w:tcPr>
          <w:p w:rsidR="00660C0E" w:rsidRPr="009E6947" w:rsidRDefault="00660C0E" w:rsidP="00660C0E">
            <w:pPr>
              <w:jc w:val="center"/>
              <w:rPr>
                <w:rFonts w:ascii="Arial" w:hAnsi="Arial" w:cs="Arial"/>
                <w:lang w:val="en-GB" w:eastAsia="en-CA"/>
              </w:rPr>
            </w:pPr>
          </w:p>
        </w:tc>
        <w:tc>
          <w:tcPr>
            <w:tcW w:w="1417" w:type="dxa"/>
            <w:noWrap/>
            <w:hideMark/>
          </w:tcPr>
          <w:p w:rsidR="00660C0E" w:rsidRPr="009E6947" w:rsidRDefault="00660C0E" w:rsidP="00660C0E">
            <w:pPr>
              <w:jc w:val="center"/>
              <w:rPr>
                <w:rFonts w:ascii="Arial" w:hAnsi="Arial" w:cs="Arial"/>
                <w:lang w:val="en-GB" w:eastAsia="en-CA"/>
              </w:rPr>
            </w:pPr>
          </w:p>
        </w:tc>
        <w:tc>
          <w:tcPr>
            <w:tcW w:w="850" w:type="dxa"/>
            <w:noWrap/>
            <w:hideMark/>
          </w:tcPr>
          <w:p w:rsidR="00660C0E" w:rsidRPr="009E6947" w:rsidRDefault="00660C0E" w:rsidP="00660C0E">
            <w:pPr>
              <w:jc w:val="center"/>
              <w:rPr>
                <w:rFonts w:ascii="Arial" w:hAnsi="Arial" w:cs="Arial"/>
                <w:lang w:val="en-GB" w:eastAsia="en-CA"/>
              </w:rPr>
            </w:pPr>
          </w:p>
        </w:tc>
      </w:tr>
      <w:tr w:rsidR="00660C0E" w:rsidRPr="00002604" w:rsidTr="00660C0E">
        <w:trPr>
          <w:trHeight w:val="20"/>
        </w:trPr>
        <w:tc>
          <w:tcPr>
            <w:tcW w:w="2405"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Base rent</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$ 7,206,077</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$ 6,639,417</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$ 6,583,915</w:t>
            </w:r>
          </w:p>
        </w:tc>
        <w:tc>
          <w:tcPr>
            <w:tcW w:w="850" w:type="dxa"/>
            <w:noWrap/>
            <w:vAlign w:val="center"/>
            <w:hideMark/>
          </w:tcPr>
          <w:p w:rsidR="00660C0E" w:rsidRPr="009E6947" w:rsidRDefault="00660C0E" w:rsidP="00660C0E">
            <w:pPr>
              <w:jc w:val="right"/>
              <w:rPr>
                <w:rFonts w:ascii="Arial" w:hAnsi="Arial" w:cs="Arial"/>
                <w:color w:val="000000"/>
                <w:lang w:val="en-GB" w:eastAsia="en-CA"/>
              </w:rPr>
            </w:pPr>
          </w:p>
        </w:tc>
      </w:tr>
      <w:tr w:rsidR="00660C0E" w:rsidRPr="00002604" w:rsidTr="00660C0E">
        <w:trPr>
          <w:trHeight w:val="20"/>
        </w:trPr>
        <w:tc>
          <w:tcPr>
            <w:tcW w:w="2405"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Property tax recoveries</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$ 1,149,390</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$ 1,147,945</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$ 1,116,245</w:t>
            </w:r>
          </w:p>
        </w:tc>
        <w:tc>
          <w:tcPr>
            <w:tcW w:w="850" w:type="dxa"/>
            <w:noWrap/>
            <w:vAlign w:val="center"/>
            <w:hideMark/>
          </w:tcPr>
          <w:p w:rsidR="00660C0E" w:rsidRPr="009E6947" w:rsidRDefault="00660C0E" w:rsidP="00660C0E">
            <w:pPr>
              <w:jc w:val="right"/>
              <w:rPr>
                <w:rFonts w:ascii="Arial" w:hAnsi="Arial" w:cs="Arial"/>
                <w:color w:val="000000"/>
                <w:lang w:val="en-GB" w:eastAsia="en-CA"/>
              </w:rPr>
            </w:pPr>
          </w:p>
        </w:tc>
      </w:tr>
      <w:tr w:rsidR="00660C0E" w:rsidRPr="00002604" w:rsidTr="00660C0E">
        <w:trPr>
          <w:trHeight w:val="20"/>
        </w:trPr>
        <w:tc>
          <w:tcPr>
            <w:tcW w:w="2405"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Operating cost recoveries</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$ 1,682,592</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$ 1,624,931</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$ 1,685,115</w:t>
            </w:r>
          </w:p>
        </w:tc>
        <w:tc>
          <w:tcPr>
            <w:tcW w:w="850" w:type="dxa"/>
            <w:noWrap/>
            <w:vAlign w:val="center"/>
            <w:hideMark/>
          </w:tcPr>
          <w:p w:rsidR="00660C0E" w:rsidRPr="009E6947" w:rsidRDefault="00660C0E" w:rsidP="00660C0E">
            <w:pPr>
              <w:jc w:val="right"/>
              <w:rPr>
                <w:rFonts w:ascii="Arial" w:hAnsi="Arial" w:cs="Arial"/>
                <w:color w:val="000000"/>
                <w:lang w:val="en-GB" w:eastAsia="en-CA"/>
              </w:rPr>
            </w:pPr>
          </w:p>
        </w:tc>
      </w:tr>
      <w:tr w:rsidR="00660C0E" w:rsidRPr="00002604" w:rsidTr="00660C0E">
        <w:trPr>
          <w:trHeight w:val="20"/>
        </w:trPr>
        <w:tc>
          <w:tcPr>
            <w:tcW w:w="2405"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Management fees and other income</w:t>
            </w:r>
          </w:p>
        </w:tc>
        <w:tc>
          <w:tcPr>
            <w:tcW w:w="1559"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$ 299,351</w:t>
            </w:r>
          </w:p>
        </w:tc>
        <w:tc>
          <w:tcPr>
            <w:tcW w:w="851" w:type="dxa"/>
            <w:noWrap/>
            <w:vAlign w:val="center"/>
            <w:hideMark/>
          </w:tcPr>
          <w:p w:rsidR="00660C0E" w:rsidRPr="009E6947" w:rsidRDefault="00660C0E" w:rsidP="00660C0E">
            <w:pPr>
              <w:jc w:val="right"/>
              <w:rPr>
                <w:rFonts w:ascii="Arial" w:hAnsi="Arial" w:cs="Arial"/>
                <w:color w:val="000000"/>
                <w:u w:val="single"/>
                <w:lang w:val="en-GB" w:eastAsia="en-CA"/>
              </w:rPr>
            </w:pPr>
          </w:p>
        </w:tc>
        <w:tc>
          <w:tcPr>
            <w:tcW w:w="1417"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$ 211,412</w:t>
            </w:r>
          </w:p>
        </w:tc>
        <w:tc>
          <w:tcPr>
            <w:tcW w:w="851" w:type="dxa"/>
            <w:noWrap/>
            <w:vAlign w:val="center"/>
            <w:hideMark/>
          </w:tcPr>
          <w:p w:rsidR="00660C0E" w:rsidRPr="009E6947" w:rsidRDefault="00660C0E" w:rsidP="00660C0E">
            <w:pPr>
              <w:jc w:val="right"/>
              <w:rPr>
                <w:rFonts w:ascii="Arial" w:hAnsi="Arial" w:cs="Arial"/>
                <w:color w:val="000000"/>
                <w:u w:val="single"/>
                <w:lang w:val="en-GB" w:eastAsia="en-CA"/>
              </w:rPr>
            </w:pPr>
          </w:p>
        </w:tc>
        <w:tc>
          <w:tcPr>
            <w:tcW w:w="1417"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$ 236,801</w:t>
            </w:r>
          </w:p>
        </w:tc>
        <w:tc>
          <w:tcPr>
            <w:tcW w:w="850" w:type="dxa"/>
            <w:noWrap/>
            <w:vAlign w:val="center"/>
            <w:hideMark/>
          </w:tcPr>
          <w:p w:rsidR="00660C0E" w:rsidRPr="009E6947" w:rsidRDefault="00660C0E" w:rsidP="00660C0E">
            <w:pPr>
              <w:jc w:val="right"/>
              <w:rPr>
                <w:rFonts w:ascii="Arial" w:hAnsi="Arial" w:cs="Arial"/>
                <w:color w:val="000000"/>
                <w:lang w:val="en-GB" w:eastAsia="en-CA"/>
              </w:rPr>
            </w:pPr>
          </w:p>
        </w:tc>
      </w:tr>
      <w:tr w:rsidR="00660C0E" w:rsidRPr="00002604" w:rsidTr="00660C0E">
        <w:trPr>
          <w:trHeight w:val="20"/>
        </w:trPr>
        <w:tc>
          <w:tcPr>
            <w:tcW w:w="2405" w:type="dxa"/>
            <w:noWrap/>
            <w:vAlign w:val="center"/>
            <w:hideMark/>
          </w:tcPr>
          <w:p w:rsidR="00660C0E" w:rsidRPr="009E6947" w:rsidRDefault="00660C0E" w:rsidP="00660C0E">
            <w:pPr>
              <w:rPr>
                <w:rFonts w:ascii="Arial" w:hAnsi="Arial" w:cs="Arial"/>
                <w:lang w:val="en-GB" w:eastAsia="en-CA"/>
              </w:rPr>
            </w:pPr>
          </w:p>
        </w:tc>
        <w:tc>
          <w:tcPr>
            <w:tcW w:w="1559" w:type="dxa"/>
            <w:noWrap/>
            <w:vAlign w:val="center"/>
            <w:hideMark/>
          </w:tcPr>
          <w:p w:rsidR="00660C0E" w:rsidRPr="009E6947" w:rsidRDefault="00660C0E" w:rsidP="00660C0E">
            <w:pPr>
              <w:jc w:val="right"/>
              <w:rPr>
                <w:rFonts w:ascii="Arial" w:hAnsi="Arial" w:cs="Arial"/>
                <w:lang w:val="en-GB" w:eastAsia="en-CA"/>
              </w:rPr>
            </w:pPr>
          </w:p>
        </w:tc>
        <w:tc>
          <w:tcPr>
            <w:tcW w:w="851" w:type="dxa"/>
            <w:noWrap/>
            <w:vAlign w:val="center"/>
            <w:hideMark/>
          </w:tcPr>
          <w:p w:rsidR="00660C0E" w:rsidRPr="009E6947" w:rsidRDefault="00660C0E" w:rsidP="00660C0E">
            <w:pPr>
              <w:jc w:val="right"/>
              <w:rPr>
                <w:rFonts w:ascii="Arial" w:hAnsi="Arial" w:cs="Arial"/>
                <w:lang w:val="en-GB" w:eastAsia="en-CA"/>
              </w:rPr>
            </w:pPr>
          </w:p>
        </w:tc>
        <w:tc>
          <w:tcPr>
            <w:tcW w:w="1417" w:type="dxa"/>
            <w:noWrap/>
            <w:vAlign w:val="center"/>
            <w:hideMark/>
          </w:tcPr>
          <w:p w:rsidR="00660C0E" w:rsidRPr="009E6947" w:rsidRDefault="00660C0E" w:rsidP="00660C0E">
            <w:pPr>
              <w:jc w:val="right"/>
              <w:rPr>
                <w:rFonts w:ascii="Arial" w:hAnsi="Arial" w:cs="Arial"/>
                <w:lang w:val="en-GB" w:eastAsia="en-CA"/>
              </w:rPr>
            </w:pPr>
          </w:p>
        </w:tc>
        <w:tc>
          <w:tcPr>
            <w:tcW w:w="851" w:type="dxa"/>
            <w:noWrap/>
            <w:vAlign w:val="center"/>
            <w:hideMark/>
          </w:tcPr>
          <w:p w:rsidR="00660C0E" w:rsidRPr="009E6947" w:rsidRDefault="00660C0E" w:rsidP="00660C0E">
            <w:pPr>
              <w:jc w:val="right"/>
              <w:rPr>
                <w:rFonts w:ascii="Arial" w:hAnsi="Arial" w:cs="Arial"/>
                <w:lang w:val="en-GB" w:eastAsia="en-CA"/>
              </w:rPr>
            </w:pPr>
          </w:p>
        </w:tc>
        <w:tc>
          <w:tcPr>
            <w:tcW w:w="1417" w:type="dxa"/>
            <w:noWrap/>
            <w:vAlign w:val="center"/>
            <w:hideMark/>
          </w:tcPr>
          <w:p w:rsidR="00660C0E" w:rsidRPr="009E6947" w:rsidRDefault="00660C0E" w:rsidP="00660C0E">
            <w:pPr>
              <w:jc w:val="right"/>
              <w:rPr>
                <w:rFonts w:ascii="Arial" w:hAnsi="Arial" w:cs="Arial"/>
                <w:lang w:val="en-GB" w:eastAsia="en-CA"/>
              </w:rPr>
            </w:pPr>
          </w:p>
        </w:tc>
        <w:tc>
          <w:tcPr>
            <w:tcW w:w="850" w:type="dxa"/>
            <w:noWrap/>
            <w:vAlign w:val="center"/>
            <w:hideMark/>
          </w:tcPr>
          <w:p w:rsidR="00660C0E" w:rsidRPr="009E6947" w:rsidRDefault="00660C0E" w:rsidP="00660C0E">
            <w:pPr>
              <w:jc w:val="right"/>
              <w:rPr>
                <w:rFonts w:ascii="Arial" w:hAnsi="Arial" w:cs="Arial"/>
                <w:lang w:val="en-GB" w:eastAsia="en-CA"/>
              </w:rPr>
            </w:pPr>
          </w:p>
        </w:tc>
      </w:tr>
      <w:tr w:rsidR="00660C0E" w:rsidRPr="00002604" w:rsidTr="00660C0E">
        <w:trPr>
          <w:trHeight w:val="20"/>
        </w:trPr>
        <w:tc>
          <w:tcPr>
            <w:tcW w:w="2405"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Total revenue</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$ 10,337,410</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$ 9,623,705</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$ 9,622,076</w:t>
            </w:r>
          </w:p>
        </w:tc>
        <w:tc>
          <w:tcPr>
            <w:tcW w:w="850" w:type="dxa"/>
            <w:noWrap/>
            <w:vAlign w:val="center"/>
            <w:hideMark/>
          </w:tcPr>
          <w:p w:rsidR="00660C0E" w:rsidRPr="009E6947" w:rsidRDefault="00660C0E" w:rsidP="00660C0E">
            <w:pPr>
              <w:jc w:val="right"/>
              <w:rPr>
                <w:rFonts w:ascii="Arial" w:hAnsi="Arial" w:cs="Arial"/>
                <w:color w:val="000000"/>
                <w:lang w:val="en-GB" w:eastAsia="en-CA"/>
              </w:rPr>
            </w:pPr>
          </w:p>
        </w:tc>
      </w:tr>
      <w:tr w:rsidR="00660C0E" w:rsidRPr="00002604" w:rsidTr="00660C0E">
        <w:trPr>
          <w:trHeight w:val="20"/>
        </w:trPr>
        <w:tc>
          <w:tcPr>
            <w:tcW w:w="2405" w:type="dxa"/>
            <w:noWrap/>
            <w:vAlign w:val="center"/>
            <w:hideMark/>
          </w:tcPr>
          <w:p w:rsidR="00660C0E" w:rsidRPr="009E6947" w:rsidRDefault="00660C0E" w:rsidP="00660C0E">
            <w:pPr>
              <w:rPr>
                <w:rFonts w:ascii="Arial" w:hAnsi="Arial" w:cs="Arial"/>
                <w:lang w:val="en-GB" w:eastAsia="en-CA"/>
              </w:rPr>
            </w:pPr>
          </w:p>
        </w:tc>
        <w:tc>
          <w:tcPr>
            <w:tcW w:w="1559" w:type="dxa"/>
            <w:noWrap/>
            <w:vAlign w:val="center"/>
            <w:hideMark/>
          </w:tcPr>
          <w:p w:rsidR="00660C0E" w:rsidRPr="009E6947" w:rsidRDefault="00660C0E" w:rsidP="00660C0E">
            <w:pPr>
              <w:jc w:val="right"/>
              <w:rPr>
                <w:rFonts w:ascii="Arial" w:hAnsi="Arial" w:cs="Arial"/>
                <w:lang w:val="en-GB" w:eastAsia="en-CA"/>
              </w:rPr>
            </w:pPr>
          </w:p>
        </w:tc>
        <w:tc>
          <w:tcPr>
            <w:tcW w:w="851" w:type="dxa"/>
            <w:noWrap/>
            <w:vAlign w:val="center"/>
            <w:hideMark/>
          </w:tcPr>
          <w:p w:rsidR="00660C0E" w:rsidRPr="009E6947" w:rsidRDefault="00660C0E" w:rsidP="00660C0E">
            <w:pPr>
              <w:jc w:val="right"/>
              <w:rPr>
                <w:rFonts w:ascii="Arial" w:hAnsi="Arial" w:cs="Arial"/>
                <w:lang w:val="en-GB" w:eastAsia="en-CA"/>
              </w:rPr>
            </w:pPr>
          </w:p>
        </w:tc>
        <w:tc>
          <w:tcPr>
            <w:tcW w:w="1417" w:type="dxa"/>
            <w:noWrap/>
            <w:vAlign w:val="center"/>
            <w:hideMark/>
          </w:tcPr>
          <w:p w:rsidR="00660C0E" w:rsidRPr="009E6947" w:rsidRDefault="00660C0E" w:rsidP="00660C0E">
            <w:pPr>
              <w:jc w:val="right"/>
              <w:rPr>
                <w:rFonts w:ascii="Arial" w:hAnsi="Arial" w:cs="Arial"/>
                <w:lang w:val="en-GB" w:eastAsia="en-CA"/>
              </w:rPr>
            </w:pPr>
          </w:p>
        </w:tc>
        <w:tc>
          <w:tcPr>
            <w:tcW w:w="851" w:type="dxa"/>
            <w:noWrap/>
            <w:vAlign w:val="center"/>
            <w:hideMark/>
          </w:tcPr>
          <w:p w:rsidR="00660C0E" w:rsidRPr="009E6947" w:rsidRDefault="00660C0E" w:rsidP="00660C0E">
            <w:pPr>
              <w:jc w:val="right"/>
              <w:rPr>
                <w:rFonts w:ascii="Arial" w:hAnsi="Arial" w:cs="Arial"/>
                <w:lang w:val="en-GB" w:eastAsia="en-CA"/>
              </w:rPr>
            </w:pPr>
          </w:p>
        </w:tc>
        <w:tc>
          <w:tcPr>
            <w:tcW w:w="1417" w:type="dxa"/>
            <w:noWrap/>
            <w:vAlign w:val="center"/>
            <w:hideMark/>
          </w:tcPr>
          <w:p w:rsidR="00660C0E" w:rsidRPr="009E6947" w:rsidRDefault="00660C0E" w:rsidP="00660C0E">
            <w:pPr>
              <w:jc w:val="right"/>
              <w:rPr>
                <w:rFonts w:ascii="Arial" w:hAnsi="Arial" w:cs="Arial"/>
                <w:lang w:val="en-GB" w:eastAsia="en-CA"/>
              </w:rPr>
            </w:pPr>
          </w:p>
        </w:tc>
        <w:tc>
          <w:tcPr>
            <w:tcW w:w="850" w:type="dxa"/>
            <w:noWrap/>
            <w:vAlign w:val="center"/>
            <w:hideMark/>
          </w:tcPr>
          <w:p w:rsidR="00660C0E" w:rsidRPr="009E6947" w:rsidRDefault="00660C0E" w:rsidP="00660C0E">
            <w:pPr>
              <w:jc w:val="right"/>
              <w:rPr>
                <w:rFonts w:ascii="Arial" w:hAnsi="Arial" w:cs="Arial"/>
                <w:lang w:val="en-GB" w:eastAsia="en-CA"/>
              </w:rPr>
            </w:pPr>
          </w:p>
        </w:tc>
      </w:tr>
      <w:tr w:rsidR="00660C0E" w:rsidRPr="00002604" w:rsidTr="00660C0E">
        <w:trPr>
          <w:trHeight w:val="20"/>
        </w:trPr>
        <w:tc>
          <w:tcPr>
            <w:tcW w:w="2405"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Expenses:</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p>
        </w:tc>
        <w:tc>
          <w:tcPr>
            <w:tcW w:w="851" w:type="dxa"/>
            <w:noWrap/>
            <w:vAlign w:val="center"/>
            <w:hideMark/>
          </w:tcPr>
          <w:p w:rsidR="00660C0E" w:rsidRPr="009E6947" w:rsidRDefault="00660C0E" w:rsidP="00660C0E">
            <w:pPr>
              <w:jc w:val="right"/>
              <w:rPr>
                <w:rFonts w:ascii="Arial" w:hAnsi="Arial" w:cs="Arial"/>
                <w:lang w:val="en-GB" w:eastAsia="en-CA"/>
              </w:rPr>
            </w:pPr>
          </w:p>
        </w:tc>
        <w:tc>
          <w:tcPr>
            <w:tcW w:w="1417" w:type="dxa"/>
            <w:noWrap/>
            <w:vAlign w:val="center"/>
            <w:hideMark/>
          </w:tcPr>
          <w:p w:rsidR="00660C0E" w:rsidRPr="009E6947" w:rsidRDefault="00660C0E" w:rsidP="00660C0E">
            <w:pPr>
              <w:jc w:val="right"/>
              <w:rPr>
                <w:rFonts w:ascii="Arial" w:hAnsi="Arial" w:cs="Arial"/>
                <w:lang w:val="en-GB" w:eastAsia="en-CA"/>
              </w:rPr>
            </w:pPr>
          </w:p>
        </w:tc>
        <w:tc>
          <w:tcPr>
            <w:tcW w:w="851" w:type="dxa"/>
            <w:noWrap/>
            <w:vAlign w:val="center"/>
            <w:hideMark/>
          </w:tcPr>
          <w:p w:rsidR="00660C0E" w:rsidRPr="009E6947" w:rsidRDefault="00660C0E" w:rsidP="00660C0E">
            <w:pPr>
              <w:jc w:val="right"/>
              <w:rPr>
                <w:rFonts w:ascii="Arial" w:hAnsi="Arial" w:cs="Arial"/>
                <w:lang w:val="en-GB" w:eastAsia="en-CA"/>
              </w:rPr>
            </w:pPr>
          </w:p>
        </w:tc>
        <w:tc>
          <w:tcPr>
            <w:tcW w:w="1417" w:type="dxa"/>
            <w:noWrap/>
            <w:vAlign w:val="center"/>
            <w:hideMark/>
          </w:tcPr>
          <w:p w:rsidR="00660C0E" w:rsidRPr="009E6947" w:rsidRDefault="00660C0E" w:rsidP="00660C0E">
            <w:pPr>
              <w:jc w:val="right"/>
              <w:rPr>
                <w:rFonts w:ascii="Arial" w:hAnsi="Arial" w:cs="Arial"/>
                <w:lang w:val="en-GB" w:eastAsia="en-CA"/>
              </w:rPr>
            </w:pPr>
          </w:p>
        </w:tc>
        <w:tc>
          <w:tcPr>
            <w:tcW w:w="850" w:type="dxa"/>
            <w:noWrap/>
            <w:vAlign w:val="center"/>
            <w:hideMark/>
          </w:tcPr>
          <w:p w:rsidR="00660C0E" w:rsidRPr="009E6947" w:rsidRDefault="00660C0E" w:rsidP="00660C0E">
            <w:pPr>
              <w:jc w:val="right"/>
              <w:rPr>
                <w:rFonts w:ascii="Arial" w:hAnsi="Arial" w:cs="Arial"/>
                <w:lang w:val="en-GB" w:eastAsia="en-CA"/>
              </w:rPr>
            </w:pPr>
          </w:p>
        </w:tc>
      </w:tr>
      <w:tr w:rsidR="00660C0E" w:rsidRPr="00002604" w:rsidTr="00660C0E">
        <w:trPr>
          <w:trHeight w:val="20"/>
        </w:trPr>
        <w:tc>
          <w:tcPr>
            <w:tcW w:w="2405"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Operating costs</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$ 1,954,679</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18.9%</w:t>
            </w: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$ 1,968,020</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20.4%</w:t>
            </w: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$ 2,011,306</w:t>
            </w:r>
          </w:p>
        </w:tc>
        <w:tc>
          <w:tcPr>
            <w:tcW w:w="850"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20.9%</w:t>
            </w:r>
          </w:p>
        </w:tc>
      </w:tr>
      <w:tr w:rsidR="00660C0E" w:rsidRPr="00002604" w:rsidTr="00660C0E">
        <w:trPr>
          <w:trHeight w:val="20"/>
        </w:trPr>
        <w:tc>
          <w:tcPr>
            <w:tcW w:w="2405"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Property taxes</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$ 1,553,063</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15.0%</w:t>
            </w: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$ 1,574,328</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16.4%</w:t>
            </w: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$ 1,597,293</w:t>
            </w:r>
          </w:p>
        </w:tc>
        <w:tc>
          <w:tcPr>
            <w:tcW w:w="850"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16.6%</w:t>
            </w:r>
          </w:p>
        </w:tc>
      </w:tr>
      <w:tr w:rsidR="00660C0E" w:rsidRPr="00002604" w:rsidTr="00660C0E">
        <w:trPr>
          <w:trHeight w:val="20"/>
        </w:trPr>
        <w:tc>
          <w:tcPr>
            <w:tcW w:w="2405"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Leasing commissions</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$ 248,377</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2.4%</w:t>
            </w: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$ 121,211</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1.3%</w:t>
            </w: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$ 309,532</w:t>
            </w:r>
          </w:p>
        </w:tc>
        <w:tc>
          <w:tcPr>
            <w:tcW w:w="850"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3.2%</w:t>
            </w:r>
          </w:p>
        </w:tc>
      </w:tr>
      <w:tr w:rsidR="00660C0E" w:rsidRPr="00002604" w:rsidTr="00660C0E">
        <w:trPr>
          <w:trHeight w:val="20"/>
        </w:trPr>
        <w:tc>
          <w:tcPr>
            <w:tcW w:w="2405"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General and administrative expenses</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$ 1,863,952</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18.0%</w:t>
            </w: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$ 1,373,243</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14.3%</w:t>
            </w: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$ 1,214,976</w:t>
            </w:r>
          </w:p>
        </w:tc>
        <w:tc>
          <w:tcPr>
            <w:tcW w:w="850"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12.6%</w:t>
            </w:r>
          </w:p>
        </w:tc>
      </w:tr>
      <w:tr w:rsidR="00660C0E" w:rsidRPr="00002604" w:rsidTr="00660C0E">
        <w:trPr>
          <w:trHeight w:val="20"/>
        </w:trPr>
        <w:tc>
          <w:tcPr>
            <w:tcW w:w="2405"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Management bonuses</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$ 339,500</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3.3%</w:t>
            </w: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$ 315,000</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3.3%</w:t>
            </w: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$ 485,000</w:t>
            </w:r>
          </w:p>
        </w:tc>
        <w:tc>
          <w:tcPr>
            <w:tcW w:w="850"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5.0%</w:t>
            </w:r>
          </w:p>
        </w:tc>
      </w:tr>
      <w:tr w:rsidR="00660C0E" w:rsidRPr="00002604" w:rsidTr="00660C0E">
        <w:trPr>
          <w:trHeight w:val="20"/>
        </w:trPr>
        <w:tc>
          <w:tcPr>
            <w:tcW w:w="2405"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Bad debt expense</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$ 15,890</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0.2%</w:t>
            </w: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$ 69,373</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0.7%</w:t>
            </w: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$ 39,102</w:t>
            </w:r>
          </w:p>
        </w:tc>
        <w:tc>
          <w:tcPr>
            <w:tcW w:w="850"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0.4%</w:t>
            </w:r>
          </w:p>
        </w:tc>
      </w:tr>
      <w:tr w:rsidR="00660C0E" w:rsidRPr="00002604" w:rsidTr="00660C0E">
        <w:trPr>
          <w:trHeight w:val="20"/>
        </w:trPr>
        <w:tc>
          <w:tcPr>
            <w:tcW w:w="2405"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Amortization</w:t>
            </w:r>
          </w:p>
        </w:tc>
        <w:tc>
          <w:tcPr>
            <w:tcW w:w="1559"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$ 1,764,969</w:t>
            </w:r>
          </w:p>
        </w:tc>
        <w:tc>
          <w:tcPr>
            <w:tcW w:w="851"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17.1%</w:t>
            </w:r>
          </w:p>
        </w:tc>
        <w:tc>
          <w:tcPr>
            <w:tcW w:w="1417"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$ 1,712,875</w:t>
            </w:r>
          </w:p>
        </w:tc>
        <w:tc>
          <w:tcPr>
            <w:tcW w:w="851"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17.8%</w:t>
            </w:r>
          </w:p>
        </w:tc>
        <w:tc>
          <w:tcPr>
            <w:tcW w:w="1417"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$ 1,629,346</w:t>
            </w:r>
          </w:p>
        </w:tc>
        <w:tc>
          <w:tcPr>
            <w:tcW w:w="850"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16.9%</w:t>
            </w:r>
          </w:p>
        </w:tc>
      </w:tr>
      <w:tr w:rsidR="00660C0E" w:rsidRPr="00002604" w:rsidTr="00660C0E">
        <w:trPr>
          <w:trHeight w:val="20"/>
        </w:trPr>
        <w:tc>
          <w:tcPr>
            <w:tcW w:w="2405"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Total expenses</w:t>
            </w:r>
          </w:p>
        </w:tc>
        <w:tc>
          <w:tcPr>
            <w:tcW w:w="1559"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$ 7,740,430</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74.9%</w:t>
            </w:r>
          </w:p>
        </w:tc>
        <w:tc>
          <w:tcPr>
            <w:tcW w:w="1417"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$ 7,134,050</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74.1%</w:t>
            </w:r>
          </w:p>
        </w:tc>
        <w:tc>
          <w:tcPr>
            <w:tcW w:w="1417"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$ 7,286,555</w:t>
            </w:r>
          </w:p>
        </w:tc>
        <w:tc>
          <w:tcPr>
            <w:tcW w:w="850"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75.7%</w:t>
            </w:r>
          </w:p>
        </w:tc>
      </w:tr>
      <w:tr w:rsidR="00660C0E" w:rsidRPr="00002604" w:rsidTr="00660C0E">
        <w:trPr>
          <w:trHeight w:val="20"/>
        </w:trPr>
        <w:tc>
          <w:tcPr>
            <w:tcW w:w="2405"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Net income before interest and tax</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$ 2,596,980</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$ 2,489,655</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$ 2,335,521</w:t>
            </w:r>
          </w:p>
        </w:tc>
        <w:tc>
          <w:tcPr>
            <w:tcW w:w="850" w:type="dxa"/>
            <w:noWrap/>
            <w:vAlign w:val="center"/>
            <w:hideMark/>
          </w:tcPr>
          <w:p w:rsidR="00660C0E" w:rsidRPr="009E6947" w:rsidRDefault="00660C0E" w:rsidP="00660C0E">
            <w:pPr>
              <w:jc w:val="right"/>
              <w:rPr>
                <w:rFonts w:ascii="Arial" w:hAnsi="Arial" w:cs="Arial"/>
                <w:color w:val="000000"/>
                <w:lang w:val="en-GB" w:eastAsia="en-CA"/>
              </w:rPr>
            </w:pPr>
          </w:p>
        </w:tc>
      </w:tr>
      <w:tr w:rsidR="00660C0E" w:rsidRPr="00002604" w:rsidTr="00660C0E">
        <w:trPr>
          <w:trHeight w:val="20"/>
        </w:trPr>
        <w:tc>
          <w:tcPr>
            <w:tcW w:w="2405" w:type="dxa"/>
            <w:noWrap/>
            <w:vAlign w:val="center"/>
            <w:hideMark/>
          </w:tcPr>
          <w:p w:rsidR="00660C0E" w:rsidRPr="009E6947" w:rsidRDefault="00660C0E" w:rsidP="00660C0E">
            <w:pPr>
              <w:rPr>
                <w:rFonts w:ascii="Arial" w:hAnsi="Arial" w:cs="Arial"/>
                <w:lang w:val="en-GB" w:eastAsia="en-CA"/>
              </w:rPr>
            </w:pPr>
          </w:p>
        </w:tc>
        <w:tc>
          <w:tcPr>
            <w:tcW w:w="1559" w:type="dxa"/>
            <w:noWrap/>
            <w:vAlign w:val="center"/>
            <w:hideMark/>
          </w:tcPr>
          <w:p w:rsidR="00660C0E" w:rsidRPr="009E6947" w:rsidRDefault="00660C0E" w:rsidP="00660C0E">
            <w:pPr>
              <w:jc w:val="right"/>
              <w:rPr>
                <w:rFonts w:ascii="Arial" w:hAnsi="Arial" w:cs="Arial"/>
                <w:lang w:val="en-GB" w:eastAsia="en-CA"/>
              </w:rPr>
            </w:pPr>
          </w:p>
        </w:tc>
        <w:tc>
          <w:tcPr>
            <w:tcW w:w="851" w:type="dxa"/>
            <w:noWrap/>
            <w:vAlign w:val="center"/>
            <w:hideMark/>
          </w:tcPr>
          <w:p w:rsidR="00660C0E" w:rsidRPr="009E6947" w:rsidRDefault="00660C0E" w:rsidP="00660C0E">
            <w:pPr>
              <w:jc w:val="right"/>
              <w:rPr>
                <w:rFonts w:ascii="Arial" w:hAnsi="Arial" w:cs="Arial"/>
                <w:lang w:val="en-GB" w:eastAsia="en-CA"/>
              </w:rPr>
            </w:pPr>
          </w:p>
        </w:tc>
        <w:tc>
          <w:tcPr>
            <w:tcW w:w="1417" w:type="dxa"/>
            <w:noWrap/>
            <w:vAlign w:val="center"/>
            <w:hideMark/>
          </w:tcPr>
          <w:p w:rsidR="00660C0E" w:rsidRPr="009E6947" w:rsidRDefault="00660C0E" w:rsidP="00660C0E">
            <w:pPr>
              <w:jc w:val="right"/>
              <w:rPr>
                <w:rFonts w:ascii="Arial" w:hAnsi="Arial" w:cs="Arial"/>
                <w:lang w:val="en-GB" w:eastAsia="en-CA"/>
              </w:rPr>
            </w:pPr>
          </w:p>
        </w:tc>
        <w:tc>
          <w:tcPr>
            <w:tcW w:w="851" w:type="dxa"/>
            <w:noWrap/>
            <w:vAlign w:val="center"/>
            <w:hideMark/>
          </w:tcPr>
          <w:p w:rsidR="00660C0E" w:rsidRPr="009E6947" w:rsidRDefault="00660C0E" w:rsidP="00660C0E">
            <w:pPr>
              <w:jc w:val="right"/>
              <w:rPr>
                <w:rFonts w:ascii="Arial" w:hAnsi="Arial" w:cs="Arial"/>
                <w:lang w:val="en-GB" w:eastAsia="en-CA"/>
              </w:rPr>
            </w:pPr>
          </w:p>
        </w:tc>
        <w:tc>
          <w:tcPr>
            <w:tcW w:w="1417" w:type="dxa"/>
            <w:noWrap/>
            <w:vAlign w:val="center"/>
            <w:hideMark/>
          </w:tcPr>
          <w:p w:rsidR="00660C0E" w:rsidRPr="009E6947" w:rsidRDefault="00660C0E" w:rsidP="00660C0E">
            <w:pPr>
              <w:jc w:val="right"/>
              <w:rPr>
                <w:rFonts w:ascii="Arial" w:hAnsi="Arial" w:cs="Arial"/>
                <w:lang w:val="en-GB" w:eastAsia="en-CA"/>
              </w:rPr>
            </w:pPr>
          </w:p>
        </w:tc>
        <w:tc>
          <w:tcPr>
            <w:tcW w:w="850" w:type="dxa"/>
            <w:noWrap/>
            <w:vAlign w:val="center"/>
            <w:hideMark/>
          </w:tcPr>
          <w:p w:rsidR="00660C0E" w:rsidRPr="009E6947" w:rsidRDefault="00660C0E" w:rsidP="00660C0E">
            <w:pPr>
              <w:jc w:val="right"/>
              <w:rPr>
                <w:rFonts w:ascii="Arial" w:hAnsi="Arial" w:cs="Arial"/>
                <w:lang w:val="en-GB" w:eastAsia="en-CA"/>
              </w:rPr>
            </w:pPr>
          </w:p>
        </w:tc>
      </w:tr>
      <w:tr w:rsidR="00660C0E" w:rsidRPr="00002604" w:rsidTr="00660C0E">
        <w:trPr>
          <w:trHeight w:val="20"/>
        </w:trPr>
        <w:tc>
          <w:tcPr>
            <w:tcW w:w="2405"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Interest expense</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$ 1,802,184</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17.4%</w:t>
            </w: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$ 2,009,580</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20.9%</w:t>
            </w: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$ 2,357,713</w:t>
            </w:r>
          </w:p>
        </w:tc>
        <w:tc>
          <w:tcPr>
            <w:tcW w:w="850"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24.5%</w:t>
            </w:r>
          </w:p>
        </w:tc>
      </w:tr>
      <w:tr w:rsidR="00660C0E" w:rsidRPr="00002604" w:rsidTr="00660C0E">
        <w:trPr>
          <w:trHeight w:val="20"/>
        </w:trPr>
        <w:tc>
          <w:tcPr>
            <w:tcW w:w="2405"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Gain on disposal of rental property</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0.0%</w:t>
            </w: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0.0%</w:t>
            </w: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$ 3,526,594</w:t>
            </w:r>
          </w:p>
        </w:tc>
        <w:tc>
          <w:tcPr>
            <w:tcW w:w="850"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36.7%</w:t>
            </w:r>
          </w:p>
        </w:tc>
      </w:tr>
      <w:tr w:rsidR="00660C0E" w:rsidRPr="00002604" w:rsidTr="00660C0E">
        <w:trPr>
          <w:trHeight w:val="20"/>
        </w:trPr>
        <w:tc>
          <w:tcPr>
            <w:tcW w:w="2405"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Net income before taxes</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$ 794,796</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7.7%</w:t>
            </w: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$ 480,075</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5.0%</w:t>
            </w:r>
          </w:p>
        </w:tc>
        <w:tc>
          <w:tcPr>
            <w:tcW w:w="1417"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$ 3,504,402</w:t>
            </w:r>
          </w:p>
        </w:tc>
        <w:tc>
          <w:tcPr>
            <w:tcW w:w="850"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36.4%</w:t>
            </w:r>
          </w:p>
        </w:tc>
      </w:tr>
      <w:tr w:rsidR="00660C0E" w:rsidRPr="00002604" w:rsidTr="00660C0E">
        <w:trPr>
          <w:trHeight w:val="20"/>
        </w:trPr>
        <w:tc>
          <w:tcPr>
            <w:tcW w:w="2405"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Income tax</w:t>
            </w:r>
          </w:p>
        </w:tc>
        <w:tc>
          <w:tcPr>
            <w:tcW w:w="1559"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$ 250,813</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2.4%</w:t>
            </w:r>
          </w:p>
        </w:tc>
        <w:tc>
          <w:tcPr>
            <w:tcW w:w="1417"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$ 87,226</w:t>
            </w:r>
          </w:p>
        </w:tc>
        <w:tc>
          <w:tcPr>
            <w:tcW w:w="851"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0.9%</w:t>
            </w:r>
          </w:p>
        </w:tc>
        <w:tc>
          <w:tcPr>
            <w:tcW w:w="1417"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$ 582,466</w:t>
            </w:r>
          </w:p>
        </w:tc>
        <w:tc>
          <w:tcPr>
            <w:tcW w:w="850"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6.1%</w:t>
            </w:r>
          </w:p>
        </w:tc>
      </w:tr>
      <w:tr w:rsidR="00660C0E" w:rsidRPr="00002604" w:rsidTr="00660C0E">
        <w:trPr>
          <w:trHeight w:val="20"/>
        </w:trPr>
        <w:tc>
          <w:tcPr>
            <w:tcW w:w="2405" w:type="dxa"/>
            <w:noWrap/>
            <w:vAlign w:val="center"/>
            <w:hideMark/>
          </w:tcPr>
          <w:p w:rsidR="00660C0E" w:rsidRPr="009E6947" w:rsidRDefault="00660C0E" w:rsidP="00660C0E">
            <w:pPr>
              <w:rPr>
                <w:rFonts w:ascii="Arial" w:hAnsi="Arial" w:cs="Arial"/>
                <w:color w:val="000000"/>
                <w:lang w:val="en-GB" w:eastAsia="en-CA"/>
              </w:rPr>
            </w:pPr>
          </w:p>
        </w:tc>
        <w:tc>
          <w:tcPr>
            <w:tcW w:w="1559" w:type="dxa"/>
            <w:noWrap/>
            <w:vAlign w:val="center"/>
            <w:hideMark/>
          </w:tcPr>
          <w:p w:rsidR="00660C0E" w:rsidRPr="009E6947" w:rsidRDefault="00660C0E" w:rsidP="00660C0E">
            <w:pPr>
              <w:jc w:val="right"/>
              <w:rPr>
                <w:rFonts w:ascii="Arial" w:hAnsi="Arial" w:cs="Arial"/>
                <w:lang w:val="en-GB" w:eastAsia="en-CA"/>
              </w:rPr>
            </w:pPr>
          </w:p>
        </w:tc>
        <w:tc>
          <w:tcPr>
            <w:tcW w:w="851" w:type="dxa"/>
            <w:noWrap/>
            <w:vAlign w:val="center"/>
            <w:hideMark/>
          </w:tcPr>
          <w:p w:rsidR="00660C0E" w:rsidRPr="009E6947" w:rsidRDefault="00660C0E" w:rsidP="00660C0E">
            <w:pPr>
              <w:jc w:val="right"/>
              <w:rPr>
                <w:rFonts w:ascii="Arial" w:hAnsi="Arial" w:cs="Arial"/>
                <w:color w:val="000000"/>
                <w:lang w:val="en-GB" w:eastAsia="en-CA"/>
              </w:rPr>
            </w:pPr>
          </w:p>
        </w:tc>
        <w:tc>
          <w:tcPr>
            <w:tcW w:w="1417" w:type="dxa"/>
            <w:noWrap/>
            <w:vAlign w:val="center"/>
            <w:hideMark/>
          </w:tcPr>
          <w:p w:rsidR="00660C0E" w:rsidRPr="009E6947" w:rsidRDefault="00660C0E" w:rsidP="00660C0E">
            <w:pPr>
              <w:jc w:val="right"/>
              <w:rPr>
                <w:rFonts w:ascii="Arial" w:hAnsi="Arial" w:cs="Arial"/>
                <w:color w:val="000000"/>
                <w:lang w:val="en-GB" w:eastAsia="en-CA"/>
              </w:rPr>
            </w:pPr>
          </w:p>
        </w:tc>
        <w:tc>
          <w:tcPr>
            <w:tcW w:w="851" w:type="dxa"/>
            <w:noWrap/>
            <w:vAlign w:val="center"/>
            <w:hideMark/>
          </w:tcPr>
          <w:p w:rsidR="00660C0E" w:rsidRPr="009E6947" w:rsidRDefault="00660C0E" w:rsidP="00660C0E">
            <w:pPr>
              <w:jc w:val="right"/>
              <w:rPr>
                <w:rFonts w:ascii="Arial" w:hAnsi="Arial" w:cs="Arial"/>
                <w:color w:val="000000"/>
                <w:lang w:val="en-GB" w:eastAsia="en-CA"/>
              </w:rPr>
            </w:pPr>
          </w:p>
        </w:tc>
        <w:tc>
          <w:tcPr>
            <w:tcW w:w="1417" w:type="dxa"/>
            <w:noWrap/>
            <w:vAlign w:val="center"/>
            <w:hideMark/>
          </w:tcPr>
          <w:p w:rsidR="00660C0E" w:rsidRPr="009E6947" w:rsidRDefault="00660C0E" w:rsidP="00660C0E">
            <w:pPr>
              <w:jc w:val="right"/>
              <w:rPr>
                <w:rFonts w:ascii="Arial" w:hAnsi="Arial" w:cs="Arial"/>
                <w:color w:val="000000"/>
                <w:lang w:val="en-GB" w:eastAsia="en-CA"/>
              </w:rPr>
            </w:pPr>
          </w:p>
        </w:tc>
        <w:tc>
          <w:tcPr>
            <w:tcW w:w="850" w:type="dxa"/>
            <w:noWrap/>
            <w:vAlign w:val="center"/>
            <w:hideMark/>
          </w:tcPr>
          <w:p w:rsidR="00660C0E" w:rsidRPr="009E6947" w:rsidRDefault="00660C0E" w:rsidP="00660C0E">
            <w:pPr>
              <w:jc w:val="right"/>
              <w:rPr>
                <w:rFonts w:ascii="Arial" w:hAnsi="Arial" w:cs="Arial"/>
                <w:color w:val="000000"/>
                <w:lang w:val="en-GB" w:eastAsia="en-CA"/>
              </w:rPr>
            </w:pPr>
          </w:p>
        </w:tc>
      </w:tr>
      <w:tr w:rsidR="00660C0E" w:rsidRPr="00002604" w:rsidTr="00660C0E">
        <w:trPr>
          <w:trHeight w:val="20"/>
        </w:trPr>
        <w:tc>
          <w:tcPr>
            <w:tcW w:w="2405" w:type="dxa"/>
            <w:noWrap/>
            <w:vAlign w:val="center"/>
            <w:hideMark/>
          </w:tcPr>
          <w:p w:rsidR="00660C0E" w:rsidRPr="009E6947" w:rsidRDefault="00660C0E" w:rsidP="00660C0E">
            <w:pPr>
              <w:rPr>
                <w:rFonts w:ascii="Arial" w:hAnsi="Arial" w:cs="Arial"/>
                <w:b/>
                <w:color w:val="000000"/>
                <w:lang w:val="en-GB" w:eastAsia="en-CA"/>
              </w:rPr>
            </w:pPr>
            <w:r w:rsidRPr="009E6947">
              <w:rPr>
                <w:rFonts w:ascii="Arial" w:hAnsi="Arial" w:cs="Arial"/>
                <w:b/>
                <w:color w:val="000000"/>
                <w:lang w:val="en-GB" w:eastAsia="en-CA"/>
              </w:rPr>
              <w:t>Net income</w:t>
            </w:r>
          </w:p>
        </w:tc>
        <w:tc>
          <w:tcPr>
            <w:tcW w:w="1559" w:type="dxa"/>
            <w:noWrap/>
            <w:vAlign w:val="center"/>
            <w:hideMark/>
          </w:tcPr>
          <w:p w:rsidR="00660C0E" w:rsidRPr="009E6947" w:rsidRDefault="00660C0E" w:rsidP="00660C0E">
            <w:pPr>
              <w:jc w:val="right"/>
              <w:rPr>
                <w:rFonts w:ascii="Arial" w:hAnsi="Arial" w:cs="Arial"/>
                <w:b/>
                <w:color w:val="000000"/>
                <w:lang w:val="en-GB" w:eastAsia="en-CA"/>
              </w:rPr>
            </w:pPr>
            <w:r w:rsidRPr="009E6947">
              <w:rPr>
                <w:rFonts w:ascii="Arial" w:hAnsi="Arial" w:cs="Arial"/>
                <w:b/>
                <w:color w:val="000000"/>
                <w:lang w:val="en-GB" w:eastAsia="en-CA"/>
              </w:rPr>
              <w:t>$ 543,983</w:t>
            </w:r>
          </w:p>
        </w:tc>
        <w:tc>
          <w:tcPr>
            <w:tcW w:w="851" w:type="dxa"/>
            <w:noWrap/>
            <w:vAlign w:val="center"/>
            <w:hideMark/>
          </w:tcPr>
          <w:p w:rsidR="00660C0E" w:rsidRPr="009E6947" w:rsidRDefault="00660C0E" w:rsidP="00660C0E">
            <w:pPr>
              <w:jc w:val="right"/>
              <w:rPr>
                <w:rFonts w:ascii="Arial" w:hAnsi="Arial" w:cs="Arial"/>
                <w:b/>
                <w:color w:val="000000"/>
                <w:lang w:val="en-GB" w:eastAsia="en-CA"/>
              </w:rPr>
            </w:pPr>
            <w:r w:rsidRPr="009E6947">
              <w:rPr>
                <w:rFonts w:ascii="Arial" w:hAnsi="Arial" w:cs="Arial"/>
                <w:b/>
                <w:color w:val="000000"/>
                <w:lang w:val="en-GB" w:eastAsia="en-CA"/>
              </w:rPr>
              <w:t>5.3%</w:t>
            </w:r>
          </w:p>
        </w:tc>
        <w:tc>
          <w:tcPr>
            <w:tcW w:w="1417" w:type="dxa"/>
            <w:noWrap/>
            <w:vAlign w:val="center"/>
            <w:hideMark/>
          </w:tcPr>
          <w:p w:rsidR="00660C0E" w:rsidRPr="009E6947" w:rsidRDefault="00660C0E" w:rsidP="00660C0E">
            <w:pPr>
              <w:jc w:val="right"/>
              <w:rPr>
                <w:rFonts w:ascii="Arial" w:hAnsi="Arial" w:cs="Arial"/>
                <w:b/>
                <w:color w:val="000000"/>
                <w:lang w:val="en-GB" w:eastAsia="en-CA"/>
              </w:rPr>
            </w:pPr>
            <w:r w:rsidRPr="009E6947">
              <w:rPr>
                <w:rFonts w:ascii="Arial" w:hAnsi="Arial" w:cs="Arial"/>
                <w:b/>
                <w:color w:val="000000"/>
                <w:lang w:val="en-GB" w:eastAsia="en-CA"/>
              </w:rPr>
              <w:t>$ 392,849</w:t>
            </w:r>
          </w:p>
        </w:tc>
        <w:tc>
          <w:tcPr>
            <w:tcW w:w="851" w:type="dxa"/>
            <w:noWrap/>
            <w:vAlign w:val="center"/>
            <w:hideMark/>
          </w:tcPr>
          <w:p w:rsidR="00660C0E" w:rsidRPr="009E6947" w:rsidRDefault="00660C0E" w:rsidP="00660C0E">
            <w:pPr>
              <w:jc w:val="right"/>
              <w:rPr>
                <w:rFonts w:ascii="Arial" w:hAnsi="Arial" w:cs="Arial"/>
                <w:b/>
                <w:color w:val="000000"/>
                <w:lang w:val="en-GB" w:eastAsia="en-CA"/>
              </w:rPr>
            </w:pPr>
            <w:r w:rsidRPr="009E6947">
              <w:rPr>
                <w:rFonts w:ascii="Arial" w:hAnsi="Arial" w:cs="Arial"/>
                <w:b/>
                <w:color w:val="000000"/>
                <w:lang w:val="en-GB" w:eastAsia="en-CA"/>
              </w:rPr>
              <w:t>4.1%</w:t>
            </w:r>
          </w:p>
        </w:tc>
        <w:tc>
          <w:tcPr>
            <w:tcW w:w="1417" w:type="dxa"/>
            <w:noWrap/>
            <w:vAlign w:val="center"/>
            <w:hideMark/>
          </w:tcPr>
          <w:p w:rsidR="00660C0E" w:rsidRPr="009E6947" w:rsidRDefault="00660C0E" w:rsidP="00660C0E">
            <w:pPr>
              <w:jc w:val="right"/>
              <w:rPr>
                <w:rFonts w:ascii="Arial" w:hAnsi="Arial" w:cs="Arial"/>
                <w:b/>
                <w:color w:val="000000"/>
                <w:lang w:val="en-GB" w:eastAsia="en-CA"/>
              </w:rPr>
            </w:pPr>
            <w:r w:rsidRPr="009E6947">
              <w:rPr>
                <w:rFonts w:ascii="Arial" w:hAnsi="Arial" w:cs="Arial"/>
                <w:b/>
                <w:color w:val="000000"/>
                <w:lang w:val="en-GB" w:eastAsia="en-CA"/>
              </w:rPr>
              <w:t>$ 2,921,936</w:t>
            </w:r>
          </w:p>
        </w:tc>
        <w:tc>
          <w:tcPr>
            <w:tcW w:w="850" w:type="dxa"/>
            <w:noWrap/>
            <w:vAlign w:val="center"/>
            <w:hideMark/>
          </w:tcPr>
          <w:p w:rsidR="00660C0E" w:rsidRPr="009E6947" w:rsidRDefault="00660C0E" w:rsidP="00660C0E">
            <w:pPr>
              <w:jc w:val="right"/>
              <w:rPr>
                <w:rFonts w:ascii="Arial" w:hAnsi="Arial" w:cs="Arial"/>
                <w:b/>
                <w:color w:val="000000"/>
                <w:lang w:val="en-GB" w:eastAsia="en-CA"/>
              </w:rPr>
            </w:pPr>
            <w:r w:rsidRPr="009E6947">
              <w:rPr>
                <w:rFonts w:ascii="Arial" w:hAnsi="Arial" w:cs="Arial"/>
                <w:b/>
                <w:color w:val="000000"/>
                <w:lang w:val="en-GB" w:eastAsia="en-CA"/>
              </w:rPr>
              <w:t>30.4%</w:t>
            </w:r>
          </w:p>
        </w:tc>
      </w:tr>
    </w:tbl>
    <w:p w:rsidR="00660C0E" w:rsidRPr="009E6947" w:rsidRDefault="00660C0E" w:rsidP="00D105E3">
      <w:pPr>
        <w:pStyle w:val="FootnoteText1"/>
        <w:rPr>
          <w:lang w:val="en-GB"/>
        </w:rPr>
      </w:pPr>
    </w:p>
    <w:p w:rsidR="00660C0E" w:rsidRPr="009E6947" w:rsidRDefault="00660C0E" w:rsidP="00D105E3">
      <w:pPr>
        <w:pStyle w:val="FootnoteText1"/>
        <w:rPr>
          <w:lang w:val="en-GB"/>
        </w:rPr>
      </w:pPr>
      <w:r w:rsidRPr="009E6947">
        <w:rPr>
          <w:lang w:val="en-GB"/>
        </w:rPr>
        <w:t>Source: Company files.</w:t>
      </w:r>
    </w:p>
    <w:p w:rsidR="00660C0E" w:rsidRDefault="00660C0E" w:rsidP="00660C0E">
      <w:pPr>
        <w:rPr>
          <w:lang w:val="en-GB"/>
        </w:rPr>
      </w:pPr>
      <w:r>
        <w:rPr>
          <w:lang w:val="en-GB"/>
        </w:rPr>
        <w:br w:type="page"/>
      </w:r>
    </w:p>
    <w:p w:rsidR="00660C0E" w:rsidRPr="009E6947" w:rsidRDefault="00660C0E" w:rsidP="00D105E3">
      <w:pPr>
        <w:pStyle w:val="Casehead1"/>
        <w:jc w:val="center"/>
        <w:rPr>
          <w:lang w:val="en-GB"/>
        </w:rPr>
      </w:pPr>
      <w:r w:rsidRPr="009E6947">
        <w:rPr>
          <w:lang w:val="en-GB"/>
        </w:rPr>
        <w:lastRenderedPageBreak/>
        <w:t xml:space="preserve">EXHIBIT </w:t>
      </w:r>
      <w:r>
        <w:rPr>
          <w:lang w:val="en-GB"/>
        </w:rPr>
        <w:t>3</w:t>
      </w:r>
      <w:r w:rsidRPr="009E6947">
        <w:rPr>
          <w:lang w:val="en-GB"/>
        </w:rPr>
        <w:t>: STATEMENTS OF RETAINED EARNINGS (UNAUDITED) for years ending December 31</w:t>
      </w:r>
    </w:p>
    <w:p w:rsidR="00660C0E" w:rsidRPr="006205B4" w:rsidRDefault="00660C0E" w:rsidP="00D105E3">
      <w:pPr>
        <w:pStyle w:val="BodyTextMain"/>
        <w:rPr>
          <w:sz w:val="18"/>
          <w:szCs w:val="18"/>
          <w:lang w:val="en-GB"/>
        </w:rPr>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1843"/>
        <w:gridCol w:w="283"/>
        <w:gridCol w:w="1701"/>
        <w:gridCol w:w="284"/>
        <w:gridCol w:w="1701"/>
      </w:tblGrid>
      <w:tr w:rsidR="00660C0E" w:rsidRPr="00002604" w:rsidTr="00660C0E">
        <w:trPr>
          <w:trHeight w:val="20"/>
        </w:trPr>
        <w:tc>
          <w:tcPr>
            <w:tcW w:w="3539" w:type="dxa"/>
            <w:noWrap/>
            <w:hideMark/>
          </w:tcPr>
          <w:p w:rsidR="00660C0E" w:rsidRPr="009E6947" w:rsidRDefault="00660C0E" w:rsidP="00660C0E">
            <w:pPr>
              <w:rPr>
                <w:rFonts w:ascii="Arial" w:hAnsi="Arial" w:cs="Arial"/>
                <w:lang w:val="en-GB" w:eastAsia="en-CA"/>
              </w:rPr>
            </w:pPr>
          </w:p>
        </w:tc>
        <w:tc>
          <w:tcPr>
            <w:tcW w:w="1843" w:type="dxa"/>
            <w:noWrap/>
            <w:vAlign w:val="center"/>
            <w:hideMark/>
          </w:tcPr>
          <w:p w:rsidR="00660C0E" w:rsidRPr="009E6947" w:rsidRDefault="00660C0E" w:rsidP="00660C0E">
            <w:pPr>
              <w:jc w:val="center"/>
              <w:rPr>
                <w:rFonts w:ascii="Arial" w:hAnsi="Arial" w:cs="Arial"/>
                <w:b/>
                <w:color w:val="000000"/>
                <w:lang w:val="en-GB" w:eastAsia="en-CA"/>
              </w:rPr>
            </w:pPr>
            <w:r w:rsidRPr="009E6947">
              <w:rPr>
                <w:rFonts w:ascii="Arial" w:hAnsi="Arial" w:cs="Arial"/>
                <w:b/>
                <w:color w:val="000000"/>
                <w:lang w:val="en-GB" w:eastAsia="en-CA"/>
              </w:rPr>
              <w:t>2013</w:t>
            </w:r>
          </w:p>
        </w:tc>
        <w:tc>
          <w:tcPr>
            <w:tcW w:w="283" w:type="dxa"/>
            <w:noWrap/>
            <w:vAlign w:val="center"/>
            <w:hideMark/>
          </w:tcPr>
          <w:p w:rsidR="00660C0E" w:rsidRPr="009E6947" w:rsidRDefault="00660C0E" w:rsidP="00660C0E">
            <w:pPr>
              <w:jc w:val="center"/>
              <w:rPr>
                <w:rFonts w:ascii="Arial" w:hAnsi="Arial" w:cs="Arial"/>
                <w:b/>
                <w:color w:val="000000"/>
                <w:lang w:val="en-GB" w:eastAsia="en-CA"/>
              </w:rPr>
            </w:pPr>
          </w:p>
        </w:tc>
        <w:tc>
          <w:tcPr>
            <w:tcW w:w="1701" w:type="dxa"/>
            <w:noWrap/>
            <w:vAlign w:val="center"/>
            <w:hideMark/>
          </w:tcPr>
          <w:p w:rsidR="00660C0E" w:rsidRPr="009E6947" w:rsidRDefault="00660C0E" w:rsidP="00660C0E">
            <w:pPr>
              <w:jc w:val="center"/>
              <w:rPr>
                <w:rFonts w:ascii="Arial" w:hAnsi="Arial" w:cs="Arial"/>
                <w:b/>
                <w:color w:val="000000"/>
                <w:lang w:val="en-GB" w:eastAsia="en-CA"/>
              </w:rPr>
            </w:pPr>
            <w:r w:rsidRPr="009E6947">
              <w:rPr>
                <w:rFonts w:ascii="Arial" w:hAnsi="Arial" w:cs="Arial"/>
                <w:b/>
                <w:color w:val="000000"/>
                <w:lang w:val="en-GB" w:eastAsia="en-CA"/>
              </w:rPr>
              <w:t>2012</w:t>
            </w:r>
          </w:p>
        </w:tc>
        <w:tc>
          <w:tcPr>
            <w:tcW w:w="284" w:type="dxa"/>
            <w:noWrap/>
            <w:vAlign w:val="center"/>
            <w:hideMark/>
          </w:tcPr>
          <w:p w:rsidR="00660C0E" w:rsidRPr="009E6947" w:rsidRDefault="00660C0E" w:rsidP="00660C0E">
            <w:pPr>
              <w:jc w:val="center"/>
              <w:rPr>
                <w:rFonts w:ascii="Arial" w:hAnsi="Arial" w:cs="Arial"/>
                <w:b/>
                <w:color w:val="000000"/>
                <w:lang w:val="en-GB" w:eastAsia="en-CA"/>
              </w:rPr>
            </w:pPr>
          </w:p>
        </w:tc>
        <w:tc>
          <w:tcPr>
            <w:tcW w:w="1701" w:type="dxa"/>
            <w:noWrap/>
            <w:vAlign w:val="center"/>
            <w:hideMark/>
          </w:tcPr>
          <w:p w:rsidR="00660C0E" w:rsidRPr="009E6947" w:rsidRDefault="00660C0E" w:rsidP="00660C0E">
            <w:pPr>
              <w:jc w:val="center"/>
              <w:rPr>
                <w:rFonts w:ascii="Arial" w:hAnsi="Arial" w:cs="Arial"/>
                <w:b/>
                <w:color w:val="000000"/>
                <w:lang w:val="en-GB" w:eastAsia="en-CA"/>
              </w:rPr>
            </w:pPr>
            <w:r w:rsidRPr="009E6947">
              <w:rPr>
                <w:rFonts w:ascii="Arial" w:hAnsi="Arial" w:cs="Arial"/>
                <w:b/>
                <w:color w:val="000000"/>
                <w:lang w:val="en-GB" w:eastAsia="en-CA"/>
              </w:rPr>
              <w:t>2011</w:t>
            </w:r>
          </w:p>
        </w:tc>
      </w:tr>
      <w:tr w:rsidR="00660C0E" w:rsidRPr="00002604" w:rsidTr="00660C0E">
        <w:trPr>
          <w:trHeight w:val="20"/>
        </w:trPr>
        <w:tc>
          <w:tcPr>
            <w:tcW w:w="3539"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Retained earnings, beginning of year</w:t>
            </w:r>
          </w:p>
        </w:tc>
        <w:tc>
          <w:tcPr>
            <w:tcW w:w="1843"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$ 64,540,529</w:t>
            </w:r>
          </w:p>
        </w:tc>
        <w:tc>
          <w:tcPr>
            <w:tcW w:w="283" w:type="dxa"/>
            <w:noWrap/>
            <w:vAlign w:val="center"/>
            <w:hideMark/>
          </w:tcPr>
          <w:p w:rsidR="00660C0E" w:rsidRPr="009E6947" w:rsidRDefault="00660C0E" w:rsidP="00660C0E">
            <w:pPr>
              <w:jc w:val="right"/>
              <w:rPr>
                <w:rFonts w:ascii="Arial" w:hAnsi="Arial" w:cs="Arial"/>
                <w:color w:val="000000"/>
                <w:lang w:val="en-GB" w:eastAsia="en-CA"/>
              </w:rPr>
            </w:pPr>
          </w:p>
        </w:tc>
        <w:tc>
          <w:tcPr>
            <w:tcW w:w="1701"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$ 64,147,680</w:t>
            </w:r>
          </w:p>
        </w:tc>
        <w:tc>
          <w:tcPr>
            <w:tcW w:w="284" w:type="dxa"/>
            <w:noWrap/>
            <w:vAlign w:val="center"/>
            <w:hideMark/>
          </w:tcPr>
          <w:p w:rsidR="00660C0E" w:rsidRPr="009E6947" w:rsidRDefault="00660C0E" w:rsidP="00660C0E">
            <w:pPr>
              <w:jc w:val="right"/>
              <w:rPr>
                <w:rFonts w:ascii="Arial" w:hAnsi="Arial" w:cs="Arial"/>
                <w:color w:val="000000"/>
                <w:lang w:val="en-GB" w:eastAsia="en-CA"/>
              </w:rPr>
            </w:pPr>
          </w:p>
        </w:tc>
        <w:tc>
          <w:tcPr>
            <w:tcW w:w="1701"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$ 61,225,744</w:t>
            </w:r>
          </w:p>
        </w:tc>
      </w:tr>
      <w:tr w:rsidR="00660C0E" w:rsidRPr="00002604" w:rsidTr="00660C0E">
        <w:trPr>
          <w:trHeight w:val="20"/>
        </w:trPr>
        <w:tc>
          <w:tcPr>
            <w:tcW w:w="3539"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Net income</w:t>
            </w:r>
          </w:p>
        </w:tc>
        <w:tc>
          <w:tcPr>
            <w:tcW w:w="1843"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$ 543,983</w:t>
            </w:r>
          </w:p>
        </w:tc>
        <w:tc>
          <w:tcPr>
            <w:tcW w:w="283" w:type="dxa"/>
            <w:noWrap/>
            <w:vAlign w:val="center"/>
            <w:hideMark/>
          </w:tcPr>
          <w:p w:rsidR="00660C0E" w:rsidRPr="009E6947" w:rsidRDefault="00660C0E" w:rsidP="00660C0E">
            <w:pPr>
              <w:jc w:val="right"/>
              <w:rPr>
                <w:rFonts w:ascii="Arial" w:hAnsi="Arial" w:cs="Arial"/>
                <w:color w:val="000000"/>
                <w:lang w:val="en-GB" w:eastAsia="en-CA"/>
              </w:rPr>
            </w:pPr>
          </w:p>
        </w:tc>
        <w:tc>
          <w:tcPr>
            <w:tcW w:w="1701"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$ 392,849</w:t>
            </w:r>
          </w:p>
        </w:tc>
        <w:tc>
          <w:tcPr>
            <w:tcW w:w="284" w:type="dxa"/>
            <w:noWrap/>
            <w:vAlign w:val="center"/>
            <w:hideMark/>
          </w:tcPr>
          <w:p w:rsidR="00660C0E" w:rsidRPr="009E6947" w:rsidRDefault="00660C0E" w:rsidP="00660C0E">
            <w:pPr>
              <w:jc w:val="right"/>
              <w:rPr>
                <w:rFonts w:ascii="Arial" w:hAnsi="Arial" w:cs="Arial"/>
                <w:color w:val="000000"/>
                <w:lang w:val="en-GB" w:eastAsia="en-CA"/>
              </w:rPr>
            </w:pPr>
          </w:p>
        </w:tc>
        <w:tc>
          <w:tcPr>
            <w:tcW w:w="1701"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$ 2,921,936</w:t>
            </w:r>
          </w:p>
        </w:tc>
      </w:tr>
      <w:tr w:rsidR="00660C0E" w:rsidRPr="006F77B9" w:rsidTr="00660C0E">
        <w:trPr>
          <w:trHeight w:val="20"/>
        </w:trPr>
        <w:tc>
          <w:tcPr>
            <w:tcW w:w="3539" w:type="dxa"/>
            <w:noWrap/>
            <w:vAlign w:val="center"/>
            <w:hideMark/>
          </w:tcPr>
          <w:p w:rsidR="00660C0E" w:rsidRPr="006F77B9" w:rsidRDefault="00660C0E" w:rsidP="00660C0E">
            <w:pPr>
              <w:rPr>
                <w:rFonts w:ascii="Arial" w:hAnsi="Arial" w:cs="Arial"/>
                <w:color w:val="000000"/>
                <w:sz w:val="12"/>
                <w:szCs w:val="12"/>
                <w:lang w:val="en-GB" w:eastAsia="en-CA"/>
              </w:rPr>
            </w:pPr>
          </w:p>
        </w:tc>
        <w:tc>
          <w:tcPr>
            <w:tcW w:w="1843" w:type="dxa"/>
            <w:noWrap/>
            <w:vAlign w:val="center"/>
            <w:hideMark/>
          </w:tcPr>
          <w:p w:rsidR="00660C0E" w:rsidRPr="006F77B9" w:rsidRDefault="00660C0E" w:rsidP="00660C0E">
            <w:pPr>
              <w:jc w:val="right"/>
              <w:rPr>
                <w:rFonts w:ascii="Arial" w:hAnsi="Arial" w:cs="Arial"/>
                <w:sz w:val="12"/>
                <w:szCs w:val="12"/>
                <w:lang w:val="en-GB" w:eastAsia="en-CA"/>
              </w:rPr>
            </w:pPr>
          </w:p>
        </w:tc>
        <w:tc>
          <w:tcPr>
            <w:tcW w:w="283" w:type="dxa"/>
            <w:noWrap/>
            <w:vAlign w:val="center"/>
            <w:hideMark/>
          </w:tcPr>
          <w:p w:rsidR="00660C0E" w:rsidRPr="006F77B9" w:rsidRDefault="00660C0E" w:rsidP="00660C0E">
            <w:pPr>
              <w:jc w:val="right"/>
              <w:rPr>
                <w:rFonts w:ascii="Arial" w:hAnsi="Arial" w:cs="Arial"/>
                <w:sz w:val="12"/>
                <w:szCs w:val="12"/>
                <w:lang w:val="en-GB" w:eastAsia="en-CA"/>
              </w:rPr>
            </w:pPr>
          </w:p>
        </w:tc>
        <w:tc>
          <w:tcPr>
            <w:tcW w:w="1701" w:type="dxa"/>
            <w:noWrap/>
            <w:vAlign w:val="center"/>
            <w:hideMark/>
          </w:tcPr>
          <w:p w:rsidR="00660C0E" w:rsidRPr="006F77B9" w:rsidRDefault="00660C0E" w:rsidP="00660C0E">
            <w:pPr>
              <w:jc w:val="right"/>
              <w:rPr>
                <w:rFonts w:ascii="Arial" w:hAnsi="Arial" w:cs="Arial"/>
                <w:sz w:val="12"/>
                <w:szCs w:val="12"/>
                <w:lang w:val="en-GB" w:eastAsia="en-CA"/>
              </w:rPr>
            </w:pPr>
          </w:p>
        </w:tc>
        <w:tc>
          <w:tcPr>
            <w:tcW w:w="284" w:type="dxa"/>
            <w:noWrap/>
            <w:vAlign w:val="center"/>
            <w:hideMark/>
          </w:tcPr>
          <w:p w:rsidR="00660C0E" w:rsidRPr="006F77B9" w:rsidRDefault="00660C0E" w:rsidP="00660C0E">
            <w:pPr>
              <w:jc w:val="right"/>
              <w:rPr>
                <w:rFonts w:ascii="Arial" w:hAnsi="Arial" w:cs="Arial"/>
                <w:sz w:val="12"/>
                <w:szCs w:val="12"/>
                <w:lang w:val="en-GB" w:eastAsia="en-CA"/>
              </w:rPr>
            </w:pPr>
          </w:p>
        </w:tc>
        <w:tc>
          <w:tcPr>
            <w:tcW w:w="1701" w:type="dxa"/>
            <w:noWrap/>
            <w:vAlign w:val="center"/>
            <w:hideMark/>
          </w:tcPr>
          <w:p w:rsidR="00660C0E" w:rsidRPr="006F77B9" w:rsidRDefault="00660C0E" w:rsidP="00660C0E">
            <w:pPr>
              <w:jc w:val="right"/>
              <w:rPr>
                <w:rFonts w:ascii="Arial" w:hAnsi="Arial" w:cs="Arial"/>
                <w:sz w:val="12"/>
                <w:szCs w:val="12"/>
                <w:lang w:val="en-GB" w:eastAsia="en-CA"/>
              </w:rPr>
            </w:pPr>
          </w:p>
        </w:tc>
      </w:tr>
      <w:tr w:rsidR="00660C0E" w:rsidRPr="00002604" w:rsidTr="00660C0E">
        <w:trPr>
          <w:trHeight w:val="20"/>
        </w:trPr>
        <w:tc>
          <w:tcPr>
            <w:tcW w:w="3539" w:type="dxa"/>
            <w:noWrap/>
            <w:vAlign w:val="center"/>
            <w:hideMark/>
          </w:tcPr>
          <w:p w:rsidR="00660C0E" w:rsidRPr="009E6947" w:rsidRDefault="00660C0E" w:rsidP="00660C0E">
            <w:pPr>
              <w:rPr>
                <w:rFonts w:ascii="Arial" w:hAnsi="Arial" w:cs="Arial"/>
                <w:b/>
                <w:color w:val="000000"/>
                <w:lang w:val="en-GB" w:eastAsia="en-CA"/>
              </w:rPr>
            </w:pPr>
            <w:r w:rsidRPr="009E6947">
              <w:rPr>
                <w:rFonts w:ascii="Arial" w:hAnsi="Arial" w:cs="Arial"/>
                <w:b/>
                <w:color w:val="000000"/>
                <w:lang w:val="en-GB" w:eastAsia="en-CA"/>
              </w:rPr>
              <w:t>Retained earnings, end of year</w:t>
            </w:r>
          </w:p>
        </w:tc>
        <w:tc>
          <w:tcPr>
            <w:tcW w:w="1843" w:type="dxa"/>
            <w:noWrap/>
            <w:vAlign w:val="center"/>
            <w:hideMark/>
          </w:tcPr>
          <w:p w:rsidR="00660C0E" w:rsidRPr="009E6947" w:rsidRDefault="00660C0E" w:rsidP="00660C0E">
            <w:pPr>
              <w:jc w:val="right"/>
              <w:rPr>
                <w:rFonts w:ascii="Arial" w:hAnsi="Arial" w:cs="Arial"/>
                <w:b/>
                <w:color w:val="000000"/>
                <w:lang w:val="en-GB" w:eastAsia="en-CA"/>
              </w:rPr>
            </w:pPr>
            <w:r w:rsidRPr="009E6947">
              <w:rPr>
                <w:rFonts w:ascii="Arial" w:hAnsi="Arial" w:cs="Arial"/>
                <w:b/>
                <w:color w:val="000000"/>
                <w:lang w:val="en-GB" w:eastAsia="en-CA"/>
              </w:rPr>
              <w:t>$ 65,084,512</w:t>
            </w:r>
          </w:p>
        </w:tc>
        <w:tc>
          <w:tcPr>
            <w:tcW w:w="283" w:type="dxa"/>
            <w:noWrap/>
            <w:vAlign w:val="center"/>
            <w:hideMark/>
          </w:tcPr>
          <w:p w:rsidR="00660C0E" w:rsidRPr="009E6947" w:rsidRDefault="00660C0E" w:rsidP="00660C0E">
            <w:pPr>
              <w:jc w:val="right"/>
              <w:rPr>
                <w:rFonts w:ascii="Arial" w:hAnsi="Arial" w:cs="Arial"/>
                <w:b/>
                <w:color w:val="000000"/>
                <w:lang w:val="en-GB" w:eastAsia="en-CA"/>
              </w:rPr>
            </w:pPr>
          </w:p>
        </w:tc>
        <w:tc>
          <w:tcPr>
            <w:tcW w:w="1701" w:type="dxa"/>
            <w:noWrap/>
            <w:vAlign w:val="center"/>
            <w:hideMark/>
          </w:tcPr>
          <w:p w:rsidR="00660C0E" w:rsidRPr="009E6947" w:rsidRDefault="00660C0E" w:rsidP="00660C0E">
            <w:pPr>
              <w:jc w:val="right"/>
              <w:rPr>
                <w:rFonts w:ascii="Arial" w:hAnsi="Arial" w:cs="Arial"/>
                <w:b/>
                <w:color w:val="000000"/>
                <w:lang w:val="en-GB" w:eastAsia="en-CA"/>
              </w:rPr>
            </w:pPr>
            <w:r w:rsidRPr="009E6947">
              <w:rPr>
                <w:rFonts w:ascii="Arial" w:hAnsi="Arial" w:cs="Arial"/>
                <w:b/>
                <w:color w:val="000000"/>
                <w:lang w:val="en-GB" w:eastAsia="en-CA"/>
              </w:rPr>
              <w:t>$ 64,540,529</w:t>
            </w:r>
          </w:p>
        </w:tc>
        <w:tc>
          <w:tcPr>
            <w:tcW w:w="284" w:type="dxa"/>
            <w:noWrap/>
            <w:vAlign w:val="center"/>
            <w:hideMark/>
          </w:tcPr>
          <w:p w:rsidR="00660C0E" w:rsidRPr="009E6947" w:rsidRDefault="00660C0E" w:rsidP="00660C0E">
            <w:pPr>
              <w:jc w:val="right"/>
              <w:rPr>
                <w:rFonts w:ascii="Arial" w:hAnsi="Arial" w:cs="Arial"/>
                <w:b/>
                <w:color w:val="000000"/>
                <w:lang w:val="en-GB" w:eastAsia="en-CA"/>
              </w:rPr>
            </w:pPr>
          </w:p>
        </w:tc>
        <w:tc>
          <w:tcPr>
            <w:tcW w:w="1701" w:type="dxa"/>
            <w:noWrap/>
            <w:vAlign w:val="center"/>
            <w:hideMark/>
          </w:tcPr>
          <w:p w:rsidR="00660C0E" w:rsidRPr="009E6947" w:rsidRDefault="00660C0E" w:rsidP="00660C0E">
            <w:pPr>
              <w:jc w:val="right"/>
              <w:rPr>
                <w:rFonts w:ascii="Arial" w:hAnsi="Arial" w:cs="Arial"/>
                <w:b/>
                <w:color w:val="000000"/>
                <w:lang w:val="en-GB" w:eastAsia="en-CA"/>
              </w:rPr>
            </w:pPr>
            <w:r w:rsidRPr="009E6947">
              <w:rPr>
                <w:rFonts w:ascii="Arial" w:hAnsi="Arial" w:cs="Arial"/>
                <w:b/>
                <w:color w:val="000000"/>
                <w:lang w:val="en-GB" w:eastAsia="en-CA"/>
              </w:rPr>
              <w:t>$ 64,147,680</w:t>
            </w:r>
          </w:p>
        </w:tc>
      </w:tr>
    </w:tbl>
    <w:p w:rsidR="00660C0E" w:rsidRPr="009E6947" w:rsidRDefault="00660C0E" w:rsidP="00D105E3">
      <w:pPr>
        <w:pStyle w:val="FootnoteText1"/>
        <w:rPr>
          <w:lang w:val="en-GB"/>
        </w:rPr>
      </w:pPr>
    </w:p>
    <w:p w:rsidR="00660C0E" w:rsidRPr="009E6947" w:rsidRDefault="00660C0E" w:rsidP="00D105E3">
      <w:pPr>
        <w:pStyle w:val="FootnoteText1"/>
        <w:rPr>
          <w:lang w:val="en-GB"/>
        </w:rPr>
      </w:pPr>
      <w:r w:rsidRPr="009E6947">
        <w:rPr>
          <w:lang w:val="en-GB"/>
        </w:rPr>
        <w:t>Source: Company files.</w:t>
      </w:r>
    </w:p>
    <w:p w:rsidR="00660C0E" w:rsidRPr="009E6947" w:rsidRDefault="00660C0E" w:rsidP="00D105E3">
      <w:pPr>
        <w:pStyle w:val="BodyTextMain"/>
        <w:rPr>
          <w:lang w:val="en-GB"/>
        </w:rPr>
      </w:pPr>
    </w:p>
    <w:p w:rsidR="00660C0E" w:rsidRPr="009E6947" w:rsidRDefault="00660C0E" w:rsidP="00D105E3">
      <w:pPr>
        <w:pStyle w:val="BodyTextMain"/>
        <w:rPr>
          <w:lang w:val="en-GB"/>
        </w:rPr>
      </w:pPr>
    </w:p>
    <w:p w:rsidR="00660C0E" w:rsidRPr="009E6947" w:rsidRDefault="00660C0E" w:rsidP="00D105E3">
      <w:pPr>
        <w:pStyle w:val="Casehead1"/>
        <w:jc w:val="center"/>
        <w:rPr>
          <w:lang w:val="en-GB"/>
        </w:rPr>
      </w:pPr>
      <w:r w:rsidRPr="009E6947">
        <w:rPr>
          <w:lang w:val="en-GB"/>
        </w:rPr>
        <w:t xml:space="preserve">EXHIBIT </w:t>
      </w:r>
      <w:r>
        <w:rPr>
          <w:lang w:val="en-GB"/>
        </w:rPr>
        <w:t>4</w:t>
      </w:r>
      <w:r w:rsidRPr="009E6947">
        <w:rPr>
          <w:lang w:val="en-GB"/>
        </w:rPr>
        <w:t>: BALANCE SHEETS (UNAUDITED) for years at December 31</w:t>
      </w:r>
    </w:p>
    <w:p w:rsidR="00660C0E" w:rsidRPr="006205B4" w:rsidRDefault="00660C0E" w:rsidP="00D105E3">
      <w:pPr>
        <w:pStyle w:val="BodyTextMain"/>
        <w:rPr>
          <w:sz w:val="18"/>
          <w:szCs w:val="18"/>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1559"/>
        <w:gridCol w:w="425"/>
        <w:gridCol w:w="1559"/>
        <w:gridCol w:w="426"/>
        <w:gridCol w:w="1558"/>
      </w:tblGrid>
      <w:tr w:rsidR="00660C0E" w:rsidRPr="00002604" w:rsidTr="00660C0E">
        <w:trPr>
          <w:trHeight w:val="20"/>
        </w:trPr>
        <w:tc>
          <w:tcPr>
            <w:tcW w:w="3823" w:type="dxa"/>
            <w:noWrap/>
            <w:hideMark/>
          </w:tcPr>
          <w:p w:rsidR="00660C0E" w:rsidRPr="009E6947" w:rsidRDefault="00660C0E" w:rsidP="00660C0E">
            <w:pPr>
              <w:rPr>
                <w:rFonts w:ascii="Arial" w:hAnsi="Arial" w:cs="Arial"/>
                <w:color w:val="000000"/>
                <w:lang w:val="en-GB" w:eastAsia="en-CA"/>
              </w:rPr>
            </w:pPr>
          </w:p>
        </w:tc>
        <w:tc>
          <w:tcPr>
            <w:tcW w:w="1559" w:type="dxa"/>
            <w:noWrap/>
            <w:vAlign w:val="center"/>
            <w:hideMark/>
          </w:tcPr>
          <w:p w:rsidR="00660C0E" w:rsidRPr="009E6947" w:rsidRDefault="00660C0E" w:rsidP="00660C0E">
            <w:pPr>
              <w:jc w:val="center"/>
              <w:rPr>
                <w:rFonts w:ascii="Arial" w:hAnsi="Arial" w:cs="Arial"/>
                <w:b/>
                <w:color w:val="000000"/>
                <w:lang w:val="en-GB" w:eastAsia="en-CA"/>
              </w:rPr>
            </w:pPr>
            <w:r w:rsidRPr="009E6947">
              <w:rPr>
                <w:rFonts w:ascii="Arial" w:hAnsi="Arial" w:cs="Arial"/>
                <w:b/>
                <w:color w:val="000000"/>
                <w:lang w:val="en-GB" w:eastAsia="en-CA"/>
              </w:rPr>
              <w:t>2013</w:t>
            </w:r>
          </w:p>
        </w:tc>
        <w:tc>
          <w:tcPr>
            <w:tcW w:w="425" w:type="dxa"/>
            <w:noWrap/>
            <w:vAlign w:val="center"/>
            <w:hideMark/>
          </w:tcPr>
          <w:p w:rsidR="00660C0E" w:rsidRPr="009E6947" w:rsidRDefault="00660C0E" w:rsidP="00660C0E">
            <w:pPr>
              <w:jc w:val="center"/>
              <w:rPr>
                <w:rFonts w:ascii="Arial" w:hAnsi="Arial" w:cs="Arial"/>
                <w:b/>
                <w:color w:val="000000"/>
                <w:lang w:val="en-GB" w:eastAsia="en-CA"/>
              </w:rPr>
            </w:pPr>
          </w:p>
        </w:tc>
        <w:tc>
          <w:tcPr>
            <w:tcW w:w="1559" w:type="dxa"/>
            <w:noWrap/>
            <w:vAlign w:val="center"/>
            <w:hideMark/>
          </w:tcPr>
          <w:p w:rsidR="00660C0E" w:rsidRPr="009E6947" w:rsidRDefault="00660C0E" w:rsidP="00660C0E">
            <w:pPr>
              <w:jc w:val="center"/>
              <w:rPr>
                <w:rFonts w:ascii="Arial" w:hAnsi="Arial" w:cs="Arial"/>
                <w:b/>
                <w:color w:val="000000"/>
                <w:lang w:val="en-GB" w:eastAsia="en-CA"/>
              </w:rPr>
            </w:pPr>
            <w:r w:rsidRPr="009E6947">
              <w:rPr>
                <w:rFonts w:ascii="Arial" w:hAnsi="Arial" w:cs="Arial"/>
                <w:b/>
                <w:color w:val="000000"/>
                <w:lang w:val="en-GB" w:eastAsia="en-CA"/>
              </w:rPr>
              <w:t>2012</w:t>
            </w:r>
          </w:p>
        </w:tc>
        <w:tc>
          <w:tcPr>
            <w:tcW w:w="426" w:type="dxa"/>
            <w:noWrap/>
            <w:vAlign w:val="center"/>
            <w:hideMark/>
          </w:tcPr>
          <w:p w:rsidR="00660C0E" w:rsidRPr="009E6947" w:rsidRDefault="00660C0E" w:rsidP="00660C0E">
            <w:pPr>
              <w:jc w:val="center"/>
              <w:rPr>
                <w:rFonts w:ascii="Arial" w:hAnsi="Arial" w:cs="Arial"/>
                <w:b/>
                <w:color w:val="000000"/>
                <w:lang w:val="en-GB" w:eastAsia="en-CA"/>
              </w:rPr>
            </w:pPr>
          </w:p>
        </w:tc>
        <w:tc>
          <w:tcPr>
            <w:tcW w:w="1558" w:type="dxa"/>
            <w:noWrap/>
            <w:vAlign w:val="center"/>
            <w:hideMark/>
          </w:tcPr>
          <w:p w:rsidR="00660C0E" w:rsidRPr="009E6947" w:rsidRDefault="00660C0E" w:rsidP="00660C0E">
            <w:pPr>
              <w:jc w:val="center"/>
              <w:rPr>
                <w:rFonts w:ascii="Arial" w:hAnsi="Arial" w:cs="Arial"/>
                <w:b/>
                <w:color w:val="000000"/>
                <w:lang w:val="en-GB" w:eastAsia="en-CA"/>
              </w:rPr>
            </w:pPr>
            <w:r w:rsidRPr="009E6947">
              <w:rPr>
                <w:rFonts w:ascii="Arial" w:hAnsi="Arial" w:cs="Arial"/>
                <w:b/>
                <w:color w:val="000000"/>
                <w:lang w:val="en-GB" w:eastAsia="en-CA"/>
              </w:rPr>
              <w:t>2011</w:t>
            </w: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b/>
                <w:color w:val="000000"/>
                <w:lang w:val="en-GB" w:eastAsia="en-CA"/>
              </w:rPr>
            </w:pPr>
            <w:r w:rsidRPr="009E6947">
              <w:rPr>
                <w:rFonts w:ascii="Arial" w:hAnsi="Arial" w:cs="Arial"/>
                <w:b/>
                <w:color w:val="000000"/>
                <w:lang w:val="en-GB" w:eastAsia="en-CA"/>
              </w:rPr>
              <w:t>Assets</w:t>
            </w:r>
          </w:p>
        </w:tc>
        <w:tc>
          <w:tcPr>
            <w:tcW w:w="1559" w:type="dxa"/>
            <w:noWrap/>
            <w:hideMark/>
          </w:tcPr>
          <w:p w:rsidR="00660C0E" w:rsidRPr="009E6947" w:rsidRDefault="00660C0E" w:rsidP="00660C0E">
            <w:pPr>
              <w:jc w:val="center"/>
              <w:rPr>
                <w:rFonts w:ascii="Arial" w:hAnsi="Arial" w:cs="Arial"/>
                <w:color w:val="000000"/>
                <w:lang w:val="en-GB" w:eastAsia="en-CA"/>
              </w:rPr>
            </w:pPr>
          </w:p>
        </w:tc>
        <w:tc>
          <w:tcPr>
            <w:tcW w:w="425" w:type="dxa"/>
            <w:noWrap/>
            <w:hideMark/>
          </w:tcPr>
          <w:p w:rsidR="00660C0E" w:rsidRPr="009E6947" w:rsidRDefault="00660C0E" w:rsidP="00660C0E">
            <w:pPr>
              <w:jc w:val="center"/>
              <w:rPr>
                <w:rFonts w:ascii="Arial" w:hAnsi="Arial" w:cs="Arial"/>
                <w:lang w:val="en-GB" w:eastAsia="en-CA"/>
              </w:rPr>
            </w:pPr>
          </w:p>
        </w:tc>
        <w:tc>
          <w:tcPr>
            <w:tcW w:w="1559" w:type="dxa"/>
            <w:noWrap/>
            <w:hideMark/>
          </w:tcPr>
          <w:p w:rsidR="00660C0E" w:rsidRPr="009E6947" w:rsidRDefault="00660C0E" w:rsidP="00660C0E">
            <w:pPr>
              <w:jc w:val="center"/>
              <w:rPr>
                <w:rFonts w:ascii="Arial" w:hAnsi="Arial" w:cs="Arial"/>
                <w:lang w:val="en-GB" w:eastAsia="en-CA"/>
              </w:rPr>
            </w:pPr>
          </w:p>
        </w:tc>
        <w:tc>
          <w:tcPr>
            <w:tcW w:w="426" w:type="dxa"/>
            <w:noWrap/>
            <w:hideMark/>
          </w:tcPr>
          <w:p w:rsidR="00660C0E" w:rsidRPr="009E6947" w:rsidRDefault="00660C0E" w:rsidP="00660C0E">
            <w:pPr>
              <w:jc w:val="center"/>
              <w:rPr>
                <w:rFonts w:ascii="Arial" w:hAnsi="Arial" w:cs="Arial"/>
                <w:lang w:val="en-GB" w:eastAsia="en-CA"/>
              </w:rPr>
            </w:pPr>
          </w:p>
        </w:tc>
        <w:tc>
          <w:tcPr>
            <w:tcW w:w="1558" w:type="dxa"/>
            <w:noWrap/>
            <w:hideMark/>
          </w:tcPr>
          <w:p w:rsidR="00660C0E" w:rsidRPr="009E6947" w:rsidRDefault="00660C0E" w:rsidP="00660C0E">
            <w:pPr>
              <w:jc w:val="center"/>
              <w:rPr>
                <w:rFonts w:ascii="Arial" w:hAnsi="Arial" w:cs="Arial"/>
                <w:color w:val="000000"/>
                <w:lang w:val="en-GB" w:eastAsia="en-CA"/>
              </w:rPr>
            </w:pP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Current assets:</w:t>
            </w:r>
          </w:p>
        </w:tc>
        <w:tc>
          <w:tcPr>
            <w:tcW w:w="1559" w:type="dxa"/>
            <w:noWrap/>
            <w:hideMark/>
          </w:tcPr>
          <w:p w:rsidR="00660C0E" w:rsidRPr="009E6947" w:rsidRDefault="00660C0E" w:rsidP="00660C0E">
            <w:pPr>
              <w:jc w:val="center"/>
              <w:rPr>
                <w:rFonts w:ascii="Arial" w:hAnsi="Arial" w:cs="Arial"/>
                <w:color w:val="000000"/>
                <w:lang w:val="en-GB" w:eastAsia="en-CA"/>
              </w:rPr>
            </w:pPr>
          </w:p>
        </w:tc>
        <w:tc>
          <w:tcPr>
            <w:tcW w:w="425" w:type="dxa"/>
            <w:noWrap/>
            <w:hideMark/>
          </w:tcPr>
          <w:p w:rsidR="00660C0E" w:rsidRPr="009E6947" w:rsidRDefault="00660C0E" w:rsidP="00660C0E">
            <w:pPr>
              <w:jc w:val="center"/>
              <w:rPr>
                <w:rFonts w:ascii="Arial" w:hAnsi="Arial" w:cs="Arial"/>
                <w:lang w:val="en-GB" w:eastAsia="en-CA"/>
              </w:rPr>
            </w:pPr>
          </w:p>
        </w:tc>
        <w:tc>
          <w:tcPr>
            <w:tcW w:w="1559" w:type="dxa"/>
            <w:noWrap/>
            <w:hideMark/>
          </w:tcPr>
          <w:p w:rsidR="00660C0E" w:rsidRPr="009E6947" w:rsidRDefault="00660C0E" w:rsidP="00660C0E">
            <w:pPr>
              <w:jc w:val="center"/>
              <w:rPr>
                <w:rFonts w:ascii="Arial" w:hAnsi="Arial" w:cs="Arial"/>
                <w:lang w:val="en-GB" w:eastAsia="en-CA"/>
              </w:rPr>
            </w:pPr>
          </w:p>
        </w:tc>
        <w:tc>
          <w:tcPr>
            <w:tcW w:w="426" w:type="dxa"/>
            <w:noWrap/>
            <w:hideMark/>
          </w:tcPr>
          <w:p w:rsidR="00660C0E" w:rsidRPr="009E6947" w:rsidRDefault="00660C0E" w:rsidP="00660C0E">
            <w:pPr>
              <w:jc w:val="center"/>
              <w:rPr>
                <w:rFonts w:ascii="Arial" w:hAnsi="Arial" w:cs="Arial"/>
                <w:lang w:val="en-GB" w:eastAsia="en-CA"/>
              </w:rPr>
            </w:pPr>
          </w:p>
        </w:tc>
        <w:tc>
          <w:tcPr>
            <w:tcW w:w="1558" w:type="dxa"/>
            <w:noWrap/>
            <w:hideMark/>
          </w:tcPr>
          <w:p w:rsidR="00660C0E" w:rsidRPr="009E6947" w:rsidRDefault="00660C0E" w:rsidP="00660C0E">
            <w:pPr>
              <w:jc w:val="center"/>
              <w:rPr>
                <w:rFonts w:ascii="Arial" w:hAnsi="Arial" w:cs="Arial"/>
                <w:color w:val="000000"/>
                <w:lang w:val="en-GB" w:eastAsia="en-CA"/>
              </w:rPr>
            </w:pP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Cash</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$ 0</w:t>
            </w:r>
          </w:p>
        </w:tc>
        <w:tc>
          <w:tcPr>
            <w:tcW w:w="425" w:type="dxa"/>
            <w:noWrap/>
            <w:vAlign w:val="center"/>
            <w:hideMark/>
          </w:tcPr>
          <w:p w:rsidR="00660C0E" w:rsidRPr="009E6947" w:rsidRDefault="00660C0E" w:rsidP="00660C0E">
            <w:pPr>
              <w:jc w:val="right"/>
              <w:rPr>
                <w:rFonts w:ascii="Arial" w:hAnsi="Arial" w:cs="Arial"/>
                <w:color w:val="000000"/>
                <w:lang w:val="en-GB" w:eastAsia="en-CA"/>
              </w:rPr>
            </w:pP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$ 665,582</w:t>
            </w:r>
          </w:p>
        </w:tc>
        <w:tc>
          <w:tcPr>
            <w:tcW w:w="426" w:type="dxa"/>
            <w:noWrap/>
            <w:vAlign w:val="center"/>
            <w:hideMark/>
          </w:tcPr>
          <w:p w:rsidR="00660C0E" w:rsidRPr="009E6947" w:rsidRDefault="00660C0E" w:rsidP="00660C0E">
            <w:pPr>
              <w:jc w:val="right"/>
              <w:rPr>
                <w:rFonts w:ascii="Arial" w:hAnsi="Arial" w:cs="Arial"/>
                <w:color w:val="000000"/>
                <w:lang w:val="en-GB" w:eastAsia="en-CA"/>
              </w:rPr>
            </w:pPr>
          </w:p>
        </w:tc>
        <w:tc>
          <w:tcPr>
            <w:tcW w:w="1558"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$ 412,332</w:t>
            </w: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Accounts receivable</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$ 61,762</w:t>
            </w:r>
          </w:p>
        </w:tc>
        <w:tc>
          <w:tcPr>
            <w:tcW w:w="425" w:type="dxa"/>
            <w:noWrap/>
            <w:vAlign w:val="center"/>
            <w:hideMark/>
          </w:tcPr>
          <w:p w:rsidR="00660C0E" w:rsidRPr="009E6947" w:rsidRDefault="00660C0E" w:rsidP="00660C0E">
            <w:pPr>
              <w:jc w:val="right"/>
              <w:rPr>
                <w:rFonts w:ascii="Arial" w:hAnsi="Arial" w:cs="Arial"/>
                <w:color w:val="000000"/>
                <w:lang w:val="en-GB" w:eastAsia="en-CA"/>
              </w:rPr>
            </w:pP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$ 94,674</w:t>
            </w:r>
          </w:p>
        </w:tc>
        <w:tc>
          <w:tcPr>
            <w:tcW w:w="426" w:type="dxa"/>
            <w:noWrap/>
            <w:vAlign w:val="center"/>
            <w:hideMark/>
          </w:tcPr>
          <w:p w:rsidR="00660C0E" w:rsidRPr="009E6947" w:rsidRDefault="00660C0E" w:rsidP="00660C0E">
            <w:pPr>
              <w:jc w:val="right"/>
              <w:rPr>
                <w:rFonts w:ascii="Arial" w:hAnsi="Arial" w:cs="Arial"/>
                <w:color w:val="000000"/>
                <w:lang w:val="en-GB" w:eastAsia="en-CA"/>
              </w:rPr>
            </w:pPr>
          </w:p>
        </w:tc>
        <w:tc>
          <w:tcPr>
            <w:tcW w:w="1558"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$ 275,627</w:t>
            </w: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Prepaid expenses</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$ 50,834</w:t>
            </w:r>
          </w:p>
        </w:tc>
        <w:tc>
          <w:tcPr>
            <w:tcW w:w="425" w:type="dxa"/>
            <w:noWrap/>
            <w:vAlign w:val="center"/>
            <w:hideMark/>
          </w:tcPr>
          <w:p w:rsidR="00660C0E" w:rsidRPr="009E6947" w:rsidRDefault="00660C0E" w:rsidP="00660C0E">
            <w:pPr>
              <w:jc w:val="right"/>
              <w:rPr>
                <w:rFonts w:ascii="Arial" w:hAnsi="Arial" w:cs="Arial"/>
                <w:color w:val="000000"/>
                <w:lang w:val="en-GB" w:eastAsia="en-CA"/>
              </w:rPr>
            </w:pP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$ 49,599</w:t>
            </w:r>
          </w:p>
        </w:tc>
        <w:tc>
          <w:tcPr>
            <w:tcW w:w="426" w:type="dxa"/>
            <w:noWrap/>
            <w:vAlign w:val="center"/>
            <w:hideMark/>
          </w:tcPr>
          <w:p w:rsidR="00660C0E" w:rsidRPr="009E6947" w:rsidRDefault="00660C0E" w:rsidP="00660C0E">
            <w:pPr>
              <w:jc w:val="right"/>
              <w:rPr>
                <w:rFonts w:ascii="Arial" w:hAnsi="Arial" w:cs="Arial"/>
                <w:color w:val="000000"/>
                <w:lang w:val="en-GB" w:eastAsia="en-CA"/>
              </w:rPr>
            </w:pPr>
          </w:p>
        </w:tc>
        <w:tc>
          <w:tcPr>
            <w:tcW w:w="1558"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$ 16,865</w:t>
            </w: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Due from related parties</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$ 83,316</w:t>
            </w:r>
          </w:p>
        </w:tc>
        <w:tc>
          <w:tcPr>
            <w:tcW w:w="425" w:type="dxa"/>
            <w:noWrap/>
            <w:vAlign w:val="center"/>
            <w:hideMark/>
          </w:tcPr>
          <w:p w:rsidR="00660C0E" w:rsidRPr="009E6947" w:rsidRDefault="00660C0E" w:rsidP="00660C0E">
            <w:pPr>
              <w:jc w:val="right"/>
              <w:rPr>
                <w:rFonts w:ascii="Arial" w:hAnsi="Arial" w:cs="Arial"/>
                <w:color w:val="000000"/>
                <w:lang w:val="en-GB" w:eastAsia="en-CA"/>
              </w:rPr>
            </w:pP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$ 64,507</w:t>
            </w:r>
          </w:p>
        </w:tc>
        <w:tc>
          <w:tcPr>
            <w:tcW w:w="426" w:type="dxa"/>
            <w:noWrap/>
            <w:vAlign w:val="center"/>
            <w:hideMark/>
          </w:tcPr>
          <w:p w:rsidR="00660C0E" w:rsidRPr="009E6947" w:rsidRDefault="00660C0E" w:rsidP="00660C0E">
            <w:pPr>
              <w:jc w:val="right"/>
              <w:rPr>
                <w:rFonts w:ascii="Arial" w:hAnsi="Arial" w:cs="Arial"/>
                <w:color w:val="000000"/>
                <w:lang w:val="en-GB" w:eastAsia="en-CA"/>
              </w:rPr>
            </w:pPr>
          </w:p>
        </w:tc>
        <w:tc>
          <w:tcPr>
            <w:tcW w:w="1558"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$ 312,541</w:t>
            </w: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Deposits</w:t>
            </w:r>
          </w:p>
        </w:tc>
        <w:tc>
          <w:tcPr>
            <w:tcW w:w="1559"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$ 10,590</w:t>
            </w:r>
          </w:p>
        </w:tc>
        <w:tc>
          <w:tcPr>
            <w:tcW w:w="425" w:type="dxa"/>
            <w:noWrap/>
            <w:vAlign w:val="center"/>
            <w:hideMark/>
          </w:tcPr>
          <w:p w:rsidR="00660C0E" w:rsidRPr="009E6947" w:rsidRDefault="00660C0E" w:rsidP="00660C0E">
            <w:pPr>
              <w:jc w:val="right"/>
              <w:rPr>
                <w:rFonts w:ascii="Arial" w:hAnsi="Arial" w:cs="Arial"/>
                <w:color w:val="000000"/>
                <w:u w:val="single"/>
                <w:lang w:val="en-GB" w:eastAsia="en-CA"/>
              </w:rPr>
            </w:pPr>
          </w:p>
        </w:tc>
        <w:tc>
          <w:tcPr>
            <w:tcW w:w="1559"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$ 10,590</w:t>
            </w:r>
          </w:p>
        </w:tc>
        <w:tc>
          <w:tcPr>
            <w:tcW w:w="426" w:type="dxa"/>
            <w:noWrap/>
            <w:vAlign w:val="center"/>
            <w:hideMark/>
          </w:tcPr>
          <w:p w:rsidR="00660C0E" w:rsidRPr="009E6947" w:rsidRDefault="00660C0E" w:rsidP="00660C0E">
            <w:pPr>
              <w:jc w:val="right"/>
              <w:rPr>
                <w:rFonts w:ascii="Arial" w:hAnsi="Arial" w:cs="Arial"/>
                <w:color w:val="000000"/>
                <w:u w:val="single"/>
                <w:lang w:val="en-GB" w:eastAsia="en-CA"/>
              </w:rPr>
            </w:pPr>
          </w:p>
        </w:tc>
        <w:tc>
          <w:tcPr>
            <w:tcW w:w="1558"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$ 128,407</w:t>
            </w: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Total current assets</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$ 206,502</w:t>
            </w:r>
          </w:p>
        </w:tc>
        <w:tc>
          <w:tcPr>
            <w:tcW w:w="425" w:type="dxa"/>
            <w:noWrap/>
            <w:vAlign w:val="center"/>
            <w:hideMark/>
          </w:tcPr>
          <w:p w:rsidR="00660C0E" w:rsidRPr="009E6947" w:rsidRDefault="00660C0E" w:rsidP="00660C0E">
            <w:pPr>
              <w:jc w:val="right"/>
              <w:rPr>
                <w:rFonts w:ascii="Arial" w:hAnsi="Arial" w:cs="Arial"/>
                <w:color w:val="000000"/>
                <w:lang w:val="en-GB" w:eastAsia="en-CA"/>
              </w:rPr>
            </w:pP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$ 884,952</w:t>
            </w:r>
          </w:p>
        </w:tc>
        <w:tc>
          <w:tcPr>
            <w:tcW w:w="426" w:type="dxa"/>
            <w:noWrap/>
            <w:vAlign w:val="center"/>
            <w:hideMark/>
          </w:tcPr>
          <w:p w:rsidR="00660C0E" w:rsidRPr="009E6947" w:rsidRDefault="00660C0E" w:rsidP="00660C0E">
            <w:pPr>
              <w:jc w:val="right"/>
              <w:rPr>
                <w:rFonts w:ascii="Arial" w:hAnsi="Arial" w:cs="Arial"/>
                <w:color w:val="000000"/>
                <w:lang w:val="en-GB" w:eastAsia="en-CA"/>
              </w:rPr>
            </w:pPr>
          </w:p>
        </w:tc>
        <w:tc>
          <w:tcPr>
            <w:tcW w:w="1558"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$ 1,145,772</w:t>
            </w: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 </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p>
        </w:tc>
        <w:tc>
          <w:tcPr>
            <w:tcW w:w="425" w:type="dxa"/>
            <w:noWrap/>
            <w:vAlign w:val="center"/>
            <w:hideMark/>
          </w:tcPr>
          <w:p w:rsidR="00660C0E" w:rsidRPr="009E6947" w:rsidRDefault="00660C0E" w:rsidP="00660C0E">
            <w:pPr>
              <w:jc w:val="right"/>
              <w:rPr>
                <w:rFonts w:ascii="Arial" w:hAnsi="Arial" w:cs="Arial"/>
                <w:lang w:val="en-GB" w:eastAsia="en-CA"/>
              </w:rPr>
            </w:pPr>
          </w:p>
        </w:tc>
        <w:tc>
          <w:tcPr>
            <w:tcW w:w="1559" w:type="dxa"/>
            <w:noWrap/>
            <w:vAlign w:val="center"/>
            <w:hideMark/>
          </w:tcPr>
          <w:p w:rsidR="00660C0E" w:rsidRPr="009E6947" w:rsidRDefault="00660C0E" w:rsidP="00660C0E">
            <w:pPr>
              <w:jc w:val="right"/>
              <w:rPr>
                <w:rFonts w:ascii="Arial" w:hAnsi="Arial" w:cs="Arial"/>
                <w:lang w:val="en-GB" w:eastAsia="en-CA"/>
              </w:rPr>
            </w:pPr>
          </w:p>
        </w:tc>
        <w:tc>
          <w:tcPr>
            <w:tcW w:w="426" w:type="dxa"/>
            <w:noWrap/>
            <w:vAlign w:val="center"/>
            <w:hideMark/>
          </w:tcPr>
          <w:p w:rsidR="00660C0E" w:rsidRPr="009E6947" w:rsidRDefault="00660C0E" w:rsidP="00660C0E">
            <w:pPr>
              <w:jc w:val="right"/>
              <w:rPr>
                <w:rFonts w:ascii="Arial" w:hAnsi="Arial" w:cs="Arial"/>
                <w:lang w:val="en-GB" w:eastAsia="en-CA"/>
              </w:rPr>
            </w:pPr>
          </w:p>
        </w:tc>
        <w:tc>
          <w:tcPr>
            <w:tcW w:w="1558" w:type="dxa"/>
            <w:noWrap/>
            <w:vAlign w:val="center"/>
            <w:hideMark/>
          </w:tcPr>
          <w:p w:rsidR="00660C0E" w:rsidRPr="009E6947" w:rsidRDefault="00660C0E" w:rsidP="00660C0E">
            <w:pPr>
              <w:jc w:val="right"/>
              <w:rPr>
                <w:rFonts w:ascii="Arial" w:hAnsi="Arial" w:cs="Arial"/>
                <w:color w:val="000000"/>
                <w:lang w:val="en-GB" w:eastAsia="en-CA"/>
              </w:rPr>
            </w:pP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Fixed assets:</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p>
        </w:tc>
        <w:tc>
          <w:tcPr>
            <w:tcW w:w="425" w:type="dxa"/>
            <w:noWrap/>
            <w:vAlign w:val="center"/>
            <w:hideMark/>
          </w:tcPr>
          <w:p w:rsidR="00660C0E" w:rsidRPr="009E6947" w:rsidRDefault="00660C0E" w:rsidP="00660C0E">
            <w:pPr>
              <w:jc w:val="right"/>
              <w:rPr>
                <w:rFonts w:ascii="Arial" w:hAnsi="Arial" w:cs="Arial"/>
                <w:lang w:val="en-GB" w:eastAsia="en-CA"/>
              </w:rPr>
            </w:pPr>
          </w:p>
        </w:tc>
        <w:tc>
          <w:tcPr>
            <w:tcW w:w="1559" w:type="dxa"/>
            <w:noWrap/>
            <w:vAlign w:val="center"/>
            <w:hideMark/>
          </w:tcPr>
          <w:p w:rsidR="00660C0E" w:rsidRPr="009E6947" w:rsidRDefault="00660C0E" w:rsidP="00660C0E">
            <w:pPr>
              <w:jc w:val="right"/>
              <w:rPr>
                <w:rFonts w:ascii="Arial" w:hAnsi="Arial" w:cs="Arial"/>
                <w:lang w:val="en-GB" w:eastAsia="en-CA"/>
              </w:rPr>
            </w:pPr>
          </w:p>
        </w:tc>
        <w:tc>
          <w:tcPr>
            <w:tcW w:w="426" w:type="dxa"/>
            <w:noWrap/>
            <w:vAlign w:val="center"/>
            <w:hideMark/>
          </w:tcPr>
          <w:p w:rsidR="00660C0E" w:rsidRPr="009E6947" w:rsidRDefault="00660C0E" w:rsidP="00660C0E">
            <w:pPr>
              <w:jc w:val="right"/>
              <w:rPr>
                <w:rFonts w:ascii="Arial" w:hAnsi="Arial" w:cs="Arial"/>
                <w:lang w:val="en-GB" w:eastAsia="en-CA"/>
              </w:rPr>
            </w:pPr>
          </w:p>
        </w:tc>
        <w:tc>
          <w:tcPr>
            <w:tcW w:w="1558" w:type="dxa"/>
            <w:noWrap/>
            <w:vAlign w:val="center"/>
            <w:hideMark/>
          </w:tcPr>
          <w:p w:rsidR="00660C0E" w:rsidRPr="009E6947" w:rsidRDefault="00660C0E" w:rsidP="00660C0E">
            <w:pPr>
              <w:jc w:val="right"/>
              <w:rPr>
                <w:rFonts w:ascii="Arial" w:hAnsi="Arial" w:cs="Arial"/>
                <w:color w:val="000000"/>
                <w:lang w:val="en-GB" w:eastAsia="en-CA"/>
              </w:rPr>
            </w:pP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Deferred costs and other assets</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$ 300,646</w:t>
            </w:r>
          </w:p>
        </w:tc>
        <w:tc>
          <w:tcPr>
            <w:tcW w:w="425" w:type="dxa"/>
            <w:noWrap/>
            <w:vAlign w:val="center"/>
            <w:hideMark/>
          </w:tcPr>
          <w:p w:rsidR="00660C0E" w:rsidRPr="009E6947" w:rsidRDefault="00660C0E" w:rsidP="00660C0E">
            <w:pPr>
              <w:jc w:val="right"/>
              <w:rPr>
                <w:rFonts w:ascii="Arial" w:hAnsi="Arial" w:cs="Arial"/>
                <w:color w:val="000000"/>
                <w:lang w:val="en-GB" w:eastAsia="en-CA"/>
              </w:rPr>
            </w:pP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$ 268,914</w:t>
            </w:r>
          </w:p>
        </w:tc>
        <w:tc>
          <w:tcPr>
            <w:tcW w:w="426" w:type="dxa"/>
            <w:noWrap/>
            <w:vAlign w:val="center"/>
            <w:hideMark/>
          </w:tcPr>
          <w:p w:rsidR="00660C0E" w:rsidRPr="009E6947" w:rsidRDefault="00660C0E" w:rsidP="00660C0E">
            <w:pPr>
              <w:jc w:val="right"/>
              <w:rPr>
                <w:rFonts w:ascii="Arial" w:hAnsi="Arial" w:cs="Arial"/>
                <w:color w:val="000000"/>
                <w:lang w:val="en-GB" w:eastAsia="en-CA"/>
              </w:rPr>
            </w:pPr>
          </w:p>
        </w:tc>
        <w:tc>
          <w:tcPr>
            <w:tcW w:w="1558"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$ 221,240</w:t>
            </w: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 xml:space="preserve">Land </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$ 34,231,695</w:t>
            </w:r>
          </w:p>
        </w:tc>
        <w:tc>
          <w:tcPr>
            <w:tcW w:w="425" w:type="dxa"/>
            <w:noWrap/>
            <w:vAlign w:val="center"/>
            <w:hideMark/>
          </w:tcPr>
          <w:p w:rsidR="00660C0E" w:rsidRPr="009E6947" w:rsidRDefault="00660C0E" w:rsidP="00660C0E">
            <w:pPr>
              <w:jc w:val="right"/>
              <w:rPr>
                <w:rFonts w:ascii="Arial" w:hAnsi="Arial" w:cs="Arial"/>
                <w:color w:val="000000"/>
                <w:lang w:val="en-GB" w:eastAsia="en-CA"/>
              </w:rPr>
            </w:pP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$ 32,259,918</w:t>
            </w:r>
          </w:p>
        </w:tc>
        <w:tc>
          <w:tcPr>
            <w:tcW w:w="426" w:type="dxa"/>
            <w:noWrap/>
            <w:vAlign w:val="center"/>
            <w:hideMark/>
          </w:tcPr>
          <w:p w:rsidR="00660C0E" w:rsidRPr="009E6947" w:rsidRDefault="00660C0E" w:rsidP="00660C0E">
            <w:pPr>
              <w:jc w:val="right"/>
              <w:rPr>
                <w:rFonts w:ascii="Arial" w:hAnsi="Arial" w:cs="Arial"/>
                <w:color w:val="000000"/>
                <w:lang w:val="en-GB" w:eastAsia="en-CA"/>
              </w:rPr>
            </w:pPr>
          </w:p>
        </w:tc>
        <w:tc>
          <w:tcPr>
            <w:tcW w:w="1558"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$ 32,652,120</w:t>
            </w: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Net buildings and improvements</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$ 63,252,388</w:t>
            </w:r>
          </w:p>
        </w:tc>
        <w:tc>
          <w:tcPr>
            <w:tcW w:w="425" w:type="dxa"/>
            <w:noWrap/>
            <w:vAlign w:val="center"/>
            <w:hideMark/>
          </w:tcPr>
          <w:p w:rsidR="00660C0E" w:rsidRPr="009E6947" w:rsidRDefault="00660C0E" w:rsidP="00660C0E">
            <w:pPr>
              <w:jc w:val="right"/>
              <w:rPr>
                <w:rFonts w:ascii="Arial" w:hAnsi="Arial" w:cs="Arial"/>
                <w:color w:val="000000"/>
                <w:lang w:val="en-GB" w:eastAsia="en-CA"/>
              </w:rPr>
            </w:pP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$ 64,429,137</w:t>
            </w:r>
          </w:p>
        </w:tc>
        <w:tc>
          <w:tcPr>
            <w:tcW w:w="426" w:type="dxa"/>
            <w:noWrap/>
            <w:vAlign w:val="center"/>
            <w:hideMark/>
          </w:tcPr>
          <w:p w:rsidR="00660C0E" w:rsidRPr="009E6947" w:rsidRDefault="00660C0E" w:rsidP="00660C0E">
            <w:pPr>
              <w:jc w:val="right"/>
              <w:rPr>
                <w:rFonts w:ascii="Arial" w:hAnsi="Arial" w:cs="Arial"/>
                <w:color w:val="000000"/>
                <w:lang w:val="en-GB" w:eastAsia="en-CA"/>
              </w:rPr>
            </w:pPr>
          </w:p>
        </w:tc>
        <w:tc>
          <w:tcPr>
            <w:tcW w:w="1558"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$ 65,212,440</w:t>
            </w: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Net furniture and equipment</w:t>
            </w:r>
          </w:p>
        </w:tc>
        <w:tc>
          <w:tcPr>
            <w:tcW w:w="1559"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$ 4,618,405</w:t>
            </w:r>
          </w:p>
        </w:tc>
        <w:tc>
          <w:tcPr>
            <w:tcW w:w="425" w:type="dxa"/>
            <w:noWrap/>
            <w:vAlign w:val="center"/>
            <w:hideMark/>
          </w:tcPr>
          <w:p w:rsidR="00660C0E" w:rsidRPr="009E6947" w:rsidRDefault="00660C0E" w:rsidP="00660C0E">
            <w:pPr>
              <w:jc w:val="right"/>
              <w:rPr>
                <w:rFonts w:ascii="Arial" w:hAnsi="Arial" w:cs="Arial"/>
                <w:color w:val="000000"/>
                <w:u w:val="single"/>
                <w:lang w:val="en-GB" w:eastAsia="en-CA"/>
              </w:rPr>
            </w:pPr>
          </w:p>
        </w:tc>
        <w:tc>
          <w:tcPr>
            <w:tcW w:w="1559"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$ 4,712,945</w:t>
            </w:r>
          </w:p>
        </w:tc>
        <w:tc>
          <w:tcPr>
            <w:tcW w:w="426" w:type="dxa"/>
            <w:noWrap/>
            <w:vAlign w:val="center"/>
            <w:hideMark/>
          </w:tcPr>
          <w:p w:rsidR="00660C0E" w:rsidRPr="009E6947" w:rsidRDefault="00660C0E" w:rsidP="00660C0E">
            <w:pPr>
              <w:jc w:val="right"/>
              <w:rPr>
                <w:rFonts w:ascii="Arial" w:hAnsi="Arial" w:cs="Arial"/>
                <w:color w:val="000000"/>
                <w:u w:val="single"/>
                <w:lang w:val="en-GB" w:eastAsia="en-CA"/>
              </w:rPr>
            </w:pPr>
          </w:p>
        </w:tc>
        <w:tc>
          <w:tcPr>
            <w:tcW w:w="1558"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$ 4,770,243</w:t>
            </w: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Net fixed assets</w:t>
            </w:r>
          </w:p>
        </w:tc>
        <w:tc>
          <w:tcPr>
            <w:tcW w:w="1559"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$ 102,403,134</w:t>
            </w:r>
          </w:p>
        </w:tc>
        <w:tc>
          <w:tcPr>
            <w:tcW w:w="425" w:type="dxa"/>
            <w:noWrap/>
            <w:vAlign w:val="center"/>
            <w:hideMark/>
          </w:tcPr>
          <w:p w:rsidR="00660C0E" w:rsidRPr="009E6947" w:rsidRDefault="00660C0E" w:rsidP="00660C0E">
            <w:pPr>
              <w:jc w:val="right"/>
              <w:rPr>
                <w:rFonts w:ascii="Arial" w:hAnsi="Arial" w:cs="Arial"/>
                <w:color w:val="000000"/>
                <w:u w:val="single"/>
                <w:lang w:val="en-GB" w:eastAsia="en-CA"/>
              </w:rPr>
            </w:pPr>
          </w:p>
        </w:tc>
        <w:tc>
          <w:tcPr>
            <w:tcW w:w="1559"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$ 101,670,914</w:t>
            </w:r>
          </w:p>
        </w:tc>
        <w:tc>
          <w:tcPr>
            <w:tcW w:w="426" w:type="dxa"/>
            <w:noWrap/>
            <w:vAlign w:val="center"/>
            <w:hideMark/>
          </w:tcPr>
          <w:p w:rsidR="00660C0E" w:rsidRPr="009E6947" w:rsidRDefault="00660C0E" w:rsidP="00660C0E">
            <w:pPr>
              <w:jc w:val="right"/>
              <w:rPr>
                <w:rFonts w:ascii="Arial" w:hAnsi="Arial" w:cs="Arial"/>
                <w:color w:val="000000"/>
                <w:u w:val="single"/>
                <w:lang w:val="en-GB" w:eastAsia="en-CA"/>
              </w:rPr>
            </w:pPr>
          </w:p>
        </w:tc>
        <w:tc>
          <w:tcPr>
            <w:tcW w:w="1558"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$ 102,856,043</w:t>
            </w: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b/>
                <w:color w:val="000000"/>
                <w:lang w:val="en-GB" w:eastAsia="en-CA"/>
              </w:rPr>
            </w:pPr>
            <w:r w:rsidRPr="009E6947">
              <w:rPr>
                <w:rFonts w:ascii="Arial" w:hAnsi="Arial" w:cs="Arial"/>
                <w:b/>
                <w:color w:val="000000"/>
                <w:lang w:val="en-GB" w:eastAsia="en-CA"/>
              </w:rPr>
              <w:t>Total assets</w:t>
            </w:r>
          </w:p>
        </w:tc>
        <w:tc>
          <w:tcPr>
            <w:tcW w:w="1559" w:type="dxa"/>
            <w:noWrap/>
            <w:vAlign w:val="center"/>
            <w:hideMark/>
          </w:tcPr>
          <w:p w:rsidR="00660C0E" w:rsidRPr="009E6947" w:rsidRDefault="00660C0E" w:rsidP="00660C0E">
            <w:pPr>
              <w:jc w:val="right"/>
              <w:rPr>
                <w:rFonts w:ascii="Arial" w:hAnsi="Arial" w:cs="Arial"/>
                <w:b/>
                <w:color w:val="000000"/>
                <w:lang w:val="en-GB" w:eastAsia="en-CA"/>
              </w:rPr>
            </w:pPr>
            <w:r w:rsidRPr="009E6947">
              <w:rPr>
                <w:rFonts w:ascii="Arial" w:hAnsi="Arial" w:cs="Arial"/>
                <w:b/>
                <w:color w:val="000000"/>
                <w:lang w:val="en-GB" w:eastAsia="en-CA"/>
              </w:rPr>
              <w:t>$ 102,609,636</w:t>
            </w:r>
          </w:p>
        </w:tc>
        <w:tc>
          <w:tcPr>
            <w:tcW w:w="425" w:type="dxa"/>
            <w:noWrap/>
            <w:vAlign w:val="center"/>
            <w:hideMark/>
          </w:tcPr>
          <w:p w:rsidR="00660C0E" w:rsidRPr="009E6947" w:rsidRDefault="00660C0E" w:rsidP="00660C0E">
            <w:pPr>
              <w:jc w:val="right"/>
              <w:rPr>
                <w:rFonts w:ascii="Arial" w:hAnsi="Arial" w:cs="Arial"/>
                <w:b/>
                <w:color w:val="000000"/>
                <w:lang w:val="en-GB" w:eastAsia="en-CA"/>
              </w:rPr>
            </w:pPr>
          </w:p>
        </w:tc>
        <w:tc>
          <w:tcPr>
            <w:tcW w:w="1559" w:type="dxa"/>
            <w:noWrap/>
            <w:vAlign w:val="center"/>
            <w:hideMark/>
          </w:tcPr>
          <w:p w:rsidR="00660C0E" w:rsidRPr="009E6947" w:rsidRDefault="00660C0E" w:rsidP="00660C0E">
            <w:pPr>
              <w:jc w:val="right"/>
              <w:rPr>
                <w:rFonts w:ascii="Arial" w:hAnsi="Arial" w:cs="Arial"/>
                <w:b/>
                <w:color w:val="000000"/>
                <w:lang w:val="en-GB" w:eastAsia="en-CA"/>
              </w:rPr>
            </w:pPr>
            <w:r w:rsidRPr="009E6947">
              <w:rPr>
                <w:rFonts w:ascii="Arial" w:hAnsi="Arial" w:cs="Arial"/>
                <w:b/>
                <w:color w:val="000000"/>
                <w:lang w:val="en-GB" w:eastAsia="en-CA"/>
              </w:rPr>
              <w:t>$ 102,555,866</w:t>
            </w:r>
          </w:p>
        </w:tc>
        <w:tc>
          <w:tcPr>
            <w:tcW w:w="426" w:type="dxa"/>
            <w:noWrap/>
            <w:vAlign w:val="center"/>
            <w:hideMark/>
          </w:tcPr>
          <w:p w:rsidR="00660C0E" w:rsidRPr="009E6947" w:rsidRDefault="00660C0E" w:rsidP="00660C0E">
            <w:pPr>
              <w:jc w:val="right"/>
              <w:rPr>
                <w:rFonts w:ascii="Arial" w:hAnsi="Arial" w:cs="Arial"/>
                <w:b/>
                <w:color w:val="000000"/>
                <w:lang w:val="en-GB" w:eastAsia="en-CA"/>
              </w:rPr>
            </w:pPr>
          </w:p>
        </w:tc>
        <w:tc>
          <w:tcPr>
            <w:tcW w:w="1558" w:type="dxa"/>
            <w:noWrap/>
            <w:vAlign w:val="center"/>
            <w:hideMark/>
          </w:tcPr>
          <w:p w:rsidR="00660C0E" w:rsidRPr="009E6947" w:rsidRDefault="00660C0E" w:rsidP="00660C0E">
            <w:pPr>
              <w:jc w:val="right"/>
              <w:rPr>
                <w:rFonts w:ascii="Arial" w:hAnsi="Arial" w:cs="Arial"/>
                <w:b/>
                <w:color w:val="000000"/>
                <w:lang w:val="en-GB" w:eastAsia="en-CA"/>
              </w:rPr>
            </w:pPr>
            <w:r w:rsidRPr="009E6947">
              <w:rPr>
                <w:rFonts w:ascii="Arial" w:hAnsi="Arial" w:cs="Arial"/>
                <w:b/>
                <w:color w:val="000000"/>
                <w:lang w:val="en-GB" w:eastAsia="en-CA"/>
              </w:rPr>
              <w:t>$ 104,001,815</w:t>
            </w:r>
          </w:p>
        </w:tc>
      </w:tr>
      <w:tr w:rsidR="00660C0E" w:rsidRPr="006F77B9" w:rsidTr="00660C0E">
        <w:trPr>
          <w:trHeight w:val="20"/>
        </w:trPr>
        <w:tc>
          <w:tcPr>
            <w:tcW w:w="3823" w:type="dxa"/>
            <w:noWrap/>
            <w:vAlign w:val="center"/>
            <w:hideMark/>
          </w:tcPr>
          <w:p w:rsidR="00660C0E" w:rsidRPr="006F77B9" w:rsidRDefault="00660C0E" w:rsidP="00660C0E">
            <w:pPr>
              <w:rPr>
                <w:rFonts w:ascii="Arial" w:hAnsi="Arial" w:cs="Arial"/>
                <w:color w:val="000000"/>
                <w:sz w:val="12"/>
                <w:szCs w:val="12"/>
                <w:lang w:val="en-GB" w:eastAsia="en-CA"/>
              </w:rPr>
            </w:pPr>
            <w:r w:rsidRPr="006F77B9">
              <w:rPr>
                <w:rFonts w:ascii="Arial" w:hAnsi="Arial" w:cs="Arial"/>
                <w:color w:val="000000"/>
                <w:sz w:val="12"/>
                <w:szCs w:val="12"/>
                <w:lang w:val="en-GB" w:eastAsia="en-CA"/>
              </w:rPr>
              <w:t> </w:t>
            </w:r>
          </w:p>
        </w:tc>
        <w:tc>
          <w:tcPr>
            <w:tcW w:w="1559" w:type="dxa"/>
            <w:noWrap/>
            <w:vAlign w:val="center"/>
            <w:hideMark/>
          </w:tcPr>
          <w:p w:rsidR="00660C0E" w:rsidRPr="006F77B9" w:rsidRDefault="00660C0E" w:rsidP="00660C0E">
            <w:pPr>
              <w:jc w:val="right"/>
              <w:rPr>
                <w:rFonts w:ascii="Arial" w:hAnsi="Arial" w:cs="Arial"/>
                <w:color w:val="000000"/>
                <w:sz w:val="12"/>
                <w:szCs w:val="12"/>
                <w:lang w:val="en-GB" w:eastAsia="en-CA"/>
              </w:rPr>
            </w:pPr>
          </w:p>
        </w:tc>
        <w:tc>
          <w:tcPr>
            <w:tcW w:w="425" w:type="dxa"/>
            <w:noWrap/>
            <w:vAlign w:val="center"/>
            <w:hideMark/>
          </w:tcPr>
          <w:p w:rsidR="00660C0E" w:rsidRPr="006F77B9" w:rsidRDefault="00660C0E" w:rsidP="00660C0E">
            <w:pPr>
              <w:jc w:val="right"/>
              <w:rPr>
                <w:rFonts w:ascii="Arial" w:hAnsi="Arial" w:cs="Arial"/>
                <w:sz w:val="12"/>
                <w:szCs w:val="12"/>
                <w:lang w:val="en-GB" w:eastAsia="en-CA"/>
              </w:rPr>
            </w:pPr>
          </w:p>
        </w:tc>
        <w:tc>
          <w:tcPr>
            <w:tcW w:w="1559" w:type="dxa"/>
            <w:noWrap/>
            <w:vAlign w:val="center"/>
            <w:hideMark/>
          </w:tcPr>
          <w:p w:rsidR="00660C0E" w:rsidRPr="006F77B9" w:rsidRDefault="00660C0E" w:rsidP="00660C0E">
            <w:pPr>
              <w:jc w:val="right"/>
              <w:rPr>
                <w:rFonts w:ascii="Arial" w:hAnsi="Arial" w:cs="Arial"/>
                <w:sz w:val="12"/>
                <w:szCs w:val="12"/>
                <w:lang w:val="en-GB" w:eastAsia="en-CA"/>
              </w:rPr>
            </w:pPr>
          </w:p>
        </w:tc>
        <w:tc>
          <w:tcPr>
            <w:tcW w:w="426" w:type="dxa"/>
            <w:noWrap/>
            <w:vAlign w:val="center"/>
            <w:hideMark/>
          </w:tcPr>
          <w:p w:rsidR="00660C0E" w:rsidRPr="006F77B9" w:rsidRDefault="00660C0E" w:rsidP="00660C0E">
            <w:pPr>
              <w:jc w:val="right"/>
              <w:rPr>
                <w:rFonts w:ascii="Arial" w:hAnsi="Arial" w:cs="Arial"/>
                <w:sz w:val="12"/>
                <w:szCs w:val="12"/>
                <w:lang w:val="en-GB" w:eastAsia="en-CA"/>
              </w:rPr>
            </w:pPr>
          </w:p>
        </w:tc>
        <w:tc>
          <w:tcPr>
            <w:tcW w:w="1558" w:type="dxa"/>
            <w:noWrap/>
            <w:vAlign w:val="center"/>
            <w:hideMark/>
          </w:tcPr>
          <w:p w:rsidR="00660C0E" w:rsidRPr="006F77B9" w:rsidRDefault="00660C0E" w:rsidP="00660C0E">
            <w:pPr>
              <w:jc w:val="right"/>
              <w:rPr>
                <w:rFonts w:ascii="Arial" w:hAnsi="Arial" w:cs="Arial"/>
                <w:color w:val="000000"/>
                <w:sz w:val="12"/>
                <w:szCs w:val="12"/>
                <w:lang w:val="en-GB" w:eastAsia="en-CA"/>
              </w:rPr>
            </w:pP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b/>
                <w:color w:val="000000"/>
                <w:lang w:val="en-GB" w:eastAsia="en-CA"/>
              </w:rPr>
            </w:pPr>
            <w:r w:rsidRPr="009E6947">
              <w:rPr>
                <w:rFonts w:ascii="Arial" w:hAnsi="Arial" w:cs="Arial"/>
                <w:b/>
                <w:color w:val="000000"/>
                <w:lang w:val="en-GB" w:eastAsia="en-CA"/>
              </w:rPr>
              <w:t>Liabilities</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p>
        </w:tc>
        <w:tc>
          <w:tcPr>
            <w:tcW w:w="425" w:type="dxa"/>
            <w:noWrap/>
            <w:vAlign w:val="center"/>
            <w:hideMark/>
          </w:tcPr>
          <w:p w:rsidR="00660C0E" w:rsidRPr="009E6947" w:rsidRDefault="00660C0E" w:rsidP="00660C0E">
            <w:pPr>
              <w:jc w:val="right"/>
              <w:rPr>
                <w:rFonts w:ascii="Arial" w:hAnsi="Arial" w:cs="Arial"/>
                <w:lang w:val="en-GB" w:eastAsia="en-CA"/>
              </w:rPr>
            </w:pPr>
          </w:p>
        </w:tc>
        <w:tc>
          <w:tcPr>
            <w:tcW w:w="1559" w:type="dxa"/>
            <w:noWrap/>
            <w:vAlign w:val="center"/>
            <w:hideMark/>
          </w:tcPr>
          <w:p w:rsidR="00660C0E" w:rsidRPr="009E6947" w:rsidRDefault="00660C0E" w:rsidP="00660C0E">
            <w:pPr>
              <w:jc w:val="right"/>
              <w:rPr>
                <w:rFonts w:ascii="Arial" w:hAnsi="Arial" w:cs="Arial"/>
                <w:lang w:val="en-GB" w:eastAsia="en-CA"/>
              </w:rPr>
            </w:pPr>
          </w:p>
        </w:tc>
        <w:tc>
          <w:tcPr>
            <w:tcW w:w="426" w:type="dxa"/>
            <w:noWrap/>
            <w:vAlign w:val="center"/>
            <w:hideMark/>
          </w:tcPr>
          <w:p w:rsidR="00660C0E" w:rsidRPr="009E6947" w:rsidRDefault="00660C0E" w:rsidP="00660C0E">
            <w:pPr>
              <w:jc w:val="right"/>
              <w:rPr>
                <w:rFonts w:ascii="Arial" w:hAnsi="Arial" w:cs="Arial"/>
                <w:lang w:val="en-GB" w:eastAsia="en-CA"/>
              </w:rPr>
            </w:pPr>
          </w:p>
        </w:tc>
        <w:tc>
          <w:tcPr>
            <w:tcW w:w="1558" w:type="dxa"/>
            <w:noWrap/>
            <w:vAlign w:val="center"/>
            <w:hideMark/>
          </w:tcPr>
          <w:p w:rsidR="00660C0E" w:rsidRPr="009E6947" w:rsidRDefault="00660C0E" w:rsidP="00660C0E">
            <w:pPr>
              <w:jc w:val="right"/>
              <w:rPr>
                <w:rFonts w:ascii="Arial" w:hAnsi="Arial" w:cs="Arial"/>
                <w:color w:val="000000"/>
                <w:lang w:val="en-GB" w:eastAsia="en-CA"/>
              </w:rPr>
            </w:pP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Current liabilities:</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p>
        </w:tc>
        <w:tc>
          <w:tcPr>
            <w:tcW w:w="425" w:type="dxa"/>
            <w:noWrap/>
            <w:vAlign w:val="center"/>
            <w:hideMark/>
          </w:tcPr>
          <w:p w:rsidR="00660C0E" w:rsidRPr="009E6947" w:rsidRDefault="00660C0E" w:rsidP="00660C0E">
            <w:pPr>
              <w:jc w:val="right"/>
              <w:rPr>
                <w:rFonts w:ascii="Arial" w:hAnsi="Arial" w:cs="Arial"/>
                <w:lang w:val="en-GB" w:eastAsia="en-CA"/>
              </w:rPr>
            </w:pPr>
          </w:p>
        </w:tc>
        <w:tc>
          <w:tcPr>
            <w:tcW w:w="1559" w:type="dxa"/>
            <w:noWrap/>
            <w:vAlign w:val="center"/>
            <w:hideMark/>
          </w:tcPr>
          <w:p w:rsidR="00660C0E" w:rsidRPr="009E6947" w:rsidRDefault="00660C0E" w:rsidP="00660C0E">
            <w:pPr>
              <w:jc w:val="right"/>
              <w:rPr>
                <w:rFonts w:ascii="Arial" w:hAnsi="Arial" w:cs="Arial"/>
                <w:lang w:val="en-GB" w:eastAsia="en-CA"/>
              </w:rPr>
            </w:pPr>
          </w:p>
        </w:tc>
        <w:tc>
          <w:tcPr>
            <w:tcW w:w="426" w:type="dxa"/>
            <w:noWrap/>
            <w:vAlign w:val="center"/>
            <w:hideMark/>
          </w:tcPr>
          <w:p w:rsidR="00660C0E" w:rsidRPr="009E6947" w:rsidRDefault="00660C0E" w:rsidP="00660C0E">
            <w:pPr>
              <w:jc w:val="right"/>
              <w:rPr>
                <w:rFonts w:ascii="Arial" w:hAnsi="Arial" w:cs="Arial"/>
                <w:lang w:val="en-GB" w:eastAsia="en-CA"/>
              </w:rPr>
            </w:pPr>
          </w:p>
        </w:tc>
        <w:tc>
          <w:tcPr>
            <w:tcW w:w="1558" w:type="dxa"/>
            <w:noWrap/>
            <w:vAlign w:val="center"/>
            <w:hideMark/>
          </w:tcPr>
          <w:p w:rsidR="00660C0E" w:rsidRPr="009E6947" w:rsidRDefault="00660C0E" w:rsidP="00660C0E">
            <w:pPr>
              <w:jc w:val="right"/>
              <w:rPr>
                <w:rFonts w:ascii="Arial" w:hAnsi="Arial" w:cs="Arial"/>
                <w:color w:val="000000"/>
                <w:lang w:val="en-GB" w:eastAsia="en-CA"/>
              </w:rPr>
            </w:pP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Line of credit</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$ 6,000,133</w:t>
            </w:r>
          </w:p>
        </w:tc>
        <w:tc>
          <w:tcPr>
            <w:tcW w:w="425" w:type="dxa"/>
            <w:noWrap/>
            <w:vAlign w:val="center"/>
            <w:hideMark/>
          </w:tcPr>
          <w:p w:rsidR="00660C0E" w:rsidRPr="009E6947" w:rsidRDefault="00660C0E" w:rsidP="00660C0E">
            <w:pPr>
              <w:jc w:val="right"/>
              <w:rPr>
                <w:rFonts w:ascii="Arial" w:hAnsi="Arial" w:cs="Arial"/>
                <w:color w:val="000000"/>
                <w:lang w:val="en-GB" w:eastAsia="en-CA"/>
              </w:rPr>
            </w:pP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$ 0</w:t>
            </w:r>
          </w:p>
        </w:tc>
        <w:tc>
          <w:tcPr>
            <w:tcW w:w="426" w:type="dxa"/>
            <w:noWrap/>
            <w:vAlign w:val="center"/>
            <w:hideMark/>
          </w:tcPr>
          <w:p w:rsidR="00660C0E" w:rsidRPr="009E6947" w:rsidRDefault="00660C0E" w:rsidP="00660C0E">
            <w:pPr>
              <w:jc w:val="right"/>
              <w:rPr>
                <w:rFonts w:ascii="Arial" w:hAnsi="Arial" w:cs="Arial"/>
                <w:color w:val="000000"/>
                <w:lang w:val="en-GB" w:eastAsia="en-CA"/>
              </w:rPr>
            </w:pPr>
          </w:p>
        </w:tc>
        <w:tc>
          <w:tcPr>
            <w:tcW w:w="1558"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$ 0</w:t>
            </w: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Accounts payable and accrued liabilities</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$ 1,023,457</w:t>
            </w:r>
          </w:p>
        </w:tc>
        <w:tc>
          <w:tcPr>
            <w:tcW w:w="425" w:type="dxa"/>
            <w:noWrap/>
            <w:vAlign w:val="center"/>
            <w:hideMark/>
          </w:tcPr>
          <w:p w:rsidR="00660C0E" w:rsidRPr="009E6947" w:rsidRDefault="00660C0E" w:rsidP="00660C0E">
            <w:pPr>
              <w:jc w:val="right"/>
              <w:rPr>
                <w:rFonts w:ascii="Arial" w:hAnsi="Arial" w:cs="Arial"/>
                <w:color w:val="000000"/>
                <w:lang w:val="en-GB" w:eastAsia="en-CA"/>
              </w:rPr>
            </w:pP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$ 1,146,682</w:t>
            </w:r>
          </w:p>
        </w:tc>
        <w:tc>
          <w:tcPr>
            <w:tcW w:w="426" w:type="dxa"/>
            <w:noWrap/>
            <w:vAlign w:val="center"/>
            <w:hideMark/>
          </w:tcPr>
          <w:p w:rsidR="00660C0E" w:rsidRPr="009E6947" w:rsidRDefault="00660C0E" w:rsidP="00660C0E">
            <w:pPr>
              <w:jc w:val="right"/>
              <w:rPr>
                <w:rFonts w:ascii="Arial" w:hAnsi="Arial" w:cs="Arial"/>
                <w:color w:val="000000"/>
                <w:lang w:val="en-GB" w:eastAsia="en-CA"/>
              </w:rPr>
            </w:pPr>
          </w:p>
        </w:tc>
        <w:tc>
          <w:tcPr>
            <w:tcW w:w="1558"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$ 827,531</w:t>
            </w: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Tenant deposits</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$ 510,159</w:t>
            </w:r>
          </w:p>
        </w:tc>
        <w:tc>
          <w:tcPr>
            <w:tcW w:w="425" w:type="dxa"/>
            <w:noWrap/>
            <w:vAlign w:val="center"/>
            <w:hideMark/>
          </w:tcPr>
          <w:p w:rsidR="00660C0E" w:rsidRPr="009E6947" w:rsidRDefault="00660C0E" w:rsidP="00660C0E">
            <w:pPr>
              <w:jc w:val="right"/>
              <w:rPr>
                <w:rFonts w:ascii="Arial" w:hAnsi="Arial" w:cs="Arial"/>
                <w:color w:val="000000"/>
                <w:lang w:val="en-GB" w:eastAsia="en-CA"/>
              </w:rPr>
            </w:pP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$ 420,564</w:t>
            </w:r>
          </w:p>
        </w:tc>
        <w:tc>
          <w:tcPr>
            <w:tcW w:w="426" w:type="dxa"/>
            <w:noWrap/>
            <w:vAlign w:val="center"/>
            <w:hideMark/>
          </w:tcPr>
          <w:p w:rsidR="00660C0E" w:rsidRPr="009E6947" w:rsidRDefault="00660C0E" w:rsidP="00660C0E">
            <w:pPr>
              <w:jc w:val="right"/>
              <w:rPr>
                <w:rFonts w:ascii="Arial" w:hAnsi="Arial" w:cs="Arial"/>
                <w:color w:val="000000"/>
                <w:lang w:val="en-GB" w:eastAsia="en-CA"/>
              </w:rPr>
            </w:pPr>
          </w:p>
        </w:tc>
        <w:tc>
          <w:tcPr>
            <w:tcW w:w="1558"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$ 384,299</w:t>
            </w: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Current portion of mortgages payable</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$ 4,241,801</w:t>
            </w:r>
          </w:p>
        </w:tc>
        <w:tc>
          <w:tcPr>
            <w:tcW w:w="425" w:type="dxa"/>
            <w:noWrap/>
            <w:vAlign w:val="center"/>
            <w:hideMark/>
          </w:tcPr>
          <w:p w:rsidR="00660C0E" w:rsidRPr="009E6947" w:rsidRDefault="00660C0E" w:rsidP="00660C0E">
            <w:pPr>
              <w:jc w:val="right"/>
              <w:rPr>
                <w:rFonts w:ascii="Arial" w:hAnsi="Arial" w:cs="Arial"/>
                <w:color w:val="000000"/>
                <w:lang w:val="en-GB" w:eastAsia="en-CA"/>
              </w:rPr>
            </w:pP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$ 4,248,561</w:t>
            </w:r>
          </w:p>
        </w:tc>
        <w:tc>
          <w:tcPr>
            <w:tcW w:w="426" w:type="dxa"/>
            <w:noWrap/>
            <w:vAlign w:val="center"/>
            <w:hideMark/>
          </w:tcPr>
          <w:p w:rsidR="00660C0E" w:rsidRPr="009E6947" w:rsidRDefault="00660C0E" w:rsidP="00660C0E">
            <w:pPr>
              <w:jc w:val="right"/>
              <w:rPr>
                <w:rFonts w:ascii="Arial" w:hAnsi="Arial" w:cs="Arial"/>
                <w:color w:val="000000"/>
                <w:lang w:val="en-GB" w:eastAsia="en-CA"/>
              </w:rPr>
            </w:pPr>
          </w:p>
        </w:tc>
        <w:tc>
          <w:tcPr>
            <w:tcW w:w="1558"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$ 1,285,977</w:t>
            </w: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Promissory notes payable</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$ 1,715,560</w:t>
            </w:r>
          </w:p>
        </w:tc>
        <w:tc>
          <w:tcPr>
            <w:tcW w:w="425" w:type="dxa"/>
            <w:noWrap/>
            <w:vAlign w:val="center"/>
            <w:hideMark/>
          </w:tcPr>
          <w:p w:rsidR="00660C0E" w:rsidRPr="009E6947" w:rsidRDefault="00660C0E" w:rsidP="00660C0E">
            <w:pPr>
              <w:jc w:val="right"/>
              <w:rPr>
                <w:rFonts w:ascii="Arial" w:hAnsi="Arial" w:cs="Arial"/>
                <w:color w:val="000000"/>
                <w:lang w:val="en-GB" w:eastAsia="en-CA"/>
              </w:rPr>
            </w:pP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$ 3,915,560</w:t>
            </w:r>
          </w:p>
        </w:tc>
        <w:tc>
          <w:tcPr>
            <w:tcW w:w="426" w:type="dxa"/>
            <w:noWrap/>
            <w:vAlign w:val="center"/>
            <w:hideMark/>
          </w:tcPr>
          <w:p w:rsidR="00660C0E" w:rsidRPr="009E6947" w:rsidRDefault="00660C0E" w:rsidP="00660C0E">
            <w:pPr>
              <w:jc w:val="right"/>
              <w:rPr>
                <w:rFonts w:ascii="Arial" w:hAnsi="Arial" w:cs="Arial"/>
                <w:color w:val="000000"/>
                <w:lang w:val="en-GB" w:eastAsia="en-CA"/>
              </w:rPr>
            </w:pPr>
          </w:p>
        </w:tc>
        <w:tc>
          <w:tcPr>
            <w:tcW w:w="1558"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$ 4,315,560</w:t>
            </w: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Income taxes payable</w:t>
            </w:r>
          </w:p>
        </w:tc>
        <w:tc>
          <w:tcPr>
            <w:tcW w:w="1559"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$ 224,346</w:t>
            </w:r>
          </w:p>
        </w:tc>
        <w:tc>
          <w:tcPr>
            <w:tcW w:w="425" w:type="dxa"/>
            <w:noWrap/>
            <w:vAlign w:val="center"/>
            <w:hideMark/>
          </w:tcPr>
          <w:p w:rsidR="00660C0E" w:rsidRPr="009E6947" w:rsidRDefault="00660C0E" w:rsidP="00660C0E">
            <w:pPr>
              <w:jc w:val="right"/>
              <w:rPr>
                <w:rFonts w:ascii="Arial" w:hAnsi="Arial" w:cs="Arial"/>
                <w:color w:val="000000"/>
                <w:u w:val="single"/>
                <w:lang w:val="en-GB" w:eastAsia="en-CA"/>
              </w:rPr>
            </w:pPr>
          </w:p>
        </w:tc>
        <w:tc>
          <w:tcPr>
            <w:tcW w:w="1559"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$ 94,426</w:t>
            </w:r>
          </w:p>
        </w:tc>
        <w:tc>
          <w:tcPr>
            <w:tcW w:w="426" w:type="dxa"/>
            <w:noWrap/>
            <w:vAlign w:val="center"/>
            <w:hideMark/>
          </w:tcPr>
          <w:p w:rsidR="00660C0E" w:rsidRPr="009E6947" w:rsidRDefault="00660C0E" w:rsidP="00660C0E">
            <w:pPr>
              <w:jc w:val="right"/>
              <w:rPr>
                <w:rFonts w:ascii="Arial" w:hAnsi="Arial" w:cs="Arial"/>
                <w:color w:val="000000"/>
                <w:u w:val="single"/>
                <w:lang w:val="en-GB" w:eastAsia="en-CA"/>
              </w:rPr>
            </w:pPr>
          </w:p>
        </w:tc>
        <w:tc>
          <w:tcPr>
            <w:tcW w:w="1558"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$ 582,466</w:t>
            </w: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Total current liabilities</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$ 13,715,456</w:t>
            </w:r>
          </w:p>
        </w:tc>
        <w:tc>
          <w:tcPr>
            <w:tcW w:w="425" w:type="dxa"/>
            <w:noWrap/>
            <w:vAlign w:val="center"/>
            <w:hideMark/>
          </w:tcPr>
          <w:p w:rsidR="00660C0E" w:rsidRPr="009E6947" w:rsidRDefault="00660C0E" w:rsidP="00660C0E">
            <w:pPr>
              <w:jc w:val="right"/>
              <w:rPr>
                <w:rFonts w:ascii="Arial" w:hAnsi="Arial" w:cs="Arial"/>
                <w:color w:val="000000"/>
                <w:lang w:val="en-GB" w:eastAsia="en-CA"/>
              </w:rPr>
            </w:pP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$ 9,825,793</w:t>
            </w:r>
          </w:p>
        </w:tc>
        <w:tc>
          <w:tcPr>
            <w:tcW w:w="426" w:type="dxa"/>
            <w:noWrap/>
            <w:vAlign w:val="center"/>
            <w:hideMark/>
          </w:tcPr>
          <w:p w:rsidR="00660C0E" w:rsidRPr="009E6947" w:rsidRDefault="00660C0E" w:rsidP="00660C0E">
            <w:pPr>
              <w:jc w:val="right"/>
              <w:rPr>
                <w:rFonts w:ascii="Arial" w:hAnsi="Arial" w:cs="Arial"/>
                <w:color w:val="000000"/>
                <w:lang w:val="en-GB" w:eastAsia="en-CA"/>
              </w:rPr>
            </w:pPr>
          </w:p>
        </w:tc>
        <w:tc>
          <w:tcPr>
            <w:tcW w:w="1558"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$ 7,395,833</w:t>
            </w:r>
          </w:p>
        </w:tc>
      </w:tr>
      <w:tr w:rsidR="00660C0E" w:rsidRPr="006F77B9" w:rsidTr="00660C0E">
        <w:trPr>
          <w:trHeight w:val="20"/>
        </w:trPr>
        <w:tc>
          <w:tcPr>
            <w:tcW w:w="3823" w:type="dxa"/>
            <w:noWrap/>
            <w:vAlign w:val="center"/>
            <w:hideMark/>
          </w:tcPr>
          <w:p w:rsidR="00660C0E" w:rsidRPr="006F77B9" w:rsidRDefault="00660C0E" w:rsidP="00660C0E">
            <w:pPr>
              <w:rPr>
                <w:rFonts w:ascii="Arial" w:hAnsi="Arial" w:cs="Arial"/>
                <w:color w:val="000000"/>
                <w:sz w:val="12"/>
                <w:szCs w:val="12"/>
                <w:lang w:val="en-GB" w:eastAsia="en-CA"/>
              </w:rPr>
            </w:pPr>
            <w:r w:rsidRPr="006F77B9">
              <w:rPr>
                <w:rFonts w:ascii="Arial" w:hAnsi="Arial" w:cs="Arial"/>
                <w:color w:val="000000"/>
                <w:sz w:val="12"/>
                <w:szCs w:val="12"/>
                <w:lang w:val="en-GB" w:eastAsia="en-CA"/>
              </w:rPr>
              <w:t> </w:t>
            </w:r>
          </w:p>
        </w:tc>
        <w:tc>
          <w:tcPr>
            <w:tcW w:w="1559" w:type="dxa"/>
            <w:noWrap/>
            <w:vAlign w:val="center"/>
            <w:hideMark/>
          </w:tcPr>
          <w:p w:rsidR="00660C0E" w:rsidRPr="006F77B9" w:rsidRDefault="00660C0E" w:rsidP="00660C0E">
            <w:pPr>
              <w:jc w:val="right"/>
              <w:rPr>
                <w:rFonts w:ascii="Arial" w:hAnsi="Arial" w:cs="Arial"/>
                <w:color w:val="000000"/>
                <w:sz w:val="12"/>
                <w:szCs w:val="12"/>
                <w:lang w:val="en-GB" w:eastAsia="en-CA"/>
              </w:rPr>
            </w:pPr>
          </w:p>
        </w:tc>
        <w:tc>
          <w:tcPr>
            <w:tcW w:w="425" w:type="dxa"/>
            <w:noWrap/>
            <w:vAlign w:val="center"/>
            <w:hideMark/>
          </w:tcPr>
          <w:p w:rsidR="00660C0E" w:rsidRPr="006F77B9" w:rsidRDefault="00660C0E" w:rsidP="00660C0E">
            <w:pPr>
              <w:jc w:val="right"/>
              <w:rPr>
                <w:rFonts w:ascii="Arial" w:hAnsi="Arial" w:cs="Arial"/>
                <w:sz w:val="12"/>
                <w:szCs w:val="12"/>
                <w:lang w:val="en-GB" w:eastAsia="en-CA"/>
              </w:rPr>
            </w:pPr>
          </w:p>
        </w:tc>
        <w:tc>
          <w:tcPr>
            <w:tcW w:w="1559" w:type="dxa"/>
            <w:noWrap/>
            <w:vAlign w:val="center"/>
            <w:hideMark/>
          </w:tcPr>
          <w:p w:rsidR="00660C0E" w:rsidRPr="006F77B9" w:rsidRDefault="00660C0E" w:rsidP="00660C0E">
            <w:pPr>
              <w:jc w:val="right"/>
              <w:rPr>
                <w:rFonts w:ascii="Arial" w:hAnsi="Arial" w:cs="Arial"/>
                <w:sz w:val="12"/>
                <w:szCs w:val="12"/>
                <w:lang w:val="en-GB" w:eastAsia="en-CA"/>
              </w:rPr>
            </w:pPr>
          </w:p>
        </w:tc>
        <w:tc>
          <w:tcPr>
            <w:tcW w:w="426" w:type="dxa"/>
            <w:noWrap/>
            <w:vAlign w:val="center"/>
            <w:hideMark/>
          </w:tcPr>
          <w:p w:rsidR="00660C0E" w:rsidRPr="006F77B9" w:rsidRDefault="00660C0E" w:rsidP="00660C0E">
            <w:pPr>
              <w:jc w:val="right"/>
              <w:rPr>
                <w:rFonts w:ascii="Arial" w:hAnsi="Arial" w:cs="Arial"/>
                <w:sz w:val="12"/>
                <w:szCs w:val="12"/>
                <w:lang w:val="en-GB" w:eastAsia="en-CA"/>
              </w:rPr>
            </w:pPr>
          </w:p>
        </w:tc>
        <w:tc>
          <w:tcPr>
            <w:tcW w:w="1558" w:type="dxa"/>
            <w:noWrap/>
            <w:vAlign w:val="center"/>
            <w:hideMark/>
          </w:tcPr>
          <w:p w:rsidR="00660C0E" w:rsidRPr="006F77B9" w:rsidRDefault="00660C0E" w:rsidP="00660C0E">
            <w:pPr>
              <w:jc w:val="right"/>
              <w:rPr>
                <w:rFonts w:ascii="Arial" w:hAnsi="Arial" w:cs="Arial"/>
                <w:color w:val="000000"/>
                <w:sz w:val="12"/>
                <w:szCs w:val="12"/>
                <w:lang w:val="en-GB" w:eastAsia="en-CA"/>
              </w:rPr>
            </w:pP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Long-term liabilities:</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p>
        </w:tc>
        <w:tc>
          <w:tcPr>
            <w:tcW w:w="425" w:type="dxa"/>
            <w:noWrap/>
            <w:vAlign w:val="center"/>
            <w:hideMark/>
          </w:tcPr>
          <w:p w:rsidR="00660C0E" w:rsidRPr="009E6947" w:rsidRDefault="00660C0E" w:rsidP="00660C0E">
            <w:pPr>
              <w:jc w:val="right"/>
              <w:rPr>
                <w:rFonts w:ascii="Arial" w:hAnsi="Arial" w:cs="Arial"/>
                <w:lang w:val="en-GB" w:eastAsia="en-CA"/>
              </w:rPr>
            </w:pPr>
          </w:p>
        </w:tc>
        <w:tc>
          <w:tcPr>
            <w:tcW w:w="1559" w:type="dxa"/>
            <w:noWrap/>
            <w:vAlign w:val="center"/>
            <w:hideMark/>
          </w:tcPr>
          <w:p w:rsidR="00660C0E" w:rsidRPr="009E6947" w:rsidRDefault="00660C0E" w:rsidP="00660C0E">
            <w:pPr>
              <w:jc w:val="right"/>
              <w:rPr>
                <w:rFonts w:ascii="Arial" w:hAnsi="Arial" w:cs="Arial"/>
                <w:lang w:val="en-GB" w:eastAsia="en-CA"/>
              </w:rPr>
            </w:pPr>
          </w:p>
        </w:tc>
        <w:tc>
          <w:tcPr>
            <w:tcW w:w="426" w:type="dxa"/>
            <w:noWrap/>
            <w:vAlign w:val="center"/>
            <w:hideMark/>
          </w:tcPr>
          <w:p w:rsidR="00660C0E" w:rsidRPr="009E6947" w:rsidRDefault="00660C0E" w:rsidP="00660C0E">
            <w:pPr>
              <w:jc w:val="right"/>
              <w:rPr>
                <w:rFonts w:ascii="Arial" w:hAnsi="Arial" w:cs="Arial"/>
                <w:lang w:val="en-GB" w:eastAsia="en-CA"/>
              </w:rPr>
            </w:pPr>
          </w:p>
        </w:tc>
        <w:tc>
          <w:tcPr>
            <w:tcW w:w="1558" w:type="dxa"/>
            <w:noWrap/>
            <w:vAlign w:val="center"/>
            <w:hideMark/>
          </w:tcPr>
          <w:p w:rsidR="00660C0E" w:rsidRPr="009E6947" w:rsidRDefault="00660C0E" w:rsidP="00660C0E">
            <w:pPr>
              <w:jc w:val="right"/>
              <w:rPr>
                <w:rFonts w:ascii="Arial" w:hAnsi="Arial" w:cs="Arial"/>
                <w:color w:val="000000"/>
                <w:lang w:val="en-GB" w:eastAsia="en-CA"/>
              </w:rPr>
            </w:pP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Asset retirement obligations</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$ 1,120,909</w:t>
            </w:r>
          </w:p>
        </w:tc>
        <w:tc>
          <w:tcPr>
            <w:tcW w:w="425" w:type="dxa"/>
            <w:noWrap/>
            <w:vAlign w:val="center"/>
            <w:hideMark/>
          </w:tcPr>
          <w:p w:rsidR="00660C0E" w:rsidRPr="009E6947" w:rsidRDefault="00660C0E" w:rsidP="00660C0E">
            <w:pPr>
              <w:jc w:val="right"/>
              <w:rPr>
                <w:rFonts w:ascii="Arial" w:hAnsi="Arial" w:cs="Arial"/>
                <w:color w:val="000000"/>
                <w:lang w:val="en-GB" w:eastAsia="en-CA"/>
              </w:rPr>
            </w:pP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$ 1,099,093</w:t>
            </w:r>
          </w:p>
        </w:tc>
        <w:tc>
          <w:tcPr>
            <w:tcW w:w="426" w:type="dxa"/>
            <w:noWrap/>
            <w:vAlign w:val="center"/>
            <w:hideMark/>
          </w:tcPr>
          <w:p w:rsidR="00660C0E" w:rsidRPr="009E6947" w:rsidRDefault="00660C0E" w:rsidP="00660C0E">
            <w:pPr>
              <w:jc w:val="right"/>
              <w:rPr>
                <w:rFonts w:ascii="Arial" w:hAnsi="Arial" w:cs="Arial"/>
                <w:color w:val="000000"/>
                <w:lang w:val="en-GB" w:eastAsia="en-CA"/>
              </w:rPr>
            </w:pPr>
          </w:p>
        </w:tc>
        <w:tc>
          <w:tcPr>
            <w:tcW w:w="1558"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$ 1,077,274</w:t>
            </w: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Mortgages payable</w:t>
            </w:r>
          </w:p>
        </w:tc>
        <w:tc>
          <w:tcPr>
            <w:tcW w:w="1559"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$ 20,327,311</w:t>
            </w:r>
          </w:p>
        </w:tc>
        <w:tc>
          <w:tcPr>
            <w:tcW w:w="425" w:type="dxa"/>
            <w:noWrap/>
            <w:vAlign w:val="center"/>
            <w:hideMark/>
          </w:tcPr>
          <w:p w:rsidR="00660C0E" w:rsidRPr="009E6947" w:rsidRDefault="00660C0E" w:rsidP="00660C0E">
            <w:pPr>
              <w:jc w:val="right"/>
              <w:rPr>
                <w:rFonts w:ascii="Arial" w:hAnsi="Arial" w:cs="Arial"/>
                <w:color w:val="000000"/>
                <w:u w:val="single"/>
                <w:lang w:val="en-GB" w:eastAsia="en-CA"/>
              </w:rPr>
            </w:pPr>
          </w:p>
        </w:tc>
        <w:tc>
          <w:tcPr>
            <w:tcW w:w="1559"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$ 24,729,003</w:t>
            </w:r>
          </w:p>
        </w:tc>
        <w:tc>
          <w:tcPr>
            <w:tcW w:w="426" w:type="dxa"/>
            <w:noWrap/>
            <w:vAlign w:val="center"/>
            <w:hideMark/>
          </w:tcPr>
          <w:p w:rsidR="00660C0E" w:rsidRPr="009E6947" w:rsidRDefault="00660C0E" w:rsidP="00660C0E">
            <w:pPr>
              <w:jc w:val="right"/>
              <w:rPr>
                <w:rFonts w:ascii="Arial" w:hAnsi="Arial" w:cs="Arial"/>
                <w:color w:val="000000"/>
                <w:u w:val="single"/>
                <w:lang w:val="en-GB" w:eastAsia="en-CA"/>
              </w:rPr>
            </w:pPr>
          </w:p>
        </w:tc>
        <w:tc>
          <w:tcPr>
            <w:tcW w:w="1558"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$ 29,019,580</w:t>
            </w: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Total long-term liabilities</w:t>
            </w:r>
          </w:p>
        </w:tc>
        <w:tc>
          <w:tcPr>
            <w:tcW w:w="1559"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$ 21,448,220</w:t>
            </w:r>
          </w:p>
        </w:tc>
        <w:tc>
          <w:tcPr>
            <w:tcW w:w="425" w:type="dxa"/>
            <w:noWrap/>
            <w:vAlign w:val="center"/>
            <w:hideMark/>
          </w:tcPr>
          <w:p w:rsidR="00660C0E" w:rsidRPr="009E6947" w:rsidRDefault="00660C0E" w:rsidP="00660C0E">
            <w:pPr>
              <w:jc w:val="right"/>
              <w:rPr>
                <w:rFonts w:ascii="Arial" w:hAnsi="Arial" w:cs="Arial"/>
                <w:color w:val="000000"/>
                <w:u w:val="single"/>
                <w:lang w:val="en-GB" w:eastAsia="en-CA"/>
              </w:rPr>
            </w:pPr>
          </w:p>
        </w:tc>
        <w:tc>
          <w:tcPr>
            <w:tcW w:w="1559"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$ 25,828,096</w:t>
            </w:r>
          </w:p>
        </w:tc>
        <w:tc>
          <w:tcPr>
            <w:tcW w:w="426" w:type="dxa"/>
            <w:noWrap/>
            <w:vAlign w:val="center"/>
            <w:hideMark/>
          </w:tcPr>
          <w:p w:rsidR="00660C0E" w:rsidRPr="009E6947" w:rsidRDefault="00660C0E" w:rsidP="00660C0E">
            <w:pPr>
              <w:jc w:val="right"/>
              <w:rPr>
                <w:rFonts w:ascii="Arial" w:hAnsi="Arial" w:cs="Arial"/>
                <w:color w:val="000000"/>
                <w:u w:val="single"/>
                <w:lang w:val="en-GB" w:eastAsia="en-CA"/>
              </w:rPr>
            </w:pPr>
          </w:p>
        </w:tc>
        <w:tc>
          <w:tcPr>
            <w:tcW w:w="1558"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$ 30,096,854</w:t>
            </w: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 xml:space="preserve">Total liabilities </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$ 35,163,676</w:t>
            </w:r>
          </w:p>
        </w:tc>
        <w:tc>
          <w:tcPr>
            <w:tcW w:w="425" w:type="dxa"/>
            <w:noWrap/>
            <w:vAlign w:val="center"/>
            <w:hideMark/>
          </w:tcPr>
          <w:p w:rsidR="00660C0E" w:rsidRPr="009E6947" w:rsidRDefault="00660C0E" w:rsidP="00660C0E">
            <w:pPr>
              <w:jc w:val="right"/>
              <w:rPr>
                <w:rFonts w:ascii="Arial" w:hAnsi="Arial" w:cs="Arial"/>
                <w:color w:val="000000"/>
                <w:lang w:val="en-GB" w:eastAsia="en-CA"/>
              </w:rPr>
            </w:pP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$ 35,653,889</w:t>
            </w:r>
          </w:p>
        </w:tc>
        <w:tc>
          <w:tcPr>
            <w:tcW w:w="426" w:type="dxa"/>
            <w:noWrap/>
            <w:vAlign w:val="center"/>
            <w:hideMark/>
          </w:tcPr>
          <w:p w:rsidR="00660C0E" w:rsidRPr="009E6947" w:rsidRDefault="00660C0E" w:rsidP="00660C0E">
            <w:pPr>
              <w:jc w:val="right"/>
              <w:rPr>
                <w:rFonts w:ascii="Arial" w:hAnsi="Arial" w:cs="Arial"/>
                <w:color w:val="000000"/>
                <w:lang w:val="en-GB" w:eastAsia="en-CA"/>
              </w:rPr>
            </w:pPr>
          </w:p>
        </w:tc>
        <w:tc>
          <w:tcPr>
            <w:tcW w:w="1558"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$ 37,492,687</w:t>
            </w: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 </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p>
        </w:tc>
        <w:tc>
          <w:tcPr>
            <w:tcW w:w="425" w:type="dxa"/>
            <w:noWrap/>
            <w:vAlign w:val="center"/>
            <w:hideMark/>
          </w:tcPr>
          <w:p w:rsidR="00660C0E" w:rsidRPr="009E6947" w:rsidRDefault="00660C0E" w:rsidP="00660C0E">
            <w:pPr>
              <w:jc w:val="right"/>
              <w:rPr>
                <w:rFonts w:ascii="Arial" w:hAnsi="Arial" w:cs="Arial"/>
                <w:lang w:val="en-GB" w:eastAsia="en-CA"/>
              </w:rPr>
            </w:pPr>
          </w:p>
        </w:tc>
        <w:tc>
          <w:tcPr>
            <w:tcW w:w="1559" w:type="dxa"/>
            <w:noWrap/>
            <w:vAlign w:val="center"/>
            <w:hideMark/>
          </w:tcPr>
          <w:p w:rsidR="00660C0E" w:rsidRPr="009E6947" w:rsidRDefault="00660C0E" w:rsidP="00660C0E">
            <w:pPr>
              <w:jc w:val="right"/>
              <w:rPr>
                <w:rFonts w:ascii="Arial" w:hAnsi="Arial" w:cs="Arial"/>
                <w:lang w:val="en-GB" w:eastAsia="en-CA"/>
              </w:rPr>
            </w:pPr>
          </w:p>
        </w:tc>
        <w:tc>
          <w:tcPr>
            <w:tcW w:w="426" w:type="dxa"/>
            <w:noWrap/>
            <w:vAlign w:val="center"/>
            <w:hideMark/>
          </w:tcPr>
          <w:p w:rsidR="00660C0E" w:rsidRPr="009E6947" w:rsidRDefault="00660C0E" w:rsidP="00660C0E">
            <w:pPr>
              <w:jc w:val="right"/>
              <w:rPr>
                <w:rFonts w:ascii="Arial" w:hAnsi="Arial" w:cs="Arial"/>
                <w:lang w:val="en-GB" w:eastAsia="en-CA"/>
              </w:rPr>
            </w:pPr>
          </w:p>
        </w:tc>
        <w:tc>
          <w:tcPr>
            <w:tcW w:w="1558" w:type="dxa"/>
            <w:noWrap/>
            <w:vAlign w:val="center"/>
            <w:hideMark/>
          </w:tcPr>
          <w:p w:rsidR="00660C0E" w:rsidRPr="009E6947" w:rsidRDefault="00660C0E" w:rsidP="00660C0E">
            <w:pPr>
              <w:jc w:val="right"/>
              <w:rPr>
                <w:rFonts w:ascii="Arial" w:hAnsi="Arial" w:cs="Arial"/>
                <w:color w:val="000000"/>
                <w:lang w:val="en-GB" w:eastAsia="en-CA"/>
              </w:rPr>
            </w:pP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Equity:</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p>
        </w:tc>
        <w:tc>
          <w:tcPr>
            <w:tcW w:w="425" w:type="dxa"/>
            <w:noWrap/>
            <w:vAlign w:val="center"/>
            <w:hideMark/>
          </w:tcPr>
          <w:p w:rsidR="00660C0E" w:rsidRPr="009E6947" w:rsidRDefault="00660C0E" w:rsidP="00660C0E">
            <w:pPr>
              <w:jc w:val="right"/>
              <w:rPr>
                <w:rFonts w:ascii="Arial" w:hAnsi="Arial" w:cs="Arial"/>
                <w:lang w:val="en-GB" w:eastAsia="en-CA"/>
              </w:rPr>
            </w:pPr>
          </w:p>
        </w:tc>
        <w:tc>
          <w:tcPr>
            <w:tcW w:w="1559" w:type="dxa"/>
            <w:noWrap/>
            <w:vAlign w:val="center"/>
            <w:hideMark/>
          </w:tcPr>
          <w:p w:rsidR="00660C0E" w:rsidRPr="009E6947" w:rsidRDefault="00660C0E" w:rsidP="00660C0E">
            <w:pPr>
              <w:jc w:val="right"/>
              <w:rPr>
                <w:rFonts w:ascii="Arial" w:hAnsi="Arial" w:cs="Arial"/>
                <w:lang w:val="en-GB" w:eastAsia="en-CA"/>
              </w:rPr>
            </w:pPr>
          </w:p>
        </w:tc>
        <w:tc>
          <w:tcPr>
            <w:tcW w:w="426" w:type="dxa"/>
            <w:noWrap/>
            <w:vAlign w:val="center"/>
            <w:hideMark/>
          </w:tcPr>
          <w:p w:rsidR="00660C0E" w:rsidRPr="009E6947" w:rsidRDefault="00660C0E" w:rsidP="00660C0E">
            <w:pPr>
              <w:jc w:val="right"/>
              <w:rPr>
                <w:rFonts w:ascii="Arial" w:hAnsi="Arial" w:cs="Arial"/>
                <w:lang w:val="en-GB" w:eastAsia="en-CA"/>
              </w:rPr>
            </w:pPr>
          </w:p>
        </w:tc>
        <w:tc>
          <w:tcPr>
            <w:tcW w:w="1558" w:type="dxa"/>
            <w:noWrap/>
            <w:vAlign w:val="center"/>
            <w:hideMark/>
          </w:tcPr>
          <w:p w:rsidR="00660C0E" w:rsidRPr="009E6947" w:rsidRDefault="00660C0E" w:rsidP="00660C0E">
            <w:pPr>
              <w:jc w:val="right"/>
              <w:rPr>
                <w:rFonts w:ascii="Arial" w:hAnsi="Arial" w:cs="Arial"/>
                <w:color w:val="000000"/>
                <w:lang w:val="en-GB" w:eastAsia="en-CA"/>
              </w:rPr>
            </w:pP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Common shares</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$ 5</w:t>
            </w:r>
          </w:p>
        </w:tc>
        <w:tc>
          <w:tcPr>
            <w:tcW w:w="425" w:type="dxa"/>
            <w:noWrap/>
            <w:vAlign w:val="center"/>
            <w:hideMark/>
          </w:tcPr>
          <w:p w:rsidR="00660C0E" w:rsidRPr="009E6947" w:rsidRDefault="00660C0E" w:rsidP="00660C0E">
            <w:pPr>
              <w:jc w:val="right"/>
              <w:rPr>
                <w:rFonts w:ascii="Arial" w:hAnsi="Arial" w:cs="Arial"/>
                <w:color w:val="000000"/>
                <w:lang w:val="en-GB" w:eastAsia="en-CA"/>
              </w:rPr>
            </w:pP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$ 5</w:t>
            </w:r>
          </w:p>
        </w:tc>
        <w:tc>
          <w:tcPr>
            <w:tcW w:w="426" w:type="dxa"/>
            <w:noWrap/>
            <w:vAlign w:val="center"/>
            <w:hideMark/>
          </w:tcPr>
          <w:p w:rsidR="00660C0E" w:rsidRPr="009E6947" w:rsidRDefault="00660C0E" w:rsidP="00660C0E">
            <w:pPr>
              <w:jc w:val="right"/>
              <w:rPr>
                <w:rFonts w:ascii="Arial" w:hAnsi="Arial" w:cs="Arial"/>
                <w:color w:val="000000"/>
                <w:lang w:val="en-GB" w:eastAsia="en-CA"/>
              </w:rPr>
            </w:pPr>
          </w:p>
        </w:tc>
        <w:tc>
          <w:tcPr>
            <w:tcW w:w="1558"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$ 5</w:t>
            </w: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Preferred shares</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$ 2,331,251</w:t>
            </w:r>
          </w:p>
        </w:tc>
        <w:tc>
          <w:tcPr>
            <w:tcW w:w="425" w:type="dxa"/>
            <w:noWrap/>
            <w:vAlign w:val="center"/>
            <w:hideMark/>
          </w:tcPr>
          <w:p w:rsidR="00660C0E" w:rsidRPr="009E6947" w:rsidRDefault="00660C0E" w:rsidP="00660C0E">
            <w:pPr>
              <w:jc w:val="right"/>
              <w:rPr>
                <w:rFonts w:ascii="Arial" w:hAnsi="Arial" w:cs="Arial"/>
                <w:color w:val="000000"/>
                <w:lang w:val="en-GB" w:eastAsia="en-CA"/>
              </w:rPr>
            </w:pP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$ 2,331,251</w:t>
            </w:r>
          </w:p>
        </w:tc>
        <w:tc>
          <w:tcPr>
            <w:tcW w:w="426" w:type="dxa"/>
            <w:noWrap/>
            <w:vAlign w:val="center"/>
            <w:hideMark/>
          </w:tcPr>
          <w:p w:rsidR="00660C0E" w:rsidRPr="009E6947" w:rsidRDefault="00660C0E" w:rsidP="00660C0E">
            <w:pPr>
              <w:jc w:val="right"/>
              <w:rPr>
                <w:rFonts w:ascii="Arial" w:hAnsi="Arial" w:cs="Arial"/>
                <w:color w:val="000000"/>
                <w:lang w:val="en-GB" w:eastAsia="en-CA"/>
              </w:rPr>
            </w:pPr>
          </w:p>
        </w:tc>
        <w:tc>
          <w:tcPr>
            <w:tcW w:w="1558"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$ 2,331,251</w:t>
            </w: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Retained earnings</w:t>
            </w:r>
          </w:p>
        </w:tc>
        <w:tc>
          <w:tcPr>
            <w:tcW w:w="1559"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$ 65,114,704</w:t>
            </w:r>
          </w:p>
        </w:tc>
        <w:tc>
          <w:tcPr>
            <w:tcW w:w="425" w:type="dxa"/>
            <w:noWrap/>
            <w:vAlign w:val="center"/>
            <w:hideMark/>
          </w:tcPr>
          <w:p w:rsidR="00660C0E" w:rsidRPr="009E6947" w:rsidRDefault="00660C0E" w:rsidP="00660C0E">
            <w:pPr>
              <w:jc w:val="right"/>
              <w:rPr>
                <w:rFonts w:ascii="Arial" w:hAnsi="Arial" w:cs="Arial"/>
                <w:color w:val="000000"/>
                <w:u w:val="single"/>
                <w:lang w:val="en-GB" w:eastAsia="en-CA"/>
              </w:rPr>
            </w:pPr>
          </w:p>
        </w:tc>
        <w:tc>
          <w:tcPr>
            <w:tcW w:w="1559"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$ 64,570,721</w:t>
            </w:r>
          </w:p>
        </w:tc>
        <w:tc>
          <w:tcPr>
            <w:tcW w:w="426" w:type="dxa"/>
            <w:noWrap/>
            <w:vAlign w:val="center"/>
            <w:hideMark/>
          </w:tcPr>
          <w:p w:rsidR="00660C0E" w:rsidRPr="009E6947" w:rsidRDefault="00660C0E" w:rsidP="00660C0E">
            <w:pPr>
              <w:jc w:val="right"/>
              <w:rPr>
                <w:rFonts w:ascii="Arial" w:hAnsi="Arial" w:cs="Arial"/>
                <w:color w:val="000000"/>
                <w:u w:val="single"/>
                <w:lang w:val="en-GB" w:eastAsia="en-CA"/>
              </w:rPr>
            </w:pPr>
          </w:p>
        </w:tc>
        <w:tc>
          <w:tcPr>
            <w:tcW w:w="1558" w:type="dxa"/>
            <w:noWrap/>
            <w:vAlign w:val="center"/>
            <w:hideMark/>
          </w:tcPr>
          <w:p w:rsidR="00660C0E" w:rsidRPr="009E6947" w:rsidRDefault="00660C0E" w:rsidP="00660C0E">
            <w:pPr>
              <w:jc w:val="right"/>
              <w:rPr>
                <w:rFonts w:ascii="Arial" w:hAnsi="Arial" w:cs="Arial"/>
                <w:color w:val="000000"/>
                <w:u w:val="single"/>
                <w:lang w:val="en-GB" w:eastAsia="en-CA"/>
              </w:rPr>
            </w:pPr>
            <w:r w:rsidRPr="009E6947">
              <w:rPr>
                <w:rFonts w:ascii="Arial" w:hAnsi="Arial" w:cs="Arial"/>
                <w:color w:val="000000"/>
                <w:u w:val="single"/>
                <w:lang w:val="en-GB" w:eastAsia="en-CA"/>
              </w:rPr>
              <w:t>$ 64,177,872</w:t>
            </w: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Total equity</w:t>
            </w: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$ 67,445,960</w:t>
            </w:r>
          </w:p>
        </w:tc>
        <w:tc>
          <w:tcPr>
            <w:tcW w:w="425" w:type="dxa"/>
            <w:noWrap/>
            <w:vAlign w:val="center"/>
            <w:hideMark/>
          </w:tcPr>
          <w:p w:rsidR="00660C0E" w:rsidRPr="009E6947" w:rsidRDefault="00660C0E" w:rsidP="00660C0E">
            <w:pPr>
              <w:jc w:val="right"/>
              <w:rPr>
                <w:rFonts w:ascii="Arial" w:hAnsi="Arial" w:cs="Arial"/>
                <w:color w:val="000000"/>
                <w:lang w:val="en-GB" w:eastAsia="en-CA"/>
              </w:rPr>
            </w:pPr>
          </w:p>
        </w:tc>
        <w:tc>
          <w:tcPr>
            <w:tcW w:w="1559"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$ 66,901,977</w:t>
            </w:r>
          </w:p>
        </w:tc>
        <w:tc>
          <w:tcPr>
            <w:tcW w:w="426" w:type="dxa"/>
            <w:noWrap/>
            <w:vAlign w:val="center"/>
            <w:hideMark/>
          </w:tcPr>
          <w:p w:rsidR="00660C0E" w:rsidRPr="009E6947" w:rsidRDefault="00660C0E" w:rsidP="00660C0E">
            <w:pPr>
              <w:jc w:val="right"/>
              <w:rPr>
                <w:rFonts w:ascii="Arial" w:hAnsi="Arial" w:cs="Arial"/>
                <w:color w:val="000000"/>
                <w:lang w:val="en-GB" w:eastAsia="en-CA"/>
              </w:rPr>
            </w:pPr>
          </w:p>
        </w:tc>
        <w:tc>
          <w:tcPr>
            <w:tcW w:w="1558"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$ 66,509,128</w:t>
            </w:r>
          </w:p>
        </w:tc>
      </w:tr>
      <w:tr w:rsidR="00660C0E" w:rsidRPr="006F77B9" w:rsidTr="00660C0E">
        <w:trPr>
          <w:trHeight w:val="20"/>
        </w:trPr>
        <w:tc>
          <w:tcPr>
            <w:tcW w:w="3823" w:type="dxa"/>
            <w:noWrap/>
            <w:vAlign w:val="center"/>
            <w:hideMark/>
          </w:tcPr>
          <w:p w:rsidR="00660C0E" w:rsidRPr="006F77B9" w:rsidRDefault="00660C0E" w:rsidP="00660C0E">
            <w:pPr>
              <w:rPr>
                <w:rFonts w:ascii="Arial" w:hAnsi="Arial" w:cs="Arial"/>
                <w:color w:val="000000"/>
                <w:sz w:val="12"/>
                <w:szCs w:val="12"/>
                <w:lang w:val="en-GB" w:eastAsia="en-CA"/>
              </w:rPr>
            </w:pPr>
            <w:r w:rsidRPr="006F77B9">
              <w:rPr>
                <w:rFonts w:ascii="Arial" w:hAnsi="Arial" w:cs="Arial"/>
                <w:color w:val="000000"/>
                <w:sz w:val="12"/>
                <w:szCs w:val="12"/>
                <w:lang w:val="en-GB" w:eastAsia="en-CA"/>
              </w:rPr>
              <w:t> </w:t>
            </w:r>
          </w:p>
        </w:tc>
        <w:tc>
          <w:tcPr>
            <w:tcW w:w="1559" w:type="dxa"/>
            <w:noWrap/>
            <w:vAlign w:val="center"/>
            <w:hideMark/>
          </w:tcPr>
          <w:p w:rsidR="00660C0E" w:rsidRPr="006F77B9" w:rsidRDefault="00660C0E" w:rsidP="00660C0E">
            <w:pPr>
              <w:jc w:val="right"/>
              <w:rPr>
                <w:rFonts w:ascii="Arial" w:hAnsi="Arial" w:cs="Arial"/>
                <w:color w:val="000000"/>
                <w:sz w:val="12"/>
                <w:szCs w:val="12"/>
                <w:lang w:val="en-GB" w:eastAsia="en-CA"/>
              </w:rPr>
            </w:pPr>
          </w:p>
        </w:tc>
        <w:tc>
          <w:tcPr>
            <w:tcW w:w="425" w:type="dxa"/>
            <w:noWrap/>
            <w:vAlign w:val="center"/>
            <w:hideMark/>
          </w:tcPr>
          <w:p w:rsidR="00660C0E" w:rsidRPr="006F77B9" w:rsidRDefault="00660C0E" w:rsidP="00660C0E">
            <w:pPr>
              <w:jc w:val="right"/>
              <w:rPr>
                <w:rFonts w:ascii="Arial" w:hAnsi="Arial" w:cs="Arial"/>
                <w:sz w:val="12"/>
                <w:szCs w:val="12"/>
                <w:lang w:val="en-GB" w:eastAsia="en-CA"/>
              </w:rPr>
            </w:pPr>
          </w:p>
        </w:tc>
        <w:tc>
          <w:tcPr>
            <w:tcW w:w="1559" w:type="dxa"/>
            <w:noWrap/>
            <w:vAlign w:val="center"/>
            <w:hideMark/>
          </w:tcPr>
          <w:p w:rsidR="00660C0E" w:rsidRPr="006F77B9" w:rsidRDefault="00660C0E" w:rsidP="00660C0E">
            <w:pPr>
              <w:jc w:val="right"/>
              <w:rPr>
                <w:rFonts w:ascii="Arial" w:hAnsi="Arial" w:cs="Arial"/>
                <w:sz w:val="12"/>
                <w:szCs w:val="12"/>
                <w:lang w:val="en-GB" w:eastAsia="en-CA"/>
              </w:rPr>
            </w:pPr>
          </w:p>
        </w:tc>
        <w:tc>
          <w:tcPr>
            <w:tcW w:w="426" w:type="dxa"/>
            <w:noWrap/>
            <w:vAlign w:val="center"/>
            <w:hideMark/>
          </w:tcPr>
          <w:p w:rsidR="00660C0E" w:rsidRPr="006F77B9" w:rsidRDefault="00660C0E" w:rsidP="00660C0E">
            <w:pPr>
              <w:jc w:val="right"/>
              <w:rPr>
                <w:rFonts w:ascii="Arial" w:hAnsi="Arial" w:cs="Arial"/>
                <w:sz w:val="12"/>
                <w:szCs w:val="12"/>
                <w:lang w:val="en-GB" w:eastAsia="en-CA"/>
              </w:rPr>
            </w:pPr>
          </w:p>
        </w:tc>
        <w:tc>
          <w:tcPr>
            <w:tcW w:w="1558" w:type="dxa"/>
            <w:noWrap/>
            <w:vAlign w:val="center"/>
            <w:hideMark/>
          </w:tcPr>
          <w:p w:rsidR="00660C0E" w:rsidRPr="006F77B9" w:rsidRDefault="00660C0E" w:rsidP="00660C0E">
            <w:pPr>
              <w:jc w:val="right"/>
              <w:rPr>
                <w:rFonts w:ascii="Arial" w:hAnsi="Arial" w:cs="Arial"/>
                <w:color w:val="000000"/>
                <w:sz w:val="12"/>
                <w:szCs w:val="12"/>
                <w:lang w:val="en-GB" w:eastAsia="en-CA"/>
              </w:rPr>
            </w:pPr>
          </w:p>
        </w:tc>
      </w:tr>
      <w:tr w:rsidR="00660C0E" w:rsidRPr="00002604" w:rsidTr="00660C0E">
        <w:trPr>
          <w:trHeight w:val="20"/>
        </w:trPr>
        <w:tc>
          <w:tcPr>
            <w:tcW w:w="3823" w:type="dxa"/>
            <w:noWrap/>
            <w:vAlign w:val="center"/>
            <w:hideMark/>
          </w:tcPr>
          <w:p w:rsidR="00660C0E" w:rsidRPr="009E6947" w:rsidRDefault="00660C0E" w:rsidP="00660C0E">
            <w:pPr>
              <w:rPr>
                <w:rFonts w:ascii="Arial" w:hAnsi="Arial" w:cs="Arial"/>
                <w:b/>
                <w:color w:val="000000"/>
                <w:lang w:val="en-GB" w:eastAsia="en-CA"/>
              </w:rPr>
            </w:pPr>
            <w:r w:rsidRPr="009E6947">
              <w:rPr>
                <w:rFonts w:ascii="Arial" w:hAnsi="Arial" w:cs="Arial"/>
                <w:b/>
                <w:color w:val="000000"/>
                <w:lang w:val="en-GB" w:eastAsia="en-CA"/>
              </w:rPr>
              <w:t>Total liabilities and equity</w:t>
            </w:r>
          </w:p>
        </w:tc>
        <w:tc>
          <w:tcPr>
            <w:tcW w:w="1559" w:type="dxa"/>
            <w:noWrap/>
            <w:vAlign w:val="center"/>
            <w:hideMark/>
          </w:tcPr>
          <w:p w:rsidR="00660C0E" w:rsidRPr="009E6947" w:rsidRDefault="00660C0E" w:rsidP="00660C0E">
            <w:pPr>
              <w:jc w:val="right"/>
              <w:rPr>
                <w:rFonts w:ascii="Arial" w:hAnsi="Arial" w:cs="Arial"/>
                <w:b/>
                <w:color w:val="000000"/>
                <w:lang w:val="en-GB" w:eastAsia="en-CA"/>
              </w:rPr>
            </w:pPr>
            <w:r w:rsidRPr="009E6947">
              <w:rPr>
                <w:rFonts w:ascii="Arial" w:hAnsi="Arial" w:cs="Arial"/>
                <w:b/>
                <w:color w:val="000000"/>
                <w:lang w:val="en-GB" w:eastAsia="en-CA"/>
              </w:rPr>
              <w:t>$ 102,609,636</w:t>
            </w:r>
          </w:p>
        </w:tc>
        <w:tc>
          <w:tcPr>
            <w:tcW w:w="425" w:type="dxa"/>
            <w:noWrap/>
            <w:vAlign w:val="center"/>
            <w:hideMark/>
          </w:tcPr>
          <w:p w:rsidR="00660C0E" w:rsidRPr="009E6947" w:rsidRDefault="00660C0E" w:rsidP="00660C0E">
            <w:pPr>
              <w:jc w:val="right"/>
              <w:rPr>
                <w:rFonts w:ascii="Arial" w:hAnsi="Arial" w:cs="Arial"/>
                <w:b/>
                <w:color w:val="000000"/>
                <w:lang w:val="en-GB" w:eastAsia="en-CA"/>
              </w:rPr>
            </w:pPr>
          </w:p>
        </w:tc>
        <w:tc>
          <w:tcPr>
            <w:tcW w:w="1559" w:type="dxa"/>
            <w:noWrap/>
            <w:vAlign w:val="center"/>
            <w:hideMark/>
          </w:tcPr>
          <w:p w:rsidR="00660C0E" w:rsidRPr="009E6947" w:rsidRDefault="00660C0E" w:rsidP="00660C0E">
            <w:pPr>
              <w:jc w:val="right"/>
              <w:rPr>
                <w:rFonts w:ascii="Arial" w:hAnsi="Arial" w:cs="Arial"/>
                <w:b/>
                <w:color w:val="000000"/>
                <w:lang w:val="en-GB" w:eastAsia="en-CA"/>
              </w:rPr>
            </w:pPr>
            <w:r w:rsidRPr="009E6947">
              <w:rPr>
                <w:rFonts w:ascii="Arial" w:hAnsi="Arial" w:cs="Arial"/>
                <w:b/>
                <w:color w:val="000000"/>
                <w:lang w:val="en-GB" w:eastAsia="en-CA"/>
              </w:rPr>
              <w:t>$ 102,555,866</w:t>
            </w:r>
          </w:p>
        </w:tc>
        <w:tc>
          <w:tcPr>
            <w:tcW w:w="426" w:type="dxa"/>
            <w:noWrap/>
            <w:vAlign w:val="center"/>
            <w:hideMark/>
          </w:tcPr>
          <w:p w:rsidR="00660C0E" w:rsidRPr="009E6947" w:rsidRDefault="00660C0E" w:rsidP="00660C0E">
            <w:pPr>
              <w:jc w:val="right"/>
              <w:rPr>
                <w:rFonts w:ascii="Arial" w:hAnsi="Arial" w:cs="Arial"/>
                <w:b/>
                <w:color w:val="000000"/>
                <w:lang w:val="en-GB" w:eastAsia="en-CA"/>
              </w:rPr>
            </w:pPr>
          </w:p>
        </w:tc>
        <w:tc>
          <w:tcPr>
            <w:tcW w:w="1558" w:type="dxa"/>
            <w:noWrap/>
            <w:vAlign w:val="center"/>
            <w:hideMark/>
          </w:tcPr>
          <w:p w:rsidR="00660C0E" w:rsidRPr="009E6947" w:rsidRDefault="00660C0E" w:rsidP="00660C0E">
            <w:pPr>
              <w:jc w:val="right"/>
              <w:rPr>
                <w:rFonts w:ascii="Arial" w:hAnsi="Arial" w:cs="Arial"/>
                <w:b/>
                <w:color w:val="000000"/>
                <w:lang w:val="en-GB" w:eastAsia="en-CA"/>
              </w:rPr>
            </w:pPr>
            <w:r w:rsidRPr="009E6947">
              <w:rPr>
                <w:rFonts w:ascii="Arial" w:hAnsi="Arial" w:cs="Arial"/>
                <w:b/>
                <w:color w:val="000000"/>
                <w:lang w:val="en-GB" w:eastAsia="en-CA"/>
              </w:rPr>
              <w:t>$ 104,001,815</w:t>
            </w:r>
          </w:p>
        </w:tc>
      </w:tr>
    </w:tbl>
    <w:p w:rsidR="00660C0E" w:rsidRPr="009E6947" w:rsidRDefault="00660C0E" w:rsidP="00D105E3">
      <w:pPr>
        <w:pStyle w:val="FootnoteText1"/>
        <w:rPr>
          <w:lang w:val="en-GB"/>
        </w:rPr>
      </w:pPr>
    </w:p>
    <w:p w:rsidR="00660C0E" w:rsidRPr="009E6947" w:rsidRDefault="00660C0E" w:rsidP="00D105E3">
      <w:pPr>
        <w:pStyle w:val="FootnoteText1"/>
        <w:rPr>
          <w:lang w:val="en-GB"/>
        </w:rPr>
      </w:pPr>
      <w:r w:rsidRPr="009E6947">
        <w:rPr>
          <w:lang w:val="en-GB"/>
        </w:rPr>
        <w:t>Source: Company files.</w:t>
      </w:r>
      <w:r w:rsidRPr="009E6947">
        <w:rPr>
          <w:lang w:val="en-GB"/>
        </w:rPr>
        <w:br w:type="page"/>
      </w:r>
    </w:p>
    <w:p w:rsidR="00660C0E" w:rsidRPr="009E6947" w:rsidRDefault="00660C0E" w:rsidP="00D105E3">
      <w:pPr>
        <w:pStyle w:val="Casehead1"/>
        <w:jc w:val="center"/>
        <w:rPr>
          <w:lang w:val="en-GB"/>
        </w:rPr>
      </w:pPr>
      <w:r w:rsidRPr="009E6947">
        <w:rPr>
          <w:lang w:val="en-GB"/>
        </w:rPr>
        <w:lastRenderedPageBreak/>
        <w:t xml:space="preserve">EXHIBIT </w:t>
      </w:r>
      <w:r>
        <w:rPr>
          <w:lang w:val="en-GB"/>
        </w:rPr>
        <w:t>5</w:t>
      </w:r>
      <w:r w:rsidRPr="009E6947">
        <w:rPr>
          <w:lang w:val="en-GB"/>
        </w:rPr>
        <w:t>: FINANCIAL RATIOS</w:t>
      </w:r>
    </w:p>
    <w:p w:rsidR="00660C0E" w:rsidRPr="006F77B9" w:rsidRDefault="00660C0E" w:rsidP="00D105E3">
      <w:pPr>
        <w:pStyle w:val="BodyTextMain"/>
        <w:rPr>
          <w:lang w:val="en-GB"/>
        </w:rPr>
      </w:pPr>
    </w:p>
    <w:tbl>
      <w:tblPr>
        <w:tblStyle w:val="TableGrid"/>
        <w:tblW w:w="0" w:type="auto"/>
        <w:jc w:val="center"/>
        <w:tblLook w:val="04A0" w:firstRow="1" w:lastRow="0" w:firstColumn="1" w:lastColumn="0" w:noHBand="0" w:noVBand="1"/>
      </w:tblPr>
      <w:tblGrid>
        <w:gridCol w:w="2777"/>
        <w:gridCol w:w="1190"/>
        <w:gridCol w:w="236"/>
        <w:gridCol w:w="9"/>
        <w:gridCol w:w="1170"/>
        <w:gridCol w:w="261"/>
        <w:gridCol w:w="1170"/>
      </w:tblGrid>
      <w:tr w:rsidR="00660C0E" w:rsidRPr="00002604" w:rsidTr="006205B4">
        <w:trPr>
          <w:trHeight w:val="20"/>
          <w:jc w:val="center"/>
        </w:trPr>
        <w:tc>
          <w:tcPr>
            <w:tcW w:w="2777" w:type="dxa"/>
            <w:noWrap/>
            <w:hideMark/>
          </w:tcPr>
          <w:p w:rsidR="00660C0E" w:rsidRPr="009E6947" w:rsidRDefault="00660C0E" w:rsidP="00660C0E">
            <w:pPr>
              <w:rPr>
                <w:rFonts w:ascii="Arial" w:hAnsi="Arial" w:cs="Arial"/>
                <w:color w:val="000000"/>
                <w:lang w:val="en-GB" w:eastAsia="en-CA"/>
              </w:rPr>
            </w:pPr>
          </w:p>
        </w:tc>
        <w:tc>
          <w:tcPr>
            <w:tcW w:w="1190" w:type="dxa"/>
            <w:noWrap/>
            <w:vAlign w:val="center"/>
            <w:hideMark/>
          </w:tcPr>
          <w:p w:rsidR="00660C0E" w:rsidRPr="009E6947" w:rsidRDefault="00660C0E" w:rsidP="00660C0E">
            <w:pPr>
              <w:jc w:val="center"/>
              <w:rPr>
                <w:rFonts w:ascii="Arial" w:hAnsi="Arial" w:cs="Arial"/>
                <w:b/>
                <w:color w:val="000000"/>
                <w:lang w:val="en-GB" w:eastAsia="en-CA"/>
              </w:rPr>
            </w:pPr>
            <w:r w:rsidRPr="009E6947">
              <w:rPr>
                <w:rFonts w:ascii="Arial" w:hAnsi="Arial" w:cs="Arial"/>
                <w:b/>
                <w:color w:val="000000"/>
                <w:lang w:val="en-GB" w:eastAsia="en-CA"/>
              </w:rPr>
              <w:t>2013</w:t>
            </w:r>
          </w:p>
        </w:tc>
        <w:tc>
          <w:tcPr>
            <w:tcW w:w="236" w:type="dxa"/>
            <w:noWrap/>
            <w:vAlign w:val="center"/>
            <w:hideMark/>
          </w:tcPr>
          <w:p w:rsidR="00660C0E" w:rsidRPr="009E6947" w:rsidRDefault="00660C0E" w:rsidP="00660C0E">
            <w:pPr>
              <w:jc w:val="center"/>
              <w:rPr>
                <w:rFonts w:ascii="Arial" w:hAnsi="Arial" w:cs="Arial"/>
                <w:b/>
                <w:color w:val="000000"/>
                <w:lang w:val="en-GB" w:eastAsia="en-CA"/>
              </w:rPr>
            </w:pPr>
          </w:p>
        </w:tc>
        <w:tc>
          <w:tcPr>
            <w:tcW w:w="1179" w:type="dxa"/>
            <w:gridSpan w:val="2"/>
            <w:noWrap/>
            <w:vAlign w:val="center"/>
            <w:hideMark/>
          </w:tcPr>
          <w:p w:rsidR="00660C0E" w:rsidRPr="009E6947" w:rsidRDefault="00660C0E" w:rsidP="00660C0E">
            <w:pPr>
              <w:jc w:val="center"/>
              <w:rPr>
                <w:rFonts w:ascii="Arial" w:hAnsi="Arial" w:cs="Arial"/>
                <w:b/>
                <w:color w:val="000000"/>
                <w:lang w:val="en-GB" w:eastAsia="en-CA"/>
              </w:rPr>
            </w:pPr>
            <w:r w:rsidRPr="009E6947">
              <w:rPr>
                <w:rFonts w:ascii="Arial" w:hAnsi="Arial" w:cs="Arial"/>
                <w:b/>
                <w:color w:val="000000"/>
                <w:lang w:val="en-GB" w:eastAsia="en-CA"/>
              </w:rPr>
              <w:t>2012</w:t>
            </w:r>
          </w:p>
        </w:tc>
        <w:tc>
          <w:tcPr>
            <w:tcW w:w="261" w:type="dxa"/>
            <w:noWrap/>
            <w:vAlign w:val="center"/>
            <w:hideMark/>
          </w:tcPr>
          <w:p w:rsidR="00660C0E" w:rsidRPr="009E6947" w:rsidRDefault="00660C0E" w:rsidP="00660C0E">
            <w:pPr>
              <w:jc w:val="center"/>
              <w:rPr>
                <w:rFonts w:ascii="Arial" w:hAnsi="Arial" w:cs="Arial"/>
                <w:b/>
                <w:color w:val="000000"/>
                <w:lang w:val="en-GB" w:eastAsia="en-CA"/>
              </w:rPr>
            </w:pPr>
          </w:p>
        </w:tc>
        <w:tc>
          <w:tcPr>
            <w:tcW w:w="1170" w:type="dxa"/>
            <w:noWrap/>
            <w:vAlign w:val="center"/>
            <w:hideMark/>
          </w:tcPr>
          <w:p w:rsidR="00660C0E" w:rsidRPr="009E6947" w:rsidRDefault="00660C0E" w:rsidP="00660C0E">
            <w:pPr>
              <w:jc w:val="center"/>
              <w:rPr>
                <w:rFonts w:ascii="Arial" w:hAnsi="Arial" w:cs="Arial"/>
                <w:b/>
                <w:color w:val="000000"/>
                <w:lang w:val="en-GB" w:eastAsia="en-CA"/>
              </w:rPr>
            </w:pPr>
            <w:r w:rsidRPr="009E6947">
              <w:rPr>
                <w:rFonts w:ascii="Arial" w:hAnsi="Arial" w:cs="Arial"/>
                <w:b/>
                <w:color w:val="000000"/>
                <w:lang w:val="en-GB" w:eastAsia="en-CA"/>
              </w:rPr>
              <w:t>2011</w:t>
            </w:r>
          </w:p>
        </w:tc>
      </w:tr>
      <w:tr w:rsidR="00660C0E" w:rsidRPr="00002604" w:rsidTr="006205B4">
        <w:trPr>
          <w:trHeight w:val="20"/>
          <w:jc w:val="center"/>
        </w:trPr>
        <w:tc>
          <w:tcPr>
            <w:tcW w:w="2777" w:type="dxa"/>
            <w:noWrap/>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 </w:t>
            </w:r>
          </w:p>
        </w:tc>
        <w:tc>
          <w:tcPr>
            <w:tcW w:w="1190" w:type="dxa"/>
            <w:noWrap/>
            <w:hideMark/>
          </w:tcPr>
          <w:p w:rsidR="00660C0E" w:rsidRPr="009E6947" w:rsidRDefault="00660C0E" w:rsidP="00660C0E">
            <w:pPr>
              <w:jc w:val="center"/>
              <w:rPr>
                <w:rFonts w:ascii="Arial" w:hAnsi="Arial" w:cs="Arial"/>
                <w:color w:val="000000"/>
                <w:lang w:val="en-GB" w:eastAsia="en-CA"/>
              </w:rPr>
            </w:pPr>
          </w:p>
        </w:tc>
        <w:tc>
          <w:tcPr>
            <w:tcW w:w="236" w:type="dxa"/>
            <w:noWrap/>
            <w:hideMark/>
          </w:tcPr>
          <w:p w:rsidR="00660C0E" w:rsidRPr="009E6947" w:rsidRDefault="00660C0E" w:rsidP="00660C0E">
            <w:pPr>
              <w:jc w:val="center"/>
              <w:rPr>
                <w:rFonts w:ascii="Arial" w:hAnsi="Arial" w:cs="Arial"/>
                <w:lang w:val="en-GB" w:eastAsia="en-CA"/>
              </w:rPr>
            </w:pPr>
          </w:p>
        </w:tc>
        <w:tc>
          <w:tcPr>
            <w:tcW w:w="1179" w:type="dxa"/>
            <w:gridSpan w:val="2"/>
            <w:noWrap/>
            <w:hideMark/>
          </w:tcPr>
          <w:p w:rsidR="00660C0E" w:rsidRPr="009E6947" w:rsidRDefault="00660C0E" w:rsidP="00660C0E">
            <w:pPr>
              <w:jc w:val="center"/>
              <w:rPr>
                <w:rFonts w:ascii="Arial" w:hAnsi="Arial" w:cs="Arial"/>
                <w:lang w:val="en-GB" w:eastAsia="en-CA"/>
              </w:rPr>
            </w:pPr>
          </w:p>
        </w:tc>
        <w:tc>
          <w:tcPr>
            <w:tcW w:w="261" w:type="dxa"/>
            <w:noWrap/>
            <w:hideMark/>
          </w:tcPr>
          <w:p w:rsidR="00660C0E" w:rsidRPr="009E6947" w:rsidRDefault="00660C0E" w:rsidP="00660C0E">
            <w:pPr>
              <w:jc w:val="center"/>
              <w:rPr>
                <w:rFonts w:ascii="Arial" w:hAnsi="Arial" w:cs="Arial"/>
                <w:lang w:val="en-GB" w:eastAsia="en-CA"/>
              </w:rPr>
            </w:pPr>
          </w:p>
        </w:tc>
        <w:tc>
          <w:tcPr>
            <w:tcW w:w="1170" w:type="dxa"/>
            <w:noWrap/>
            <w:hideMark/>
          </w:tcPr>
          <w:p w:rsidR="00660C0E" w:rsidRPr="009E6947" w:rsidRDefault="00660C0E" w:rsidP="00660C0E">
            <w:pPr>
              <w:jc w:val="center"/>
              <w:rPr>
                <w:rFonts w:ascii="Arial" w:hAnsi="Arial" w:cs="Arial"/>
                <w:color w:val="000000"/>
                <w:lang w:val="en-GB" w:eastAsia="en-CA"/>
              </w:rPr>
            </w:pPr>
          </w:p>
        </w:tc>
      </w:tr>
      <w:tr w:rsidR="00660C0E" w:rsidRPr="00002604" w:rsidTr="006205B4">
        <w:trPr>
          <w:trHeight w:val="20"/>
          <w:jc w:val="center"/>
        </w:trPr>
        <w:tc>
          <w:tcPr>
            <w:tcW w:w="2777" w:type="dxa"/>
            <w:noWrap/>
            <w:vAlign w:val="center"/>
            <w:hideMark/>
          </w:tcPr>
          <w:p w:rsidR="00660C0E" w:rsidRPr="009E6947" w:rsidRDefault="00660C0E" w:rsidP="00660C0E">
            <w:pPr>
              <w:rPr>
                <w:rFonts w:ascii="Arial" w:hAnsi="Arial" w:cs="Arial"/>
                <w:b/>
                <w:color w:val="000000"/>
                <w:lang w:val="en-GB" w:eastAsia="en-CA"/>
              </w:rPr>
            </w:pPr>
            <w:r w:rsidRPr="009E6947">
              <w:rPr>
                <w:rFonts w:ascii="Arial" w:hAnsi="Arial" w:cs="Arial"/>
                <w:b/>
                <w:color w:val="000000"/>
                <w:lang w:val="en-GB" w:eastAsia="en-CA"/>
              </w:rPr>
              <w:t>PROFITABILITY</w:t>
            </w:r>
          </w:p>
        </w:tc>
        <w:tc>
          <w:tcPr>
            <w:tcW w:w="1190" w:type="dxa"/>
            <w:noWrap/>
            <w:hideMark/>
          </w:tcPr>
          <w:p w:rsidR="00660C0E" w:rsidRPr="009E6947" w:rsidRDefault="00660C0E" w:rsidP="00660C0E">
            <w:pPr>
              <w:jc w:val="center"/>
              <w:rPr>
                <w:rFonts w:ascii="Arial" w:hAnsi="Arial" w:cs="Arial"/>
                <w:color w:val="000000"/>
                <w:lang w:val="en-GB" w:eastAsia="en-CA"/>
              </w:rPr>
            </w:pPr>
          </w:p>
        </w:tc>
        <w:tc>
          <w:tcPr>
            <w:tcW w:w="236" w:type="dxa"/>
            <w:noWrap/>
            <w:hideMark/>
          </w:tcPr>
          <w:p w:rsidR="00660C0E" w:rsidRPr="009E6947" w:rsidRDefault="00660C0E" w:rsidP="00660C0E">
            <w:pPr>
              <w:jc w:val="center"/>
              <w:rPr>
                <w:rFonts w:ascii="Arial" w:hAnsi="Arial" w:cs="Arial"/>
                <w:lang w:val="en-GB" w:eastAsia="en-CA"/>
              </w:rPr>
            </w:pPr>
          </w:p>
        </w:tc>
        <w:tc>
          <w:tcPr>
            <w:tcW w:w="1179" w:type="dxa"/>
            <w:gridSpan w:val="2"/>
            <w:noWrap/>
            <w:hideMark/>
          </w:tcPr>
          <w:p w:rsidR="00660C0E" w:rsidRPr="009E6947" w:rsidRDefault="00660C0E" w:rsidP="00660C0E">
            <w:pPr>
              <w:jc w:val="center"/>
              <w:rPr>
                <w:rFonts w:ascii="Arial" w:hAnsi="Arial" w:cs="Arial"/>
                <w:lang w:val="en-GB" w:eastAsia="en-CA"/>
              </w:rPr>
            </w:pPr>
          </w:p>
        </w:tc>
        <w:tc>
          <w:tcPr>
            <w:tcW w:w="261" w:type="dxa"/>
            <w:noWrap/>
            <w:hideMark/>
          </w:tcPr>
          <w:p w:rsidR="00660C0E" w:rsidRPr="009E6947" w:rsidRDefault="00660C0E" w:rsidP="00660C0E">
            <w:pPr>
              <w:jc w:val="center"/>
              <w:rPr>
                <w:rFonts w:ascii="Arial" w:hAnsi="Arial" w:cs="Arial"/>
                <w:lang w:val="en-GB" w:eastAsia="en-CA"/>
              </w:rPr>
            </w:pPr>
          </w:p>
        </w:tc>
        <w:tc>
          <w:tcPr>
            <w:tcW w:w="1170" w:type="dxa"/>
            <w:noWrap/>
            <w:hideMark/>
          </w:tcPr>
          <w:p w:rsidR="00660C0E" w:rsidRPr="009E6947" w:rsidRDefault="00660C0E" w:rsidP="00660C0E">
            <w:pPr>
              <w:jc w:val="center"/>
              <w:rPr>
                <w:rFonts w:ascii="Arial" w:hAnsi="Arial" w:cs="Arial"/>
                <w:color w:val="000000"/>
                <w:lang w:val="en-GB" w:eastAsia="en-CA"/>
              </w:rPr>
            </w:pPr>
          </w:p>
        </w:tc>
      </w:tr>
      <w:tr w:rsidR="00660C0E" w:rsidRPr="00002604" w:rsidTr="006205B4">
        <w:trPr>
          <w:trHeight w:val="20"/>
          <w:jc w:val="center"/>
        </w:trPr>
        <w:tc>
          <w:tcPr>
            <w:tcW w:w="2777"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Return on average equity</w:t>
            </w:r>
          </w:p>
        </w:tc>
        <w:tc>
          <w:tcPr>
            <w:tcW w:w="1190"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1%</w:t>
            </w:r>
          </w:p>
        </w:tc>
        <w:tc>
          <w:tcPr>
            <w:tcW w:w="236" w:type="dxa"/>
            <w:noWrap/>
            <w:vAlign w:val="center"/>
            <w:hideMark/>
          </w:tcPr>
          <w:p w:rsidR="00660C0E" w:rsidRPr="009E6947" w:rsidRDefault="00660C0E" w:rsidP="00660C0E">
            <w:pPr>
              <w:jc w:val="right"/>
              <w:rPr>
                <w:rFonts w:ascii="Arial" w:hAnsi="Arial" w:cs="Arial"/>
                <w:color w:val="000000"/>
                <w:lang w:val="en-GB" w:eastAsia="en-CA"/>
              </w:rPr>
            </w:pPr>
          </w:p>
        </w:tc>
        <w:tc>
          <w:tcPr>
            <w:tcW w:w="1179" w:type="dxa"/>
            <w:gridSpan w:val="2"/>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1%</w:t>
            </w:r>
          </w:p>
        </w:tc>
        <w:tc>
          <w:tcPr>
            <w:tcW w:w="261" w:type="dxa"/>
            <w:noWrap/>
            <w:vAlign w:val="center"/>
            <w:hideMark/>
          </w:tcPr>
          <w:p w:rsidR="00660C0E" w:rsidRPr="009E6947" w:rsidRDefault="00660C0E" w:rsidP="00660C0E">
            <w:pPr>
              <w:jc w:val="right"/>
              <w:rPr>
                <w:rFonts w:ascii="Arial" w:hAnsi="Arial" w:cs="Arial"/>
                <w:color w:val="000000"/>
                <w:lang w:val="en-GB" w:eastAsia="en-CA"/>
              </w:rPr>
            </w:pPr>
          </w:p>
        </w:tc>
        <w:tc>
          <w:tcPr>
            <w:tcW w:w="1170"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9%</w:t>
            </w:r>
          </w:p>
        </w:tc>
      </w:tr>
      <w:tr w:rsidR="00660C0E" w:rsidRPr="00002604" w:rsidTr="006205B4">
        <w:trPr>
          <w:trHeight w:val="20"/>
          <w:jc w:val="center"/>
        </w:trPr>
        <w:tc>
          <w:tcPr>
            <w:tcW w:w="2777"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 </w:t>
            </w:r>
          </w:p>
        </w:tc>
        <w:tc>
          <w:tcPr>
            <w:tcW w:w="1190" w:type="dxa"/>
            <w:noWrap/>
            <w:vAlign w:val="center"/>
            <w:hideMark/>
          </w:tcPr>
          <w:p w:rsidR="00660C0E" w:rsidRPr="009E6947" w:rsidRDefault="00660C0E" w:rsidP="00660C0E">
            <w:pPr>
              <w:jc w:val="right"/>
              <w:rPr>
                <w:rFonts w:ascii="Arial" w:hAnsi="Arial" w:cs="Arial"/>
                <w:color w:val="000000"/>
                <w:lang w:val="en-GB" w:eastAsia="en-CA"/>
              </w:rPr>
            </w:pPr>
          </w:p>
        </w:tc>
        <w:tc>
          <w:tcPr>
            <w:tcW w:w="236" w:type="dxa"/>
            <w:noWrap/>
            <w:vAlign w:val="center"/>
            <w:hideMark/>
          </w:tcPr>
          <w:p w:rsidR="00660C0E" w:rsidRPr="009E6947" w:rsidRDefault="00660C0E" w:rsidP="00660C0E">
            <w:pPr>
              <w:jc w:val="right"/>
              <w:rPr>
                <w:rFonts w:ascii="Arial" w:hAnsi="Arial" w:cs="Arial"/>
                <w:lang w:val="en-GB" w:eastAsia="en-CA"/>
              </w:rPr>
            </w:pPr>
          </w:p>
        </w:tc>
        <w:tc>
          <w:tcPr>
            <w:tcW w:w="1179" w:type="dxa"/>
            <w:gridSpan w:val="2"/>
            <w:noWrap/>
            <w:vAlign w:val="center"/>
            <w:hideMark/>
          </w:tcPr>
          <w:p w:rsidR="00660C0E" w:rsidRPr="009E6947" w:rsidRDefault="00660C0E" w:rsidP="00660C0E">
            <w:pPr>
              <w:jc w:val="right"/>
              <w:rPr>
                <w:rFonts w:ascii="Arial" w:hAnsi="Arial" w:cs="Arial"/>
                <w:lang w:val="en-GB" w:eastAsia="en-CA"/>
              </w:rPr>
            </w:pPr>
          </w:p>
        </w:tc>
        <w:tc>
          <w:tcPr>
            <w:tcW w:w="261" w:type="dxa"/>
            <w:noWrap/>
            <w:vAlign w:val="center"/>
            <w:hideMark/>
          </w:tcPr>
          <w:p w:rsidR="00660C0E" w:rsidRPr="009E6947" w:rsidRDefault="00660C0E" w:rsidP="00660C0E">
            <w:pPr>
              <w:jc w:val="right"/>
              <w:rPr>
                <w:rFonts w:ascii="Arial" w:hAnsi="Arial" w:cs="Arial"/>
                <w:lang w:val="en-GB" w:eastAsia="en-CA"/>
              </w:rPr>
            </w:pPr>
          </w:p>
        </w:tc>
        <w:tc>
          <w:tcPr>
            <w:tcW w:w="1170" w:type="dxa"/>
            <w:noWrap/>
            <w:vAlign w:val="center"/>
            <w:hideMark/>
          </w:tcPr>
          <w:p w:rsidR="00660C0E" w:rsidRPr="009E6947" w:rsidRDefault="00660C0E" w:rsidP="00660C0E">
            <w:pPr>
              <w:jc w:val="right"/>
              <w:rPr>
                <w:rFonts w:ascii="Arial" w:hAnsi="Arial" w:cs="Arial"/>
                <w:color w:val="000000"/>
                <w:lang w:val="en-GB" w:eastAsia="en-CA"/>
              </w:rPr>
            </w:pPr>
          </w:p>
        </w:tc>
      </w:tr>
      <w:tr w:rsidR="00660C0E" w:rsidRPr="00002604" w:rsidTr="006205B4">
        <w:trPr>
          <w:trHeight w:val="20"/>
          <w:jc w:val="center"/>
        </w:trPr>
        <w:tc>
          <w:tcPr>
            <w:tcW w:w="2777" w:type="dxa"/>
            <w:noWrap/>
            <w:vAlign w:val="center"/>
            <w:hideMark/>
          </w:tcPr>
          <w:p w:rsidR="00660C0E" w:rsidRPr="009E6947" w:rsidRDefault="00660C0E" w:rsidP="00660C0E">
            <w:pPr>
              <w:rPr>
                <w:rFonts w:ascii="Arial" w:hAnsi="Arial" w:cs="Arial"/>
                <w:b/>
                <w:color w:val="000000"/>
                <w:lang w:val="en-GB" w:eastAsia="en-CA"/>
              </w:rPr>
            </w:pPr>
            <w:r w:rsidRPr="009E6947">
              <w:rPr>
                <w:rFonts w:ascii="Arial" w:hAnsi="Arial" w:cs="Arial"/>
                <w:b/>
                <w:color w:val="000000"/>
                <w:lang w:val="en-GB" w:eastAsia="en-CA"/>
              </w:rPr>
              <w:t>LIQUIDITY</w:t>
            </w:r>
          </w:p>
        </w:tc>
        <w:tc>
          <w:tcPr>
            <w:tcW w:w="1190" w:type="dxa"/>
            <w:noWrap/>
            <w:vAlign w:val="center"/>
            <w:hideMark/>
          </w:tcPr>
          <w:p w:rsidR="00660C0E" w:rsidRPr="009E6947" w:rsidRDefault="00660C0E" w:rsidP="00660C0E">
            <w:pPr>
              <w:jc w:val="right"/>
              <w:rPr>
                <w:rFonts w:ascii="Arial" w:hAnsi="Arial" w:cs="Arial"/>
                <w:color w:val="000000"/>
                <w:lang w:val="en-GB" w:eastAsia="en-CA"/>
              </w:rPr>
            </w:pPr>
          </w:p>
        </w:tc>
        <w:tc>
          <w:tcPr>
            <w:tcW w:w="236" w:type="dxa"/>
            <w:noWrap/>
            <w:vAlign w:val="center"/>
            <w:hideMark/>
          </w:tcPr>
          <w:p w:rsidR="00660C0E" w:rsidRPr="009E6947" w:rsidRDefault="00660C0E" w:rsidP="00660C0E">
            <w:pPr>
              <w:jc w:val="right"/>
              <w:rPr>
                <w:rFonts w:ascii="Arial" w:hAnsi="Arial" w:cs="Arial"/>
                <w:lang w:val="en-GB" w:eastAsia="en-CA"/>
              </w:rPr>
            </w:pPr>
          </w:p>
        </w:tc>
        <w:tc>
          <w:tcPr>
            <w:tcW w:w="1179" w:type="dxa"/>
            <w:gridSpan w:val="2"/>
            <w:noWrap/>
            <w:vAlign w:val="center"/>
            <w:hideMark/>
          </w:tcPr>
          <w:p w:rsidR="00660C0E" w:rsidRPr="009E6947" w:rsidRDefault="00660C0E" w:rsidP="00660C0E">
            <w:pPr>
              <w:jc w:val="right"/>
              <w:rPr>
                <w:rFonts w:ascii="Arial" w:hAnsi="Arial" w:cs="Arial"/>
                <w:lang w:val="en-GB" w:eastAsia="en-CA"/>
              </w:rPr>
            </w:pPr>
          </w:p>
        </w:tc>
        <w:tc>
          <w:tcPr>
            <w:tcW w:w="261" w:type="dxa"/>
            <w:noWrap/>
            <w:vAlign w:val="center"/>
            <w:hideMark/>
          </w:tcPr>
          <w:p w:rsidR="00660C0E" w:rsidRPr="009E6947" w:rsidRDefault="00660C0E" w:rsidP="00660C0E">
            <w:pPr>
              <w:jc w:val="right"/>
              <w:rPr>
                <w:rFonts w:ascii="Arial" w:hAnsi="Arial" w:cs="Arial"/>
                <w:lang w:val="en-GB" w:eastAsia="en-CA"/>
              </w:rPr>
            </w:pPr>
          </w:p>
        </w:tc>
        <w:tc>
          <w:tcPr>
            <w:tcW w:w="1170" w:type="dxa"/>
            <w:noWrap/>
            <w:vAlign w:val="center"/>
            <w:hideMark/>
          </w:tcPr>
          <w:p w:rsidR="00660C0E" w:rsidRPr="009E6947" w:rsidRDefault="00660C0E" w:rsidP="00660C0E">
            <w:pPr>
              <w:jc w:val="right"/>
              <w:rPr>
                <w:rFonts w:ascii="Arial" w:hAnsi="Arial" w:cs="Arial"/>
                <w:color w:val="000000"/>
                <w:lang w:val="en-GB" w:eastAsia="en-CA"/>
              </w:rPr>
            </w:pPr>
          </w:p>
        </w:tc>
      </w:tr>
      <w:tr w:rsidR="00660C0E" w:rsidRPr="00002604" w:rsidTr="006205B4">
        <w:trPr>
          <w:trHeight w:val="20"/>
          <w:jc w:val="center"/>
        </w:trPr>
        <w:tc>
          <w:tcPr>
            <w:tcW w:w="2777"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Current ratio</w:t>
            </w:r>
          </w:p>
        </w:tc>
        <w:tc>
          <w:tcPr>
            <w:tcW w:w="1190"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0.02:1</w:t>
            </w:r>
          </w:p>
        </w:tc>
        <w:tc>
          <w:tcPr>
            <w:tcW w:w="236" w:type="dxa"/>
            <w:noWrap/>
            <w:vAlign w:val="center"/>
            <w:hideMark/>
          </w:tcPr>
          <w:p w:rsidR="00660C0E" w:rsidRPr="009E6947" w:rsidRDefault="00660C0E" w:rsidP="00660C0E">
            <w:pPr>
              <w:jc w:val="right"/>
              <w:rPr>
                <w:rFonts w:ascii="Arial" w:hAnsi="Arial" w:cs="Arial"/>
                <w:color w:val="000000"/>
                <w:lang w:val="en-GB" w:eastAsia="en-CA"/>
              </w:rPr>
            </w:pPr>
          </w:p>
        </w:tc>
        <w:tc>
          <w:tcPr>
            <w:tcW w:w="1179" w:type="dxa"/>
            <w:gridSpan w:val="2"/>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0.09:1</w:t>
            </w:r>
          </w:p>
        </w:tc>
        <w:tc>
          <w:tcPr>
            <w:tcW w:w="261" w:type="dxa"/>
            <w:noWrap/>
            <w:vAlign w:val="center"/>
            <w:hideMark/>
          </w:tcPr>
          <w:p w:rsidR="00660C0E" w:rsidRPr="009E6947" w:rsidRDefault="00660C0E" w:rsidP="00660C0E">
            <w:pPr>
              <w:jc w:val="right"/>
              <w:rPr>
                <w:rFonts w:ascii="Arial" w:hAnsi="Arial" w:cs="Arial"/>
                <w:color w:val="000000"/>
                <w:lang w:val="en-GB" w:eastAsia="en-CA"/>
              </w:rPr>
            </w:pPr>
          </w:p>
        </w:tc>
        <w:tc>
          <w:tcPr>
            <w:tcW w:w="1170"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0.15:1</w:t>
            </w:r>
          </w:p>
        </w:tc>
      </w:tr>
      <w:tr w:rsidR="00660C0E" w:rsidRPr="00002604" w:rsidTr="006205B4">
        <w:trPr>
          <w:trHeight w:val="20"/>
          <w:jc w:val="center"/>
        </w:trPr>
        <w:tc>
          <w:tcPr>
            <w:tcW w:w="2777"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 </w:t>
            </w:r>
          </w:p>
        </w:tc>
        <w:tc>
          <w:tcPr>
            <w:tcW w:w="1190" w:type="dxa"/>
            <w:noWrap/>
            <w:vAlign w:val="center"/>
            <w:hideMark/>
          </w:tcPr>
          <w:p w:rsidR="00660C0E" w:rsidRPr="009E6947" w:rsidRDefault="00660C0E" w:rsidP="00660C0E">
            <w:pPr>
              <w:jc w:val="right"/>
              <w:rPr>
                <w:rFonts w:ascii="Arial" w:hAnsi="Arial" w:cs="Arial"/>
                <w:color w:val="000000"/>
                <w:lang w:val="en-GB" w:eastAsia="en-CA"/>
              </w:rPr>
            </w:pPr>
          </w:p>
        </w:tc>
        <w:tc>
          <w:tcPr>
            <w:tcW w:w="236" w:type="dxa"/>
            <w:noWrap/>
            <w:vAlign w:val="center"/>
            <w:hideMark/>
          </w:tcPr>
          <w:p w:rsidR="00660C0E" w:rsidRPr="009E6947" w:rsidRDefault="00660C0E" w:rsidP="00660C0E">
            <w:pPr>
              <w:jc w:val="right"/>
              <w:rPr>
                <w:rFonts w:ascii="Arial" w:hAnsi="Arial" w:cs="Arial"/>
                <w:lang w:val="en-GB" w:eastAsia="en-CA"/>
              </w:rPr>
            </w:pPr>
          </w:p>
        </w:tc>
        <w:tc>
          <w:tcPr>
            <w:tcW w:w="1179" w:type="dxa"/>
            <w:gridSpan w:val="2"/>
            <w:noWrap/>
            <w:vAlign w:val="center"/>
            <w:hideMark/>
          </w:tcPr>
          <w:p w:rsidR="00660C0E" w:rsidRPr="009E6947" w:rsidRDefault="00660C0E" w:rsidP="00660C0E">
            <w:pPr>
              <w:jc w:val="right"/>
              <w:rPr>
                <w:rFonts w:ascii="Arial" w:hAnsi="Arial" w:cs="Arial"/>
                <w:lang w:val="en-GB" w:eastAsia="en-CA"/>
              </w:rPr>
            </w:pPr>
          </w:p>
        </w:tc>
        <w:tc>
          <w:tcPr>
            <w:tcW w:w="261" w:type="dxa"/>
            <w:noWrap/>
            <w:vAlign w:val="center"/>
            <w:hideMark/>
          </w:tcPr>
          <w:p w:rsidR="00660C0E" w:rsidRPr="009E6947" w:rsidRDefault="00660C0E" w:rsidP="00660C0E">
            <w:pPr>
              <w:jc w:val="right"/>
              <w:rPr>
                <w:rFonts w:ascii="Arial" w:hAnsi="Arial" w:cs="Arial"/>
                <w:lang w:val="en-GB" w:eastAsia="en-CA"/>
              </w:rPr>
            </w:pPr>
          </w:p>
        </w:tc>
        <w:tc>
          <w:tcPr>
            <w:tcW w:w="1170" w:type="dxa"/>
            <w:noWrap/>
            <w:vAlign w:val="center"/>
            <w:hideMark/>
          </w:tcPr>
          <w:p w:rsidR="00660C0E" w:rsidRPr="009E6947" w:rsidRDefault="00660C0E" w:rsidP="00660C0E">
            <w:pPr>
              <w:jc w:val="right"/>
              <w:rPr>
                <w:rFonts w:ascii="Arial" w:hAnsi="Arial" w:cs="Arial"/>
                <w:color w:val="000000"/>
                <w:lang w:val="en-GB" w:eastAsia="en-CA"/>
              </w:rPr>
            </w:pPr>
          </w:p>
        </w:tc>
      </w:tr>
      <w:tr w:rsidR="00660C0E" w:rsidRPr="00002604" w:rsidTr="006205B4">
        <w:trPr>
          <w:trHeight w:val="20"/>
          <w:jc w:val="center"/>
        </w:trPr>
        <w:tc>
          <w:tcPr>
            <w:tcW w:w="2777" w:type="dxa"/>
            <w:noWrap/>
            <w:vAlign w:val="center"/>
            <w:hideMark/>
          </w:tcPr>
          <w:p w:rsidR="00660C0E" w:rsidRPr="009E6947" w:rsidRDefault="00660C0E" w:rsidP="00660C0E">
            <w:pPr>
              <w:rPr>
                <w:rFonts w:ascii="Arial" w:hAnsi="Arial" w:cs="Arial"/>
                <w:b/>
                <w:color w:val="000000"/>
                <w:lang w:val="en-GB" w:eastAsia="en-CA"/>
              </w:rPr>
            </w:pPr>
            <w:r w:rsidRPr="009E6947">
              <w:rPr>
                <w:rFonts w:ascii="Arial" w:hAnsi="Arial" w:cs="Arial"/>
                <w:b/>
                <w:color w:val="000000"/>
                <w:lang w:val="en-GB" w:eastAsia="en-CA"/>
              </w:rPr>
              <w:t>EFFICIENCY</w:t>
            </w:r>
          </w:p>
        </w:tc>
        <w:tc>
          <w:tcPr>
            <w:tcW w:w="1190" w:type="dxa"/>
            <w:noWrap/>
            <w:vAlign w:val="center"/>
            <w:hideMark/>
          </w:tcPr>
          <w:p w:rsidR="00660C0E" w:rsidRPr="009E6947" w:rsidRDefault="00660C0E" w:rsidP="00660C0E">
            <w:pPr>
              <w:jc w:val="right"/>
              <w:rPr>
                <w:rFonts w:ascii="Arial" w:hAnsi="Arial" w:cs="Arial"/>
                <w:color w:val="000000"/>
                <w:lang w:val="en-GB" w:eastAsia="en-CA"/>
              </w:rPr>
            </w:pPr>
          </w:p>
        </w:tc>
        <w:tc>
          <w:tcPr>
            <w:tcW w:w="236" w:type="dxa"/>
            <w:noWrap/>
            <w:vAlign w:val="center"/>
            <w:hideMark/>
          </w:tcPr>
          <w:p w:rsidR="00660C0E" w:rsidRPr="009E6947" w:rsidRDefault="00660C0E" w:rsidP="00660C0E">
            <w:pPr>
              <w:jc w:val="right"/>
              <w:rPr>
                <w:rFonts w:ascii="Arial" w:hAnsi="Arial" w:cs="Arial"/>
                <w:lang w:val="en-GB" w:eastAsia="en-CA"/>
              </w:rPr>
            </w:pPr>
          </w:p>
        </w:tc>
        <w:tc>
          <w:tcPr>
            <w:tcW w:w="1179" w:type="dxa"/>
            <w:gridSpan w:val="2"/>
            <w:noWrap/>
            <w:vAlign w:val="center"/>
            <w:hideMark/>
          </w:tcPr>
          <w:p w:rsidR="00660C0E" w:rsidRPr="009E6947" w:rsidRDefault="00660C0E" w:rsidP="00660C0E">
            <w:pPr>
              <w:jc w:val="right"/>
              <w:rPr>
                <w:rFonts w:ascii="Arial" w:hAnsi="Arial" w:cs="Arial"/>
                <w:lang w:val="en-GB" w:eastAsia="en-CA"/>
              </w:rPr>
            </w:pPr>
          </w:p>
        </w:tc>
        <w:tc>
          <w:tcPr>
            <w:tcW w:w="261" w:type="dxa"/>
            <w:noWrap/>
            <w:vAlign w:val="center"/>
            <w:hideMark/>
          </w:tcPr>
          <w:p w:rsidR="00660C0E" w:rsidRPr="009E6947" w:rsidRDefault="00660C0E" w:rsidP="00660C0E">
            <w:pPr>
              <w:jc w:val="right"/>
              <w:rPr>
                <w:rFonts w:ascii="Arial" w:hAnsi="Arial" w:cs="Arial"/>
                <w:lang w:val="en-GB" w:eastAsia="en-CA"/>
              </w:rPr>
            </w:pPr>
          </w:p>
        </w:tc>
        <w:tc>
          <w:tcPr>
            <w:tcW w:w="1170" w:type="dxa"/>
            <w:noWrap/>
            <w:vAlign w:val="center"/>
            <w:hideMark/>
          </w:tcPr>
          <w:p w:rsidR="00660C0E" w:rsidRPr="009E6947" w:rsidRDefault="00660C0E" w:rsidP="00660C0E">
            <w:pPr>
              <w:jc w:val="right"/>
              <w:rPr>
                <w:rFonts w:ascii="Arial" w:hAnsi="Arial" w:cs="Arial"/>
                <w:color w:val="000000"/>
                <w:lang w:val="en-GB" w:eastAsia="en-CA"/>
              </w:rPr>
            </w:pPr>
          </w:p>
        </w:tc>
      </w:tr>
      <w:tr w:rsidR="00660C0E" w:rsidRPr="00002604" w:rsidTr="006205B4">
        <w:trPr>
          <w:trHeight w:val="20"/>
          <w:jc w:val="center"/>
        </w:trPr>
        <w:tc>
          <w:tcPr>
            <w:tcW w:w="2777"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 xml:space="preserve">Age of receivables </w:t>
            </w:r>
          </w:p>
        </w:tc>
        <w:tc>
          <w:tcPr>
            <w:tcW w:w="1190"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2 days</w:t>
            </w:r>
          </w:p>
        </w:tc>
        <w:tc>
          <w:tcPr>
            <w:tcW w:w="236" w:type="dxa"/>
            <w:noWrap/>
            <w:vAlign w:val="center"/>
            <w:hideMark/>
          </w:tcPr>
          <w:p w:rsidR="00660C0E" w:rsidRPr="009E6947" w:rsidRDefault="00660C0E" w:rsidP="00660C0E">
            <w:pPr>
              <w:jc w:val="right"/>
              <w:rPr>
                <w:rFonts w:ascii="Arial" w:hAnsi="Arial" w:cs="Arial"/>
                <w:color w:val="000000"/>
                <w:lang w:val="en-GB" w:eastAsia="en-CA"/>
              </w:rPr>
            </w:pPr>
          </w:p>
        </w:tc>
        <w:tc>
          <w:tcPr>
            <w:tcW w:w="1179" w:type="dxa"/>
            <w:gridSpan w:val="2"/>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4 days</w:t>
            </w:r>
          </w:p>
        </w:tc>
        <w:tc>
          <w:tcPr>
            <w:tcW w:w="261" w:type="dxa"/>
            <w:noWrap/>
            <w:vAlign w:val="center"/>
            <w:hideMark/>
          </w:tcPr>
          <w:p w:rsidR="00660C0E" w:rsidRPr="009E6947" w:rsidRDefault="00660C0E" w:rsidP="00660C0E">
            <w:pPr>
              <w:jc w:val="right"/>
              <w:rPr>
                <w:rFonts w:ascii="Arial" w:hAnsi="Arial" w:cs="Arial"/>
                <w:color w:val="000000"/>
                <w:lang w:val="en-GB" w:eastAsia="en-CA"/>
              </w:rPr>
            </w:pPr>
          </w:p>
        </w:tc>
        <w:tc>
          <w:tcPr>
            <w:tcW w:w="1170"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10 days</w:t>
            </w:r>
          </w:p>
        </w:tc>
      </w:tr>
      <w:tr w:rsidR="00660C0E" w:rsidRPr="00002604" w:rsidTr="006205B4">
        <w:trPr>
          <w:trHeight w:val="20"/>
          <w:jc w:val="center"/>
        </w:trPr>
        <w:tc>
          <w:tcPr>
            <w:tcW w:w="2777"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 </w:t>
            </w:r>
          </w:p>
        </w:tc>
        <w:tc>
          <w:tcPr>
            <w:tcW w:w="1190" w:type="dxa"/>
            <w:noWrap/>
            <w:vAlign w:val="center"/>
            <w:hideMark/>
          </w:tcPr>
          <w:p w:rsidR="00660C0E" w:rsidRPr="009E6947" w:rsidRDefault="00660C0E" w:rsidP="00660C0E">
            <w:pPr>
              <w:jc w:val="right"/>
              <w:rPr>
                <w:rFonts w:ascii="Arial" w:hAnsi="Arial" w:cs="Arial"/>
                <w:color w:val="000000"/>
                <w:lang w:val="en-GB" w:eastAsia="en-CA"/>
              </w:rPr>
            </w:pPr>
          </w:p>
        </w:tc>
        <w:tc>
          <w:tcPr>
            <w:tcW w:w="236" w:type="dxa"/>
            <w:noWrap/>
            <w:vAlign w:val="center"/>
            <w:hideMark/>
          </w:tcPr>
          <w:p w:rsidR="00660C0E" w:rsidRPr="009E6947" w:rsidRDefault="00660C0E" w:rsidP="00660C0E">
            <w:pPr>
              <w:jc w:val="right"/>
              <w:rPr>
                <w:rFonts w:ascii="Arial" w:hAnsi="Arial" w:cs="Arial"/>
                <w:lang w:val="en-GB" w:eastAsia="en-CA"/>
              </w:rPr>
            </w:pPr>
          </w:p>
        </w:tc>
        <w:tc>
          <w:tcPr>
            <w:tcW w:w="1179" w:type="dxa"/>
            <w:gridSpan w:val="2"/>
            <w:noWrap/>
            <w:vAlign w:val="center"/>
            <w:hideMark/>
          </w:tcPr>
          <w:p w:rsidR="00660C0E" w:rsidRPr="009E6947" w:rsidRDefault="00660C0E" w:rsidP="00660C0E">
            <w:pPr>
              <w:jc w:val="right"/>
              <w:rPr>
                <w:rFonts w:ascii="Arial" w:hAnsi="Arial" w:cs="Arial"/>
                <w:lang w:val="en-GB" w:eastAsia="en-CA"/>
              </w:rPr>
            </w:pPr>
          </w:p>
        </w:tc>
        <w:tc>
          <w:tcPr>
            <w:tcW w:w="261" w:type="dxa"/>
            <w:noWrap/>
            <w:vAlign w:val="center"/>
            <w:hideMark/>
          </w:tcPr>
          <w:p w:rsidR="00660C0E" w:rsidRPr="009E6947" w:rsidRDefault="00660C0E" w:rsidP="00660C0E">
            <w:pPr>
              <w:jc w:val="right"/>
              <w:rPr>
                <w:rFonts w:ascii="Arial" w:hAnsi="Arial" w:cs="Arial"/>
                <w:lang w:val="en-GB" w:eastAsia="en-CA"/>
              </w:rPr>
            </w:pPr>
          </w:p>
        </w:tc>
        <w:tc>
          <w:tcPr>
            <w:tcW w:w="1170" w:type="dxa"/>
            <w:noWrap/>
            <w:vAlign w:val="center"/>
            <w:hideMark/>
          </w:tcPr>
          <w:p w:rsidR="00660C0E" w:rsidRPr="009E6947" w:rsidRDefault="00660C0E" w:rsidP="00660C0E">
            <w:pPr>
              <w:jc w:val="right"/>
              <w:rPr>
                <w:rFonts w:ascii="Arial" w:hAnsi="Arial" w:cs="Arial"/>
                <w:color w:val="000000"/>
                <w:lang w:val="en-GB" w:eastAsia="en-CA"/>
              </w:rPr>
            </w:pPr>
          </w:p>
        </w:tc>
      </w:tr>
      <w:tr w:rsidR="00660C0E" w:rsidRPr="00002604" w:rsidTr="006205B4">
        <w:trPr>
          <w:trHeight w:val="20"/>
          <w:jc w:val="center"/>
        </w:trPr>
        <w:tc>
          <w:tcPr>
            <w:tcW w:w="2777" w:type="dxa"/>
            <w:noWrap/>
            <w:vAlign w:val="center"/>
            <w:hideMark/>
          </w:tcPr>
          <w:p w:rsidR="00660C0E" w:rsidRPr="009E6947" w:rsidRDefault="00660C0E" w:rsidP="00660C0E">
            <w:pPr>
              <w:rPr>
                <w:rFonts w:ascii="Arial" w:hAnsi="Arial" w:cs="Arial"/>
                <w:b/>
                <w:color w:val="000000"/>
                <w:lang w:val="en-GB" w:eastAsia="en-CA"/>
              </w:rPr>
            </w:pPr>
            <w:r w:rsidRPr="009E6947">
              <w:rPr>
                <w:rFonts w:ascii="Arial" w:hAnsi="Arial" w:cs="Arial"/>
                <w:b/>
                <w:color w:val="000000"/>
                <w:lang w:val="en-GB" w:eastAsia="en-CA"/>
              </w:rPr>
              <w:t>STABILITY</w:t>
            </w:r>
          </w:p>
        </w:tc>
        <w:tc>
          <w:tcPr>
            <w:tcW w:w="1190" w:type="dxa"/>
            <w:noWrap/>
            <w:vAlign w:val="center"/>
            <w:hideMark/>
          </w:tcPr>
          <w:p w:rsidR="00660C0E" w:rsidRPr="009E6947" w:rsidRDefault="00660C0E" w:rsidP="00660C0E">
            <w:pPr>
              <w:jc w:val="right"/>
              <w:rPr>
                <w:rFonts w:ascii="Arial" w:hAnsi="Arial" w:cs="Arial"/>
                <w:color w:val="000000"/>
                <w:lang w:val="en-GB" w:eastAsia="en-CA"/>
              </w:rPr>
            </w:pPr>
          </w:p>
        </w:tc>
        <w:tc>
          <w:tcPr>
            <w:tcW w:w="236" w:type="dxa"/>
            <w:noWrap/>
            <w:vAlign w:val="center"/>
            <w:hideMark/>
          </w:tcPr>
          <w:p w:rsidR="00660C0E" w:rsidRPr="009E6947" w:rsidRDefault="00660C0E" w:rsidP="00660C0E">
            <w:pPr>
              <w:jc w:val="right"/>
              <w:rPr>
                <w:rFonts w:ascii="Arial" w:hAnsi="Arial" w:cs="Arial"/>
                <w:lang w:val="en-GB" w:eastAsia="en-CA"/>
              </w:rPr>
            </w:pPr>
          </w:p>
        </w:tc>
        <w:tc>
          <w:tcPr>
            <w:tcW w:w="1179" w:type="dxa"/>
            <w:gridSpan w:val="2"/>
            <w:noWrap/>
            <w:vAlign w:val="center"/>
            <w:hideMark/>
          </w:tcPr>
          <w:p w:rsidR="00660C0E" w:rsidRPr="009E6947" w:rsidRDefault="00660C0E" w:rsidP="00660C0E">
            <w:pPr>
              <w:jc w:val="right"/>
              <w:rPr>
                <w:rFonts w:ascii="Arial" w:hAnsi="Arial" w:cs="Arial"/>
                <w:lang w:val="en-GB" w:eastAsia="en-CA"/>
              </w:rPr>
            </w:pPr>
          </w:p>
        </w:tc>
        <w:tc>
          <w:tcPr>
            <w:tcW w:w="261" w:type="dxa"/>
            <w:noWrap/>
            <w:vAlign w:val="center"/>
            <w:hideMark/>
          </w:tcPr>
          <w:p w:rsidR="00660C0E" w:rsidRPr="009E6947" w:rsidRDefault="00660C0E" w:rsidP="00660C0E">
            <w:pPr>
              <w:jc w:val="right"/>
              <w:rPr>
                <w:rFonts w:ascii="Arial" w:hAnsi="Arial" w:cs="Arial"/>
                <w:lang w:val="en-GB" w:eastAsia="en-CA"/>
              </w:rPr>
            </w:pPr>
          </w:p>
        </w:tc>
        <w:tc>
          <w:tcPr>
            <w:tcW w:w="1170" w:type="dxa"/>
            <w:noWrap/>
            <w:vAlign w:val="center"/>
            <w:hideMark/>
          </w:tcPr>
          <w:p w:rsidR="00660C0E" w:rsidRPr="009E6947" w:rsidRDefault="00660C0E" w:rsidP="00660C0E">
            <w:pPr>
              <w:jc w:val="right"/>
              <w:rPr>
                <w:rFonts w:ascii="Arial" w:hAnsi="Arial" w:cs="Arial"/>
                <w:color w:val="000000"/>
                <w:lang w:val="en-GB" w:eastAsia="en-CA"/>
              </w:rPr>
            </w:pPr>
          </w:p>
        </w:tc>
      </w:tr>
      <w:tr w:rsidR="00660C0E" w:rsidRPr="00002604" w:rsidTr="006205B4">
        <w:trPr>
          <w:trHeight w:val="20"/>
          <w:jc w:val="center"/>
        </w:trPr>
        <w:tc>
          <w:tcPr>
            <w:tcW w:w="2777"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Net worth to total assets</w:t>
            </w:r>
          </w:p>
        </w:tc>
        <w:tc>
          <w:tcPr>
            <w:tcW w:w="1190"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66.7%</w:t>
            </w:r>
          </w:p>
        </w:tc>
        <w:tc>
          <w:tcPr>
            <w:tcW w:w="236" w:type="dxa"/>
            <w:noWrap/>
            <w:vAlign w:val="center"/>
            <w:hideMark/>
          </w:tcPr>
          <w:p w:rsidR="00660C0E" w:rsidRPr="009E6947" w:rsidRDefault="00660C0E" w:rsidP="00660C0E">
            <w:pPr>
              <w:jc w:val="right"/>
              <w:rPr>
                <w:rFonts w:ascii="Arial" w:hAnsi="Arial" w:cs="Arial"/>
                <w:color w:val="000000"/>
                <w:lang w:val="en-GB" w:eastAsia="en-CA"/>
              </w:rPr>
            </w:pPr>
          </w:p>
        </w:tc>
        <w:tc>
          <w:tcPr>
            <w:tcW w:w="1179" w:type="dxa"/>
            <w:gridSpan w:val="2"/>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65.2%</w:t>
            </w:r>
          </w:p>
        </w:tc>
        <w:tc>
          <w:tcPr>
            <w:tcW w:w="261" w:type="dxa"/>
            <w:noWrap/>
            <w:vAlign w:val="center"/>
            <w:hideMark/>
          </w:tcPr>
          <w:p w:rsidR="00660C0E" w:rsidRPr="009E6947" w:rsidRDefault="00660C0E" w:rsidP="00660C0E">
            <w:pPr>
              <w:jc w:val="right"/>
              <w:rPr>
                <w:rFonts w:ascii="Arial" w:hAnsi="Arial" w:cs="Arial"/>
                <w:color w:val="000000"/>
                <w:lang w:val="en-GB" w:eastAsia="en-CA"/>
              </w:rPr>
            </w:pPr>
          </w:p>
        </w:tc>
        <w:tc>
          <w:tcPr>
            <w:tcW w:w="1170"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64.9%</w:t>
            </w:r>
          </w:p>
        </w:tc>
      </w:tr>
      <w:tr w:rsidR="00660C0E" w:rsidRPr="00002604" w:rsidTr="006205B4">
        <w:trPr>
          <w:trHeight w:val="20"/>
          <w:jc w:val="center"/>
        </w:trPr>
        <w:tc>
          <w:tcPr>
            <w:tcW w:w="2777"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Interest coverage</w:t>
            </w:r>
          </w:p>
        </w:tc>
        <w:tc>
          <w:tcPr>
            <w:tcW w:w="1190"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1.44:1</w:t>
            </w:r>
          </w:p>
        </w:tc>
        <w:tc>
          <w:tcPr>
            <w:tcW w:w="236" w:type="dxa"/>
            <w:noWrap/>
            <w:vAlign w:val="center"/>
            <w:hideMark/>
          </w:tcPr>
          <w:p w:rsidR="00660C0E" w:rsidRPr="009E6947" w:rsidRDefault="00660C0E" w:rsidP="00660C0E">
            <w:pPr>
              <w:jc w:val="right"/>
              <w:rPr>
                <w:rFonts w:ascii="Arial" w:hAnsi="Arial" w:cs="Arial"/>
                <w:color w:val="000000"/>
                <w:lang w:val="en-GB" w:eastAsia="en-CA"/>
              </w:rPr>
            </w:pPr>
          </w:p>
        </w:tc>
        <w:tc>
          <w:tcPr>
            <w:tcW w:w="1179" w:type="dxa"/>
            <w:gridSpan w:val="2"/>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1.24:1</w:t>
            </w:r>
          </w:p>
        </w:tc>
        <w:tc>
          <w:tcPr>
            <w:tcW w:w="261" w:type="dxa"/>
            <w:noWrap/>
            <w:vAlign w:val="center"/>
            <w:hideMark/>
          </w:tcPr>
          <w:p w:rsidR="00660C0E" w:rsidRPr="009E6947" w:rsidRDefault="00660C0E" w:rsidP="00660C0E">
            <w:pPr>
              <w:jc w:val="right"/>
              <w:rPr>
                <w:rFonts w:ascii="Arial" w:hAnsi="Arial" w:cs="Arial"/>
                <w:color w:val="000000"/>
                <w:lang w:val="en-GB" w:eastAsia="en-CA"/>
              </w:rPr>
            </w:pPr>
          </w:p>
        </w:tc>
        <w:tc>
          <w:tcPr>
            <w:tcW w:w="1170" w:type="dxa"/>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0.99:1</w:t>
            </w:r>
          </w:p>
        </w:tc>
      </w:tr>
      <w:tr w:rsidR="00660C0E" w:rsidRPr="00002604" w:rsidTr="006205B4">
        <w:trPr>
          <w:trHeight w:val="20"/>
          <w:jc w:val="center"/>
        </w:trPr>
        <w:tc>
          <w:tcPr>
            <w:tcW w:w="2777"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 </w:t>
            </w:r>
          </w:p>
        </w:tc>
        <w:tc>
          <w:tcPr>
            <w:tcW w:w="1190" w:type="dxa"/>
            <w:noWrap/>
            <w:hideMark/>
          </w:tcPr>
          <w:p w:rsidR="00660C0E" w:rsidRPr="009E6947" w:rsidRDefault="00660C0E" w:rsidP="00660C0E">
            <w:pPr>
              <w:jc w:val="center"/>
              <w:rPr>
                <w:rFonts w:ascii="Arial" w:hAnsi="Arial" w:cs="Arial"/>
                <w:color w:val="000000"/>
                <w:lang w:val="en-GB" w:eastAsia="en-CA"/>
              </w:rPr>
            </w:pPr>
          </w:p>
        </w:tc>
        <w:tc>
          <w:tcPr>
            <w:tcW w:w="236" w:type="dxa"/>
            <w:noWrap/>
            <w:hideMark/>
          </w:tcPr>
          <w:p w:rsidR="00660C0E" w:rsidRPr="009E6947" w:rsidRDefault="00660C0E" w:rsidP="00660C0E">
            <w:pPr>
              <w:jc w:val="center"/>
              <w:rPr>
                <w:rFonts w:ascii="Arial" w:hAnsi="Arial" w:cs="Arial"/>
                <w:lang w:val="en-GB" w:eastAsia="en-CA"/>
              </w:rPr>
            </w:pPr>
          </w:p>
        </w:tc>
        <w:tc>
          <w:tcPr>
            <w:tcW w:w="1179" w:type="dxa"/>
            <w:gridSpan w:val="2"/>
            <w:noWrap/>
            <w:hideMark/>
          </w:tcPr>
          <w:p w:rsidR="00660C0E" w:rsidRPr="009E6947" w:rsidRDefault="00660C0E" w:rsidP="00660C0E">
            <w:pPr>
              <w:jc w:val="center"/>
              <w:rPr>
                <w:rFonts w:ascii="Arial" w:hAnsi="Arial" w:cs="Arial"/>
                <w:lang w:val="en-GB" w:eastAsia="en-CA"/>
              </w:rPr>
            </w:pPr>
          </w:p>
        </w:tc>
        <w:tc>
          <w:tcPr>
            <w:tcW w:w="261" w:type="dxa"/>
            <w:noWrap/>
            <w:hideMark/>
          </w:tcPr>
          <w:p w:rsidR="00660C0E" w:rsidRPr="009E6947" w:rsidRDefault="00660C0E" w:rsidP="00660C0E">
            <w:pPr>
              <w:jc w:val="center"/>
              <w:rPr>
                <w:rFonts w:ascii="Arial" w:hAnsi="Arial" w:cs="Arial"/>
                <w:lang w:val="en-GB" w:eastAsia="en-CA"/>
              </w:rPr>
            </w:pPr>
          </w:p>
        </w:tc>
        <w:tc>
          <w:tcPr>
            <w:tcW w:w="1170" w:type="dxa"/>
            <w:noWrap/>
            <w:hideMark/>
          </w:tcPr>
          <w:p w:rsidR="00660C0E" w:rsidRPr="009E6947" w:rsidRDefault="00660C0E" w:rsidP="00660C0E">
            <w:pPr>
              <w:jc w:val="center"/>
              <w:rPr>
                <w:rFonts w:ascii="Arial" w:hAnsi="Arial" w:cs="Arial"/>
                <w:color w:val="000000"/>
                <w:lang w:val="en-GB" w:eastAsia="en-CA"/>
              </w:rPr>
            </w:pPr>
          </w:p>
        </w:tc>
      </w:tr>
      <w:tr w:rsidR="00660C0E" w:rsidRPr="00002604" w:rsidTr="006205B4">
        <w:trPr>
          <w:trHeight w:val="20"/>
          <w:jc w:val="center"/>
        </w:trPr>
        <w:tc>
          <w:tcPr>
            <w:tcW w:w="2777" w:type="dxa"/>
            <w:noWrap/>
            <w:vAlign w:val="center"/>
            <w:hideMark/>
          </w:tcPr>
          <w:p w:rsidR="00660C0E" w:rsidRPr="009E6947" w:rsidRDefault="00660C0E" w:rsidP="00660C0E">
            <w:pPr>
              <w:rPr>
                <w:rFonts w:ascii="Arial" w:hAnsi="Arial" w:cs="Arial"/>
                <w:b/>
                <w:color w:val="000000"/>
                <w:lang w:val="en-GB" w:eastAsia="en-CA"/>
              </w:rPr>
            </w:pPr>
            <w:r w:rsidRPr="009E6947">
              <w:rPr>
                <w:rFonts w:ascii="Arial" w:hAnsi="Arial" w:cs="Arial"/>
                <w:b/>
                <w:color w:val="000000"/>
                <w:lang w:val="en-GB" w:eastAsia="en-CA"/>
              </w:rPr>
              <w:t>GROWTH</w:t>
            </w:r>
          </w:p>
        </w:tc>
        <w:tc>
          <w:tcPr>
            <w:tcW w:w="1435" w:type="dxa"/>
            <w:gridSpan w:val="3"/>
            <w:noWrap/>
            <w:vAlign w:val="center"/>
            <w:hideMark/>
          </w:tcPr>
          <w:p w:rsidR="00660C0E" w:rsidRPr="009E6947" w:rsidRDefault="00660C0E" w:rsidP="00660C0E">
            <w:pPr>
              <w:jc w:val="center"/>
              <w:rPr>
                <w:rFonts w:ascii="Arial" w:hAnsi="Arial" w:cs="Arial"/>
                <w:b/>
                <w:color w:val="000000"/>
                <w:lang w:val="en-GB" w:eastAsia="en-CA"/>
              </w:rPr>
            </w:pPr>
            <w:r w:rsidRPr="009E6947">
              <w:rPr>
                <w:rFonts w:ascii="Arial" w:hAnsi="Arial" w:cs="Arial"/>
                <w:b/>
                <w:color w:val="000000"/>
                <w:lang w:val="en-GB" w:eastAsia="en-CA"/>
              </w:rPr>
              <w:t>2012–2013</w:t>
            </w:r>
          </w:p>
        </w:tc>
        <w:tc>
          <w:tcPr>
            <w:tcW w:w="1170" w:type="dxa"/>
            <w:noWrap/>
            <w:vAlign w:val="center"/>
          </w:tcPr>
          <w:p w:rsidR="00660C0E" w:rsidRPr="009E6947" w:rsidRDefault="00660C0E" w:rsidP="00660C0E">
            <w:pPr>
              <w:jc w:val="center"/>
              <w:rPr>
                <w:rFonts w:ascii="Arial" w:hAnsi="Arial" w:cs="Arial"/>
                <w:color w:val="000000"/>
                <w:lang w:val="en-GB" w:eastAsia="en-CA"/>
              </w:rPr>
            </w:pPr>
          </w:p>
        </w:tc>
        <w:tc>
          <w:tcPr>
            <w:tcW w:w="1431" w:type="dxa"/>
            <w:gridSpan w:val="2"/>
            <w:noWrap/>
            <w:vAlign w:val="center"/>
            <w:hideMark/>
          </w:tcPr>
          <w:p w:rsidR="00660C0E" w:rsidRPr="009E6947" w:rsidRDefault="00660C0E" w:rsidP="00660C0E">
            <w:pPr>
              <w:jc w:val="center"/>
              <w:rPr>
                <w:rFonts w:ascii="Arial" w:hAnsi="Arial" w:cs="Arial"/>
                <w:b/>
                <w:color w:val="000000"/>
                <w:lang w:val="en-GB" w:eastAsia="en-CA"/>
              </w:rPr>
            </w:pPr>
            <w:r w:rsidRPr="009E6947">
              <w:rPr>
                <w:rFonts w:ascii="Arial" w:hAnsi="Arial" w:cs="Arial"/>
                <w:b/>
                <w:color w:val="000000"/>
                <w:lang w:val="en-GB" w:eastAsia="en-CA"/>
              </w:rPr>
              <w:t>2011–2012</w:t>
            </w:r>
          </w:p>
        </w:tc>
      </w:tr>
      <w:tr w:rsidR="00660C0E" w:rsidRPr="00002604" w:rsidTr="006205B4">
        <w:trPr>
          <w:trHeight w:val="20"/>
          <w:jc w:val="center"/>
        </w:trPr>
        <w:tc>
          <w:tcPr>
            <w:tcW w:w="2777"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Sales</w:t>
            </w:r>
          </w:p>
        </w:tc>
        <w:tc>
          <w:tcPr>
            <w:tcW w:w="1435" w:type="dxa"/>
            <w:gridSpan w:val="3"/>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7.4%</w:t>
            </w:r>
          </w:p>
        </w:tc>
        <w:tc>
          <w:tcPr>
            <w:tcW w:w="1170" w:type="dxa"/>
            <w:noWrap/>
            <w:vAlign w:val="center"/>
          </w:tcPr>
          <w:p w:rsidR="00660C0E" w:rsidRPr="009E6947" w:rsidRDefault="00660C0E" w:rsidP="00660C0E">
            <w:pPr>
              <w:jc w:val="right"/>
              <w:rPr>
                <w:rFonts w:ascii="Arial" w:hAnsi="Arial" w:cs="Arial"/>
                <w:color w:val="000000"/>
                <w:lang w:val="en-GB" w:eastAsia="en-CA"/>
              </w:rPr>
            </w:pPr>
          </w:p>
        </w:tc>
        <w:tc>
          <w:tcPr>
            <w:tcW w:w="1431" w:type="dxa"/>
            <w:gridSpan w:val="2"/>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0.0%</w:t>
            </w:r>
          </w:p>
        </w:tc>
      </w:tr>
      <w:tr w:rsidR="00660C0E" w:rsidRPr="00002604" w:rsidTr="006205B4">
        <w:trPr>
          <w:trHeight w:val="20"/>
          <w:jc w:val="center"/>
        </w:trPr>
        <w:tc>
          <w:tcPr>
            <w:tcW w:w="2777"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Net income</w:t>
            </w:r>
          </w:p>
        </w:tc>
        <w:tc>
          <w:tcPr>
            <w:tcW w:w="1435" w:type="dxa"/>
            <w:gridSpan w:val="3"/>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38.5%</w:t>
            </w:r>
          </w:p>
        </w:tc>
        <w:tc>
          <w:tcPr>
            <w:tcW w:w="1170" w:type="dxa"/>
            <w:noWrap/>
            <w:vAlign w:val="center"/>
          </w:tcPr>
          <w:p w:rsidR="00660C0E" w:rsidRPr="009E6947" w:rsidRDefault="00660C0E" w:rsidP="00660C0E">
            <w:pPr>
              <w:jc w:val="right"/>
              <w:rPr>
                <w:rFonts w:ascii="Arial" w:hAnsi="Arial" w:cs="Arial"/>
                <w:color w:val="000000"/>
                <w:lang w:val="en-GB" w:eastAsia="en-CA"/>
              </w:rPr>
            </w:pPr>
          </w:p>
        </w:tc>
        <w:tc>
          <w:tcPr>
            <w:tcW w:w="1431" w:type="dxa"/>
            <w:gridSpan w:val="2"/>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-86.6%</w:t>
            </w:r>
          </w:p>
        </w:tc>
      </w:tr>
      <w:tr w:rsidR="00660C0E" w:rsidRPr="00002604" w:rsidTr="006205B4">
        <w:trPr>
          <w:trHeight w:val="20"/>
          <w:jc w:val="center"/>
        </w:trPr>
        <w:tc>
          <w:tcPr>
            <w:tcW w:w="2777"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Total assets</w:t>
            </w:r>
          </w:p>
        </w:tc>
        <w:tc>
          <w:tcPr>
            <w:tcW w:w="1435" w:type="dxa"/>
            <w:gridSpan w:val="3"/>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0.1%</w:t>
            </w:r>
          </w:p>
        </w:tc>
        <w:tc>
          <w:tcPr>
            <w:tcW w:w="1170" w:type="dxa"/>
            <w:noWrap/>
            <w:vAlign w:val="center"/>
          </w:tcPr>
          <w:p w:rsidR="00660C0E" w:rsidRPr="009E6947" w:rsidRDefault="00660C0E" w:rsidP="00660C0E">
            <w:pPr>
              <w:jc w:val="right"/>
              <w:rPr>
                <w:rFonts w:ascii="Arial" w:hAnsi="Arial" w:cs="Arial"/>
                <w:color w:val="000000"/>
                <w:lang w:val="en-GB" w:eastAsia="en-CA"/>
              </w:rPr>
            </w:pPr>
          </w:p>
        </w:tc>
        <w:tc>
          <w:tcPr>
            <w:tcW w:w="1431" w:type="dxa"/>
            <w:gridSpan w:val="2"/>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-1.4%</w:t>
            </w:r>
          </w:p>
        </w:tc>
      </w:tr>
      <w:tr w:rsidR="00660C0E" w:rsidRPr="00002604" w:rsidTr="006205B4">
        <w:trPr>
          <w:trHeight w:val="20"/>
          <w:jc w:val="center"/>
        </w:trPr>
        <w:tc>
          <w:tcPr>
            <w:tcW w:w="2777" w:type="dxa"/>
            <w:noWrap/>
            <w:vAlign w:val="center"/>
            <w:hideMark/>
          </w:tcPr>
          <w:p w:rsidR="00660C0E" w:rsidRPr="009E6947" w:rsidRDefault="00660C0E" w:rsidP="00660C0E">
            <w:pPr>
              <w:rPr>
                <w:rFonts w:ascii="Arial" w:hAnsi="Arial" w:cs="Arial"/>
                <w:color w:val="000000"/>
                <w:lang w:val="en-GB" w:eastAsia="en-CA"/>
              </w:rPr>
            </w:pPr>
            <w:r w:rsidRPr="009E6947">
              <w:rPr>
                <w:rFonts w:ascii="Arial" w:hAnsi="Arial" w:cs="Arial"/>
                <w:color w:val="000000"/>
                <w:lang w:val="en-GB" w:eastAsia="en-CA"/>
              </w:rPr>
              <w:t>Equity</w:t>
            </w:r>
          </w:p>
        </w:tc>
        <w:tc>
          <w:tcPr>
            <w:tcW w:w="1435" w:type="dxa"/>
            <w:gridSpan w:val="3"/>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1%</w:t>
            </w:r>
          </w:p>
        </w:tc>
        <w:tc>
          <w:tcPr>
            <w:tcW w:w="1170" w:type="dxa"/>
            <w:noWrap/>
            <w:vAlign w:val="center"/>
          </w:tcPr>
          <w:p w:rsidR="00660C0E" w:rsidRPr="009E6947" w:rsidRDefault="00660C0E" w:rsidP="00660C0E">
            <w:pPr>
              <w:jc w:val="right"/>
              <w:rPr>
                <w:rFonts w:ascii="Arial" w:hAnsi="Arial" w:cs="Arial"/>
                <w:color w:val="000000"/>
                <w:lang w:val="en-GB" w:eastAsia="en-CA"/>
              </w:rPr>
            </w:pPr>
          </w:p>
        </w:tc>
        <w:tc>
          <w:tcPr>
            <w:tcW w:w="1431" w:type="dxa"/>
            <w:gridSpan w:val="2"/>
            <w:noWrap/>
            <w:vAlign w:val="center"/>
            <w:hideMark/>
          </w:tcPr>
          <w:p w:rsidR="00660C0E" w:rsidRPr="009E6947" w:rsidRDefault="00660C0E" w:rsidP="00660C0E">
            <w:pPr>
              <w:jc w:val="right"/>
              <w:rPr>
                <w:rFonts w:ascii="Arial" w:hAnsi="Arial" w:cs="Arial"/>
                <w:color w:val="000000"/>
                <w:lang w:val="en-GB" w:eastAsia="en-CA"/>
              </w:rPr>
            </w:pPr>
            <w:r w:rsidRPr="009E6947">
              <w:rPr>
                <w:rFonts w:ascii="Arial" w:hAnsi="Arial" w:cs="Arial"/>
                <w:color w:val="000000"/>
                <w:lang w:val="en-GB" w:eastAsia="en-CA"/>
              </w:rPr>
              <w:t>1%</w:t>
            </w:r>
          </w:p>
        </w:tc>
      </w:tr>
    </w:tbl>
    <w:p w:rsidR="00660C0E" w:rsidRPr="009E6947" w:rsidRDefault="00660C0E" w:rsidP="00D105E3">
      <w:pPr>
        <w:pStyle w:val="FootnoteText1"/>
        <w:rPr>
          <w:lang w:val="en-GB"/>
        </w:rPr>
      </w:pPr>
    </w:p>
    <w:p w:rsidR="00660C0E" w:rsidRPr="009E6947" w:rsidRDefault="00660C0E" w:rsidP="00D105E3">
      <w:pPr>
        <w:pStyle w:val="FootnoteText1"/>
        <w:rPr>
          <w:lang w:val="en-GB"/>
        </w:rPr>
      </w:pPr>
      <w:r w:rsidRPr="009E6947">
        <w:rPr>
          <w:lang w:val="en-GB"/>
        </w:rPr>
        <w:t>Source:</w:t>
      </w:r>
      <w:r>
        <w:rPr>
          <w:lang w:val="en-GB"/>
        </w:rPr>
        <w:t xml:space="preserve"> Company files.</w:t>
      </w:r>
    </w:p>
    <w:p w:rsidR="0001224C" w:rsidRPr="00D105E3" w:rsidRDefault="0001224C" w:rsidP="00D105E3">
      <w:pPr>
        <w:pStyle w:val="BodyTextMain"/>
      </w:pPr>
    </w:p>
    <w:sectPr w:rsidR="0001224C" w:rsidRPr="00D105E3"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C0E" w:rsidRDefault="00660C0E" w:rsidP="00D75295">
      <w:r>
        <w:separator/>
      </w:r>
    </w:p>
  </w:endnote>
  <w:endnote w:type="continuationSeparator" w:id="0">
    <w:p w:rsidR="00660C0E" w:rsidRDefault="00660C0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C0E" w:rsidRDefault="00660C0E" w:rsidP="00D75295">
      <w:r>
        <w:separator/>
      </w:r>
    </w:p>
  </w:footnote>
  <w:footnote w:type="continuationSeparator" w:id="0">
    <w:p w:rsidR="00660C0E" w:rsidRDefault="00660C0E" w:rsidP="00D75295">
      <w:r>
        <w:continuationSeparator/>
      </w:r>
    </w:p>
  </w:footnote>
  <w:footnote w:id="1">
    <w:p w:rsidR="00660C0E" w:rsidRPr="00F95A2F" w:rsidRDefault="00660C0E" w:rsidP="00D105E3">
      <w:pPr>
        <w:pStyle w:val="FootnoteText1"/>
      </w:pPr>
      <w:r w:rsidRPr="00F95A2F">
        <w:rPr>
          <w:rStyle w:val="FootnoteReference"/>
        </w:rPr>
        <w:footnoteRef/>
      </w:r>
      <w:r w:rsidRPr="00F95A2F">
        <w:t xml:space="preserve"> A pre-lease </w:t>
      </w:r>
      <w:r>
        <w:t>was</w:t>
      </w:r>
      <w:r w:rsidRPr="00F95A2F">
        <w:t xml:space="preserve"> a lease on a building that </w:t>
      </w:r>
      <w:r>
        <w:t>was</w:t>
      </w:r>
      <w:r w:rsidRPr="00F95A2F">
        <w:t xml:space="preserve"> signed before construction</w:t>
      </w:r>
      <w:r>
        <w:t xml:space="preserve"> began</w:t>
      </w:r>
      <w:r w:rsidRPr="00F95A2F">
        <w:t xml:space="preserve">. </w:t>
      </w:r>
    </w:p>
  </w:footnote>
  <w:footnote w:id="2">
    <w:p w:rsidR="00660C0E" w:rsidRPr="006008A3" w:rsidRDefault="00660C0E" w:rsidP="00D105E3">
      <w:pPr>
        <w:pStyle w:val="FootnoteText1"/>
      </w:pPr>
      <w:r w:rsidRPr="006008A3">
        <w:rPr>
          <w:rStyle w:val="FootnoteReference"/>
        </w:rPr>
        <w:footnoteRef/>
      </w:r>
      <w:r w:rsidRPr="006008A3">
        <w:t xml:space="preserve"> “Census Profile, 2016 Census,” Statistics Canada, last modified May 30, 2018, accessed August 18, 2017 www12.statcan.gc.ca/census-recensement/2016/dp-pd/prof/index.cfm?Lang=E.</w:t>
      </w:r>
    </w:p>
  </w:footnote>
  <w:footnote w:id="3">
    <w:p w:rsidR="00660C0E" w:rsidRPr="006008A3" w:rsidRDefault="00660C0E" w:rsidP="00D105E3">
      <w:pPr>
        <w:pStyle w:val="FootnoteText1"/>
      </w:pPr>
      <w:r w:rsidRPr="006008A3">
        <w:rPr>
          <w:rStyle w:val="FootnoteReference"/>
        </w:rPr>
        <w:footnoteRef/>
      </w:r>
      <w:r w:rsidRPr="006008A3">
        <w:t xml:space="preserve"> Government of Canada, “Oil Resources,” Natural Resources Canada, last modified July 25, 2017, accessed July 14, 2017, www.nrcan.gc.ca/energy/oil-sands/18085.</w:t>
      </w:r>
    </w:p>
  </w:footnote>
  <w:footnote w:id="4">
    <w:p w:rsidR="00660C0E" w:rsidRPr="006008A3" w:rsidRDefault="00660C0E" w:rsidP="00D105E3">
      <w:pPr>
        <w:pStyle w:val="FootnoteText1"/>
      </w:pPr>
      <w:r w:rsidRPr="006008A3">
        <w:rPr>
          <w:rStyle w:val="FootnoteReference"/>
        </w:rPr>
        <w:footnoteRef/>
      </w:r>
      <w:r w:rsidRPr="006008A3">
        <w:t xml:space="preserve"> Government of Alberta, “Mining and Oil and Gas Extraction,” ALIS, accessed August 20, 2017, https://occinfo.alis.alberta.ca/occinfopreview/industries/mining-and-oil-and-gas-extraction.aspx.</w:t>
      </w:r>
    </w:p>
  </w:footnote>
  <w:footnote w:id="5">
    <w:p w:rsidR="00660C0E" w:rsidRPr="006008A3" w:rsidRDefault="00660C0E" w:rsidP="00D105E3">
      <w:pPr>
        <w:pStyle w:val="FootnoteText1"/>
      </w:pPr>
      <w:r w:rsidRPr="006008A3">
        <w:rPr>
          <w:rStyle w:val="FootnoteReference"/>
        </w:rPr>
        <w:footnoteRef/>
      </w:r>
      <w:r w:rsidRPr="006008A3">
        <w:t xml:space="preserve"> The majority of the information in this paragraph was obtained through a Cresa report, provided by TLO.</w:t>
      </w:r>
    </w:p>
  </w:footnote>
  <w:footnote w:id="6">
    <w:p w:rsidR="00660C0E" w:rsidRPr="006008A3" w:rsidRDefault="00660C0E" w:rsidP="00D105E3">
      <w:pPr>
        <w:pStyle w:val="FootnoteText1"/>
      </w:pPr>
      <w:r w:rsidRPr="006008A3">
        <w:rPr>
          <w:rStyle w:val="FootnoteReference"/>
        </w:rPr>
        <w:footnoteRef/>
      </w:r>
      <w:r w:rsidRPr="006008A3">
        <w:t xml:space="preserve"> </w:t>
      </w:r>
      <w:r w:rsidRPr="006008A3">
        <w:rPr>
          <w:color w:val="222222"/>
          <w:shd w:val="clear" w:color="auto" w:fill="FFFFFF"/>
        </w:rPr>
        <w:t>The vacancy</w:t>
      </w:r>
      <w:r w:rsidR="00E90BBF">
        <w:rPr>
          <w:color w:val="222222"/>
          <w:shd w:val="clear" w:color="auto" w:fill="FFFFFF"/>
        </w:rPr>
        <w:t xml:space="preserve"> </w:t>
      </w:r>
      <w:r w:rsidRPr="006008A3">
        <w:rPr>
          <w:color w:val="222222"/>
          <w:shd w:val="clear" w:color="auto" w:fill="FFFFFF"/>
        </w:rPr>
        <w:t>rate was the percentage of all unoccupied units in a rental property.</w:t>
      </w:r>
    </w:p>
  </w:footnote>
  <w:footnote w:id="7">
    <w:p w:rsidR="00660C0E" w:rsidRPr="00E90BBF" w:rsidRDefault="00660C0E" w:rsidP="00D105E3">
      <w:pPr>
        <w:pStyle w:val="FootnoteText1"/>
        <w:rPr>
          <w:spacing w:val="-2"/>
        </w:rPr>
      </w:pPr>
      <w:r w:rsidRPr="00E90BBF">
        <w:rPr>
          <w:rStyle w:val="FootnoteReference"/>
          <w:spacing w:val="-2"/>
        </w:rPr>
        <w:footnoteRef/>
      </w:r>
      <w:r w:rsidRPr="00E90BBF">
        <w:rPr>
          <w:spacing w:val="-2"/>
        </w:rPr>
        <w:t xml:space="preserve"> Current vacancy rates for Class AA, A, B, and C buildings were 1.98 per cent, 4.94 per cent, 9.43 per cent, and 12.92 per cent, respectively.</w:t>
      </w:r>
    </w:p>
  </w:footnote>
  <w:footnote w:id="8">
    <w:p w:rsidR="00660C0E" w:rsidRPr="006008A3" w:rsidRDefault="00660C0E" w:rsidP="00D105E3">
      <w:pPr>
        <w:pStyle w:val="FootnoteText1"/>
      </w:pPr>
      <w:r w:rsidRPr="006008A3">
        <w:rPr>
          <w:rStyle w:val="FootnoteReference"/>
        </w:rPr>
        <w:footnoteRef/>
      </w:r>
      <w:r w:rsidR="00E90BBF">
        <w:t xml:space="preserve"> Brookfield Properties</w:t>
      </w:r>
      <w:r w:rsidRPr="006008A3">
        <w:t>, accessed August 7, 2017, www.brookfieldproperties.com/portfolio/.</w:t>
      </w:r>
    </w:p>
  </w:footnote>
  <w:footnote w:id="9">
    <w:p w:rsidR="00660C0E" w:rsidRPr="00E90BBF" w:rsidRDefault="00660C0E" w:rsidP="00D105E3">
      <w:pPr>
        <w:pStyle w:val="FootnoteText1"/>
        <w:rPr>
          <w:i/>
          <w:spacing w:val="-2"/>
        </w:rPr>
      </w:pPr>
      <w:r w:rsidRPr="00E90BBF">
        <w:rPr>
          <w:rStyle w:val="FootnoteReference"/>
          <w:spacing w:val="-2"/>
        </w:rPr>
        <w:footnoteRef/>
      </w:r>
      <w:r w:rsidRPr="00E90BBF">
        <w:rPr>
          <w:spacing w:val="-2"/>
        </w:rPr>
        <w:t xml:space="preserve"> </w:t>
      </w:r>
      <w:proofErr w:type="spellStart"/>
      <w:r w:rsidR="00E90BBF" w:rsidRPr="00E90BBF">
        <w:rPr>
          <w:spacing w:val="-2"/>
        </w:rPr>
        <w:t>Ronmor</w:t>
      </w:r>
      <w:proofErr w:type="spellEnd"/>
      <w:r w:rsidRPr="00E90BBF">
        <w:rPr>
          <w:spacing w:val="-2"/>
        </w:rPr>
        <w:t>, accessed July 20, 2017, www.ronmor.ca/; “</w:t>
      </w:r>
      <w:proofErr w:type="spellStart"/>
      <w:r w:rsidRPr="00E90BBF">
        <w:rPr>
          <w:spacing w:val="-2"/>
        </w:rPr>
        <w:t>Ronmor</w:t>
      </w:r>
      <w:proofErr w:type="spellEnd"/>
      <w:r w:rsidRPr="00E90BBF">
        <w:rPr>
          <w:spacing w:val="-2"/>
        </w:rPr>
        <w:t xml:space="preserve"> Developers,” </w:t>
      </w:r>
      <w:r w:rsidRPr="00E90BBF">
        <w:rPr>
          <w:i/>
          <w:spacing w:val="-2"/>
        </w:rPr>
        <w:t>The Canadian Business Journal</w:t>
      </w:r>
      <w:r w:rsidRPr="00E90BBF">
        <w:rPr>
          <w:spacing w:val="-2"/>
        </w:rPr>
        <w:t>, www.cbj.ca/ronmor-developers/.</w:t>
      </w:r>
    </w:p>
  </w:footnote>
  <w:footnote w:id="10">
    <w:p w:rsidR="00660C0E" w:rsidRPr="006008A3" w:rsidRDefault="00660C0E" w:rsidP="00D105E3">
      <w:pPr>
        <w:pStyle w:val="FootnoteText1"/>
      </w:pPr>
      <w:r w:rsidRPr="006008A3">
        <w:rPr>
          <w:rStyle w:val="FootnoteReference"/>
        </w:rPr>
        <w:footnoteRef/>
      </w:r>
      <w:r w:rsidRPr="006008A3">
        <w:t xml:space="preserve"> Mixed-use developments combined retail, residential, industrial, or office spaces together within one building.</w:t>
      </w:r>
    </w:p>
  </w:footnote>
  <w:footnote w:id="11">
    <w:p w:rsidR="00660C0E" w:rsidRPr="001C30BC" w:rsidRDefault="00660C0E" w:rsidP="00D105E3">
      <w:pPr>
        <w:pStyle w:val="FootnoteText1"/>
      </w:pPr>
      <w:r w:rsidRPr="001C30BC">
        <w:rPr>
          <w:rStyle w:val="FootnoteReference"/>
        </w:rPr>
        <w:footnoteRef/>
      </w:r>
      <w:r w:rsidRPr="001C30BC">
        <w:t xml:space="preserve"> As long as TLO met </w:t>
      </w:r>
      <w:r>
        <w:t>its</w:t>
      </w:r>
      <w:r w:rsidRPr="001C30BC">
        <w:t xml:space="preserve"> bank’s pre-leasing guidelines, </w:t>
      </w:r>
      <w:r>
        <w:t>it</w:t>
      </w:r>
      <w:r w:rsidRPr="001C30BC">
        <w:t xml:space="preserve"> would be able to secure debt at a rate of 3.5</w:t>
      </w:r>
      <w:r>
        <w:t xml:space="preserve"> per cent</w:t>
      </w:r>
      <w:r w:rsidRPr="001C30BC">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C0E" w:rsidRPr="00C92CC4" w:rsidRDefault="00660C0E"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E52E9">
      <w:rPr>
        <w:rFonts w:ascii="Arial" w:hAnsi="Arial"/>
        <w:b/>
        <w:noProof/>
      </w:rPr>
      <w:t>4</w:t>
    </w:r>
    <w:r>
      <w:rPr>
        <w:rFonts w:ascii="Arial" w:hAnsi="Arial"/>
        <w:b/>
      </w:rPr>
      <w:fldChar w:fldCharType="end"/>
    </w:r>
    <w:r>
      <w:rPr>
        <w:rFonts w:ascii="Arial" w:hAnsi="Arial"/>
        <w:b/>
      </w:rPr>
      <w:tab/>
      <w:t>9B18M156</w:t>
    </w:r>
  </w:p>
  <w:p w:rsidR="00660C0E" w:rsidRDefault="00660C0E" w:rsidP="00D13667">
    <w:pPr>
      <w:pStyle w:val="Header"/>
      <w:tabs>
        <w:tab w:val="clear" w:pos="4680"/>
      </w:tabs>
      <w:rPr>
        <w:sz w:val="18"/>
        <w:szCs w:val="18"/>
      </w:rPr>
    </w:pPr>
  </w:p>
  <w:p w:rsidR="00660C0E" w:rsidRPr="00C92CC4" w:rsidRDefault="00660C0E"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A815C5"/>
    <w:multiLevelType w:val="hybridMultilevel"/>
    <w:tmpl w:val="AD6C7CE2"/>
    <w:lvl w:ilvl="0" w:tplc="6AD0090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4"/>
    <w:rsid w:val="0000085A"/>
    <w:rsid w:val="0001224C"/>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138E6"/>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80222"/>
    <w:rsid w:val="00492CC4"/>
    <w:rsid w:val="004B1CCB"/>
    <w:rsid w:val="004B632F"/>
    <w:rsid w:val="004D3FB1"/>
    <w:rsid w:val="004D6F21"/>
    <w:rsid w:val="004D73A5"/>
    <w:rsid w:val="004E52E9"/>
    <w:rsid w:val="005160F1"/>
    <w:rsid w:val="00524F2F"/>
    <w:rsid w:val="00527E5C"/>
    <w:rsid w:val="00532CF5"/>
    <w:rsid w:val="005528CB"/>
    <w:rsid w:val="00566771"/>
    <w:rsid w:val="00581E2E"/>
    <w:rsid w:val="00584F15"/>
    <w:rsid w:val="0059514B"/>
    <w:rsid w:val="005A1B0F"/>
    <w:rsid w:val="006163F7"/>
    <w:rsid w:val="006205B4"/>
    <w:rsid w:val="00627C63"/>
    <w:rsid w:val="0063350B"/>
    <w:rsid w:val="00652606"/>
    <w:rsid w:val="00653673"/>
    <w:rsid w:val="00660C0E"/>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D06CA"/>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05E3"/>
    <w:rsid w:val="00D13667"/>
    <w:rsid w:val="00D15344"/>
    <w:rsid w:val="00D23F57"/>
    <w:rsid w:val="00D31BEC"/>
    <w:rsid w:val="00D63150"/>
    <w:rsid w:val="00D636BA"/>
    <w:rsid w:val="00D64A32"/>
    <w:rsid w:val="00D64EFC"/>
    <w:rsid w:val="00D75295"/>
    <w:rsid w:val="00D76CE9"/>
    <w:rsid w:val="00D97F12"/>
    <w:rsid w:val="00DA6095"/>
    <w:rsid w:val="00DB42E7"/>
    <w:rsid w:val="00DD0B8D"/>
    <w:rsid w:val="00DE01A6"/>
    <w:rsid w:val="00DE7A98"/>
    <w:rsid w:val="00DF32C2"/>
    <w:rsid w:val="00E471A7"/>
    <w:rsid w:val="00E635CF"/>
    <w:rsid w:val="00E90BBF"/>
    <w:rsid w:val="00EC6E0A"/>
    <w:rsid w:val="00ED4E18"/>
    <w:rsid w:val="00EE1F37"/>
    <w:rsid w:val="00F0159C"/>
    <w:rsid w:val="00F105B7"/>
    <w:rsid w:val="00F13220"/>
    <w:rsid w:val="00F17A21"/>
    <w:rsid w:val="00F37B27"/>
    <w:rsid w:val="00F46556"/>
    <w:rsid w:val="00F50E91"/>
    <w:rsid w:val="00F57D29"/>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14:docId w14:val="1A3EA70E"/>
  <w15:docId w15:val="{71B2F871-26E4-45CB-BBF2-E3AC059B1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D105E3"/>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3">
    <w:name w:val="Mention3"/>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 w:type="character" w:customStyle="1" w:styleId="oneclick-link">
    <w:name w:val="oneclick-link"/>
    <w:basedOn w:val="DefaultParagraphFont"/>
    <w:rsid w:val="00660C0E"/>
  </w:style>
  <w:style w:type="character" w:customStyle="1" w:styleId="text-nowrap">
    <w:name w:val="text-nowrap"/>
    <w:basedOn w:val="DefaultParagraphFont"/>
    <w:rsid w:val="00660C0E"/>
  </w:style>
  <w:style w:type="character" w:customStyle="1" w:styleId="UnresolvedMention1">
    <w:name w:val="Unresolved Mention1"/>
    <w:basedOn w:val="DefaultParagraphFont"/>
    <w:uiPriority w:val="99"/>
    <w:semiHidden/>
    <w:unhideWhenUsed/>
    <w:rsid w:val="00660C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44700-3B09-43FC-9B54-3A77A89AA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4250</Words>
  <Characters>24231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Alex Bojmelgrin</cp:lastModifiedBy>
  <cp:revision>3</cp:revision>
  <cp:lastPrinted>2015-03-04T20:34:00Z</cp:lastPrinted>
  <dcterms:created xsi:type="dcterms:W3CDTF">2022-03-29T12:47:00Z</dcterms:created>
  <dcterms:modified xsi:type="dcterms:W3CDTF">2022-03-29T12:49:00Z</dcterms:modified>
</cp:coreProperties>
</file>