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ook w:val="04A0" w:firstRow="1" w:lastRow="0" w:firstColumn="1" w:lastColumn="0" w:noHBand="0" w:noVBand="1"/>
      </w:tblPr>
      <w:tblGrid>
        <w:gridCol w:w="4465"/>
        <w:gridCol w:w="4787"/>
      </w:tblGrid>
      <w:tr w:rsidR="00B71DBE" w:rsidRPr="00183661" w14:paraId="05F217DC" w14:textId="77777777" w:rsidTr="001D3CFB">
        <w:tc>
          <w:tcPr>
            <w:tcW w:w="4680" w:type="dxa"/>
            <w:shd w:val="clear" w:color="auto" w:fill="auto"/>
          </w:tcPr>
          <w:p w14:paraId="104A55B7" w14:textId="7B895BD8" w:rsidR="00B71DBE" w:rsidRPr="00183661" w:rsidRDefault="00B71DBE" w:rsidP="001D3CFB">
            <w:pPr>
              <w:pStyle w:val="Casehead2"/>
            </w:pPr>
            <w:r w:rsidRPr="00A9392E">
              <w:rPr>
                <w:noProof/>
              </w:rPr>
              <w:drawing>
                <wp:inline distT="0" distB="0" distL="0" distR="0" wp14:anchorId="17FDDFE3" wp14:editId="2EF4AC79">
                  <wp:extent cx="2616200" cy="548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6200" cy="548640"/>
                          </a:xfrm>
                          <a:prstGeom prst="rect">
                            <a:avLst/>
                          </a:prstGeom>
                          <a:noFill/>
                          <a:ln>
                            <a:noFill/>
                          </a:ln>
                        </pic:spPr>
                      </pic:pic>
                    </a:graphicData>
                  </a:graphic>
                </wp:inline>
              </w:drawing>
            </w:r>
          </w:p>
        </w:tc>
        <w:tc>
          <w:tcPr>
            <w:tcW w:w="4788" w:type="dxa"/>
            <w:shd w:val="clear" w:color="auto" w:fill="auto"/>
          </w:tcPr>
          <w:p w14:paraId="0EC7115F" w14:textId="3D624034" w:rsidR="00B71DBE" w:rsidRPr="00183661" w:rsidRDefault="00B71DBE" w:rsidP="001D3CFB">
            <w:pPr>
              <w:tabs>
                <w:tab w:val="left" w:pos="-1440"/>
                <w:tab w:val="left" w:pos="-720"/>
                <w:tab w:val="left" w:pos="1"/>
              </w:tabs>
              <w:jc w:val="right"/>
              <w:rPr>
                <w:rFonts w:ascii="Arial" w:hAnsi="Arial" w:cs="Calibri"/>
                <w:b/>
                <w:sz w:val="24"/>
              </w:rPr>
            </w:pPr>
            <w:r>
              <w:rPr>
                <w:rFonts w:ascii="Arial" w:hAnsi="Arial" w:cs="Calibri"/>
                <w:b/>
                <w:noProof/>
                <w:sz w:val="24"/>
              </w:rPr>
              <w:drawing>
                <wp:inline distT="0" distB="0" distL="0" distR="0" wp14:anchorId="0182C19D" wp14:editId="74BE236F">
                  <wp:extent cx="2901950" cy="548640"/>
                  <wp:effectExtent l="0" t="0" r="0" b="3810"/>
                  <wp:docPr id="1" name="Picture 1" descr="UC-hashayne-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hashayne-blac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1950" cy="548640"/>
                          </a:xfrm>
                          <a:prstGeom prst="rect">
                            <a:avLst/>
                          </a:prstGeom>
                          <a:noFill/>
                          <a:ln>
                            <a:noFill/>
                          </a:ln>
                        </pic:spPr>
                      </pic:pic>
                    </a:graphicData>
                  </a:graphic>
                </wp:inline>
              </w:drawing>
            </w:r>
          </w:p>
        </w:tc>
      </w:tr>
    </w:tbl>
    <w:p w14:paraId="0DB05DEC" w14:textId="77777777" w:rsidR="00F36257" w:rsidRPr="00B71DBE" w:rsidRDefault="00F36257" w:rsidP="00C02410">
      <w:pPr>
        <w:pBdr>
          <w:bottom w:val="single" w:sz="18" w:space="1" w:color="auto"/>
        </w:pBdr>
        <w:tabs>
          <w:tab w:val="left" w:pos="-1440"/>
          <w:tab w:val="left" w:pos="-720"/>
          <w:tab w:val="left" w:pos="1"/>
        </w:tabs>
        <w:jc w:val="both"/>
        <w:rPr>
          <w:rFonts w:ascii="Arial" w:hAnsi="Arial"/>
          <w:b/>
          <w:sz w:val="12"/>
          <w:lang w:val="en-GB"/>
        </w:rPr>
      </w:pPr>
    </w:p>
    <w:p w14:paraId="61BBD9A0" w14:textId="7D865815" w:rsidR="00C02410" w:rsidRPr="002975B0" w:rsidRDefault="00C61F4B" w:rsidP="00C02410">
      <w:pPr>
        <w:pStyle w:val="ProductNumber"/>
        <w:rPr>
          <w:lang w:val="en-GB"/>
        </w:rPr>
      </w:pPr>
      <w:r>
        <w:rPr>
          <w:lang w:val="en-GB"/>
        </w:rPr>
        <w:t>9B18M158</w:t>
      </w:r>
    </w:p>
    <w:p w14:paraId="4E057522" w14:textId="77777777" w:rsidR="00D75295" w:rsidRPr="002975B0" w:rsidRDefault="00D75295" w:rsidP="00D75295">
      <w:pPr>
        <w:jc w:val="right"/>
        <w:rPr>
          <w:rFonts w:ascii="Arial" w:hAnsi="Arial"/>
          <w:b/>
          <w:sz w:val="28"/>
          <w:szCs w:val="28"/>
          <w:lang w:val="en-GB"/>
        </w:rPr>
      </w:pPr>
    </w:p>
    <w:p w14:paraId="426B7211" w14:textId="77777777" w:rsidR="00013360" w:rsidRPr="002975B0" w:rsidRDefault="00013360" w:rsidP="00D75295">
      <w:pPr>
        <w:jc w:val="right"/>
        <w:rPr>
          <w:rFonts w:ascii="Arial" w:hAnsi="Arial"/>
          <w:b/>
          <w:sz w:val="28"/>
          <w:szCs w:val="28"/>
          <w:lang w:val="en-GB"/>
        </w:rPr>
      </w:pPr>
    </w:p>
    <w:p w14:paraId="291FC396" w14:textId="77777777" w:rsidR="00112AEB" w:rsidRPr="002975B0" w:rsidRDefault="00112AEB" w:rsidP="00112AEB">
      <w:pPr>
        <w:pStyle w:val="CaseTitle"/>
        <w:spacing w:after="0"/>
        <w:rPr>
          <w:rFonts w:eastAsia="Arial"/>
          <w:lang w:val="en-GB"/>
        </w:rPr>
      </w:pPr>
      <w:r w:rsidRPr="002975B0">
        <w:rPr>
          <w:rFonts w:eastAsia="Arial"/>
          <w:lang w:val="en-GB"/>
        </w:rPr>
        <w:t>KEYSTONE EXCAVATING LIMITED: PRESERVING A LEGACY</w:t>
      </w:r>
    </w:p>
    <w:p w14:paraId="40ABF6FD" w14:textId="77777777" w:rsidR="00CA3976" w:rsidRPr="002975B0" w:rsidRDefault="00CA3976" w:rsidP="00013360">
      <w:pPr>
        <w:pStyle w:val="CaseTitle"/>
        <w:spacing w:after="0" w:line="240" w:lineRule="auto"/>
        <w:rPr>
          <w:sz w:val="20"/>
          <w:szCs w:val="20"/>
          <w:lang w:val="en-GB"/>
        </w:rPr>
      </w:pPr>
    </w:p>
    <w:p w14:paraId="202F1085" w14:textId="77777777" w:rsidR="00013360" w:rsidRPr="002975B0" w:rsidRDefault="00013360" w:rsidP="00013360">
      <w:pPr>
        <w:pStyle w:val="CaseTitle"/>
        <w:spacing w:after="0" w:line="240" w:lineRule="auto"/>
        <w:rPr>
          <w:sz w:val="20"/>
          <w:szCs w:val="20"/>
          <w:lang w:val="en-GB"/>
        </w:rPr>
      </w:pPr>
    </w:p>
    <w:p w14:paraId="58B0C73F" w14:textId="089F307D" w:rsidR="00086B26" w:rsidRPr="002975B0" w:rsidRDefault="00112AEB" w:rsidP="00086B26">
      <w:pPr>
        <w:pStyle w:val="StyleCopyrightStatementAfter0ptBottomSinglesolidline1"/>
        <w:rPr>
          <w:lang w:val="en-GB"/>
        </w:rPr>
      </w:pPr>
      <w:proofErr w:type="spellStart"/>
      <w:r w:rsidRPr="002975B0">
        <w:rPr>
          <w:rFonts w:cs="Arial"/>
          <w:szCs w:val="16"/>
          <w:lang w:val="en-GB"/>
        </w:rPr>
        <w:t>Pernille</w:t>
      </w:r>
      <w:proofErr w:type="spellEnd"/>
      <w:r w:rsidRPr="002975B0">
        <w:rPr>
          <w:rFonts w:cs="Arial"/>
          <w:szCs w:val="16"/>
          <w:lang w:val="en-GB"/>
        </w:rPr>
        <w:t xml:space="preserve"> </w:t>
      </w:r>
      <w:proofErr w:type="spellStart"/>
      <w:r w:rsidR="00594E78" w:rsidRPr="002975B0">
        <w:rPr>
          <w:rFonts w:cs="Arial"/>
          <w:szCs w:val="16"/>
          <w:lang w:val="en-GB"/>
        </w:rPr>
        <w:t>Goodbrand</w:t>
      </w:r>
      <w:proofErr w:type="spellEnd"/>
      <w:r w:rsidR="00594E78" w:rsidRPr="002975B0">
        <w:rPr>
          <w:rFonts w:cs="Arial"/>
          <w:szCs w:val="16"/>
          <w:lang w:val="en-GB"/>
        </w:rPr>
        <w:t xml:space="preserve">, </w:t>
      </w:r>
      <w:proofErr w:type="spellStart"/>
      <w:r w:rsidR="00B71DBE">
        <w:rPr>
          <w:rFonts w:cs="Arial"/>
          <w:szCs w:val="16"/>
          <w:lang w:val="en-GB"/>
        </w:rPr>
        <w:t>Dr.</w:t>
      </w:r>
      <w:proofErr w:type="spellEnd"/>
      <w:r w:rsidR="00B71DBE">
        <w:rPr>
          <w:rFonts w:cs="Arial"/>
          <w:szCs w:val="16"/>
          <w:lang w:val="en-GB"/>
        </w:rPr>
        <w:t xml:space="preserve"> </w:t>
      </w:r>
      <w:proofErr w:type="spellStart"/>
      <w:r w:rsidR="00B71DBE" w:rsidRPr="002975B0">
        <w:rPr>
          <w:rFonts w:cs="Arial"/>
          <w:szCs w:val="16"/>
          <w:lang w:val="en-GB"/>
        </w:rPr>
        <w:t>Sandip</w:t>
      </w:r>
      <w:proofErr w:type="spellEnd"/>
      <w:r w:rsidR="00B71DBE" w:rsidRPr="002975B0">
        <w:rPr>
          <w:rFonts w:cs="Arial"/>
          <w:szCs w:val="16"/>
          <w:lang w:val="en-GB"/>
        </w:rPr>
        <w:t xml:space="preserve"> </w:t>
      </w:r>
      <w:proofErr w:type="spellStart"/>
      <w:r w:rsidR="00B71DBE" w:rsidRPr="002975B0">
        <w:rPr>
          <w:rFonts w:cs="Arial"/>
          <w:szCs w:val="16"/>
          <w:lang w:val="en-GB"/>
        </w:rPr>
        <w:t>Lalli</w:t>
      </w:r>
      <w:proofErr w:type="spellEnd"/>
      <w:r w:rsidR="00B71DBE">
        <w:rPr>
          <w:rFonts w:cs="Arial"/>
          <w:szCs w:val="16"/>
          <w:lang w:val="en-GB"/>
        </w:rPr>
        <w:t xml:space="preserve">, and Cheryl </w:t>
      </w:r>
      <w:proofErr w:type="spellStart"/>
      <w:r w:rsidR="00B71DBE">
        <w:rPr>
          <w:rFonts w:cs="Arial"/>
          <w:szCs w:val="16"/>
          <w:lang w:val="en-GB"/>
        </w:rPr>
        <w:t>Brazell</w:t>
      </w:r>
      <w:proofErr w:type="spellEnd"/>
      <w:r w:rsidR="00594E78" w:rsidRPr="002975B0">
        <w:rPr>
          <w:rFonts w:cs="Arial"/>
          <w:szCs w:val="16"/>
          <w:lang w:val="en-GB"/>
        </w:rPr>
        <w:t xml:space="preserve"> </w:t>
      </w:r>
      <w:r w:rsidR="00086B26" w:rsidRPr="002975B0">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2975B0" w:rsidRDefault="00086B26" w:rsidP="00086B26">
      <w:pPr>
        <w:pStyle w:val="StyleCopyrightStatementAfter0ptBottomSinglesolidline1"/>
        <w:rPr>
          <w:lang w:val="en-GB"/>
        </w:rPr>
      </w:pPr>
    </w:p>
    <w:p w14:paraId="6E6D0330" w14:textId="6D69A277" w:rsidR="00B71DBE" w:rsidRPr="00B71DBE" w:rsidRDefault="00B71DBE" w:rsidP="00B71DBE">
      <w:pPr>
        <w:pStyle w:val="StyleStyleCopyrightStatementAfter0ptBottomSinglesolid"/>
        <w:rPr>
          <w:rFonts w:cs="Arial"/>
          <w:iCs w:val="0"/>
          <w:color w:val="auto"/>
          <w:szCs w:val="16"/>
          <w:lang w:val="en-GB"/>
        </w:rPr>
      </w:pPr>
      <w:r w:rsidRPr="00B71DBE">
        <w:rPr>
          <w:rFonts w:cs="Arial"/>
          <w:iCs w:val="0"/>
          <w:color w:val="auto"/>
          <w:szCs w:val="16"/>
          <w:lang w:val="en-GB"/>
        </w:rPr>
        <w:t>This publication may not be transmitted, photocopied, digitized</w:t>
      </w:r>
      <w:r w:rsidR="00C93BAD">
        <w:rPr>
          <w:rFonts w:cs="Arial"/>
          <w:iCs w:val="0"/>
          <w:color w:val="auto"/>
          <w:szCs w:val="16"/>
          <w:lang w:val="en-GB"/>
        </w:rPr>
        <w:t>,</w:t>
      </w:r>
      <w:r w:rsidRPr="00B71DBE">
        <w:rPr>
          <w:rFonts w:cs="Arial"/>
          <w:iCs w:val="0"/>
          <w:color w:val="auto"/>
          <w:szCs w:val="16"/>
          <w:lang w:val="en-GB"/>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67202DD0" w14:textId="77777777" w:rsidR="00B71DBE" w:rsidRPr="00B71DBE" w:rsidRDefault="00B71DBE" w:rsidP="00B71DBE">
      <w:pPr>
        <w:pStyle w:val="StyleStyleCopyrightStatementAfter0ptBottomSinglesolid"/>
        <w:rPr>
          <w:rFonts w:cs="Arial"/>
          <w:iCs w:val="0"/>
          <w:color w:val="auto"/>
          <w:szCs w:val="16"/>
          <w:lang w:val="en-GB"/>
        </w:rPr>
      </w:pPr>
    </w:p>
    <w:p w14:paraId="3922E14F" w14:textId="2340240A" w:rsidR="00751E0B" w:rsidRPr="002975B0" w:rsidRDefault="00B71DBE" w:rsidP="00B71DBE">
      <w:pPr>
        <w:pStyle w:val="StyleStyleCopyrightStatementAfter0ptBottomSinglesolid"/>
        <w:rPr>
          <w:rFonts w:cs="Arial"/>
          <w:szCs w:val="16"/>
          <w:lang w:val="en-GB"/>
        </w:rPr>
      </w:pPr>
      <w:r w:rsidRPr="00B71DBE">
        <w:rPr>
          <w:rFonts w:cs="Arial"/>
          <w:iCs w:val="0"/>
          <w:color w:val="auto"/>
          <w:szCs w:val="16"/>
          <w:lang w:val="en-GB"/>
        </w:rPr>
        <w:t>Copyright © 2018, Ivey Business School Foundation</w:t>
      </w:r>
      <w:r w:rsidR="00C02410" w:rsidRPr="002975B0">
        <w:rPr>
          <w:rFonts w:cs="Arial"/>
          <w:iCs w:val="0"/>
          <w:color w:val="auto"/>
          <w:szCs w:val="16"/>
          <w:lang w:val="en-GB"/>
        </w:rPr>
        <w:tab/>
      </w:r>
      <w:r w:rsidR="00470FE3">
        <w:rPr>
          <w:rFonts w:cs="Arial"/>
          <w:iCs w:val="0"/>
          <w:color w:val="auto"/>
          <w:szCs w:val="16"/>
          <w:lang w:val="en-GB"/>
        </w:rPr>
        <w:t>Version: 20</w:t>
      </w:r>
      <w:r w:rsidR="00025694">
        <w:rPr>
          <w:rFonts w:cs="Arial"/>
          <w:iCs w:val="0"/>
          <w:color w:val="auto"/>
          <w:szCs w:val="16"/>
          <w:lang w:val="en-GB"/>
        </w:rPr>
        <w:t>18-10</w:t>
      </w:r>
      <w:r w:rsidR="008C7156" w:rsidRPr="002975B0">
        <w:rPr>
          <w:rFonts w:cs="Arial"/>
          <w:iCs w:val="0"/>
          <w:color w:val="auto"/>
          <w:szCs w:val="16"/>
          <w:lang w:val="en-GB"/>
        </w:rPr>
        <w:t>-</w:t>
      </w:r>
      <w:r w:rsidR="004E5869">
        <w:rPr>
          <w:rFonts w:cs="Arial"/>
          <w:iCs w:val="0"/>
          <w:color w:val="auto"/>
          <w:szCs w:val="16"/>
          <w:lang w:val="en-GB"/>
        </w:rPr>
        <w:t>1</w:t>
      </w:r>
      <w:r w:rsidR="00452ABF">
        <w:rPr>
          <w:rFonts w:cs="Arial"/>
          <w:iCs w:val="0"/>
          <w:color w:val="auto"/>
          <w:szCs w:val="16"/>
          <w:lang w:val="en-GB"/>
        </w:rPr>
        <w:t>5</w:t>
      </w:r>
    </w:p>
    <w:p w14:paraId="0A2A54E4" w14:textId="77777777" w:rsidR="00751E0B" w:rsidRPr="002975B0" w:rsidRDefault="00751E0B" w:rsidP="00751E0B">
      <w:pPr>
        <w:pStyle w:val="StyleCopyrightStatementAfter0ptBottomSinglesolidline1"/>
        <w:rPr>
          <w:rFonts w:ascii="Times New Roman" w:hAnsi="Times New Roman"/>
          <w:sz w:val="20"/>
          <w:lang w:val="en-GB"/>
        </w:rPr>
      </w:pPr>
    </w:p>
    <w:p w14:paraId="2C183161" w14:textId="77777777" w:rsidR="00B87DC0" w:rsidRPr="002975B0" w:rsidRDefault="00B87DC0" w:rsidP="004B632F">
      <w:pPr>
        <w:pStyle w:val="StyleCopyrightStatementAfter0ptBottomSinglesolidline1"/>
        <w:rPr>
          <w:rFonts w:ascii="Times New Roman" w:hAnsi="Times New Roman"/>
          <w:sz w:val="20"/>
          <w:lang w:val="en-GB"/>
        </w:rPr>
      </w:pPr>
    </w:p>
    <w:p w14:paraId="717647C3" w14:textId="088A955D" w:rsidR="00112AEB" w:rsidRPr="002975B0" w:rsidRDefault="00112AEB" w:rsidP="00594E78">
      <w:pPr>
        <w:pStyle w:val="BodyTextMain"/>
        <w:rPr>
          <w:lang w:val="en-GB"/>
        </w:rPr>
      </w:pPr>
      <w:r w:rsidRPr="002975B0">
        <w:rPr>
          <w:lang w:val="en-GB"/>
        </w:rPr>
        <w:t xml:space="preserve">It was early September 2016, and </w:t>
      </w:r>
      <w:proofErr w:type="spellStart"/>
      <w:r w:rsidRPr="002975B0">
        <w:rPr>
          <w:lang w:val="en-GB"/>
        </w:rPr>
        <w:t>Sandip</w:t>
      </w:r>
      <w:proofErr w:type="spellEnd"/>
      <w:r w:rsidRPr="002975B0">
        <w:rPr>
          <w:lang w:val="en-GB"/>
        </w:rPr>
        <w:t xml:space="preserve"> </w:t>
      </w:r>
      <w:proofErr w:type="spellStart"/>
      <w:r w:rsidRPr="002975B0">
        <w:rPr>
          <w:lang w:val="en-GB"/>
        </w:rPr>
        <w:t>Lalli</w:t>
      </w:r>
      <w:proofErr w:type="spellEnd"/>
      <w:r w:rsidRPr="002975B0">
        <w:rPr>
          <w:lang w:val="en-GB"/>
        </w:rPr>
        <w:t>, president and chief executive officer (CEO) of Keystone Excavating L</w:t>
      </w:r>
      <w:r w:rsidR="00A428DF">
        <w:rPr>
          <w:lang w:val="en-GB"/>
        </w:rPr>
        <w:t>imited</w:t>
      </w:r>
      <w:r w:rsidRPr="002975B0">
        <w:rPr>
          <w:lang w:val="en-GB"/>
        </w:rPr>
        <w:t xml:space="preserve"> (Keystone), needed a moment alone to gather her thoughts. She went for a walk</w:t>
      </w:r>
      <w:r w:rsidR="002B40D9" w:rsidRPr="002975B0">
        <w:rPr>
          <w:lang w:val="en-GB"/>
        </w:rPr>
        <w:t>,</w:t>
      </w:r>
      <w:r w:rsidRPr="002975B0">
        <w:rPr>
          <w:lang w:val="en-GB"/>
        </w:rPr>
        <w:t xml:space="preserve"> as she often did when making critical decisions. </w:t>
      </w:r>
      <w:proofErr w:type="spellStart"/>
      <w:r w:rsidRPr="002975B0">
        <w:rPr>
          <w:lang w:val="en-GB"/>
        </w:rPr>
        <w:t>Lalli</w:t>
      </w:r>
      <w:proofErr w:type="spellEnd"/>
      <w:r w:rsidRPr="002975B0">
        <w:rPr>
          <w:lang w:val="en-GB"/>
        </w:rPr>
        <w:t xml:space="preserve">, who </w:t>
      </w:r>
      <w:r w:rsidR="00C93BAD">
        <w:rPr>
          <w:lang w:val="en-GB"/>
        </w:rPr>
        <w:t xml:space="preserve">had </w:t>
      </w:r>
      <w:r w:rsidRPr="002975B0">
        <w:rPr>
          <w:lang w:val="en-GB"/>
        </w:rPr>
        <w:t>joined the 35-year-old company in June 2015, thought about the company’s his</w:t>
      </w:r>
      <w:r w:rsidR="00594E78" w:rsidRPr="002975B0">
        <w:rPr>
          <w:lang w:val="en-GB"/>
        </w:rPr>
        <w:t>tory and its current situation.</w:t>
      </w:r>
    </w:p>
    <w:p w14:paraId="61ABEB77" w14:textId="77777777" w:rsidR="00112AEB" w:rsidRPr="00C55AB4" w:rsidRDefault="00112AEB" w:rsidP="00594E78">
      <w:pPr>
        <w:pStyle w:val="BodyTextMain"/>
        <w:rPr>
          <w:sz w:val="20"/>
          <w:lang w:val="en-GB"/>
        </w:rPr>
      </w:pPr>
    </w:p>
    <w:p w14:paraId="3B330C7E" w14:textId="77777777" w:rsidR="003A34D8" w:rsidRDefault="00112AEB" w:rsidP="00594E78">
      <w:pPr>
        <w:pStyle w:val="BodyTextMain"/>
        <w:rPr>
          <w:lang w:val="en-GB"/>
        </w:rPr>
      </w:pPr>
      <w:r w:rsidRPr="002975B0">
        <w:rPr>
          <w:lang w:val="en-GB"/>
        </w:rPr>
        <w:t xml:space="preserve">Keystone had been started by one person, Ed Elias, and one bulldozer. Elias knew dirt, and he loved equipment. He decided </w:t>
      </w:r>
      <w:r w:rsidR="003A34D8">
        <w:rPr>
          <w:lang w:val="en-GB"/>
        </w:rPr>
        <w:t>his life would revolve around dirt</w:t>
      </w:r>
      <w:r w:rsidRPr="002975B0">
        <w:rPr>
          <w:lang w:val="en-GB"/>
        </w:rPr>
        <w:t xml:space="preserve">, and so he took the Allis-Chalmers </w:t>
      </w:r>
      <w:r w:rsidR="001436AD" w:rsidRPr="002975B0">
        <w:rPr>
          <w:lang w:val="en-GB"/>
        </w:rPr>
        <w:t xml:space="preserve">HD-16 bulldozer </w:t>
      </w:r>
      <w:r w:rsidRPr="002975B0">
        <w:rPr>
          <w:lang w:val="en-GB"/>
        </w:rPr>
        <w:t xml:space="preserve">his father </w:t>
      </w:r>
      <w:r w:rsidR="001436AD" w:rsidRPr="002975B0">
        <w:rPr>
          <w:lang w:val="en-GB"/>
        </w:rPr>
        <w:t xml:space="preserve">had </w:t>
      </w:r>
      <w:r w:rsidRPr="002975B0">
        <w:rPr>
          <w:lang w:val="en-GB"/>
        </w:rPr>
        <w:t>bought him and taught himself how to use it. Elias started working in Manitoba</w:t>
      </w:r>
      <w:r w:rsidR="00A33FEA">
        <w:rPr>
          <w:lang w:val="en-GB"/>
        </w:rPr>
        <w:t xml:space="preserve"> and</w:t>
      </w:r>
      <w:r w:rsidRPr="002975B0">
        <w:rPr>
          <w:lang w:val="en-GB"/>
        </w:rPr>
        <w:t xml:space="preserve"> then moved to Calgary, Alberta</w:t>
      </w:r>
      <w:r w:rsidR="001436AD" w:rsidRPr="002975B0">
        <w:rPr>
          <w:lang w:val="en-GB"/>
        </w:rPr>
        <w:t>,</w:t>
      </w:r>
      <w:r w:rsidRPr="002975B0">
        <w:rPr>
          <w:lang w:val="en-GB"/>
        </w:rPr>
        <w:t xml:space="preserve"> </w:t>
      </w:r>
      <w:r w:rsidR="0017389A">
        <w:rPr>
          <w:lang w:val="en-GB"/>
        </w:rPr>
        <w:t>where he</w:t>
      </w:r>
      <w:r w:rsidRPr="002975B0">
        <w:rPr>
          <w:lang w:val="en-GB"/>
        </w:rPr>
        <w:t xml:space="preserve"> launched Keystone in 1981. His was a classic tale of hard work and ingenuity reaping well-earned rewards. The company grew quickly</w:t>
      </w:r>
      <w:r w:rsidR="002C4B80" w:rsidRPr="002975B0">
        <w:rPr>
          <w:lang w:val="en-GB"/>
        </w:rPr>
        <w:t>,</w:t>
      </w:r>
      <w:r w:rsidRPr="002975B0">
        <w:rPr>
          <w:lang w:val="en-GB"/>
        </w:rPr>
        <w:t xml:space="preserve"> soon becoming a leader in the construction industry through its expertise in residential, commercial, infrastructure, industrial</w:t>
      </w:r>
      <w:r w:rsidR="002C4B80" w:rsidRPr="002975B0">
        <w:rPr>
          <w:lang w:val="en-GB"/>
        </w:rPr>
        <w:t>,</w:t>
      </w:r>
      <w:r w:rsidRPr="002975B0">
        <w:rPr>
          <w:lang w:val="en-GB"/>
        </w:rPr>
        <w:t xml:space="preserve"> and </w:t>
      </w:r>
      <w:r w:rsidR="002300B8">
        <w:rPr>
          <w:lang w:val="en-GB"/>
        </w:rPr>
        <w:t>energy-sector</w:t>
      </w:r>
      <w:r w:rsidRPr="002975B0">
        <w:rPr>
          <w:lang w:val="en-GB"/>
        </w:rPr>
        <w:t xml:space="preserve"> construction. </w:t>
      </w:r>
      <w:r w:rsidR="002300B8">
        <w:rPr>
          <w:lang w:val="en-GB"/>
        </w:rPr>
        <w:t>Elias’s</w:t>
      </w:r>
      <w:r w:rsidR="002300B8" w:rsidRPr="002975B0">
        <w:rPr>
          <w:lang w:val="en-GB"/>
        </w:rPr>
        <w:t xml:space="preserve"> </w:t>
      </w:r>
      <w:r w:rsidRPr="002975B0">
        <w:rPr>
          <w:lang w:val="en-GB"/>
        </w:rPr>
        <w:t>family also grew, eventually becoming one with the company</w:t>
      </w:r>
      <w:r w:rsidR="002C4B80" w:rsidRPr="002975B0">
        <w:rPr>
          <w:lang w:val="en-GB"/>
        </w:rPr>
        <w:t>,</w:t>
      </w:r>
      <w:r w:rsidRPr="002975B0">
        <w:rPr>
          <w:lang w:val="en-GB"/>
        </w:rPr>
        <w:t xml:space="preserve"> as all three of Elias’</w:t>
      </w:r>
      <w:r w:rsidR="002C4B80" w:rsidRPr="002975B0">
        <w:rPr>
          <w:lang w:val="en-GB"/>
        </w:rPr>
        <w:t>s</w:t>
      </w:r>
      <w:r w:rsidRPr="002975B0">
        <w:rPr>
          <w:lang w:val="en-GB"/>
        </w:rPr>
        <w:t xml:space="preserve"> sons joined the firm. But the family-owned business was at a crossroads; revenues had been in double-digit decline for the past five years, and the 2014 recession had hit Keystone particularly hard. The decline occurred surprisingly </w:t>
      </w:r>
      <w:r w:rsidR="002975B0" w:rsidRPr="002975B0">
        <w:rPr>
          <w:lang w:val="en-GB"/>
        </w:rPr>
        <w:t>fast</w:t>
      </w:r>
      <w:r w:rsidR="002300B8">
        <w:rPr>
          <w:lang w:val="en-GB"/>
        </w:rPr>
        <w:t>,</w:t>
      </w:r>
      <w:r w:rsidR="002975B0" w:rsidRPr="002975B0">
        <w:rPr>
          <w:lang w:val="en-GB"/>
        </w:rPr>
        <w:t xml:space="preserve"> </w:t>
      </w:r>
      <w:r w:rsidRPr="002975B0">
        <w:rPr>
          <w:lang w:val="en-GB"/>
        </w:rPr>
        <w:t>as investor confidence in Alberta’s economy weakened</w:t>
      </w:r>
      <w:r w:rsidR="002975B0" w:rsidRPr="002975B0">
        <w:rPr>
          <w:lang w:val="en-GB"/>
        </w:rPr>
        <w:t>,</w:t>
      </w:r>
      <w:r w:rsidRPr="002975B0">
        <w:rPr>
          <w:lang w:val="en-GB"/>
        </w:rPr>
        <w:t xml:space="preserve"> and construction projects vanished at the same time current projects were being scaled back. </w:t>
      </w:r>
    </w:p>
    <w:p w14:paraId="4B12CB8F" w14:textId="77777777" w:rsidR="003A34D8" w:rsidRDefault="003A34D8" w:rsidP="00594E78">
      <w:pPr>
        <w:pStyle w:val="BodyTextMain"/>
        <w:rPr>
          <w:lang w:val="en-GB"/>
        </w:rPr>
      </w:pPr>
    </w:p>
    <w:p w14:paraId="1B75162A" w14:textId="30731C56" w:rsidR="00112AEB" w:rsidRPr="002975B0" w:rsidRDefault="00112AEB" w:rsidP="00594E78">
      <w:pPr>
        <w:pStyle w:val="BodyTextMain"/>
        <w:rPr>
          <w:lang w:val="en-GB"/>
        </w:rPr>
      </w:pPr>
      <w:proofErr w:type="spellStart"/>
      <w:r w:rsidRPr="002975B0">
        <w:rPr>
          <w:lang w:val="en-GB"/>
        </w:rPr>
        <w:t>Lalli</w:t>
      </w:r>
      <w:proofErr w:type="spellEnd"/>
      <w:r w:rsidRPr="002975B0">
        <w:rPr>
          <w:lang w:val="en-GB"/>
        </w:rPr>
        <w:t xml:space="preserve"> was not sure how to tell the Elias family that things were unlikely to improve and that there would be another challenge ahead. After months of careful consideration</w:t>
      </w:r>
      <w:r w:rsidR="002975B0" w:rsidRPr="002975B0">
        <w:rPr>
          <w:lang w:val="en-GB"/>
        </w:rPr>
        <w:t>,</w:t>
      </w:r>
      <w:r w:rsidRPr="002975B0">
        <w:rPr>
          <w:lang w:val="en-GB"/>
        </w:rPr>
        <w:t xml:space="preserve"> she had decided to recommend ceasing operations to the Keystone board, but how could Keystone cease operations while retaining its </w:t>
      </w:r>
      <w:r w:rsidR="00594E78" w:rsidRPr="002975B0">
        <w:rPr>
          <w:lang w:val="en-GB"/>
        </w:rPr>
        <w:t>legacy?</w:t>
      </w:r>
    </w:p>
    <w:p w14:paraId="75E00C3E" w14:textId="77777777" w:rsidR="00112AEB" w:rsidRPr="002975B0" w:rsidRDefault="00112AEB" w:rsidP="00112AEB">
      <w:pPr>
        <w:spacing w:before="2" w:after="2"/>
        <w:rPr>
          <w:lang w:val="en-GB"/>
        </w:rPr>
      </w:pPr>
    </w:p>
    <w:p w14:paraId="2F428F33" w14:textId="77777777" w:rsidR="00112AEB" w:rsidRPr="002975B0" w:rsidRDefault="00112AEB" w:rsidP="00112AEB">
      <w:pPr>
        <w:spacing w:before="2" w:after="2"/>
        <w:rPr>
          <w:lang w:val="en-GB"/>
        </w:rPr>
      </w:pPr>
    </w:p>
    <w:p w14:paraId="277C67ED" w14:textId="77777777" w:rsidR="00112AEB" w:rsidRPr="002975B0" w:rsidRDefault="00112AEB" w:rsidP="00594E78">
      <w:pPr>
        <w:pStyle w:val="Casehead1"/>
        <w:rPr>
          <w:lang w:val="en-GB"/>
        </w:rPr>
      </w:pPr>
      <w:r w:rsidRPr="002975B0">
        <w:rPr>
          <w:lang w:val="en-GB"/>
        </w:rPr>
        <w:t>ALBERTA, CANADA</w:t>
      </w:r>
    </w:p>
    <w:p w14:paraId="6AABC51D" w14:textId="77777777" w:rsidR="00112AEB" w:rsidRPr="00C55AB4" w:rsidRDefault="00112AEB" w:rsidP="00112AEB">
      <w:pPr>
        <w:rPr>
          <w:rFonts w:ascii="Arial" w:hAnsi="Arial" w:cs="Arial"/>
          <w:lang w:val="en-GB"/>
        </w:rPr>
      </w:pPr>
    </w:p>
    <w:p w14:paraId="5AB5D774" w14:textId="3C1D3DDD" w:rsidR="00112AEB" w:rsidRPr="002975B0" w:rsidRDefault="00112AEB" w:rsidP="00594E78">
      <w:pPr>
        <w:pStyle w:val="BodyTextMain"/>
        <w:rPr>
          <w:lang w:val="en-GB"/>
        </w:rPr>
      </w:pPr>
      <w:r w:rsidRPr="002975B0">
        <w:rPr>
          <w:lang w:val="en-GB"/>
        </w:rPr>
        <w:t xml:space="preserve">Alberta was one of Canada’s Prairie </w:t>
      </w:r>
      <w:r w:rsidR="0017389A">
        <w:rPr>
          <w:lang w:val="en-GB"/>
        </w:rPr>
        <w:t>P</w:t>
      </w:r>
      <w:r w:rsidR="002975B0" w:rsidRPr="002975B0">
        <w:rPr>
          <w:lang w:val="en-GB"/>
        </w:rPr>
        <w:t>rovinces</w:t>
      </w:r>
      <w:r w:rsidRPr="002975B0">
        <w:rPr>
          <w:lang w:val="en-GB"/>
        </w:rPr>
        <w:t xml:space="preserve">. In 2016, Alberta had a population of 4.23 million, with approximately half of its residents residing in two urban </w:t>
      </w:r>
      <w:r w:rsidR="002975B0" w:rsidRPr="002975B0">
        <w:rPr>
          <w:lang w:val="en-GB"/>
        </w:rPr>
        <w:t>centres</w:t>
      </w:r>
      <w:r w:rsidRPr="002975B0">
        <w:rPr>
          <w:lang w:val="en-GB"/>
        </w:rPr>
        <w:t>: Calgary (population</w:t>
      </w:r>
      <w:r w:rsidR="00397DE2">
        <w:rPr>
          <w:lang w:val="en-GB"/>
        </w:rPr>
        <w:t xml:space="preserve"> </w:t>
      </w:r>
      <w:r w:rsidRPr="002975B0">
        <w:rPr>
          <w:lang w:val="en-GB"/>
        </w:rPr>
        <w:t>1,237,196) and Edmonton (population</w:t>
      </w:r>
      <w:r w:rsidR="00397DE2">
        <w:rPr>
          <w:lang w:val="en-GB"/>
        </w:rPr>
        <w:t xml:space="preserve"> </w:t>
      </w:r>
      <w:r w:rsidRPr="002975B0">
        <w:rPr>
          <w:lang w:val="en-GB"/>
        </w:rPr>
        <w:t>915,997).</w:t>
      </w:r>
      <w:r w:rsidRPr="002975B0">
        <w:rPr>
          <w:rStyle w:val="FootnoteReference"/>
          <w:lang w:val="en-GB"/>
        </w:rPr>
        <w:footnoteReference w:id="1"/>
      </w:r>
      <w:r w:rsidRPr="002975B0">
        <w:rPr>
          <w:lang w:val="en-GB"/>
        </w:rPr>
        <w:t xml:space="preserve"> Alberta’s economy was heavily skewed to the </w:t>
      </w:r>
      <w:r w:rsidR="00397DE2">
        <w:rPr>
          <w:lang w:val="en-GB"/>
        </w:rPr>
        <w:t>oil</w:t>
      </w:r>
      <w:r w:rsidR="0017389A">
        <w:rPr>
          <w:lang w:val="en-GB"/>
        </w:rPr>
        <w:t xml:space="preserve"> </w:t>
      </w:r>
      <w:r w:rsidR="00397DE2">
        <w:rPr>
          <w:lang w:val="en-GB"/>
        </w:rPr>
        <w:t>and</w:t>
      </w:r>
      <w:r w:rsidR="0017389A">
        <w:rPr>
          <w:lang w:val="en-GB"/>
        </w:rPr>
        <w:t xml:space="preserve"> </w:t>
      </w:r>
      <w:r w:rsidR="00397DE2">
        <w:rPr>
          <w:lang w:val="en-GB"/>
        </w:rPr>
        <w:t>gas</w:t>
      </w:r>
      <w:r w:rsidRPr="002975B0">
        <w:rPr>
          <w:lang w:val="en-GB"/>
        </w:rPr>
        <w:t xml:space="preserve"> sector</w:t>
      </w:r>
      <w:r w:rsidR="008763DC">
        <w:rPr>
          <w:lang w:val="en-GB"/>
        </w:rPr>
        <w:t>,</w:t>
      </w:r>
      <w:r w:rsidRPr="002975B0">
        <w:rPr>
          <w:lang w:val="en-GB"/>
        </w:rPr>
        <w:t xml:space="preserve"> which was dependent on the price of </w:t>
      </w:r>
      <w:bookmarkStart w:id="0" w:name="_Hlk523903141"/>
      <w:r w:rsidRPr="002975B0">
        <w:rPr>
          <w:lang w:val="en-GB"/>
        </w:rPr>
        <w:t>West Texas Intermediate (WTI)</w:t>
      </w:r>
      <w:bookmarkEnd w:id="0"/>
      <w:r w:rsidRPr="002975B0">
        <w:rPr>
          <w:lang w:val="en-GB"/>
        </w:rPr>
        <w:t xml:space="preserve">, a grade of crude oil used as a benchmark in oil pricing. The plunge in oil prices in 2014 </w:t>
      </w:r>
      <w:r w:rsidR="0017389A">
        <w:rPr>
          <w:lang w:val="en-GB"/>
        </w:rPr>
        <w:t xml:space="preserve">had </w:t>
      </w:r>
      <w:r w:rsidRPr="002975B0">
        <w:rPr>
          <w:lang w:val="en-GB"/>
        </w:rPr>
        <w:t xml:space="preserve">resulted in a two-year recession (see Exhibit 1). </w:t>
      </w:r>
    </w:p>
    <w:p w14:paraId="0D1768E4" w14:textId="77777777" w:rsidR="00112AEB" w:rsidRPr="002975B0" w:rsidRDefault="00112AEB" w:rsidP="00112AEB">
      <w:pPr>
        <w:spacing w:before="2" w:after="2"/>
        <w:rPr>
          <w:lang w:val="en-GB"/>
        </w:rPr>
      </w:pPr>
    </w:p>
    <w:p w14:paraId="561FADF2" w14:textId="0DBD9651" w:rsidR="00112AEB" w:rsidRPr="002975B0" w:rsidRDefault="00112AEB" w:rsidP="00594E78">
      <w:pPr>
        <w:pStyle w:val="BodyTextMain"/>
        <w:rPr>
          <w:lang w:val="en-GB"/>
        </w:rPr>
      </w:pPr>
      <w:r w:rsidRPr="00C55AB4">
        <w:rPr>
          <w:spacing w:val="-2"/>
          <w:kern w:val="22"/>
          <w:lang w:val="en-GB"/>
        </w:rPr>
        <w:t>The 2014</w:t>
      </w:r>
      <w:r w:rsidR="00AA2EBB" w:rsidRPr="00C55AB4">
        <w:rPr>
          <w:spacing w:val="-2"/>
          <w:kern w:val="22"/>
          <w:lang w:val="en-GB"/>
        </w:rPr>
        <w:t>–</w:t>
      </w:r>
      <w:r w:rsidRPr="00C55AB4">
        <w:rPr>
          <w:spacing w:val="-2"/>
          <w:kern w:val="22"/>
          <w:lang w:val="en-GB"/>
        </w:rPr>
        <w:t>2016 recession stunted Alberta’s population growth</w:t>
      </w:r>
      <w:r w:rsidR="00E97B3A" w:rsidRPr="00C55AB4">
        <w:rPr>
          <w:spacing w:val="-2"/>
          <w:kern w:val="22"/>
          <w:lang w:val="en-GB"/>
        </w:rPr>
        <w:t>, which</w:t>
      </w:r>
      <w:r w:rsidR="00AA2EBB" w:rsidRPr="00C55AB4">
        <w:rPr>
          <w:spacing w:val="-2"/>
          <w:kern w:val="22"/>
          <w:lang w:val="en-GB"/>
        </w:rPr>
        <w:t>—after approaching 3 per cent in 2012 and 2013—</w:t>
      </w:r>
      <w:r w:rsidRPr="00C55AB4">
        <w:rPr>
          <w:spacing w:val="-2"/>
          <w:kern w:val="22"/>
          <w:lang w:val="en-GB"/>
        </w:rPr>
        <w:t>fell to 1.7 per cent in 2014 and 1.4 per cent in 2015.</w:t>
      </w:r>
      <w:r w:rsidRPr="00C55AB4">
        <w:rPr>
          <w:rStyle w:val="FootnoteReference"/>
          <w:spacing w:val="-2"/>
          <w:kern w:val="22"/>
          <w:lang w:val="en-GB"/>
        </w:rPr>
        <w:footnoteReference w:id="2"/>
      </w:r>
      <w:r w:rsidRPr="00C55AB4">
        <w:rPr>
          <w:spacing w:val="-2"/>
          <w:kern w:val="22"/>
          <w:lang w:val="en-GB"/>
        </w:rPr>
        <w:t xml:space="preserve"> The unemployment rates rose from 4.4 per cent in February 2014 to 7.9 per cent in February 2016</w:t>
      </w:r>
      <w:r w:rsidR="008763DC" w:rsidRPr="00C55AB4">
        <w:rPr>
          <w:spacing w:val="-2"/>
          <w:kern w:val="22"/>
          <w:lang w:val="en-GB"/>
        </w:rPr>
        <w:t>,</w:t>
      </w:r>
      <w:r w:rsidRPr="00C55AB4">
        <w:rPr>
          <w:spacing w:val="-2"/>
          <w:kern w:val="22"/>
          <w:lang w:val="en-GB"/>
        </w:rPr>
        <w:t xml:space="preserve"> with higher rates in the areas with the most </w:t>
      </w:r>
      <w:r w:rsidR="008763DC" w:rsidRPr="00C55AB4">
        <w:rPr>
          <w:spacing w:val="-2"/>
          <w:kern w:val="22"/>
          <w:lang w:val="en-GB"/>
        </w:rPr>
        <w:t>oil</w:t>
      </w:r>
      <w:r w:rsidR="0017389A">
        <w:rPr>
          <w:spacing w:val="-2"/>
          <w:kern w:val="22"/>
          <w:lang w:val="en-GB"/>
        </w:rPr>
        <w:t xml:space="preserve"> </w:t>
      </w:r>
      <w:r w:rsidR="008763DC" w:rsidRPr="00C55AB4">
        <w:rPr>
          <w:spacing w:val="-2"/>
          <w:kern w:val="22"/>
          <w:lang w:val="en-GB"/>
        </w:rPr>
        <w:t>and</w:t>
      </w:r>
      <w:r w:rsidR="0017389A">
        <w:rPr>
          <w:spacing w:val="-2"/>
          <w:kern w:val="22"/>
          <w:lang w:val="en-GB"/>
        </w:rPr>
        <w:t xml:space="preserve"> </w:t>
      </w:r>
      <w:r w:rsidR="008763DC" w:rsidRPr="00C55AB4">
        <w:rPr>
          <w:spacing w:val="-2"/>
          <w:kern w:val="22"/>
          <w:lang w:val="en-GB"/>
        </w:rPr>
        <w:t>gas</w:t>
      </w:r>
      <w:r w:rsidRPr="00C55AB4">
        <w:rPr>
          <w:spacing w:val="-2"/>
          <w:kern w:val="22"/>
          <w:lang w:val="en-GB"/>
        </w:rPr>
        <w:t xml:space="preserve"> activity.</w:t>
      </w:r>
      <w:r w:rsidRPr="00C55AB4">
        <w:rPr>
          <w:rStyle w:val="FootnoteReference"/>
          <w:spacing w:val="-2"/>
          <w:kern w:val="22"/>
          <w:lang w:val="en-GB"/>
        </w:rPr>
        <w:footnoteReference w:id="3"/>
      </w:r>
      <w:r w:rsidRPr="00C55AB4">
        <w:rPr>
          <w:spacing w:val="-2"/>
          <w:kern w:val="22"/>
          <w:lang w:val="en-GB"/>
        </w:rPr>
        <w:t xml:space="preserve"> Calgary, which was home to many </w:t>
      </w:r>
      <w:r w:rsidR="008763DC" w:rsidRPr="00C55AB4">
        <w:rPr>
          <w:spacing w:val="-2"/>
          <w:kern w:val="22"/>
          <w:lang w:val="en-GB"/>
        </w:rPr>
        <w:t>oil</w:t>
      </w:r>
      <w:r w:rsidR="0017389A">
        <w:rPr>
          <w:spacing w:val="-2"/>
          <w:kern w:val="22"/>
          <w:lang w:val="en-GB"/>
        </w:rPr>
        <w:t xml:space="preserve"> </w:t>
      </w:r>
      <w:r w:rsidR="008763DC" w:rsidRPr="00C55AB4">
        <w:rPr>
          <w:spacing w:val="-2"/>
          <w:kern w:val="22"/>
          <w:lang w:val="en-GB"/>
        </w:rPr>
        <w:t>and</w:t>
      </w:r>
      <w:r w:rsidR="0017389A">
        <w:rPr>
          <w:spacing w:val="-2"/>
          <w:kern w:val="22"/>
          <w:lang w:val="en-GB"/>
        </w:rPr>
        <w:t xml:space="preserve"> </w:t>
      </w:r>
      <w:r w:rsidR="008763DC" w:rsidRPr="00C55AB4">
        <w:rPr>
          <w:spacing w:val="-2"/>
          <w:kern w:val="22"/>
          <w:lang w:val="en-GB"/>
        </w:rPr>
        <w:t>gas</w:t>
      </w:r>
      <w:r w:rsidRPr="00C55AB4">
        <w:rPr>
          <w:spacing w:val="-2"/>
          <w:kern w:val="22"/>
          <w:lang w:val="en-GB"/>
        </w:rPr>
        <w:t xml:space="preserve"> headquarters, </w:t>
      </w:r>
      <w:r w:rsidR="0017389A">
        <w:rPr>
          <w:spacing w:val="-2"/>
          <w:kern w:val="22"/>
          <w:lang w:val="en-GB"/>
        </w:rPr>
        <w:t>had an unemployment rate of</w:t>
      </w:r>
      <w:r w:rsidRPr="00C55AB4">
        <w:rPr>
          <w:spacing w:val="-2"/>
          <w:kern w:val="22"/>
          <w:lang w:val="en-GB"/>
        </w:rPr>
        <w:t xml:space="preserve"> 9.2 per cent, while the Wood Buffalo region, where significant oil extraction took place, was comparable at 9.3 per cent.</w:t>
      </w:r>
      <w:r w:rsidRPr="00C55AB4">
        <w:rPr>
          <w:rStyle w:val="FootnoteReference"/>
          <w:spacing w:val="-2"/>
          <w:kern w:val="22"/>
          <w:lang w:val="en-GB"/>
        </w:rPr>
        <w:footnoteReference w:id="4"/>
      </w:r>
      <w:r w:rsidRPr="00C55AB4">
        <w:rPr>
          <w:spacing w:val="-2"/>
          <w:kern w:val="22"/>
          <w:lang w:val="en-GB"/>
        </w:rPr>
        <w:t xml:space="preserve"> Despite the recession, median household incomes continued to be higher than the median for the rest of Canada</w:t>
      </w:r>
      <w:r w:rsidRPr="002975B0">
        <w:rPr>
          <w:lang w:val="en-GB"/>
        </w:rPr>
        <w:t>.</w:t>
      </w:r>
      <w:r w:rsidRPr="002975B0">
        <w:rPr>
          <w:rStyle w:val="FootnoteReference"/>
          <w:lang w:val="en-GB"/>
        </w:rPr>
        <w:footnoteReference w:id="5"/>
      </w:r>
      <w:r w:rsidRPr="002975B0">
        <w:rPr>
          <w:lang w:val="en-GB"/>
        </w:rPr>
        <w:t xml:space="preserve"> </w:t>
      </w:r>
    </w:p>
    <w:p w14:paraId="186102D2" w14:textId="77777777" w:rsidR="00112AEB" w:rsidRPr="002975B0" w:rsidRDefault="00112AEB" w:rsidP="00594E78">
      <w:pPr>
        <w:pStyle w:val="BodyTextMain"/>
        <w:rPr>
          <w:lang w:val="en-GB"/>
        </w:rPr>
      </w:pPr>
    </w:p>
    <w:p w14:paraId="5CB5E6F6" w14:textId="586E800E" w:rsidR="00112AEB" w:rsidRPr="002975B0" w:rsidRDefault="00112AEB" w:rsidP="00594E78">
      <w:pPr>
        <w:pStyle w:val="BodyTextMain"/>
        <w:rPr>
          <w:lang w:val="en-GB"/>
        </w:rPr>
      </w:pPr>
      <w:r w:rsidRPr="002975B0">
        <w:rPr>
          <w:lang w:val="en-GB"/>
        </w:rPr>
        <w:t>Most business investment decisions in the Alberta economy were based on the stability and predictability of WTI. The 2014</w:t>
      </w:r>
      <w:r w:rsidR="00A30503">
        <w:rPr>
          <w:lang w:val="en-GB"/>
        </w:rPr>
        <w:t>–</w:t>
      </w:r>
      <w:r w:rsidRPr="002975B0">
        <w:rPr>
          <w:lang w:val="en-GB"/>
        </w:rPr>
        <w:t xml:space="preserve">2016 decline in the price of oil significantly slowed investments into Alberta. For a province with an economy largely built on the success of one sector, this lack of investment reached far beyond the </w:t>
      </w:r>
      <w:r w:rsidR="007E2E57">
        <w:rPr>
          <w:lang w:val="en-GB"/>
        </w:rPr>
        <w:t>oil</w:t>
      </w:r>
      <w:r w:rsidR="0017389A">
        <w:rPr>
          <w:lang w:val="en-GB"/>
        </w:rPr>
        <w:t xml:space="preserve"> </w:t>
      </w:r>
      <w:r w:rsidR="007E2E57">
        <w:rPr>
          <w:lang w:val="en-GB"/>
        </w:rPr>
        <w:t>and</w:t>
      </w:r>
      <w:r w:rsidR="0017389A">
        <w:rPr>
          <w:lang w:val="en-GB"/>
        </w:rPr>
        <w:t xml:space="preserve"> </w:t>
      </w:r>
      <w:r w:rsidR="007E2E57">
        <w:rPr>
          <w:lang w:val="en-GB"/>
        </w:rPr>
        <w:t>gas</w:t>
      </w:r>
      <w:r w:rsidRPr="002975B0">
        <w:rPr>
          <w:lang w:val="en-GB"/>
        </w:rPr>
        <w:t xml:space="preserve"> industry</w:t>
      </w:r>
      <w:r w:rsidR="007E2E57">
        <w:rPr>
          <w:lang w:val="en-GB"/>
        </w:rPr>
        <w:t>,</w:t>
      </w:r>
      <w:r w:rsidRPr="002975B0">
        <w:rPr>
          <w:lang w:val="en-GB"/>
        </w:rPr>
        <w:t xml:space="preserve"> affecting all sectors</w:t>
      </w:r>
      <w:r w:rsidR="007E2E57">
        <w:rPr>
          <w:lang w:val="en-GB"/>
        </w:rPr>
        <w:t>,</w:t>
      </w:r>
      <w:r w:rsidRPr="002975B0">
        <w:rPr>
          <w:lang w:val="en-GB"/>
        </w:rPr>
        <w:t xml:space="preserve"> including “housing, government and other consumer and business spending.”</w:t>
      </w:r>
      <w:r w:rsidRPr="002975B0">
        <w:rPr>
          <w:rStyle w:val="FootnoteReference"/>
          <w:lang w:val="en-GB"/>
        </w:rPr>
        <w:footnoteReference w:id="6"/>
      </w:r>
      <w:r w:rsidRPr="002975B0">
        <w:rPr>
          <w:lang w:val="en-GB"/>
        </w:rPr>
        <w:t xml:space="preserve"> As revenues and capital expenditures by </w:t>
      </w:r>
      <w:r w:rsidR="007E2E57">
        <w:rPr>
          <w:lang w:val="en-GB"/>
        </w:rPr>
        <w:t>oil</w:t>
      </w:r>
      <w:r w:rsidR="0017389A">
        <w:rPr>
          <w:lang w:val="en-GB"/>
        </w:rPr>
        <w:t xml:space="preserve"> </w:t>
      </w:r>
      <w:r w:rsidR="007E2E57">
        <w:rPr>
          <w:lang w:val="en-GB"/>
        </w:rPr>
        <w:t>and</w:t>
      </w:r>
      <w:r w:rsidR="0017389A">
        <w:rPr>
          <w:lang w:val="en-GB"/>
        </w:rPr>
        <w:t xml:space="preserve"> </w:t>
      </w:r>
      <w:r w:rsidR="007E2E57">
        <w:rPr>
          <w:lang w:val="en-GB"/>
        </w:rPr>
        <w:t xml:space="preserve">gas </w:t>
      </w:r>
      <w:r w:rsidRPr="002975B0">
        <w:rPr>
          <w:lang w:val="en-GB"/>
        </w:rPr>
        <w:t xml:space="preserve">companies fell, </w:t>
      </w:r>
      <w:r w:rsidR="007E2E57">
        <w:rPr>
          <w:lang w:val="en-GB"/>
        </w:rPr>
        <w:t>oil</w:t>
      </w:r>
      <w:r w:rsidR="0017389A">
        <w:rPr>
          <w:lang w:val="en-GB"/>
        </w:rPr>
        <w:t xml:space="preserve"> </w:t>
      </w:r>
      <w:r w:rsidR="007E2E57">
        <w:rPr>
          <w:lang w:val="en-GB"/>
        </w:rPr>
        <w:t>and</w:t>
      </w:r>
      <w:r w:rsidR="0017389A">
        <w:rPr>
          <w:lang w:val="en-GB"/>
        </w:rPr>
        <w:t xml:space="preserve"> </w:t>
      </w:r>
      <w:r w:rsidR="007E2E57">
        <w:rPr>
          <w:lang w:val="en-GB"/>
        </w:rPr>
        <w:t>gas</w:t>
      </w:r>
      <w:r w:rsidRPr="002975B0">
        <w:rPr>
          <w:lang w:val="en-GB"/>
        </w:rPr>
        <w:t xml:space="preserve"> royalty payments to the provincial government declined.</w:t>
      </w:r>
      <w:r w:rsidRPr="002975B0">
        <w:rPr>
          <w:rStyle w:val="FootnoteReference"/>
          <w:lang w:val="en-GB"/>
        </w:rPr>
        <w:footnoteReference w:id="7"/>
      </w:r>
      <w:r w:rsidRPr="002975B0">
        <w:rPr>
          <w:lang w:val="en-GB"/>
        </w:rPr>
        <w:t xml:space="preserve"> At 6 per cent, 2016 was the lowest year on record for resource revenue shares as a percentage of total revenue</w:t>
      </w:r>
      <w:r w:rsidR="007E2E57">
        <w:rPr>
          <w:lang w:val="en-GB"/>
        </w:rPr>
        <w:t>—</w:t>
      </w:r>
      <w:r w:rsidRPr="002975B0">
        <w:rPr>
          <w:lang w:val="en-GB"/>
        </w:rPr>
        <w:t>the average was closer to 26 per cent.</w:t>
      </w:r>
      <w:r w:rsidRPr="002975B0">
        <w:rPr>
          <w:rStyle w:val="FootnoteReference"/>
          <w:lang w:val="en-GB"/>
        </w:rPr>
        <w:footnoteReference w:id="8"/>
      </w:r>
      <w:r w:rsidRPr="002975B0">
        <w:rPr>
          <w:lang w:val="en-GB"/>
        </w:rPr>
        <w:t xml:space="preserve"> The lack of both private and government investment in Alberta meant that new infrastructure projects were either cancelled or significantly delayed. The value of building permits decreased from CA$18.2 billion</w:t>
      </w:r>
      <w:r w:rsidRPr="002975B0">
        <w:rPr>
          <w:rStyle w:val="FootnoteReference"/>
          <w:lang w:val="en-GB"/>
        </w:rPr>
        <w:footnoteReference w:id="9"/>
      </w:r>
      <w:r w:rsidRPr="002975B0">
        <w:rPr>
          <w:lang w:val="en-GB"/>
        </w:rPr>
        <w:t xml:space="preserve"> in 2014 to $14.2 billion in 2016,</w:t>
      </w:r>
      <w:r w:rsidRPr="002975B0">
        <w:rPr>
          <w:rStyle w:val="FootnoteReference"/>
          <w:lang w:val="en-GB"/>
        </w:rPr>
        <w:footnoteReference w:id="10"/>
      </w:r>
      <w:r w:rsidRPr="002975B0">
        <w:rPr>
          <w:lang w:val="en-GB"/>
        </w:rPr>
        <w:t xml:space="preserve"> and the real gross domestic product, expenditure based, dropped from $326 billion (in 2007 dollars) to $302 billion in 2016.</w:t>
      </w:r>
      <w:r w:rsidRPr="002975B0">
        <w:rPr>
          <w:rStyle w:val="FootnoteReference"/>
          <w:lang w:val="en-GB"/>
        </w:rPr>
        <w:footnoteReference w:id="11"/>
      </w:r>
      <w:r w:rsidRPr="002975B0">
        <w:rPr>
          <w:lang w:val="en-GB"/>
        </w:rPr>
        <w:t xml:space="preserve"> Despite forecasts predicting economic improvement in 2017, there was an overall sense in Alberta that even with an increase in commodity prices, </w:t>
      </w:r>
      <w:r w:rsidR="002A6D3A">
        <w:rPr>
          <w:lang w:val="en-GB"/>
        </w:rPr>
        <w:t xml:space="preserve">the price of </w:t>
      </w:r>
      <w:r w:rsidRPr="002975B0">
        <w:rPr>
          <w:lang w:val="en-GB"/>
        </w:rPr>
        <w:t>oil and subsequent investments in the sector would not go back to where they had been.</w:t>
      </w:r>
      <w:r w:rsidRPr="002975B0">
        <w:rPr>
          <w:rStyle w:val="FootnoteReference"/>
          <w:lang w:val="en-GB"/>
        </w:rPr>
        <w:footnoteReference w:id="12"/>
      </w:r>
      <w:r w:rsidR="00252EE4">
        <w:rPr>
          <w:lang w:val="en-GB"/>
        </w:rPr>
        <w:t xml:space="preserve"> </w:t>
      </w:r>
    </w:p>
    <w:p w14:paraId="496A5FCE" w14:textId="77777777" w:rsidR="00112AEB" w:rsidRPr="002975B0" w:rsidRDefault="00112AEB" w:rsidP="00112AEB">
      <w:pPr>
        <w:spacing w:before="2" w:after="2"/>
        <w:rPr>
          <w:sz w:val="22"/>
          <w:lang w:val="en-GB"/>
        </w:rPr>
      </w:pPr>
    </w:p>
    <w:p w14:paraId="10EA4605" w14:textId="77777777" w:rsidR="00112AEB" w:rsidRPr="002975B0" w:rsidRDefault="00112AEB" w:rsidP="00112AEB">
      <w:pPr>
        <w:spacing w:before="2" w:after="2"/>
        <w:rPr>
          <w:rFonts w:ascii="Arial" w:hAnsi="Arial" w:cs="Arial"/>
          <w:b/>
          <w:lang w:val="en-GB"/>
        </w:rPr>
      </w:pPr>
    </w:p>
    <w:p w14:paraId="068CDBAD" w14:textId="223370AE" w:rsidR="00112AEB" w:rsidRPr="002975B0" w:rsidRDefault="00112AEB" w:rsidP="00470FE3">
      <w:pPr>
        <w:pStyle w:val="Casehead1"/>
        <w:rPr>
          <w:lang w:val="en-GB"/>
        </w:rPr>
      </w:pPr>
      <w:r w:rsidRPr="002975B0">
        <w:rPr>
          <w:lang w:val="en-GB"/>
        </w:rPr>
        <w:t xml:space="preserve">THE ALBERTA </w:t>
      </w:r>
      <w:r w:rsidR="00E62BB2">
        <w:rPr>
          <w:lang w:val="en-GB"/>
        </w:rPr>
        <w:t>civil</w:t>
      </w:r>
      <w:r w:rsidR="00E33FA4">
        <w:rPr>
          <w:lang w:val="en-GB"/>
        </w:rPr>
        <w:t xml:space="preserve"> </w:t>
      </w:r>
      <w:r w:rsidR="00E62BB2">
        <w:rPr>
          <w:lang w:val="en-GB"/>
        </w:rPr>
        <w:t>earthworks</w:t>
      </w:r>
      <w:r w:rsidRPr="002975B0">
        <w:rPr>
          <w:lang w:val="en-GB"/>
        </w:rPr>
        <w:t xml:space="preserve"> INDUSTRY</w:t>
      </w:r>
    </w:p>
    <w:p w14:paraId="64D4359E" w14:textId="77777777" w:rsidR="00112AEB" w:rsidRPr="002975B0" w:rsidRDefault="00112AEB" w:rsidP="00112AEB">
      <w:pPr>
        <w:spacing w:before="2" w:after="2"/>
        <w:rPr>
          <w:b/>
          <w:lang w:val="en-GB"/>
        </w:rPr>
      </w:pPr>
    </w:p>
    <w:p w14:paraId="3C19C9F6" w14:textId="2A7683A7" w:rsidR="00112AEB" w:rsidRPr="002975B0" w:rsidRDefault="00112AEB" w:rsidP="00594E78">
      <w:pPr>
        <w:pStyle w:val="BodyTextMain"/>
        <w:rPr>
          <w:lang w:val="en-GB"/>
        </w:rPr>
      </w:pPr>
      <w:r w:rsidRPr="002975B0">
        <w:rPr>
          <w:lang w:val="en-GB"/>
        </w:rPr>
        <w:t xml:space="preserve">Keystone was a part of the Alberta </w:t>
      </w:r>
      <w:r w:rsidR="00087D23">
        <w:rPr>
          <w:lang w:val="en-GB"/>
        </w:rPr>
        <w:t>civil</w:t>
      </w:r>
      <w:r w:rsidR="00E33FA4">
        <w:rPr>
          <w:lang w:val="en-GB"/>
        </w:rPr>
        <w:t xml:space="preserve"> </w:t>
      </w:r>
      <w:r w:rsidR="00087D23">
        <w:rPr>
          <w:lang w:val="en-GB"/>
        </w:rPr>
        <w:t>earthworks</w:t>
      </w:r>
      <w:r w:rsidRPr="002975B0">
        <w:rPr>
          <w:lang w:val="en-GB"/>
        </w:rPr>
        <w:t xml:space="preserve"> industry</w:t>
      </w:r>
      <w:r w:rsidR="00B84F91">
        <w:rPr>
          <w:lang w:val="en-GB"/>
        </w:rPr>
        <w:t>,</w:t>
      </w:r>
      <w:r w:rsidRPr="002975B0">
        <w:rPr>
          <w:lang w:val="en-GB"/>
        </w:rPr>
        <w:t xml:space="preserve"> which consisted of foundation </w:t>
      </w:r>
      <w:r w:rsidR="00A56BFD">
        <w:rPr>
          <w:lang w:val="en-GB"/>
        </w:rPr>
        <w:t xml:space="preserve">and bedrock </w:t>
      </w:r>
      <w:r w:rsidRPr="002975B0">
        <w:rPr>
          <w:lang w:val="en-GB"/>
        </w:rPr>
        <w:t xml:space="preserve">excavating, </w:t>
      </w:r>
      <w:r w:rsidR="00A56BFD">
        <w:rPr>
          <w:lang w:val="en-GB"/>
        </w:rPr>
        <w:t>backfill of</w:t>
      </w:r>
      <w:r w:rsidR="00DB5FE0" w:rsidRPr="002975B0">
        <w:rPr>
          <w:lang w:val="en-GB"/>
        </w:rPr>
        <w:t xml:space="preserve"> </w:t>
      </w:r>
      <w:r w:rsidRPr="002975B0">
        <w:rPr>
          <w:lang w:val="en-GB"/>
        </w:rPr>
        <w:t>foundation walls,</w:t>
      </w:r>
      <w:r w:rsidR="00DB5FE0">
        <w:rPr>
          <w:lang w:val="en-GB"/>
        </w:rPr>
        <w:t xml:space="preserve"> </w:t>
      </w:r>
      <w:r w:rsidRPr="002975B0">
        <w:rPr>
          <w:lang w:val="en-GB"/>
        </w:rPr>
        <w:t>supply and install</w:t>
      </w:r>
      <w:r w:rsidR="00A56BFD">
        <w:rPr>
          <w:lang w:val="en-GB"/>
        </w:rPr>
        <w:t>ation</w:t>
      </w:r>
      <w:r w:rsidRPr="002975B0">
        <w:rPr>
          <w:lang w:val="en-GB"/>
        </w:rPr>
        <w:t xml:space="preserve"> of granular material for slab</w:t>
      </w:r>
      <w:r w:rsidR="00A56BFD">
        <w:rPr>
          <w:lang w:val="en-GB"/>
        </w:rPr>
        <w:t>-</w:t>
      </w:r>
      <w:r w:rsidRPr="002975B0">
        <w:rPr>
          <w:lang w:val="en-GB"/>
        </w:rPr>
        <w:t>on</w:t>
      </w:r>
      <w:r w:rsidR="00A56BFD">
        <w:rPr>
          <w:lang w:val="en-GB"/>
        </w:rPr>
        <w:t>-</w:t>
      </w:r>
      <w:r w:rsidRPr="002975B0">
        <w:rPr>
          <w:lang w:val="en-GB"/>
        </w:rPr>
        <w:t>grade</w:t>
      </w:r>
      <w:r w:rsidR="00533E65">
        <w:rPr>
          <w:lang w:val="en-GB"/>
        </w:rPr>
        <w:t xml:space="preserve"> foundations</w:t>
      </w:r>
      <w:r w:rsidRPr="002975B0">
        <w:rPr>
          <w:lang w:val="en-GB"/>
        </w:rPr>
        <w:t xml:space="preserve">, installation of </w:t>
      </w:r>
      <w:r w:rsidR="00A56BFD">
        <w:rPr>
          <w:lang w:val="en-GB"/>
        </w:rPr>
        <w:t>weeping-tile</w:t>
      </w:r>
      <w:r w:rsidRPr="002975B0">
        <w:rPr>
          <w:lang w:val="en-GB"/>
        </w:rPr>
        <w:t xml:space="preserve"> drainage systems, excavation and backfill for mechanical and electrical trenching</w:t>
      </w:r>
      <w:r w:rsidR="00A56BFD">
        <w:rPr>
          <w:lang w:val="en-GB"/>
        </w:rPr>
        <w:t>,</w:t>
      </w:r>
      <w:r w:rsidRPr="002975B0">
        <w:rPr>
          <w:lang w:val="en-GB"/>
        </w:rPr>
        <w:t xml:space="preserve"> and site grading. Keystone’s expertise was in residential, commercial, industrial, infrastructure, and environmental earthworks. </w:t>
      </w:r>
    </w:p>
    <w:p w14:paraId="0DBE5142" w14:textId="04D9401F" w:rsidR="00112AEB" w:rsidRPr="002975B0" w:rsidRDefault="00112AEB" w:rsidP="00594E78">
      <w:pPr>
        <w:pStyle w:val="BodyTextMain"/>
        <w:rPr>
          <w:lang w:val="en-GB"/>
        </w:rPr>
      </w:pPr>
      <w:r w:rsidRPr="00C55AB4">
        <w:rPr>
          <w:spacing w:val="-3"/>
          <w:kern w:val="22"/>
          <w:lang w:val="en-GB"/>
        </w:rPr>
        <w:lastRenderedPageBreak/>
        <w:t xml:space="preserve">The civil </w:t>
      </w:r>
      <w:r w:rsidR="009A170A" w:rsidRPr="00C55AB4">
        <w:rPr>
          <w:spacing w:val="-3"/>
          <w:kern w:val="22"/>
          <w:lang w:val="en-GB"/>
        </w:rPr>
        <w:t>earthworks</w:t>
      </w:r>
      <w:r w:rsidRPr="00C55AB4">
        <w:rPr>
          <w:spacing w:val="-3"/>
          <w:kern w:val="22"/>
          <w:lang w:val="en-GB"/>
        </w:rPr>
        <w:t xml:space="preserve"> industry was competitive due to a low barrier to entry</w:t>
      </w:r>
      <w:r w:rsidR="009A170A" w:rsidRPr="00C55AB4">
        <w:rPr>
          <w:spacing w:val="-3"/>
          <w:kern w:val="22"/>
          <w:lang w:val="en-GB"/>
        </w:rPr>
        <w:t>;</w:t>
      </w:r>
      <w:r w:rsidRPr="00C55AB4">
        <w:rPr>
          <w:spacing w:val="-3"/>
          <w:kern w:val="22"/>
          <w:lang w:val="en-GB"/>
        </w:rPr>
        <w:t xml:space="preserve"> however, the risk involved and the liability of the work w</w:t>
      </w:r>
      <w:r w:rsidR="009A170A" w:rsidRPr="00C55AB4">
        <w:rPr>
          <w:spacing w:val="-3"/>
          <w:kern w:val="22"/>
          <w:lang w:val="en-GB"/>
        </w:rPr>
        <w:t>ere</w:t>
      </w:r>
      <w:r w:rsidRPr="00C55AB4">
        <w:rPr>
          <w:spacing w:val="-3"/>
          <w:kern w:val="22"/>
          <w:lang w:val="en-GB"/>
        </w:rPr>
        <w:t xml:space="preserve"> deterrent</w:t>
      </w:r>
      <w:r w:rsidR="009A170A" w:rsidRPr="00C55AB4">
        <w:rPr>
          <w:spacing w:val="-3"/>
          <w:kern w:val="22"/>
          <w:lang w:val="en-GB"/>
        </w:rPr>
        <w:t>s</w:t>
      </w:r>
      <w:r w:rsidRPr="00C55AB4">
        <w:rPr>
          <w:spacing w:val="-3"/>
          <w:kern w:val="22"/>
          <w:lang w:val="en-GB"/>
        </w:rPr>
        <w:t xml:space="preserve"> for some. Most </w:t>
      </w:r>
      <w:r w:rsidR="00EF14DB" w:rsidRPr="00C55AB4">
        <w:rPr>
          <w:spacing w:val="-3"/>
          <w:kern w:val="22"/>
          <w:lang w:val="en-GB"/>
        </w:rPr>
        <w:t>civil</w:t>
      </w:r>
      <w:r w:rsidR="00E33FA4">
        <w:rPr>
          <w:spacing w:val="-3"/>
          <w:kern w:val="22"/>
          <w:lang w:val="en-GB"/>
        </w:rPr>
        <w:t xml:space="preserve"> </w:t>
      </w:r>
      <w:r w:rsidR="00EF14DB" w:rsidRPr="00C55AB4">
        <w:rPr>
          <w:spacing w:val="-3"/>
          <w:kern w:val="22"/>
          <w:lang w:val="en-GB"/>
        </w:rPr>
        <w:t>earthworks</w:t>
      </w:r>
      <w:r w:rsidRPr="00C55AB4">
        <w:rPr>
          <w:spacing w:val="-3"/>
          <w:kern w:val="22"/>
          <w:lang w:val="en-GB"/>
        </w:rPr>
        <w:t xml:space="preserve"> companies in Alberta were either small (one to five employees) or large (</w:t>
      </w:r>
      <w:r w:rsidR="009A170A" w:rsidRPr="00C55AB4">
        <w:rPr>
          <w:spacing w:val="-3"/>
          <w:kern w:val="22"/>
          <w:lang w:val="en-GB"/>
        </w:rPr>
        <w:t xml:space="preserve">over </w:t>
      </w:r>
      <w:r w:rsidRPr="00C55AB4">
        <w:rPr>
          <w:spacing w:val="-3"/>
          <w:kern w:val="22"/>
          <w:lang w:val="en-GB"/>
        </w:rPr>
        <w:t xml:space="preserve">80 employees); </w:t>
      </w:r>
      <w:r w:rsidR="009A170A" w:rsidRPr="00C55AB4">
        <w:rPr>
          <w:spacing w:val="-3"/>
          <w:kern w:val="22"/>
          <w:lang w:val="en-GB"/>
        </w:rPr>
        <w:t>medium-sized</w:t>
      </w:r>
      <w:r w:rsidRPr="00C55AB4">
        <w:rPr>
          <w:spacing w:val="-3"/>
          <w:kern w:val="22"/>
          <w:lang w:val="en-GB"/>
        </w:rPr>
        <w:t xml:space="preserve"> companies were rare. The number of equipment </w:t>
      </w:r>
      <w:r w:rsidR="009A170A" w:rsidRPr="00C55AB4">
        <w:rPr>
          <w:spacing w:val="-3"/>
          <w:kern w:val="22"/>
          <w:lang w:val="en-GB"/>
        </w:rPr>
        <w:t xml:space="preserve">pieces </w:t>
      </w:r>
      <w:r w:rsidRPr="00C55AB4">
        <w:rPr>
          <w:spacing w:val="-3"/>
          <w:kern w:val="22"/>
          <w:lang w:val="en-GB"/>
        </w:rPr>
        <w:t xml:space="preserve">per company varied from five to </w:t>
      </w:r>
      <w:r w:rsidR="009A170A" w:rsidRPr="00C55AB4">
        <w:rPr>
          <w:spacing w:val="-3"/>
          <w:kern w:val="22"/>
          <w:lang w:val="en-GB"/>
        </w:rPr>
        <w:t xml:space="preserve">over </w:t>
      </w:r>
      <w:r w:rsidR="00EF14DB" w:rsidRPr="00C55AB4">
        <w:rPr>
          <w:spacing w:val="-3"/>
          <w:kern w:val="22"/>
          <w:lang w:val="en-GB"/>
        </w:rPr>
        <w:t>100</w:t>
      </w:r>
      <w:r w:rsidRPr="00C55AB4">
        <w:rPr>
          <w:spacing w:val="-3"/>
          <w:kern w:val="22"/>
          <w:lang w:val="en-GB"/>
        </w:rPr>
        <w:t xml:space="preserve">. The scope of the excavation work dictated both the quantity of the equipment and the size of the workforce needed. It was </w:t>
      </w:r>
      <w:proofErr w:type="spellStart"/>
      <w:r w:rsidRPr="00C55AB4">
        <w:rPr>
          <w:spacing w:val="-3"/>
          <w:kern w:val="22"/>
          <w:lang w:val="en-GB"/>
        </w:rPr>
        <w:t>Lalli’s</w:t>
      </w:r>
      <w:proofErr w:type="spellEnd"/>
      <w:r w:rsidRPr="00C55AB4">
        <w:rPr>
          <w:spacing w:val="-3"/>
          <w:kern w:val="22"/>
          <w:lang w:val="en-GB"/>
        </w:rPr>
        <w:t xml:space="preserve"> estimate that approximately 96 per cent of the </w:t>
      </w:r>
      <w:r w:rsidR="00EF14DB" w:rsidRPr="00C55AB4">
        <w:rPr>
          <w:spacing w:val="-3"/>
          <w:kern w:val="22"/>
          <w:lang w:val="en-GB"/>
        </w:rPr>
        <w:t>civil</w:t>
      </w:r>
      <w:r w:rsidR="00E33FA4">
        <w:rPr>
          <w:spacing w:val="-3"/>
          <w:kern w:val="22"/>
          <w:lang w:val="en-GB"/>
        </w:rPr>
        <w:t xml:space="preserve"> </w:t>
      </w:r>
      <w:r w:rsidR="00EF14DB" w:rsidRPr="00C55AB4">
        <w:rPr>
          <w:spacing w:val="-3"/>
          <w:kern w:val="22"/>
          <w:lang w:val="en-GB"/>
        </w:rPr>
        <w:t>earthworks</w:t>
      </w:r>
      <w:r w:rsidRPr="00C55AB4">
        <w:rPr>
          <w:spacing w:val="-3"/>
          <w:kern w:val="22"/>
          <w:lang w:val="en-GB"/>
        </w:rPr>
        <w:t xml:space="preserve"> companies in Alberta were privately</w:t>
      </w:r>
      <w:r w:rsidR="00E33FA4">
        <w:rPr>
          <w:spacing w:val="-3"/>
          <w:kern w:val="22"/>
          <w:lang w:val="en-GB"/>
        </w:rPr>
        <w:t>-</w:t>
      </w:r>
      <w:r w:rsidRPr="00C55AB4">
        <w:rPr>
          <w:spacing w:val="-3"/>
          <w:kern w:val="22"/>
          <w:lang w:val="en-GB"/>
        </w:rPr>
        <w:t>held</w:t>
      </w:r>
      <w:r w:rsidR="00EF14DB" w:rsidRPr="00C55AB4">
        <w:rPr>
          <w:spacing w:val="-3"/>
          <w:kern w:val="22"/>
          <w:lang w:val="en-GB"/>
        </w:rPr>
        <w:t>,</w:t>
      </w:r>
      <w:r w:rsidRPr="00C55AB4">
        <w:rPr>
          <w:spacing w:val="-3"/>
          <w:kern w:val="22"/>
          <w:lang w:val="en-GB"/>
        </w:rPr>
        <w:t xml:space="preserve"> family-owned businesses</w:t>
      </w:r>
      <w:r w:rsidRPr="002975B0">
        <w:rPr>
          <w:lang w:val="en-GB"/>
        </w:rPr>
        <w:t>.</w:t>
      </w:r>
    </w:p>
    <w:p w14:paraId="59400174" w14:textId="77777777" w:rsidR="00112AEB" w:rsidRPr="00C55AB4" w:rsidRDefault="00112AEB" w:rsidP="00594E78">
      <w:pPr>
        <w:pStyle w:val="BodyTextMain"/>
        <w:rPr>
          <w:sz w:val="20"/>
          <w:lang w:val="en-GB"/>
        </w:rPr>
      </w:pPr>
    </w:p>
    <w:p w14:paraId="0784ACFD" w14:textId="65A80561" w:rsidR="00112AEB" w:rsidRPr="002975B0" w:rsidRDefault="00112AEB" w:rsidP="00594E78">
      <w:pPr>
        <w:pStyle w:val="BodyTextMain"/>
        <w:rPr>
          <w:lang w:val="en-GB"/>
        </w:rPr>
      </w:pPr>
      <w:r w:rsidRPr="002975B0">
        <w:rPr>
          <w:lang w:val="en-GB"/>
        </w:rPr>
        <w:t>Customers in the industry were residential home builders, general contractors, environmental companies</w:t>
      </w:r>
      <w:r w:rsidR="00857F51">
        <w:rPr>
          <w:lang w:val="en-GB"/>
        </w:rPr>
        <w:t>,</w:t>
      </w:r>
      <w:r w:rsidRPr="002975B0">
        <w:rPr>
          <w:lang w:val="en-GB"/>
        </w:rPr>
        <w:t xml:space="preserve"> and governments at all levels. Work was usually secured through tender</w:t>
      </w:r>
      <w:r w:rsidR="00857F51">
        <w:rPr>
          <w:lang w:val="en-GB"/>
        </w:rPr>
        <w:t>—</w:t>
      </w:r>
      <w:r w:rsidRPr="002975B0">
        <w:rPr>
          <w:lang w:val="en-GB"/>
        </w:rPr>
        <w:t xml:space="preserve">a process that involved an individual or companies bidding on specific work to win a contract. Tendering was typically done four to six months before the job </w:t>
      </w:r>
      <w:r w:rsidR="00321957">
        <w:rPr>
          <w:lang w:val="en-GB"/>
        </w:rPr>
        <w:t>started</w:t>
      </w:r>
      <w:r w:rsidRPr="002975B0">
        <w:rPr>
          <w:lang w:val="en-GB"/>
        </w:rPr>
        <w:t xml:space="preserve">. This lead time provided the respective </w:t>
      </w:r>
      <w:proofErr w:type="gramStart"/>
      <w:r w:rsidRPr="002975B0">
        <w:rPr>
          <w:lang w:val="en-GB"/>
        </w:rPr>
        <w:t>teams</w:t>
      </w:r>
      <w:proofErr w:type="gramEnd"/>
      <w:r w:rsidRPr="002975B0">
        <w:rPr>
          <w:lang w:val="en-GB"/>
        </w:rPr>
        <w:t xml:space="preserve"> sufficient time to coordinate with the general contractor, have permits in place, and </w:t>
      </w:r>
      <w:r w:rsidR="00F4563F">
        <w:rPr>
          <w:lang w:val="en-GB"/>
        </w:rPr>
        <w:t xml:space="preserve">secure </w:t>
      </w:r>
      <w:r w:rsidRPr="002975B0">
        <w:rPr>
          <w:lang w:val="en-GB"/>
        </w:rPr>
        <w:t xml:space="preserve">materials and resources. </w:t>
      </w:r>
    </w:p>
    <w:p w14:paraId="07ED2454" w14:textId="77777777" w:rsidR="00112AEB" w:rsidRPr="00C55AB4" w:rsidRDefault="00112AEB" w:rsidP="00594E78">
      <w:pPr>
        <w:pStyle w:val="BodyTextMain"/>
        <w:rPr>
          <w:sz w:val="20"/>
          <w:lang w:val="en-GB"/>
        </w:rPr>
      </w:pPr>
    </w:p>
    <w:p w14:paraId="2F9769C2" w14:textId="1D7D8F39" w:rsidR="00112AEB" w:rsidRPr="002975B0" w:rsidRDefault="00112AEB" w:rsidP="00594E78">
      <w:pPr>
        <w:pStyle w:val="BodyTextMain"/>
        <w:rPr>
          <w:lang w:val="en-GB"/>
        </w:rPr>
      </w:pPr>
      <w:r w:rsidRPr="002975B0">
        <w:rPr>
          <w:lang w:val="en-GB"/>
        </w:rPr>
        <w:t xml:space="preserve">The most common customer was the general commercial contractor, a company that tendered (or subcontracted) work for the owner of a project. In awarding work to suppliers and trades, price was of </w:t>
      </w:r>
      <w:r w:rsidR="00E33FA4">
        <w:rPr>
          <w:lang w:val="en-GB"/>
        </w:rPr>
        <w:t xml:space="preserve">the </w:t>
      </w:r>
      <w:r w:rsidRPr="002975B0">
        <w:rPr>
          <w:lang w:val="en-GB"/>
        </w:rPr>
        <w:t xml:space="preserve">utmost importance. Neither the quality of, nor the experience with the type of civil earthworks that the project required was necessarily a determining factor in the selection process. </w:t>
      </w:r>
    </w:p>
    <w:p w14:paraId="5EC0F6A4" w14:textId="77777777" w:rsidR="00112AEB" w:rsidRPr="00C55AB4" w:rsidRDefault="00112AEB" w:rsidP="00594E78">
      <w:pPr>
        <w:pStyle w:val="BodyTextMain"/>
        <w:rPr>
          <w:sz w:val="20"/>
          <w:lang w:val="en-GB"/>
        </w:rPr>
      </w:pPr>
    </w:p>
    <w:p w14:paraId="2BC2D024" w14:textId="20D820D2" w:rsidR="00112AEB" w:rsidRPr="002975B0" w:rsidRDefault="00112AEB" w:rsidP="00594E78">
      <w:pPr>
        <w:pStyle w:val="BodyTextMain"/>
        <w:rPr>
          <w:lang w:val="en-GB"/>
        </w:rPr>
      </w:pPr>
      <w:r w:rsidRPr="002975B0">
        <w:rPr>
          <w:lang w:val="en-GB"/>
        </w:rPr>
        <w:t>Residential home builders and environmental customers also followed the tendering process</w:t>
      </w:r>
      <w:r w:rsidR="00321957">
        <w:rPr>
          <w:lang w:val="en-GB"/>
        </w:rPr>
        <w:t>,</w:t>
      </w:r>
      <w:r w:rsidRPr="002975B0">
        <w:rPr>
          <w:lang w:val="en-GB"/>
        </w:rPr>
        <w:t xml:space="preserve"> but led the selection process themselves. For </w:t>
      </w:r>
      <w:r w:rsidR="00F4563F">
        <w:rPr>
          <w:lang w:val="en-GB"/>
        </w:rPr>
        <w:t>home builders</w:t>
      </w:r>
      <w:r w:rsidRPr="002975B0">
        <w:rPr>
          <w:lang w:val="en-GB"/>
        </w:rPr>
        <w:t>, the price of civil earthworks was set based on the profit margin that the builder had determined for the sale of the home to a homebuyer. This profit margin was non-negotiable, which was a commonly understood industry fact. For environmental customers</w:t>
      </w:r>
      <w:r w:rsidR="00744C77">
        <w:rPr>
          <w:lang w:val="en-GB"/>
        </w:rPr>
        <w:t>,</w:t>
      </w:r>
      <w:r w:rsidRPr="002975B0">
        <w:rPr>
          <w:lang w:val="en-GB"/>
        </w:rPr>
        <w:t xml:space="preserve"> the scope of work had to meet government regulations and standards; the quality of work was the first lens in this </w:t>
      </w:r>
      <w:r w:rsidR="00744C77">
        <w:rPr>
          <w:lang w:val="en-GB"/>
        </w:rPr>
        <w:t>tender-selection</w:t>
      </w:r>
      <w:r w:rsidRPr="002975B0">
        <w:rPr>
          <w:lang w:val="en-GB"/>
        </w:rPr>
        <w:t xml:space="preserve"> process. </w:t>
      </w:r>
    </w:p>
    <w:p w14:paraId="6BB7B165" w14:textId="77777777" w:rsidR="00112AEB" w:rsidRPr="00C55AB4" w:rsidRDefault="00112AEB" w:rsidP="00594E78">
      <w:pPr>
        <w:pStyle w:val="BodyTextMain"/>
        <w:rPr>
          <w:sz w:val="20"/>
          <w:lang w:val="en-GB"/>
        </w:rPr>
      </w:pPr>
    </w:p>
    <w:p w14:paraId="011D5200" w14:textId="74EC4CC1" w:rsidR="00112AEB" w:rsidRPr="002975B0" w:rsidRDefault="00112AEB" w:rsidP="00594E78">
      <w:pPr>
        <w:pStyle w:val="BodyTextMain"/>
        <w:rPr>
          <w:lang w:val="en-GB"/>
        </w:rPr>
      </w:pPr>
      <w:r w:rsidRPr="002975B0">
        <w:rPr>
          <w:lang w:val="en-GB"/>
        </w:rPr>
        <w:t xml:space="preserve">For government work at any level, there was an </w:t>
      </w:r>
      <w:r w:rsidR="00744C77">
        <w:rPr>
          <w:lang w:val="en-GB"/>
        </w:rPr>
        <w:t>open</w:t>
      </w:r>
      <w:r w:rsidR="00E33FA4">
        <w:rPr>
          <w:lang w:val="en-GB"/>
        </w:rPr>
        <w:t xml:space="preserve"> </w:t>
      </w:r>
      <w:r w:rsidR="00744C77">
        <w:rPr>
          <w:lang w:val="en-GB"/>
        </w:rPr>
        <w:t>tendering</w:t>
      </w:r>
      <w:r w:rsidRPr="002975B0">
        <w:rPr>
          <w:lang w:val="en-GB"/>
        </w:rPr>
        <w:t xml:space="preserve"> process</w:t>
      </w:r>
      <w:r w:rsidR="00CF5760">
        <w:rPr>
          <w:lang w:val="en-GB"/>
        </w:rPr>
        <w:t>,</w:t>
      </w:r>
      <w:r w:rsidRPr="002975B0">
        <w:rPr>
          <w:lang w:val="en-GB"/>
        </w:rPr>
        <w:t xml:space="preserve"> which required that each price</w:t>
      </w:r>
      <w:r w:rsidR="00CF5760">
        <w:rPr>
          <w:lang w:val="en-GB"/>
        </w:rPr>
        <w:t xml:space="preserve"> </w:t>
      </w:r>
      <w:r w:rsidRPr="002975B0">
        <w:rPr>
          <w:lang w:val="en-GB"/>
        </w:rPr>
        <w:t>offered be made public after the contract was awarded. Governments also had standard procurement practices that had to be followed</w:t>
      </w:r>
      <w:r w:rsidR="00CF5760">
        <w:rPr>
          <w:lang w:val="en-GB"/>
        </w:rPr>
        <w:t>,</w:t>
      </w:r>
      <w:r w:rsidRPr="002975B0">
        <w:rPr>
          <w:lang w:val="en-GB"/>
        </w:rPr>
        <w:t xml:space="preserve"> which could be later audited. The </w:t>
      </w:r>
      <w:r w:rsidR="00BE546A">
        <w:rPr>
          <w:lang w:val="en-GB"/>
        </w:rPr>
        <w:t>government</w:t>
      </w:r>
      <w:r w:rsidR="00BE546A" w:rsidRPr="002975B0">
        <w:rPr>
          <w:lang w:val="en-GB"/>
        </w:rPr>
        <w:t xml:space="preserve"> </w:t>
      </w:r>
      <w:r w:rsidRPr="002975B0">
        <w:rPr>
          <w:lang w:val="en-GB"/>
        </w:rPr>
        <w:t xml:space="preserve">of Alberta had a standard </w:t>
      </w:r>
      <w:r w:rsidR="00A225AA">
        <w:rPr>
          <w:lang w:val="en-GB"/>
        </w:rPr>
        <w:t>request for proposal</w:t>
      </w:r>
      <w:r w:rsidRPr="002975B0">
        <w:rPr>
          <w:lang w:val="en-GB"/>
        </w:rPr>
        <w:t xml:space="preserve"> and evaluation criteria that w</w:t>
      </w:r>
      <w:r w:rsidR="00A225AA">
        <w:rPr>
          <w:lang w:val="en-GB"/>
        </w:rPr>
        <w:t>ere</w:t>
      </w:r>
      <w:r w:rsidRPr="002975B0">
        <w:rPr>
          <w:lang w:val="en-GB"/>
        </w:rPr>
        <w:t xml:space="preserve"> used.</w:t>
      </w:r>
      <w:r w:rsidRPr="002975B0">
        <w:rPr>
          <w:rStyle w:val="FootnoteReference"/>
          <w:lang w:val="en-GB"/>
        </w:rPr>
        <w:footnoteReference w:id="13"/>
      </w:r>
      <w:r w:rsidRPr="002975B0">
        <w:rPr>
          <w:lang w:val="en-GB"/>
        </w:rPr>
        <w:t xml:space="preserve"> However, in practice</w:t>
      </w:r>
      <w:r w:rsidR="00A225AA">
        <w:rPr>
          <w:lang w:val="en-GB"/>
        </w:rPr>
        <w:t>,</w:t>
      </w:r>
      <w:r w:rsidRPr="002975B0">
        <w:rPr>
          <w:lang w:val="en-GB"/>
        </w:rPr>
        <w:t xml:space="preserve"> the key criterion for winning government tenders was often having the lowest price. </w:t>
      </w:r>
    </w:p>
    <w:p w14:paraId="5CDF8976" w14:textId="77777777" w:rsidR="00112AEB" w:rsidRPr="00C55AB4" w:rsidRDefault="00112AEB" w:rsidP="00594E78">
      <w:pPr>
        <w:pStyle w:val="BodyTextMain"/>
        <w:rPr>
          <w:sz w:val="20"/>
          <w:lang w:val="en-GB"/>
        </w:rPr>
      </w:pPr>
    </w:p>
    <w:p w14:paraId="06A96E4E" w14:textId="28497A28" w:rsidR="00112AEB" w:rsidRPr="002975B0" w:rsidRDefault="00112AEB" w:rsidP="00594E78">
      <w:pPr>
        <w:pStyle w:val="BodyTextMain"/>
        <w:rPr>
          <w:lang w:val="en-GB"/>
        </w:rPr>
      </w:pPr>
      <w:r w:rsidRPr="002975B0">
        <w:rPr>
          <w:lang w:val="en-GB"/>
        </w:rPr>
        <w:t>The complexity of the tendering process and the layers of relationships were often a threat to the sustainable workflow of construction organizations and could effectively limit the ability of companies to scale and innovate. However, once a company secured a contract, the likelihood of winning another bid increased by 76 per cent</w:t>
      </w:r>
      <w:r w:rsidR="00A225AA">
        <w:rPr>
          <w:lang w:val="en-GB"/>
        </w:rPr>
        <w:t>,</w:t>
      </w:r>
      <w:r w:rsidRPr="002975B0">
        <w:rPr>
          <w:lang w:val="en-GB"/>
        </w:rPr>
        <w:t xml:space="preserve"> </w:t>
      </w:r>
      <w:r w:rsidR="00321957">
        <w:rPr>
          <w:lang w:val="en-GB"/>
        </w:rPr>
        <w:t>according to</w:t>
      </w:r>
      <w:r w:rsidRPr="002975B0">
        <w:rPr>
          <w:lang w:val="en-GB"/>
        </w:rPr>
        <w:t xml:space="preserve"> Keystone’s internal tracking. Often, general contractors preferred to work with the same </w:t>
      </w:r>
      <w:r w:rsidR="00321957">
        <w:rPr>
          <w:lang w:val="en-GB"/>
        </w:rPr>
        <w:t>civil</w:t>
      </w:r>
      <w:r w:rsidR="00E33FA4">
        <w:rPr>
          <w:lang w:val="en-GB"/>
        </w:rPr>
        <w:t xml:space="preserve"> </w:t>
      </w:r>
      <w:r w:rsidR="00321957">
        <w:rPr>
          <w:lang w:val="en-GB"/>
        </w:rPr>
        <w:t>earthworks</w:t>
      </w:r>
      <w:r w:rsidRPr="002975B0">
        <w:rPr>
          <w:lang w:val="en-GB"/>
        </w:rPr>
        <w:t xml:space="preserve"> trade supplier again and again once a relationship had been established. </w:t>
      </w:r>
    </w:p>
    <w:p w14:paraId="2CF95DA2" w14:textId="77777777" w:rsidR="00112AEB" w:rsidRPr="00C55AB4" w:rsidRDefault="00112AEB" w:rsidP="00594E78">
      <w:pPr>
        <w:pStyle w:val="BodyTextMain"/>
        <w:rPr>
          <w:sz w:val="20"/>
          <w:lang w:val="en-GB"/>
        </w:rPr>
      </w:pPr>
    </w:p>
    <w:p w14:paraId="7589EBA3" w14:textId="7EC2ABD2" w:rsidR="00112AEB" w:rsidRPr="002975B0" w:rsidRDefault="00112AEB" w:rsidP="00594E78">
      <w:pPr>
        <w:pStyle w:val="BodyTextMain"/>
        <w:rPr>
          <w:lang w:val="en-GB"/>
        </w:rPr>
      </w:pPr>
      <w:r w:rsidRPr="002975B0">
        <w:rPr>
          <w:lang w:val="en-GB"/>
        </w:rPr>
        <w:t>Success in the tendering process was one indicator of the market share within the civil earthworks industry. The others were the number of development and building permits received. However, these numbers could be misleading, as the developer and project owner could let permits expire if market conditions changed substantially.</w:t>
      </w:r>
      <w:r w:rsidR="00252EE4">
        <w:rPr>
          <w:lang w:val="en-GB"/>
        </w:rPr>
        <w:t xml:space="preserve"> </w:t>
      </w:r>
    </w:p>
    <w:p w14:paraId="4721B99C" w14:textId="77777777" w:rsidR="00112AEB" w:rsidRPr="002975B0" w:rsidRDefault="00112AEB" w:rsidP="00112AEB">
      <w:pPr>
        <w:spacing w:before="2" w:after="2"/>
        <w:rPr>
          <w:lang w:val="en-GB"/>
        </w:rPr>
      </w:pPr>
    </w:p>
    <w:p w14:paraId="17A7EF42" w14:textId="77777777" w:rsidR="00DB08F3" w:rsidRPr="002975B0" w:rsidRDefault="00DB08F3" w:rsidP="00112AEB">
      <w:pPr>
        <w:spacing w:before="2" w:after="2"/>
        <w:rPr>
          <w:lang w:val="en-GB"/>
        </w:rPr>
      </w:pPr>
    </w:p>
    <w:p w14:paraId="73DA7700" w14:textId="497D2593" w:rsidR="00112AEB" w:rsidRPr="002975B0" w:rsidRDefault="00112AEB" w:rsidP="00470FE3">
      <w:pPr>
        <w:pStyle w:val="Casehead1"/>
        <w:rPr>
          <w:lang w:val="en-GB"/>
        </w:rPr>
      </w:pPr>
      <w:r w:rsidRPr="002975B0">
        <w:rPr>
          <w:lang w:val="en-GB"/>
        </w:rPr>
        <w:t>KEYSTONE EXCAVATING L</w:t>
      </w:r>
      <w:r w:rsidR="009A7810">
        <w:rPr>
          <w:lang w:val="en-GB"/>
        </w:rPr>
        <w:t>imited</w:t>
      </w:r>
    </w:p>
    <w:p w14:paraId="1F143955" w14:textId="77777777" w:rsidR="00112AEB" w:rsidRPr="002975B0" w:rsidRDefault="00112AEB" w:rsidP="00112AEB">
      <w:pPr>
        <w:spacing w:before="2" w:after="2"/>
        <w:rPr>
          <w:lang w:val="en-GB"/>
        </w:rPr>
      </w:pPr>
    </w:p>
    <w:p w14:paraId="65E82EF2" w14:textId="06AECF7F" w:rsidR="00112AEB" w:rsidRPr="002975B0" w:rsidRDefault="00112AEB" w:rsidP="00594E78">
      <w:pPr>
        <w:pStyle w:val="BodyTextMain"/>
        <w:rPr>
          <w:lang w:val="en-GB"/>
        </w:rPr>
      </w:pPr>
      <w:r w:rsidRPr="00C55AB4">
        <w:rPr>
          <w:spacing w:val="-2"/>
          <w:kern w:val="22"/>
          <w:lang w:val="en-GB"/>
        </w:rPr>
        <w:t>Keystone was founded in Calgary, Alberta</w:t>
      </w:r>
      <w:r w:rsidR="00247492" w:rsidRPr="00C55AB4">
        <w:rPr>
          <w:spacing w:val="-2"/>
          <w:kern w:val="22"/>
          <w:lang w:val="en-GB"/>
        </w:rPr>
        <w:t>,</w:t>
      </w:r>
      <w:r w:rsidRPr="00C55AB4">
        <w:rPr>
          <w:spacing w:val="-2"/>
          <w:kern w:val="22"/>
          <w:lang w:val="en-GB"/>
        </w:rPr>
        <w:t xml:space="preserve"> in 1981. When </w:t>
      </w:r>
      <w:proofErr w:type="spellStart"/>
      <w:r w:rsidRPr="00C55AB4">
        <w:rPr>
          <w:spacing w:val="-2"/>
          <w:kern w:val="22"/>
          <w:lang w:val="en-GB"/>
        </w:rPr>
        <w:t>Lalli</w:t>
      </w:r>
      <w:proofErr w:type="spellEnd"/>
      <w:r w:rsidRPr="00C55AB4">
        <w:rPr>
          <w:spacing w:val="-2"/>
          <w:kern w:val="22"/>
          <w:lang w:val="en-GB"/>
        </w:rPr>
        <w:t xml:space="preserve"> was brought on as president and CEO in 2015, the company had an excavation equipment fleet of over 100 pieces and 89 employees divided between offices in Calgary and Edmonton. Keystone’s employee base and number of </w:t>
      </w:r>
      <w:r w:rsidR="00247492" w:rsidRPr="00C55AB4">
        <w:rPr>
          <w:spacing w:val="-2"/>
          <w:kern w:val="22"/>
          <w:lang w:val="en-GB"/>
        </w:rPr>
        <w:t xml:space="preserve">equipment </w:t>
      </w:r>
      <w:r w:rsidRPr="00C55AB4">
        <w:rPr>
          <w:spacing w:val="-2"/>
          <w:kern w:val="22"/>
          <w:lang w:val="en-GB"/>
        </w:rPr>
        <w:t xml:space="preserve">pieces exceeded its direct </w:t>
      </w:r>
      <w:r w:rsidRPr="00C55AB4">
        <w:rPr>
          <w:spacing w:val="-2"/>
          <w:kern w:val="22"/>
          <w:lang w:val="en-GB"/>
        </w:rPr>
        <w:lastRenderedPageBreak/>
        <w:t xml:space="preserve">competitors by 10 per cent. In the 35 years Keystone had been in existence, </w:t>
      </w:r>
      <w:r w:rsidR="00E33FA4">
        <w:rPr>
          <w:spacing w:val="-2"/>
          <w:kern w:val="22"/>
          <w:lang w:val="en-GB"/>
        </w:rPr>
        <w:t>it</w:t>
      </w:r>
      <w:r w:rsidRPr="00C55AB4">
        <w:rPr>
          <w:spacing w:val="-2"/>
          <w:kern w:val="22"/>
          <w:lang w:val="en-GB"/>
        </w:rPr>
        <w:t xml:space="preserve"> </w:t>
      </w:r>
      <w:r w:rsidR="00247492" w:rsidRPr="00C55AB4">
        <w:rPr>
          <w:spacing w:val="-2"/>
          <w:kern w:val="22"/>
          <w:lang w:val="en-GB"/>
        </w:rPr>
        <w:t xml:space="preserve">had </w:t>
      </w:r>
      <w:r w:rsidRPr="00C55AB4">
        <w:rPr>
          <w:spacing w:val="-2"/>
          <w:kern w:val="22"/>
          <w:lang w:val="en-GB"/>
        </w:rPr>
        <w:t>completed just under half a billion dollars of work</w:t>
      </w:r>
      <w:r w:rsidR="00247492" w:rsidRPr="00C55AB4">
        <w:rPr>
          <w:spacing w:val="-2"/>
          <w:kern w:val="22"/>
          <w:lang w:val="en-GB"/>
        </w:rPr>
        <w:t>—</w:t>
      </w:r>
      <w:r w:rsidRPr="00C55AB4">
        <w:rPr>
          <w:spacing w:val="-2"/>
          <w:kern w:val="22"/>
          <w:lang w:val="en-GB"/>
        </w:rPr>
        <w:t xml:space="preserve">90 per cent of it in the last 17 years. The size of </w:t>
      </w:r>
      <w:r w:rsidR="00E33FA4">
        <w:rPr>
          <w:spacing w:val="-2"/>
          <w:kern w:val="22"/>
          <w:lang w:val="en-GB"/>
        </w:rPr>
        <w:t>its</w:t>
      </w:r>
      <w:r w:rsidRPr="00C55AB4">
        <w:rPr>
          <w:spacing w:val="-2"/>
          <w:kern w:val="22"/>
          <w:lang w:val="en-GB"/>
        </w:rPr>
        <w:t xml:space="preserve"> fleet allowed Keystone to easily scale, and </w:t>
      </w:r>
      <w:r w:rsidR="00E33FA4">
        <w:rPr>
          <w:spacing w:val="-2"/>
          <w:kern w:val="22"/>
          <w:lang w:val="en-GB"/>
        </w:rPr>
        <w:t>it</w:t>
      </w:r>
      <w:r w:rsidRPr="00C55AB4">
        <w:rPr>
          <w:spacing w:val="-2"/>
          <w:kern w:val="22"/>
          <w:lang w:val="en-GB"/>
        </w:rPr>
        <w:t xml:space="preserve"> had the capacity to take on major projects. Furthermore, high employee retention rates and a sound safety record made Keystone a key candidate to take on complex infrastructure projects and highly sensitive environmental projects. Employees tended to stay with Keystone for seven or more years</w:t>
      </w:r>
      <w:r w:rsidR="00247492" w:rsidRPr="00C55AB4">
        <w:rPr>
          <w:spacing w:val="-2"/>
          <w:kern w:val="22"/>
          <w:lang w:val="en-GB"/>
        </w:rPr>
        <w:t>,</w:t>
      </w:r>
      <w:r w:rsidRPr="00C55AB4">
        <w:rPr>
          <w:spacing w:val="-2"/>
          <w:kern w:val="22"/>
          <w:lang w:val="en-GB"/>
        </w:rPr>
        <w:t xml:space="preserve"> and </w:t>
      </w:r>
      <w:r w:rsidR="00E33FA4">
        <w:rPr>
          <w:spacing w:val="-2"/>
          <w:kern w:val="22"/>
          <w:lang w:val="en-GB"/>
        </w:rPr>
        <w:t>its</w:t>
      </w:r>
      <w:r w:rsidRPr="00C55AB4">
        <w:rPr>
          <w:spacing w:val="-2"/>
          <w:kern w:val="22"/>
          <w:lang w:val="en-GB"/>
        </w:rPr>
        <w:t xml:space="preserve"> safety record was proven by high scores (95 per cent or greater)</w:t>
      </w:r>
      <w:r w:rsidR="00247492" w:rsidRPr="00C55AB4">
        <w:rPr>
          <w:spacing w:val="-2"/>
          <w:kern w:val="22"/>
          <w:lang w:val="en-GB"/>
        </w:rPr>
        <w:t>,</w:t>
      </w:r>
      <w:r w:rsidRPr="00C55AB4">
        <w:rPr>
          <w:spacing w:val="-2"/>
          <w:kern w:val="22"/>
          <w:lang w:val="en-GB"/>
        </w:rPr>
        <w:t xml:space="preserve"> as determined </w:t>
      </w:r>
      <w:r w:rsidR="00594E78" w:rsidRPr="00C55AB4">
        <w:rPr>
          <w:spacing w:val="-2"/>
          <w:kern w:val="22"/>
          <w:lang w:val="en-GB"/>
        </w:rPr>
        <w:t>by external auditors</w:t>
      </w:r>
      <w:r w:rsidR="00594E78" w:rsidRPr="002975B0">
        <w:rPr>
          <w:lang w:val="en-GB"/>
        </w:rPr>
        <w:t>.</w:t>
      </w:r>
    </w:p>
    <w:p w14:paraId="175DD52E" w14:textId="77777777" w:rsidR="00112AEB" w:rsidRPr="002975B0" w:rsidRDefault="00112AEB" w:rsidP="00594E78">
      <w:pPr>
        <w:pStyle w:val="BodyTextMain"/>
        <w:rPr>
          <w:lang w:val="en-GB"/>
        </w:rPr>
      </w:pPr>
    </w:p>
    <w:p w14:paraId="05C80255" w14:textId="4FAD80FC" w:rsidR="00112AEB" w:rsidRPr="002975B0" w:rsidRDefault="00112AEB" w:rsidP="00594E78">
      <w:pPr>
        <w:pStyle w:val="BodyTextMain"/>
        <w:rPr>
          <w:lang w:val="en-GB"/>
        </w:rPr>
      </w:pPr>
      <w:r w:rsidRPr="00C55AB4">
        <w:rPr>
          <w:spacing w:val="-2"/>
          <w:kern w:val="22"/>
          <w:lang w:val="en-GB"/>
        </w:rPr>
        <w:t>Keystone’s strategy was defined by two questions</w:t>
      </w:r>
      <w:r w:rsidR="00E33FA4">
        <w:rPr>
          <w:spacing w:val="-2"/>
          <w:kern w:val="22"/>
          <w:lang w:val="en-GB"/>
        </w:rPr>
        <w:t xml:space="preserve"> (see Exhibit 2)</w:t>
      </w:r>
      <w:r w:rsidRPr="00C55AB4">
        <w:rPr>
          <w:spacing w:val="-2"/>
          <w:kern w:val="22"/>
          <w:lang w:val="en-GB"/>
        </w:rPr>
        <w:t xml:space="preserve">: </w:t>
      </w:r>
      <w:r w:rsidR="006D7C83" w:rsidRPr="00C55AB4">
        <w:rPr>
          <w:spacing w:val="-2"/>
          <w:kern w:val="22"/>
          <w:lang w:val="en-GB"/>
        </w:rPr>
        <w:t>W</w:t>
      </w:r>
      <w:r w:rsidRPr="00C55AB4">
        <w:rPr>
          <w:spacing w:val="-2"/>
          <w:kern w:val="22"/>
          <w:lang w:val="en-GB"/>
        </w:rPr>
        <w:t>here do we play</w:t>
      </w:r>
      <w:r w:rsidR="003A34D8">
        <w:rPr>
          <w:spacing w:val="-2"/>
          <w:kern w:val="22"/>
          <w:lang w:val="en-GB"/>
        </w:rPr>
        <w:t>,</w:t>
      </w:r>
      <w:r w:rsidR="00247492" w:rsidRPr="00C55AB4">
        <w:rPr>
          <w:spacing w:val="-2"/>
          <w:kern w:val="22"/>
          <w:lang w:val="en-GB"/>
        </w:rPr>
        <w:t xml:space="preserve"> and </w:t>
      </w:r>
      <w:r w:rsidR="003A34D8">
        <w:rPr>
          <w:spacing w:val="-2"/>
          <w:kern w:val="22"/>
          <w:lang w:val="en-GB"/>
        </w:rPr>
        <w:t>h</w:t>
      </w:r>
      <w:r w:rsidRPr="00C55AB4">
        <w:rPr>
          <w:spacing w:val="-2"/>
          <w:kern w:val="22"/>
          <w:lang w:val="en-GB"/>
        </w:rPr>
        <w:t>ow do we win</w:t>
      </w:r>
      <w:r w:rsidR="00247492" w:rsidRPr="00C55AB4">
        <w:rPr>
          <w:spacing w:val="-2"/>
          <w:kern w:val="22"/>
          <w:lang w:val="en-GB"/>
        </w:rPr>
        <w:t>?</w:t>
      </w:r>
      <w:r w:rsidRPr="00C55AB4">
        <w:rPr>
          <w:spacing w:val="-2"/>
          <w:kern w:val="22"/>
          <w:lang w:val="en-GB"/>
        </w:rPr>
        <w:t xml:space="preserve"> Over the course of its existence, the company </w:t>
      </w:r>
      <w:r w:rsidR="00E33FA4">
        <w:rPr>
          <w:spacing w:val="-2"/>
          <w:kern w:val="22"/>
          <w:lang w:val="en-GB"/>
        </w:rPr>
        <w:t xml:space="preserve">had </w:t>
      </w:r>
      <w:r w:rsidRPr="00C55AB4">
        <w:rPr>
          <w:spacing w:val="-2"/>
          <w:kern w:val="22"/>
          <w:lang w:val="en-GB"/>
        </w:rPr>
        <w:t xml:space="preserve">expanded its expertise through involvement in every kind of excavating project; it continuously improved project management and consistently found ways to work smarter. In 2009, Keystone implemented a mobile workforce management solution </w:t>
      </w:r>
      <w:r w:rsidR="0009191B" w:rsidRPr="00C55AB4">
        <w:rPr>
          <w:spacing w:val="-2"/>
          <w:kern w:val="22"/>
          <w:lang w:val="en-GB"/>
        </w:rPr>
        <w:t xml:space="preserve">that </w:t>
      </w:r>
      <w:r w:rsidRPr="00C55AB4">
        <w:rPr>
          <w:spacing w:val="-2"/>
          <w:kern w:val="22"/>
          <w:lang w:val="en-GB"/>
        </w:rPr>
        <w:t xml:space="preserve">allowed the company to gather </w:t>
      </w:r>
      <w:r w:rsidR="0009191B" w:rsidRPr="00C55AB4">
        <w:rPr>
          <w:spacing w:val="-2"/>
          <w:kern w:val="22"/>
          <w:lang w:val="en-GB"/>
        </w:rPr>
        <w:t>real-time</w:t>
      </w:r>
      <w:r w:rsidRPr="00C55AB4">
        <w:rPr>
          <w:spacing w:val="-2"/>
          <w:kern w:val="22"/>
          <w:lang w:val="en-GB"/>
        </w:rPr>
        <w:t xml:space="preserve"> information on every piece of equipment</w:t>
      </w:r>
      <w:r w:rsidR="0009191B" w:rsidRPr="00C55AB4">
        <w:rPr>
          <w:spacing w:val="-2"/>
          <w:kern w:val="22"/>
          <w:lang w:val="en-GB"/>
        </w:rPr>
        <w:t>,</w:t>
      </w:r>
      <w:r w:rsidRPr="00C55AB4">
        <w:rPr>
          <w:spacing w:val="-2"/>
          <w:kern w:val="22"/>
          <w:lang w:val="en-GB"/>
        </w:rPr>
        <w:t xml:space="preserve"> including company vehicles and </w:t>
      </w:r>
      <w:r w:rsidR="0009191B" w:rsidRPr="00C55AB4">
        <w:rPr>
          <w:spacing w:val="-2"/>
          <w:kern w:val="22"/>
          <w:lang w:val="en-GB"/>
        </w:rPr>
        <w:t>employee time sheets</w:t>
      </w:r>
      <w:r w:rsidRPr="00C55AB4">
        <w:rPr>
          <w:spacing w:val="-2"/>
          <w:kern w:val="22"/>
          <w:lang w:val="en-GB"/>
        </w:rPr>
        <w:t>. This automation minimized staffing requirements and reduced needless overtime; it also flagged vehicle and equipment idling to reduce costs and vehicle emissions. Furthermore, the software facilitated more accurate job costing and billing</w:t>
      </w:r>
      <w:r w:rsidR="0009191B" w:rsidRPr="00C55AB4">
        <w:rPr>
          <w:spacing w:val="-2"/>
          <w:kern w:val="22"/>
          <w:lang w:val="en-GB"/>
        </w:rPr>
        <w:t>,</w:t>
      </w:r>
      <w:r w:rsidRPr="00C55AB4">
        <w:rPr>
          <w:spacing w:val="-2"/>
          <w:kern w:val="22"/>
          <w:lang w:val="en-GB"/>
        </w:rPr>
        <w:t xml:space="preserve"> allowing Keystone to provide comprehensive estimates for even the most complicated jobs.</w:t>
      </w:r>
      <w:r w:rsidRPr="00C55AB4">
        <w:rPr>
          <w:rStyle w:val="FootnoteReference"/>
          <w:spacing w:val="-2"/>
          <w:kern w:val="22"/>
          <w:lang w:val="en-GB"/>
        </w:rPr>
        <w:footnoteReference w:id="14"/>
      </w:r>
      <w:r w:rsidRPr="00C55AB4">
        <w:rPr>
          <w:spacing w:val="-2"/>
          <w:kern w:val="22"/>
          <w:lang w:val="en-GB"/>
        </w:rPr>
        <w:t xml:space="preserve"> Increasing efficiency was a prerequisite for Keystone’s goal of owning the market in Alberta and British Columbia </w:t>
      </w:r>
      <w:r w:rsidR="005B6A8A" w:rsidRPr="00C55AB4">
        <w:rPr>
          <w:spacing w:val="-2"/>
          <w:kern w:val="22"/>
          <w:lang w:val="en-GB"/>
        </w:rPr>
        <w:t>by</w:t>
      </w:r>
      <w:r w:rsidRPr="00C55AB4">
        <w:rPr>
          <w:spacing w:val="-2"/>
          <w:kern w:val="22"/>
          <w:lang w:val="en-GB"/>
        </w:rPr>
        <w:t xml:space="preserve"> expanding from Calgary and Edmonton into small cities in these province</w:t>
      </w:r>
      <w:r w:rsidRPr="002975B0">
        <w:rPr>
          <w:lang w:val="en-GB"/>
        </w:rPr>
        <w:t>s.</w:t>
      </w:r>
    </w:p>
    <w:p w14:paraId="650E2854" w14:textId="77777777" w:rsidR="00112AEB" w:rsidRPr="00C55AB4" w:rsidRDefault="00112AEB" w:rsidP="00594E78">
      <w:pPr>
        <w:pStyle w:val="BodyTextMain"/>
        <w:rPr>
          <w:sz w:val="20"/>
          <w:lang w:val="en-GB"/>
        </w:rPr>
      </w:pPr>
    </w:p>
    <w:p w14:paraId="6B2E1A38" w14:textId="1C06492B" w:rsidR="00112AEB" w:rsidRPr="002975B0" w:rsidRDefault="00112AEB" w:rsidP="00594E78">
      <w:pPr>
        <w:pStyle w:val="BodyTextMain"/>
        <w:rPr>
          <w:strike/>
          <w:lang w:val="en-GB"/>
        </w:rPr>
      </w:pPr>
      <w:r w:rsidRPr="00025694">
        <w:rPr>
          <w:spacing w:val="-2"/>
          <w:lang w:val="en-GB"/>
        </w:rPr>
        <w:t>Despite</w:t>
      </w:r>
      <w:r w:rsidR="00E33FA4" w:rsidRPr="00025694">
        <w:rPr>
          <w:spacing w:val="-2"/>
          <w:lang w:val="en-GB"/>
        </w:rPr>
        <w:t xml:space="preserve"> the</w:t>
      </w:r>
      <w:r w:rsidRPr="00025694">
        <w:rPr>
          <w:spacing w:val="-2"/>
          <w:lang w:val="en-GB"/>
        </w:rPr>
        <w:t xml:space="preserve"> successes, </w:t>
      </w:r>
      <w:proofErr w:type="spellStart"/>
      <w:r w:rsidRPr="00025694">
        <w:rPr>
          <w:spacing w:val="-2"/>
          <w:lang w:val="en-GB"/>
        </w:rPr>
        <w:t>Lalli</w:t>
      </w:r>
      <w:proofErr w:type="spellEnd"/>
      <w:r w:rsidRPr="00025694">
        <w:rPr>
          <w:spacing w:val="-2"/>
          <w:lang w:val="en-GB"/>
        </w:rPr>
        <w:t xml:space="preserve"> also encountered several issues at Keystone. The strategic goals were audacious, and the company had not been proactive in branding or marketing its services. Management overlooked the need to pursue new business development and nurture trade partnerships. They were so focused on growth that they “worked themselves to the bone,” while failing to fully participate in development opportunities</w:t>
      </w:r>
      <w:r w:rsidR="00E44785" w:rsidRPr="00025694">
        <w:rPr>
          <w:spacing w:val="-2"/>
          <w:lang w:val="en-GB"/>
        </w:rPr>
        <w:t xml:space="preserve"> such as identifying new markets</w:t>
      </w:r>
      <w:r w:rsidRPr="00025694">
        <w:rPr>
          <w:spacing w:val="-2"/>
          <w:lang w:val="en-GB"/>
        </w:rPr>
        <w:t xml:space="preserve">. Reacting to day-to-day issues also did not allow for adequate mentoring of the next generation of managers; in addition, there was no </w:t>
      </w:r>
      <w:r w:rsidR="0009191B" w:rsidRPr="00025694">
        <w:rPr>
          <w:spacing w:val="-2"/>
          <w:lang w:val="en-GB"/>
        </w:rPr>
        <w:t>management</w:t>
      </w:r>
      <w:r w:rsidR="00E33FA4" w:rsidRPr="00025694">
        <w:rPr>
          <w:spacing w:val="-2"/>
          <w:lang w:val="en-GB"/>
        </w:rPr>
        <w:t xml:space="preserve"> </w:t>
      </w:r>
      <w:r w:rsidR="0009191B" w:rsidRPr="00025694">
        <w:rPr>
          <w:spacing w:val="-2"/>
          <w:lang w:val="en-GB"/>
        </w:rPr>
        <w:t>succession</w:t>
      </w:r>
      <w:r w:rsidRPr="00025694">
        <w:rPr>
          <w:spacing w:val="-2"/>
          <w:lang w:val="en-GB"/>
        </w:rPr>
        <w:t xml:space="preserve"> plan in place. Despite the sheer size of the company, </w:t>
      </w:r>
      <w:r w:rsidR="00E33FA4" w:rsidRPr="00025694">
        <w:rPr>
          <w:spacing w:val="-2"/>
          <w:lang w:val="en-GB"/>
        </w:rPr>
        <w:t>it was</w:t>
      </w:r>
      <w:r w:rsidRPr="00025694">
        <w:rPr>
          <w:spacing w:val="-2"/>
          <w:lang w:val="en-GB"/>
        </w:rPr>
        <w:t xml:space="preserve"> risk averse, which left </w:t>
      </w:r>
      <w:r w:rsidR="00E33FA4" w:rsidRPr="00025694">
        <w:rPr>
          <w:spacing w:val="-2"/>
          <w:lang w:val="en-GB"/>
        </w:rPr>
        <w:t>it</w:t>
      </w:r>
      <w:r w:rsidRPr="00025694">
        <w:rPr>
          <w:spacing w:val="-2"/>
          <w:lang w:val="en-GB"/>
        </w:rPr>
        <w:t xml:space="preserve"> incredibly vulnerable in a tough economic climate. Perhaps most worrisome for </w:t>
      </w:r>
      <w:proofErr w:type="spellStart"/>
      <w:r w:rsidRPr="00025694">
        <w:rPr>
          <w:spacing w:val="-2"/>
          <w:lang w:val="en-GB"/>
        </w:rPr>
        <w:t>Lalli</w:t>
      </w:r>
      <w:proofErr w:type="spellEnd"/>
      <w:r w:rsidRPr="00025694">
        <w:rPr>
          <w:spacing w:val="-2"/>
          <w:lang w:val="en-GB"/>
        </w:rPr>
        <w:t xml:space="preserve"> was that </w:t>
      </w:r>
      <w:r w:rsidR="00E44785" w:rsidRPr="00025694">
        <w:rPr>
          <w:spacing w:val="-2"/>
          <w:lang w:val="en-GB"/>
        </w:rPr>
        <w:t>the company board, executives</w:t>
      </w:r>
      <w:r w:rsidR="00E340DF" w:rsidRPr="00025694">
        <w:rPr>
          <w:spacing w:val="-2"/>
          <w:lang w:val="en-GB"/>
        </w:rPr>
        <w:t>,</w:t>
      </w:r>
      <w:r w:rsidR="00E44785" w:rsidRPr="00025694">
        <w:rPr>
          <w:spacing w:val="-2"/>
          <w:lang w:val="en-GB"/>
        </w:rPr>
        <w:t xml:space="preserve"> and senior management struggled to articulate the purpose of the organization</w:t>
      </w:r>
      <w:r w:rsidR="005B6A8A" w:rsidRPr="00025694">
        <w:rPr>
          <w:spacing w:val="-2"/>
          <w:lang w:val="en-GB"/>
        </w:rPr>
        <w:t>:</w:t>
      </w:r>
      <w:r w:rsidR="00E340DF" w:rsidRPr="00025694">
        <w:rPr>
          <w:spacing w:val="-2"/>
          <w:lang w:val="en-GB"/>
        </w:rPr>
        <w:t xml:space="preserve"> </w:t>
      </w:r>
      <w:r w:rsidR="00E44785" w:rsidRPr="00025694">
        <w:rPr>
          <w:spacing w:val="-2"/>
          <w:lang w:val="en-GB"/>
        </w:rPr>
        <w:t>why did the company exist</w:t>
      </w:r>
      <w:r w:rsidR="00E44785" w:rsidRPr="002975B0">
        <w:rPr>
          <w:lang w:val="en-GB"/>
        </w:rPr>
        <w:t>?</w:t>
      </w:r>
    </w:p>
    <w:p w14:paraId="62B0D246" w14:textId="77777777" w:rsidR="00112AEB" w:rsidRPr="002975B0" w:rsidRDefault="00112AEB" w:rsidP="00112AEB">
      <w:pPr>
        <w:spacing w:before="2" w:after="2"/>
        <w:rPr>
          <w:b/>
          <w:lang w:val="en-GB"/>
        </w:rPr>
      </w:pPr>
    </w:p>
    <w:p w14:paraId="347FB20E" w14:textId="77777777" w:rsidR="00112AEB" w:rsidRPr="002975B0" w:rsidRDefault="00112AEB" w:rsidP="00112AEB">
      <w:pPr>
        <w:spacing w:before="2" w:after="2"/>
        <w:rPr>
          <w:b/>
          <w:lang w:val="en-GB"/>
        </w:rPr>
      </w:pPr>
    </w:p>
    <w:p w14:paraId="21DE88C5" w14:textId="77777777" w:rsidR="00112AEB" w:rsidRPr="002975B0" w:rsidRDefault="00112AEB" w:rsidP="00594E78">
      <w:pPr>
        <w:pStyle w:val="Casehead1"/>
        <w:rPr>
          <w:lang w:val="en-GB"/>
        </w:rPr>
      </w:pPr>
      <w:r w:rsidRPr="002975B0">
        <w:rPr>
          <w:lang w:val="en-GB"/>
        </w:rPr>
        <w:t>FINDING A PURPOSE AND BUILDING A LEGACY</w:t>
      </w:r>
    </w:p>
    <w:p w14:paraId="7131C48E" w14:textId="77777777" w:rsidR="00112AEB" w:rsidRPr="002975B0" w:rsidRDefault="00112AEB" w:rsidP="00112AEB">
      <w:pPr>
        <w:spacing w:before="2" w:after="2"/>
        <w:rPr>
          <w:lang w:val="en-GB"/>
        </w:rPr>
      </w:pPr>
    </w:p>
    <w:p w14:paraId="1D4E775F" w14:textId="1AB61FF3" w:rsidR="00112AEB" w:rsidRPr="002975B0" w:rsidRDefault="00112AEB" w:rsidP="00594E78">
      <w:pPr>
        <w:pStyle w:val="BodyTextMain"/>
        <w:rPr>
          <w:lang w:val="en-GB"/>
        </w:rPr>
      </w:pPr>
      <w:r w:rsidRPr="002975B0">
        <w:rPr>
          <w:lang w:val="en-GB"/>
        </w:rPr>
        <w:t xml:space="preserve">Despite its weaknesses, </w:t>
      </w:r>
      <w:proofErr w:type="spellStart"/>
      <w:r w:rsidRPr="002975B0">
        <w:rPr>
          <w:lang w:val="en-GB"/>
        </w:rPr>
        <w:t>Lalli</w:t>
      </w:r>
      <w:proofErr w:type="spellEnd"/>
      <w:r w:rsidRPr="002975B0">
        <w:rPr>
          <w:lang w:val="en-GB"/>
        </w:rPr>
        <w:t xml:space="preserve"> believed that Keystone was a sophisticated business</w:t>
      </w:r>
      <w:r w:rsidR="00004E04">
        <w:rPr>
          <w:lang w:val="en-GB"/>
        </w:rPr>
        <w:t>;</w:t>
      </w:r>
      <w:r w:rsidRPr="002975B0">
        <w:rPr>
          <w:lang w:val="en-GB"/>
        </w:rPr>
        <w:t xml:space="preserve"> </w:t>
      </w:r>
      <w:r w:rsidR="00004E04">
        <w:rPr>
          <w:lang w:val="en-GB"/>
        </w:rPr>
        <w:t>s</w:t>
      </w:r>
      <w:r w:rsidRPr="002975B0">
        <w:rPr>
          <w:lang w:val="en-GB"/>
        </w:rPr>
        <w:t>he believed that Keystone had a vision</w:t>
      </w:r>
      <w:r w:rsidR="003A3FA6">
        <w:rPr>
          <w:lang w:val="en-GB"/>
        </w:rPr>
        <w:t>,</w:t>
      </w:r>
      <w:r w:rsidRPr="002975B0">
        <w:rPr>
          <w:lang w:val="en-GB"/>
        </w:rPr>
        <w:t xml:space="preserve"> mission</w:t>
      </w:r>
      <w:r w:rsidR="003A3FA6">
        <w:rPr>
          <w:lang w:val="en-GB"/>
        </w:rPr>
        <w:t>,</w:t>
      </w:r>
      <w:r w:rsidRPr="002975B0">
        <w:rPr>
          <w:lang w:val="en-GB"/>
        </w:rPr>
        <w:t xml:space="preserve"> and corporate culture that </w:t>
      </w:r>
      <w:r w:rsidR="003A3FA6" w:rsidRPr="002975B0">
        <w:rPr>
          <w:lang w:val="en-GB"/>
        </w:rPr>
        <w:t>rivalled</w:t>
      </w:r>
      <w:r w:rsidRPr="002975B0">
        <w:rPr>
          <w:lang w:val="en-GB"/>
        </w:rPr>
        <w:t xml:space="preserve"> others in the industry. Keystone’s vision was to own the market in commercial and residential dirt management in Western Canada by 2020. Its mission was to increase equipment utilization and standardize practices. The mission and vision were ambitious but </w:t>
      </w:r>
      <w:r w:rsidR="00042E14" w:rsidRPr="002975B0">
        <w:rPr>
          <w:lang w:val="en-GB"/>
        </w:rPr>
        <w:t>failed to mobilize the team</w:t>
      </w:r>
      <w:r w:rsidR="003A3FA6">
        <w:rPr>
          <w:lang w:val="en-GB"/>
        </w:rPr>
        <w:t>,</w:t>
      </w:r>
      <w:r w:rsidR="00042E14" w:rsidRPr="002975B0">
        <w:rPr>
          <w:lang w:val="en-GB"/>
        </w:rPr>
        <w:t xml:space="preserve"> leaving the company lacking direction. </w:t>
      </w:r>
    </w:p>
    <w:p w14:paraId="66462DAF" w14:textId="77777777" w:rsidR="00112AEB" w:rsidRPr="00C55AB4" w:rsidRDefault="00112AEB" w:rsidP="00594E78">
      <w:pPr>
        <w:pStyle w:val="BodyTextMain"/>
        <w:rPr>
          <w:sz w:val="20"/>
          <w:lang w:val="en-GB"/>
        </w:rPr>
      </w:pPr>
    </w:p>
    <w:p w14:paraId="2D5378ED" w14:textId="091A91D9" w:rsidR="00112AEB" w:rsidRPr="002975B0" w:rsidRDefault="00462E0A" w:rsidP="00594E78">
      <w:pPr>
        <w:pStyle w:val="BodyTextMain"/>
        <w:rPr>
          <w:lang w:val="en-GB"/>
        </w:rPr>
      </w:pPr>
      <w:proofErr w:type="spellStart"/>
      <w:r w:rsidRPr="002975B0">
        <w:rPr>
          <w:lang w:val="en-GB"/>
        </w:rPr>
        <w:t>Lalli</w:t>
      </w:r>
      <w:proofErr w:type="spellEnd"/>
      <w:r w:rsidRPr="002975B0">
        <w:rPr>
          <w:lang w:val="en-GB"/>
        </w:rPr>
        <w:t xml:space="preserve"> was hired to </w:t>
      </w:r>
      <w:r w:rsidR="008E08F2">
        <w:rPr>
          <w:lang w:val="en-GB"/>
        </w:rPr>
        <w:t>turn around</w:t>
      </w:r>
      <w:r w:rsidR="008E08F2" w:rsidRPr="002975B0">
        <w:rPr>
          <w:lang w:val="en-GB"/>
        </w:rPr>
        <w:t xml:space="preserve"> </w:t>
      </w:r>
      <w:r w:rsidRPr="002975B0">
        <w:rPr>
          <w:lang w:val="en-GB"/>
        </w:rPr>
        <w:t>the company</w:t>
      </w:r>
      <w:r w:rsidR="008E08F2">
        <w:rPr>
          <w:lang w:val="en-GB"/>
        </w:rPr>
        <w:t>,</w:t>
      </w:r>
      <w:r w:rsidRPr="002975B0">
        <w:rPr>
          <w:lang w:val="en-GB"/>
        </w:rPr>
        <w:t xml:space="preserve"> and</w:t>
      </w:r>
      <w:r w:rsidR="008E08F2">
        <w:rPr>
          <w:lang w:val="en-GB"/>
        </w:rPr>
        <w:t xml:space="preserve"> she</w:t>
      </w:r>
      <w:r w:rsidRPr="002975B0">
        <w:rPr>
          <w:lang w:val="en-GB"/>
        </w:rPr>
        <w:t xml:space="preserve"> believed that a turnaround retrenchment strategy could reverse the decline in revenues. </w:t>
      </w:r>
      <w:r w:rsidR="00112AEB" w:rsidRPr="002975B0">
        <w:rPr>
          <w:lang w:val="en-GB"/>
        </w:rPr>
        <w:t>Keystone was privately held and founded to create economic value for its shareholders</w:t>
      </w:r>
      <w:r w:rsidR="001A05EC">
        <w:rPr>
          <w:lang w:val="en-GB"/>
        </w:rPr>
        <w:t>—</w:t>
      </w:r>
      <w:r w:rsidR="00112AEB" w:rsidRPr="002975B0">
        <w:rPr>
          <w:lang w:val="en-GB"/>
        </w:rPr>
        <w:t>nothing about this was out of the ordinary</w:t>
      </w:r>
      <w:r w:rsidR="001A05EC">
        <w:rPr>
          <w:lang w:val="en-GB"/>
        </w:rPr>
        <w:t>.</w:t>
      </w:r>
      <w:r w:rsidRPr="002975B0">
        <w:rPr>
          <w:lang w:val="en-GB"/>
        </w:rPr>
        <w:t xml:space="preserve"> </w:t>
      </w:r>
      <w:r w:rsidR="001A05EC">
        <w:rPr>
          <w:lang w:val="en-GB"/>
        </w:rPr>
        <w:t>B</w:t>
      </w:r>
      <w:r w:rsidRPr="002975B0">
        <w:rPr>
          <w:lang w:val="en-GB"/>
        </w:rPr>
        <w:t xml:space="preserve">ut </w:t>
      </w:r>
      <w:r w:rsidR="001A05EC">
        <w:rPr>
          <w:lang w:val="en-GB"/>
        </w:rPr>
        <w:t xml:space="preserve">solely </w:t>
      </w:r>
      <w:r w:rsidRPr="002975B0">
        <w:rPr>
          <w:lang w:val="en-GB"/>
        </w:rPr>
        <w:t xml:space="preserve">creating economic </w:t>
      </w:r>
      <w:r w:rsidR="00155308">
        <w:rPr>
          <w:lang w:val="en-GB"/>
        </w:rPr>
        <w:t xml:space="preserve">value </w:t>
      </w:r>
      <w:r w:rsidR="001A05EC">
        <w:rPr>
          <w:lang w:val="en-GB"/>
        </w:rPr>
        <w:t>had seized to</w:t>
      </w:r>
      <w:r w:rsidRPr="002975B0">
        <w:rPr>
          <w:lang w:val="en-GB"/>
        </w:rPr>
        <w:t xml:space="preserve"> mobiliz</w:t>
      </w:r>
      <w:r w:rsidR="001A05EC">
        <w:rPr>
          <w:lang w:val="en-GB"/>
        </w:rPr>
        <w:t>e</w:t>
      </w:r>
      <w:r w:rsidRPr="002975B0">
        <w:rPr>
          <w:lang w:val="en-GB"/>
        </w:rPr>
        <w:t xml:space="preserve"> the team</w:t>
      </w:r>
      <w:r w:rsidR="00112AEB" w:rsidRPr="002975B0">
        <w:rPr>
          <w:lang w:val="en-GB"/>
        </w:rPr>
        <w:t xml:space="preserve">. </w:t>
      </w:r>
      <w:proofErr w:type="spellStart"/>
      <w:r w:rsidRPr="002975B0">
        <w:rPr>
          <w:lang w:val="en-GB"/>
        </w:rPr>
        <w:t>Lalli</w:t>
      </w:r>
      <w:proofErr w:type="spellEnd"/>
      <w:r w:rsidRPr="002975B0">
        <w:rPr>
          <w:lang w:val="en-GB"/>
        </w:rPr>
        <w:t xml:space="preserve"> knew that t</w:t>
      </w:r>
      <w:r w:rsidR="00112AEB" w:rsidRPr="002975B0">
        <w:rPr>
          <w:lang w:val="en-GB"/>
        </w:rPr>
        <w:t>imes had changed</w:t>
      </w:r>
      <w:r w:rsidRPr="002975B0">
        <w:rPr>
          <w:lang w:val="en-GB"/>
        </w:rPr>
        <w:t>,</w:t>
      </w:r>
      <w:r w:rsidR="00112AEB" w:rsidRPr="002975B0">
        <w:rPr>
          <w:lang w:val="en-GB"/>
        </w:rPr>
        <w:t xml:space="preserve"> and </w:t>
      </w:r>
      <w:r w:rsidRPr="002975B0">
        <w:rPr>
          <w:lang w:val="en-GB"/>
        </w:rPr>
        <w:t>she</w:t>
      </w:r>
      <w:r w:rsidR="00112AEB" w:rsidRPr="002975B0">
        <w:rPr>
          <w:lang w:val="en-GB"/>
        </w:rPr>
        <w:t xml:space="preserve"> understood that companies were increasingly being held accountable for sustainability and societal impact. </w:t>
      </w:r>
      <w:proofErr w:type="spellStart"/>
      <w:r w:rsidR="00112AEB" w:rsidRPr="002975B0">
        <w:rPr>
          <w:lang w:val="en-GB"/>
        </w:rPr>
        <w:t>Lalli</w:t>
      </w:r>
      <w:proofErr w:type="spellEnd"/>
      <w:r w:rsidR="00112AEB" w:rsidRPr="002975B0">
        <w:rPr>
          <w:lang w:val="en-GB"/>
        </w:rPr>
        <w:t xml:space="preserve"> argued that by understanding the legacy the company wanted to leave, the</w:t>
      </w:r>
      <w:r w:rsidRPr="002975B0">
        <w:rPr>
          <w:lang w:val="en-GB"/>
        </w:rPr>
        <w:t xml:space="preserve"> company would find a “why” that was beyond profits, and </w:t>
      </w:r>
      <w:r w:rsidR="00112AEB" w:rsidRPr="002975B0">
        <w:rPr>
          <w:lang w:val="en-GB"/>
        </w:rPr>
        <w:t xml:space="preserve">would be able to articulate </w:t>
      </w:r>
      <w:r w:rsidRPr="002975B0">
        <w:rPr>
          <w:lang w:val="en-GB"/>
        </w:rPr>
        <w:t xml:space="preserve">a </w:t>
      </w:r>
      <w:r w:rsidR="00112AEB" w:rsidRPr="002975B0">
        <w:rPr>
          <w:lang w:val="en-GB"/>
        </w:rPr>
        <w:t xml:space="preserve">purpose </w:t>
      </w:r>
      <w:r w:rsidRPr="002975B0">
        <w:rPr>
          <w:lang w:val="en-GB"/>
        </w:rPr>
        <w:t>that everyone could get behind</w:t>
      </w:r>
      <w:r w:rsidR="001A05EC">
        <w:rPr>
          <w:lang w:val="en-GB"/>
        </w:rPr>
        <w:t>—</w:t>
      </w:r>
      <w:r w:rsidRPr="002975B0">
        <w:rPr>
          <w:lang w:val="en-GB"/>
        </w:rPr>
        <w:t xml:space="preserve">a </w:t>
      </w:r>
      <w:r w:rsidR="001A05EC">
        <w:rPr>
          <w:lang w:val="en-GB"/>
        </w:rPr>
        <w:t>purpose-driven</w:t>
      </w:r>
      <w:r w:rsidRPr="002975B0">
        <w:rPr>
          <w:lang w:val="en-GB"/>
        </w:rPr>
        <w:t xml:space="preserve"> turnaround strategy.</w:t>
      </w:r>
    </w:p>
    <w:p w14:paraId="7652FA94" w14:textId="77777777" w:rsidR="00112AEB" w:rsidRPr="00C55AB4" w:rsidRDefault="00112AEB" w:rsidP="00594E78">
      <w:pPr>
        <w:pStyle w:val="BodyTextMain"/>
        <w:rPr>
          <w:sz w:val="20"/>
          <w:lang w:val="en-GB"/>
        </w:rPr>
      </w:pPr>
    </w:p>
    <w:p w14:paraId="686401D7" w14:textId="28C5EAAA" w:rsidR="00112AEB" w:rsidRPr="002975B0" w:rsidRDefault="004D06CD" w:rsidP="00594E78">
      <w:pPr>
        <w:pStyle w:val="BodyTextMain"/>
        <w:rPr>
          <w:lang w:val="en-GB"/>
        </w:rPr>
      </w:pPr>
      <w:r w:rsidRPr="00C55AB4">
        <w:rPr>
          <w:spacing w:val="-2"/>
          <w:kern w:val="22"/>
          <w:lang w:val="en-GB"/>
        </w:rPr>
        <w:t xml:space="preserve">From June to July of 2015, </w:t>
      </w:r>
      <w:proofErr w:type="spellStart"/>
      <w:r w:rsidRPr="00C55AB4">
        <w:rPr>
          <w:spacing w:val="-2"/>
          <w:kern w:val="22"/>
          <w:lang w:val="en-GB"/>
        </w:rPr>
        <w:t>Lalli</w:t>
      </w:r>
      <w:proofErr w:type="spellEnd"/>
      <w:r w:rsidRPr="00C55AB4">
        <w:rPr>
          <w:spacing w:val="-2"/>
          <w:kern w:val="22"/>
          <w:lang w:val="en-GB"/>
        </w:rPr>
        <w:t xml:space="preserve"> and </w:t>
      </w:r>
      <w:r w:rsidR="004E1546" w:rsidRPr="00C55AB4">
        <w:rPr>
          <w:spacing w:val="-2"/>
          <w:kern w:val="22"/>
          <w:lang w:val="en-GB"/>
        </w:rPr>
        <w:t xml:space="preserve">the </w:t>
      </w:r>
      <w:r w:rsidRPr="00C55AB4">
        <w:rPr>
          <w:spacing w:val="-2"/>
          <w:kern w:val="22"/>
          <w:lang w:val="en-GB"/>
        </w:rPr>
        <w:t xml:space="preserve">team worked through determining why the company existed. </w:t>
      </w:r>
      <w:r w:rsidR="00112AEB" w:rsidRPr="00C55AB4">
        <w:rPr>
          <w:spacing w:val="-2"/>
          <w:kern w:val="22"/>
          <w:lang w:val="en-GB"/>
        </w:rPr>
        <w:t xml:space="preserve">Understanding the legacy was an iterative process involving multiple stakeholders, including existing </w:t>
      </w:r>
      <w:r w:rsidR="00112AEB" w:rsidRPr="00C55AB4">
        <w:rPr>
          <w:spacing w:val="-2"/>
          <w:kern w:val="22"/>
          <w:lang w:val="en-GB"/>
        </w:rPr>
        <w:lastRenderedPageBreak/>
        <w:t>customers, potential customers, and Keystone’s staff</w:t>
      </w:r>
      <w:r w:rsidR="007638C3" w:rsidRPr="00C55AB4">
        <w:rPr>
          <w:spacing w:val="-2"/>
          <w:kern w:val="22"/>
          <w:lang w:val="en-GB"/>
        </w:rPr>
        <w:t>—</w:t>
      </w:r>
      <w:r w:rsidR="00112AEB" w:rsidRPr="00C55AB4">
        <w:rPr>
          <w:spacing w:val="-2"/>
          <w:kern w:val="22"/>
          <w:lang w:val="en-GB"/>
        </w:rPr>
        <w:t>both current and former. Nothing was taboo, and Keystone’s executives were challenged by what they heard and shocked by the cynicism of the business environment. The executive team understood what the company’s purpose should</w:t>
      </w:r>
      <w:r w:rsidR="00155308" w:rsidRPr="00C55AB4">
        <w:rPr>
          <w:spacing w:val="-2"/>
          <w:kern w:val="22"/>
          <w:lang w:val="en-GB"/>
        </w:rPr>
        <w:t>, in principle,</w:t>
      </w:r>
      <w:r w:rsidR="00112AEB" w:rsidRPr="00C55AB4">
        <w:rPr>
          <w:spacing w:val="-2"/>
          <w:kern w:val="22"/>
          <w:lang w:val="en-GB"/>
        </w:rPr>
        <w:t xml:space="preserve"> be: </w:t>
      </w:r>
      <w:r w:rsidR="00155308" w:rsidRPr="00C55AB4">
        <w:rPr>
          <w:spacing w:val="-2"/>
          <w:kern w:val="22"/>
          <w:lang w:val="en-GB"/>
        </w:rPr>
        <w:t>Keystone</w:t>
      </w:r>
      <w:r w:rsidR="00112AEB" w:rsidRPr="00C55AB4">
        <w:rPr>
          <w:spacing w:val="-2"/>
          <w:kern w:val="22"/>
          <w:lang w:val="en-GB"/>
        </w:rPr>
        <w:t xml:space="preserve"> should operate sustainably and facilitate relationships within and beyond </w:t>
      </w:r>
      <w:r w:rsidR="0081026D" w:rsidRPr="00C55AB4">
        <w:rPr>
          <w:spacing w:val="-2"/>
          <w:kern w:val="22"/>
          <w:lang w:val="en-GB"/>
        </w:rPr>
        <w:t>the company’s</w:t>
      </w:r>
      <w:r w:rsidR="00155308" w:rsidRPr="00C55AB4">
        <w:rPr>
          <w:spacing w:val="-2"/>
          <w:kern w:val="22"/>
          <w:lang w:val="en-GB"/>
        </w:rPr>
        <w:t xml:space="preserve"> </w:t>
      </w:r>
      <w:r w:rsidR="00112AEB" w:rsidRPr="00C55AB4">
        <w:rPr>
          <w:spacing w:val="-2"/>
          <w:kern w:val="22"/>
          <w:lang w:val="en-GB"/>
        </w:rPr>
        <w:t>area of expertise</w:t>
      </w:r>
      <w:r w:rsidR="0081026D" w:rsidRPr="00C55AB4">
        <w:rPr>
          <w:spacing w:val="-2"/>
          <w:kern w:val="22"/>
          <w:lang w:val="en-GB"/>
        </w:rPr>
        <w:t>.</w:t>
      </w:r>
      <w:r w:rsidR="00112AEB" w:rsidRPr="00C55AB4">
        <w:rPr>
          <w:spacing w:val="-2"/>
          <w:kern w:val="22"/>
          <w:lang w:val="en-GB"/>
        </w:rPr>
        <w:t xml:space="preserve"> </w:t>
      </w:r>
      <w:r w:rsidR="0081026D" w:rsidRPr="00C55AB4">
        <w:rPr>
          <w:spacing w:val="-2"/>
          <w:kern w:val="22"/>
          <w:lang w:val="en-GB"/>
        </w:rPr>
        <w:t>B</w:t>
      </w:r>
      <w:r w:rsidR="00112AEB" w:rsidRPr="00C55AB4">
        <w:rPr>
          <w:spacing w:val="-2"/>
          <w:kern w:val="22"/>
          <w:lang w:val="en-GB"/>
        </w:rPr>
        <w:t>ut the</w:t>
      </w:r>
      <w:r w:rsidR="00155308" w:rsidRPr="00C55AB4">
        <w:rPr>
          <w:spacing w:val="-2"/>
          <w:kern w:val="22"/>
          <w:lang w:val="en-GB"/>
        </w:rPr>
        <w:t xml:space="preserve"> team</w:t>
      </w:r>
      <w:r w:rsidR="00112AEB" w:rsidRPr="00C55AB4">
        <w:rPr>
          <w:spacing w:val="-2"/>
          <w:kern w:val="22"/>
          <w:lang w:val="en-GB"/>
        </w:rPr>
        <w:t xml:space="preserve"> also recognized that their customers would likely not </w:t>
      </w:r>
      <w:r w:rsidR="00594E78" w:rsidRPr="00C55AB4">
        <w:rPr>
          <w:spacing w:val="-2"/>
          <w:kern w:val="22"/>
          <w:lang w:val="en-GB"/>
        </w:rPr>
        <w:t>pay for th</w:t>
      </w:r>
      <w:r w:rsidR="00CD1400" w:rsidRPr="00C55AB4">
        <w:rPr>
          <w:spacing w:val="-2"/>
          <w:kern w:val="22"/>
          <w:lang w:val="en-GB"/>
        </w:rPr>
        <w:t>ese</w:t>
      </w:r>
      <w:r w:rsidR="00594E78" w:rsidRPr="00C55AB4">
        <w:rPr>
          <w:spacing w:val="-2"/>
          <w:kern w:val="22"/>
          <w:lang w:val="en-GB"/>
        </w:rPr>
        <w:t xml:space="preserve"> </w:t>
      </w:r>
      <w:r w:rsidR="00CD1400" w:rsidRPr="00C55AB4">
        <w:rPr>
          <w:spacing w:val="-2"/>
          <w:kern w:val="22"/>
          <w:lang w:val="en-GB"/>
        </w:rPr>
        <w:t>value-</w:t>
      </w:r>
      <w:r w:rsidR="0081026D" w:rsidRPr="00C55AB4">
        <w:rPr>
          <w:spacing w:val="-2"/>
          <w:kern w:val="22"/>
          <w:lang w:val="en-GB"/>
        </w:rPr>
        <w:t>added</w:t>
      </w:r>
      <w:r w:rsidR="00CD1400" w:rsidRPr="00C55AB4">
        <w:rPr>
          <w:spacing w:val="-2"/>
          <w:kern w:val="22"/>
          <w:lang w:val="en-GB"/>
        </w:rPr>
        <w:t xml:space="preserve"> practices</w:t>
      </w:r>
      <w:r w:rsidR="0081026D">
        <w:rPr>
          <w:lang w:val="en-GB"/>
        </w:rPr>
        <w:t>.</w:t>
      </w:r>
    </w:p>
    <w:p w14:paraId="5FA77B88" w14:textId="77777777" w:rsidR="00112AEB" w:rsidRPr="00C55AB4" w:rsidRDefault="00112AEB" w:rsidP="00594E78">
      <w:pPr>
        <w:pStyle w:val="BodyTextMain"/>
        <w:rPr>
          <w:sz w:val="20"/>
          <w:lang w:val="en-GB"/>
        </w:rPr>
      </w:pPr>
    </w:p>
    <w:p w14:paraId="373AF5DC" w14:textId="7B4059D3" w:rsidR="00112AEB" w:rsidRPr="002975B0" w:rsidRDefault="00112AEB" w:rsidP="00594E78">
      <w:pPr>
        <w:pStyle w:val="BodyTextMain"/>
        <w:rPr>
          <w:lang w:val="en-GB"/>
        </w:rPr>
      </w:pPr>
      <w:r w:rsidRPr="002975B0">
        <w:rPr>
          <w:lang w:val="en-GB"/>
        </w:rPr>
        <w:t xml:space="preserve">Keystone determined that regardless of </w:t>
      </w:r>
      <w:r w:rsidR="0081026D">
        <w:rPr>
          <w:lang w:val="en-GB"/>
        </w:rPr>
        <w:t xml:space="preserve">whether </w:t>
      </w:r>
      <w:r w:rsidR="00A71021">
        <w:rPr>
          <w:lang w:val="en-GB"/>
        </w:rPr>
        <w:t>it was</w:t>
      </w:r>
      <w:r w:rsidR="0081026D" w:rsidRPr="002975B0">
        <w:rPr>
          <w:lang w:val="en-GB"/>
        </w:rPr>
        <w:t xml:space="preserve"> </w:t>
      </w:r>
      <w:r w:rsidRPr="002975B0">
        <w:rPr>
          <w:lang w:val="en-GB"/>
        </w:rPr>
        <w:t>compensated</w:t>
      </w:r>
      <w:r w:rsidR="0081026D">
        <w:rPr>
          <w:lang w:val="en-GB"/>
        </w:rPr>
        <w:t>, these goals and values</w:t>
      </w:r>
      <w:r w:rsidR="007E16E5" w:rsidRPr="002975B0">
        <w:rPr>
          <w:lang w:val="en-GB"/>
        </w:rPr>
        <w:t xml:space="preserve"> </w:t>
      </w:r>
      <w:r w:rsidRPr="002975B0">
        <w:rPr>
          <w:lang w:val="en-GB"/>
        </w:rPr>
        <w:t>w</w:t>
      </w:r>
      <w:r w:rsidR="007E16E5">
        <w:rPr>
          <w:lang w:val="en-GB"/>
        </w:rPr>
        <w:t>ere</w:t>
      </w:r>
      <w:r w:rsidRPr="002975B0">
        <w:rPr>
          <w:lang w:val="en-GB"/>
        </w:rPr>
        <w:t xml:space="preserve"> part of a system of relationships and connectedness. </w:t>
      </w:r>
      <w:r w:rsidR="0081026D">
        <w:rPr>
          <w:lang w:val="en-GB"/>
        </w:rPr>
        <w:t>The company</w:t>
      </w:r>
      <w:r w:rsidRPr="002975B0">
        <w:rPr>
          <w:lang w:val="en-GB"/>
        </w:rPr>
        <w:t xml:space="preserve"> knew</w:t>
      </w:r>
      <w:r w:rsidR="007E16E5">
        <w:rPr>
          <w:lang w:val="en-GB"/>
        </w:rPr>
        <w:t xml:space="preserve"> that</w:t>
      </w:r>
      <w:r w:rsidRPr="002975B0">
        <w:rPr>
          <w:lang w:val="en-GB"/>
        </w:rPr>
        <w:t xml:space="preserve"> </w:t>
      </w:r>
      <w:r w:rsidR="00A71021">
        <w:rPr>
          <w:lang w:val="en-GB"/>
        </w:rPr>
        <w:t>it</w:t>
      </w:r>
      <w:r w:rsidRPr="002975B0">
        <w:rPr>
          <w:lang w:val="en-GB"/>
        </w:rPr>
        <w:t xml:space="preserve"> had to take ownership of </w:t>
      </w:r>
      <w:r w:rsidR="00A71021">
        <w:rPr>
          <w:lang w:val="en-GB"/>
        </w:rPr>
        <w:t>its</w:t>
      </w:r>
      <w:r w:rsidRPr="002975B0">
        <w:rPr>
          <w:lang w:val="en-GB"/>
        </w:rPr>
        <w:t xml:space="preserve"> role in that system, and so </w:t>
      </w:r>
      <w:r w:rsidR="00A71021">
        <w:rPr>
          <w:lang w:val="en-GB"/>
        </w:rPr>
        <w:t>it</w:t>
      </w:r>
      <w:r w:rsidRPr="002975B0">
        <w:rPr>
          <w:lang w:val="en-GB"/>
        </w:rPr>
        <w:t xml:space="preserve"> determined that </w:t>
      </w:r>
      <w:r w:rsidR="00A71021">
        <w:rPr>
          <w:lang w:val="en-GB"/>
        </w:rPr>
        <w:t>its</w:t>
      </w:r>
      <w:r w:rsidRPr="002975B0">
        <w:rPr>
          <w:lang w:val="en-GB"/>
        </w:rPr>
        <w:t xml:space="preserve"> purpose was to better the system</w:t>
      </w:r>
      <w:r w:rsidR="007E16E5">
        <w:rPr>
          <w:lang w:val="en-GB"/>
        </w:rPr>
        <w:t>. I</w:t>
      </w:r>
      <w:r w:rsidRPr="002975B0">
        <w:rPr>
          <w:lang w:val="en-GB"/>
        </w:rPr>
        <w:t xml:space="preserve">f </w:t>
      </w:r>
      <w:r w:rsidR="00A71021">
        <w:rPr>
          <w:lang w:val="en-GB"/>
        </w:rPr>
        <w:t>it</w:t>
      </w:r>
      <w:r w:rsidRPr="002975B0">
        <w:rPr>
          <w:lang w:val="en-GB"/>
        </w:rPr>
        <w:t xml:space="preserve"> took care of the system of connectedness, the dollars would take care of themselves. Through consultation with their stakeholders, Keystone’s executives came to the realization that they did not control, and in some cases did not even influence, the system they were part of. This was a crystallizing point. Keystone knew that any purpose </w:t>
      </w:r>
      <w:r w:rsidR="00A71021">
        <w:rPr>
          <w:lang w:val="en-GB"/>
        </w:rPr>
        <w:t>it</w:t>
      </w:r>
      <w:r w:rsidRPr="002975B0">
        <w:rPr>
          <w:lang w:val="en-GB"/>
        </w:rPr>
        <w:t xml:space="preserve"> agreed upon meant that </w:t>
      </w:r>
      <w:r w:rsidR="00A71021">
        <w:rPr>
          <w:lang w:val="en-GB"/>
        </w:rPr>
        <w:t>it was</w:t>
      </w:r>
      <w:r w:rsidRPr="002975B0">
        <w:rPr>
          <w:lang w:val="en-GB"/>
        </w:rPr>
        <w:t xml:space="preserve"> going to have to take an active</w:t>
      </w:r>
      <w:r w:rsidR="007E16E5">
        <w:rPr>
          <w:lang w:val="en-GB"/>
        </w:rPr>
        <w:t>, inclusive</w:t>
      </w:r>
      <w:r w:rsidRPr="002975B0">
        <w:rPr>
          <w:lang w:val="en-GB"/>
        </w:rPr>
        <w:t xml:space="preserve"> role</w:t>
      </w:r>
      <w:r w:rsidR="007E16E5">
        <w:rPr>
          <w:lang w:val="en-GB"/>
        </w:rPr>
        <w:t>.</w:t>
      </w:r>
    </w:p>
    <w:p w14:paraId="6BF6D083" w14:textId="77777777" w:rsidR="00112AEB" w:rsidRPr="00C55AB4" w:rsidRDefault="00112AEB" w:rsidP="00E02586">
      <w:pPr>
        <w:pStyle w:val="BodyTextMain"/>
        <w:rPr>
          <w:sz w:val="20"/>
          <w:lang w:val="en-GB"/>
        </w:rPr>
      </w:pPr>
    </w:p>
    <w:p w14:paraId="76AA1863" w14:textId="403B39F9" w:rsidR="00112AEB" w:rsidRPr="002975B0" w:rsidRDefault="00C27649" w:rsidP="00594E78">
      <w:pPr>
        <w:pStyle w:val="BodyTextMain"/>
        <w:rPr>
          <w:lang w:val="en-GB"/>
        </w:rPr>
      </w:pPr>
      <w:r w:rsidRPr="002975B0">
        <w:rPr>
          <w:lang w:val="en-GB"/>
        </w:rPr>
        <w:t>In August 2015, a</w:t>
      </w:r>
      <w:r w:rsidR="000C44EA" w:rsidRPr="002975B0">
        <w:rPr>
          <w:lang w:val="en-GB"/>
        </w:rPr>
        <w:t>fter painstaking stakeholder engagement</w:t>
      </w:r>
      <w:r w:rsidRPr="002975B0">
        <w:rPr>
          <w:lang w:val="en-GB"/>
        </w:rPr>
        <w:t xml:space="preserve">, </w:t>
      </w:r>
      <w:r w:rsidR="00112AEB" w:rsidRPr="002975B0">
        <w:rPr>
          <w:lang w:val="en-GB"/>
        </w:rPr>
        <w:t>Keystone’s purpose became clear</w:t>
      </w:r>
      <w:r w:rsidR="0004188F">
        <w:rPr>
          <w:lang w:val="en-GB"/>
        </w:rPr>
        <w:t>:</w:t>
      </w:r>
      <w:r w:rsidR="00112AEB" w:rsidRPr="002975B0">
        <w:rPr>
          <w:lang w:val="en-GB"/>
        </w:rPr>
        <w:t xml:space="preserve"> </w:t>
      </w:r>
      <w:r w:rsidR="00A71021">
        <w:rPr>
          <w:lang w:val="en-GB"/>
        </w:rPr>
        <w:t>it</w:t>
      </w:r>
      <w:r w:rsidR="00112AEB" w:rsidRPr="002975B0">
        <w:rPr>
          <w:lang w:val="en-GB"/>
        </w:rPr>
        <w:t xml:space="preserve"> had to actively participate in improving the system in which </w:t>
      </w:r>
      <w:r w:rsidR="00A71021">
        <w:rPr>
          <w:lang w:val="en-GB"/>
        </w:rPr>
        <w:t>its</w:t>
      </w:r>
      <w:r w:rsidR="00112AEB" w:rsidRPr="002975B0">
        <w:rPr>
          <w:lang w:val="en-GB"/>
        </w:rPr>
        <w:t xml:space="preserve"> industry functioned</w:t>
      </w:r>
      <w:r w:rsidR="0004188F">
        <w:rPr>
          <w:lang w:val="en-GB"/>
        </w:rPr>
        <w:t>;</w:t>
      </w:r>
      <w:r w:rsidR="00112AEB" w:rsidRPr="002975B0">
        <w:rPr>
          <w:lang w:val="en-GB"/>
        </w:rPr>
        <w:t xml:space="preserve"> </w:t>
      </w:r>
      <w:r w:rsidR="00A71021">
        <w:rPr>
          <w:lang w:val="en-GB"/>
        </w:rPr>
        <w:t>it</w:t>
      </w:r>
      <w:r w:rsidR="00112AEB" w:rsidRPr="002975B0">
        <w:rPr>
          <w:lang w:val="en-GB"/>
        </w:rPr>
        <w:t xml:space="preserve"> had to elevate the social value of the industry. Keystone articulated their purpose as</w:t>
      </w:r>
      <w:r w:rsidR="002469A8">
        <w:rPr>
          <w:lang w:val="en-GB"/>
        </w:rPr>
        <w:t xml:space="preserve"> </w:t>
      </w:r>
      <w:r w:rsidR="00112AEB" w:rsidRPr="002975B0">
        <w:rPr>
          <w:lang w:val="en-GB"/>
        </w:rPr>
        <w:t>“</w:t>
      </w:r>
      <w:r w:rsidR="002469A8">
        <w:rPr>
          <w:lang w:val="en-GB"/>
        </w:rPr>
        <w:t>b</w:t>
      </w:r>
      <w:r w:rsidR="00112AEB" w:rsidRPr="002975B0">
        <w:rPr>
          <w:lang w:val="en-GB"/>
        </w:rPr>
        <w:t>etter</w:t>
      </w:r>
      <w:r w:rsidR="00CD1400">
        <w:rPr>
          <w:lang w:val="en-GB"/>
        </w:rPr>
        <w:t>[</w:t>
      </w:r>
      <w:proofErr w:type="spellStart"/>
      <w:r w:rsidR="00CD1400">
        <w:rPr>
          <w:lang w:val="en-GB"/>
        </w:rPr>
        <w:t>ing</w:t>
      </w:r>
      <w:proofErr w:type="spellEnd"/>
      <w:r w:rsidR="00CD1400">
        <w:rPr>
          <w:lang w:val="en-GB"/>
        </w:rPr>
        <w:t>]</w:t>
      </w:r>
      <w:r w:rsidR="00112AEB" w:rsidRPr="002975B0">
        <w:rPr>
          <w:lang w:val="en-GB"/>
        </w:rPr>
        <w:t xml:space="preserve"> the industry and communities in which we work and live. Our </w:t>
      </w:r>
      <w:r w:rsidR="002469A8">
        <w:rPr>
          <w:lang w:val="en-GB"/>
        </w:rPr>
        <w:t>c</w:t>
      </w:r>
      <w:r w:rsidR="00112AEB" w:rsidRPr="002975B0">
        <w:rPr>
          <w:lang w:val="en-GB"/>
        </w:rPr>
        <w:t>ompany</w:t>
      </w:r>
      <w:r w:rsidR="002469A8">
        <w:rPr>
          <w:lang w:val="en-GB"/>
        </w:rPr>
        <w:t xml:space="preserve">, </w:t>
      </w:r>
      <w:r w:rsidR="00CD1400">
        <w:rPr>
          <w:lang w:val="en-GB"/>
        </w:rPr>
        <w:t>o</w:t>
      </w:r>
      <w:r w:rsidR="00112AEB" w:rsidRPr="002975B0">
        <w:rPr>
          <w:lang w:val="en-GB"/>
        </w:rPr>
        <w:t xml:space="preserve">ur </w:t>
      </w:r>
      <w:r w:rsidR="002469A8">
        <w:rPr>
          <w:lang w:val="en-GB"/>
        </w:rPr>
        <w:t>f</w:t>
      </w:r>
      <w:r w:rsidR="00112AEB" w:rsidRPr="002975B0">
        <w:rPr>
          <w:lang w:val="en-GB"/>
        </w:rPr>
        <w:t>amilies</w:t>
      </w:r>
      <w:r w:rsidR="002469A8">
        <w:rPr>
          <w:lang w:val="en-GB"/>
        </w:rPr>
        <w:t>, o</w:t>
      </w:r>
      <w:r w:rsidR="00112AEB" w:rsidRPr="002975B0">
        <w:rPr>
          <w:lang w:val="en-GB"/>
        </w:rPr>
        <w:t xml:space="preserve">ur </w:t>
      </w:r>
      <w:r w:rsidR="002469A8">
        <w:rPr>
          <w:lang w:val="en-GB"/>
        </w:rPr>
        <w:t>c</w:t>
      </w:r>
      <w:r w:rsidR="00112AEB" w:rsidRPr="002975B0">
        <w:rPr>
          <w:lang w:val="en-GB"/>
        </w:rPr>
        <w:t>ities</w:t>
      </w:r>
      <w:r w:rsidR="002469A8">
        <w:rPr>
          <w:lang w:val="en-GB"/>
        </w:rPr>
        <w:t>, o</w:t>
      </w:r>
      <w:r w:rsidR="00112AEB" w:rsidRPr="002975B0">
        <w:rPr>
          <w:lang w:val="en-GB"/>
        </w:rPr>
        <w:t xml:space="preserve">ur </w:t>
      </w:r>
      <w:r w:rsidR="002469A8">
        <w:rPr>
          <w:lang w:val="en-GB"/>
        </w:rPr>
        <w:t>p</w:t>
      </w:r>
      <w:r w:rsidR="00112AEB" w:rsidRPr="002975B0">
        <w:rPr>
          <w:lang w:val="en-GB"/>
        </w:rPr>
        <w:t xml:space="preserve">rofessions.” It was imperative for Keystone to make everyone’s roles clear by articulating the role they played. A call to action for the company, families, cities, and professions would enable every stakeholder in the system to find themselves in </w:t>
      </w:r>
      <w:r w:rsidR="002469A8">
        <w:rPr>
          <w:lang w:val="en-GB"/>
        </w:rPr>
        <w:t>Keystone’s</w:t>
      </w:r>
      <w:r w:rsidR="002469A8" w:rsidRPr="002975B0">
        <w:rPr>
          <w:lang w:val="en-GB"/>
        </w:rPr>
        <w:t xml:space="preserve"> </w:t>
      </w:r>
      <w:r w:rsidR="00112AEB" w:rsidRPr="002975B0">
        <w:rPr>
          <w:lang w:val="en-GB"/>
        </w:rPr>
        <w:t xml:space="preserve">purpose and become more connected. </w:t>
      </w:r>
    </w:p>
    <w:p w14:paraId="76769642" w14:textId="77777777" w:rsidR="00112AEB" w:rsidRPr="00C55AB4" w:rsidRDefault="00112AEB" w:rsidP="00594E78">
      <w:pPr>
        <w:pStyle w:val="BodyTextMain"/>
        <w:rPr>
          <w:sz w:val="20"/>
          <w:lang w:val="en-GB"/>
        </w:rPr>
      </w:pPr>
    </w:p>
    <w:p w14:paraId="3E6F4B67" w14:textId="1EE863DA" w:rsidR="00112AEB" w:rsidRPr="002975B0" w:rsidRDefault="00112AEB" w:rsidP="00594E78">
      <w:pPr>
        <w:pStyle w:val="BodyTextMain"/>
        <w:rPr>
          <w:lang w:val="en-GB"/>
        </w:rPr>
      </w:pPr>
      <w:r w:rsidRPr="00C55AB4">
        <w:rPr>
          <w:spacing w:val="-2"/>
          <w:kern w:val="22"/>
          <w:lang w:val="en-GB"/>
        </w:rPr>
        <w:t xml:space="preserve">Keystone executives also knew that they, as leaders, had an obligation to provide clarity for the business outside of a vision, mission, </w:t>
      </w:r>
      <w:r w:rsidR="00CD1400" w:rsidRPr="00C55AB4">
        <w:rPr>
          <w:spacing w:val="-2"/>
          <w:kern w:val="22"/>
          <w:lang w:val="en-GB"/>
        </w:rPr>
        <w:t xml:space="preserve">and </w:t>
      </w:r>
      <w:r w:rsidRPr="00C55AB4">
        <w:rPr>
          <w:spacing w:val="-2"/>
          <w:kern w:val="22"/>
          <w:lang w:val="en-GB"/>
        </w:rPr>
        <w:t xml:space="preserve">strategy, and they settled on </w:t>
      </w:r>
      <w:r w:rsidR="00924803" w:rsidRPr="00C55AB4">
        <w:rPr>
          <w:spacing w:val="-2"/>
          <w:kern w:val="22"/>
          <w:lang w:val="en-GB"/>
        </w:rPr>
        <w:t>a</w:t>
      </w:r>
      <w:r w:rsidRPr="00C55AB4">
        <w:rPr>
          <w:spacing w:val="-2"/>
          <w:kern w:val="22"/>
          <w:lang w:val="en-GB"/>
        </w:rPr>
        <w:t xml:space="preserve"> motto</w:t>
      </w:r>
      <w:r w:rsidR="00924803" w:rsidRPr="00C55AB4">
        <w:rPr>
          <w:spacing w:val="-2"/>
          <w:kern w:val="22"/>
          <w:lang w:val="en-GB"/>
        </w:rPr>
        <w:t>:</w:t>
      </w:r>
      <w:r w:rsidR="000B0179" w:rsidRPr="00C55AB4">
        <w:rPr>
          <w:spacing w:val="-2"/>
          <w:kern w:val="22"/>
          <w:lang w:val="en-GB"/>
        </w:rPr>
        <w:t xml:space="preserve"> </w:t>
      </w:r>
      <w:r w:rsidRPr="00C55AB4">
        <w:rPr>
          <w:spacing w:val="-2"/>
          <w:kern w:val="22"/>
          <w:lang w:val="en-GB"/>
        </w:rPr>
        <w:t xml:space="preserve">Our </w:t>
      </w:r>
      <w:r w:rsidR="000B0179" w:rsidRPr="00C55AB4">
        <w:rPr>
          <w:spacing w:val="-2"/>
          <w:kern w:val="22"/>
          <w:lang w:val="en-GB"/>
        </w:rPr>
        <w:t>L</w:t>
      </w:r>
      <w:r w:rsidRPr="00C55AB4">
        <w:rPr>
          <w:spacing w:val="-2"/>
          <w:kern w:val="22"/>
          <w:lang w:val="en-GB"/>
        </w:rPr>
        <w:t xml:space="preserve">ife </w:t>
      </w:r>
      <w:r w:rsidR="000B0179" w:rsidRPr="00C55AB4">
        <w:rPr>
          <w:spacing w:val="-2"/>
          <w:kern w:val="22"/>
          <w:lang w:val="en-GB"/>
        </w:rPr>
        <w:t>Is</w:t>
      </w:r>
      <w:r w:rsidRPr="00C55AB4">
        <w:rPr>
          <w:spacing w:val="-2"/>
          <w:kern w:val="22"/>
          <w:lang w:val="en-GB"/>
        </w:rPr>
        <w:t xml:space="preserve"> </w:t>
      </w:r>
      <w:r w:rsidR="000B0179" w:rsidRPr="00C55AB4">
        <w:rPr>
          <w:spacing w:val="-2"/>
          <w:kern w:val="22"/>
          <w:lang w:val="en-GB"/>
        </w:rPr>
        <w:t>Dirt</w:t>
      </w:r>
      <w:r w:rsidR="00D7442F" w:rsidRPr="00C55AB4">
        <w:rPr>
          <w:spacing w:val="-2"/>
          <w:kern w:val="22"/>
          <w:lang w:val="en-GB"/>
        </w:rPr>
        <w:t>.</w:t>
      </w:r>
      <w:r w:rsidRPr="00C55AB4">
        <w:rPr>
          <w:spacing w:val="-2"/>
          <w:kern w:val="22"/>
          <w:lang w:val="en-GB"/>
        </w:rPr>
        <w:t xml:space="preserve"> The team felt it </w:t>
      </w:r>
      <w:r w:rsidR="00A71021">
        <w:rPr>
          <w:spacing w:val="-2"/>
          <w:kern w:val="22"/>
          <w:lang w:val="en-GB"/>
        </w:rPr>
        <w:t>truly</w:t>
      </w:r>
      <w:r w:rsidRPr="00C55AB4">
        <w:rPr>
          <w:spacing w:val="-2"/>
          <w:kern w:val="22"/>
          <w:lang w:val="en-GB"/>
        </w:rPr>
        <w:t xml:space="preserve"> captured the attitude and commitment of the company and the people. They needed the outside world to see what excavators did: Keystone took massive machines</w:t>
      </w:r>
      <w:r w:rsidR="00D7442F" w:rsidRPr="00C55AB4">
        <w:rPr>
          <w:spacing w:val="-2"/>
          <w:kern w:val="22"/>
          <w:lang w:val="en-GB"/>
        </w:rPr>
        <w:t>—</w:t>
      </w:r>
      <w:r w:rsidRPr="00C55AB4">
        <w:rPr>
          <w:spacing w:val="-2"/>
          <w:kern w:val="22"/>
          <w:lang w:val="en-GB"/>
        </w:rPr>
        <w:t>thousands of horsepower</w:t>
      </w:r>
      <w:r w:rsidR="00D7442F" w:rsidRPr="00C55AB4">
        <w:rPr>
          <w:spacing w:val="-2"/>
          <w:kern w:val="22"/>
          <w:lang w:val="en-GB"/>
        </w:rPr>
        <w:t>—</w:t>
      </w:r>
      <w:r w:rsidRPr="00C55AB4">
        <w:rPr>
          <w:spacing w:val="-2"/>
          <w:kern w:val="22"/>
          <w:lang w:val="en-GB"/>
        </w:rPr>
        <w:t>and moved the earth</w:t>
      </w:r>
      <w:r w:rsidR="00D7442F" w:rsidRPr="00C55AB4">
        <w:rPr>
          <w:spacing w:val="-2"/>
          <w:kern w:val="22"/>
          <w:lang w:val="en-GB"/>
        </w:rPr>
        <w:t xml:space="preserve">, </w:t>
      </w:r>
      <w:r w:rsidRPr="00C55AB4">
        <w:rPr>
          <w:spacing w:val="-2"/>
          <w:kern w:val="22"/>
          <w:lang w:val="en-GB"/>
        </w:rPr>
        <w:t>in precise 5-millimet</w:t>
      </w:r>
      <w:r w:rsidR="00A71021">
        <w:rPr>
          <w:spacing w:val="-2"/>
          <w:kern w:val="22"/>
          <w:lang w:val="en-GB"/>
        </w:rPr>
        <w:t>r</w:t>
      </w:r>
      <w:r w:rsidRPr="00C55AB4">
        <w:rPr>
          <w:spacing w:val="-2"/>
          <w:kern w:val="22"/>
          <w:lang w:val="en-GB"/>
        </w:rPr>
        <w:t>e increments</w:t>
      </w:r>
      <w:r w:rsidR="00D7442F" w:rsidRPr="00C55AB4">
        <w:rPr>
          <w:spacing w:val="-2"/>
          <w:kern w:val="22"/>
          <w:lang w:val="en-GB"/>
        </w:rPr>
        <w:t>.</w:t>
      </w:r>
      <w:r w:rsidRPr="00C55AB4">
        <w:rPr>
          <w:spacing w:val="-2"/>
          <w:kern w:val="22"/>
          <w:lang w:val="en-GB"/>
        </w:rPr>
        <w:t xml:space="preserve"> </w:t>
      </w:r>
      <w:r w:rsidR="00D7442F" w:rsidRPr="00C55AB4">
        <w:rPr>
          <w:spacing w:val="-2"/>
          <w:kern w:val="22"/>
          <w:lang w:val="en-GB"/>
        </w:rPr>
        <w:t>E</w:t>
      </w:r>
      <w:r w:rsidRPr="00C55AB4">
        <w:rPr>
          <w:spacing w:val="-2"/>
          <w:kern w:val="22"/>
          <w:lang w:val="en-GB"/>
        </w:rPr>
        <w:t>verything rested on th</w:t>
      </w:r>
      <w:r w:rsidR="00D7442F" w:rsidRPr="00C55AB4">
        <w:rPr>
          <w:spacing w:val="-2"/>
          <w:kern w:val="22"/>
          <w:lang w:val="en-GB"/>
        </w:rPr>
        <w:t>ese</w:t>
      </w:r>
      <w:r w:rsidRPr="00C55AB4">
        <w:rPr>
          <w:spacing w:val="-2"/>
          <w:kern w:val="22"/>
          <w:lang w:val="en-GB"/>
        </w:rPr>
        <w:t xml:space="preserve"> excavation</w:t>
      </w:r>
      <w:r w:rsidR="00D7442F" w:rsidRPr="00C55AB4">
        <w:rPr>
          <w:spacing w:val="-2"/>
          <w:kern w:val="22"/>
          <w:lang w:val="en-GB"/>
        </w:rPr>
        <w:t>s</w:t>
      </w:r>
      <w:r w:rsidRPr="00C55AB4">
        <w:rPr>
          <w:spacing w:val="-2"/>
          <w:kern w:val="22"/>
          <w:lang w:val="en-GB"/>
        </w:rPr>
        <w:t>, both figurative</w:t>
      </w:r>
      <w:r w:rsidR="00D7442F" w:rsidRPr="00C55AB4">
        <w:rPr>
          <w:spacing w:val="-2"/>
          <w:kern w:val="22"/>
          <w:lang w:val="en-GB"/>
        </w:rPr>
        <w:t>ly</w:t>
      </w:r>
      <w:r w:rsidRPr="00C55AB4">
        <w:rPr>
          <w:spacing w:val="-2"/>
          <w:kern w:val="22"/>
          <w:lang w:val="en-GB"/>
        </w:rPr>
        <w:t xml:space="preserve"> and literally. Keystone’s contribution was the first step in any job, and having it done right set up the rest of the project for success. The work could not just be about the lowest bid on a tender</w:t>
      </w:r>
      <w:r w:rsidR="00F02645" w:rsidRPr="00C55AB4">
        <w:rPr>
          <w:spacing w:val="-2"/>
          <w:kern w:val="22"/>
          <w:lang w:val="en-GB"/>
        </w:rPr>
        <w:t>;</w:t>
      </w:r>
      <w:r w:rsidRPr="00C55AB4">
        <w:rPr>
          <w:spacing w:val="-2"/>
          <w:kern w:val="22"/>
          <w:lang w:val="en-GB"/>
        </w:rPr>
        <w:t xml:space="preserve"> it needed to be about more than that</w:t>
      </w:r>
      <w:r w:rsidRPr="002975B0">
        <w:rPr>
          <w:lang w:val="en-GB"/>
        </w:rPr>
        <w:t xml:space="preserve">. </w:t>
      </w:r>
    </w:p>
    <w:p w14:paraId="4EAC77C6" w14:textId="77777777" w:rsidR="00112AEB" w:rsidRPr="002975B0" w:rsidRDefault="00112AEB" w:rsidP="00112AEB">
      <w:pPr>
        <w:spacing w:before="2" w:after="2"/>
        <w:rPr>
          <w:lang w:val="en-GB"/>
        </w:rPr>
      </w:pPr>
    </w:p>
    <w:p w14:paraId="497BBA1A" w14:textId="77777777" w:rsidR="00112AEB" w:rsidRPr="002975B0" w:rsidRDefault="00112AEB" w:rsidP="00112AEB">
      <w:pPr>
        <w:spacing w:before="2" w:after="2"/>
        <w:rPr>
          <w:lang w:val="en-GB"/>
        </w:rPr>
      </w:pPr>
    </w:p>
    <w:p w14:paraId="2A9F42C0" w14:textId="5B931170" w:rsidR="00112AEB" w:rsidRPr="002975B0" w:rsidRDefault="00112AEB" w:rsidP="00594E78">
      <w:pPr>
        <w:pStyle w:val="Casehead1"/>
        <w:rPr>
          <w:lang w:val="en-GB"/>
        </w:rPr>
      </w:pPr>
      <w:r w:rsidRPr="002975B0">
        <w:rPr>
          <w:lang w:val="en-GB"/>
        </w:rPr>
        <w:t>REACTING TO AN ECONOMIC DOWNTURN</w:t>
      </w:r>
      <w:r w:rsidR="00252EE4">
        <w:rPr>
          <w:lang w:val="en-GB"/>
        </w:rPr>
        <w:t xml:space="preserve"> </w:t>
      </w:r>
    </w:p>
    <w:p w14:paraId="3AD08848" w14:textId="77777777" w:rsidR="00112AEB" w:rsidRPr="002975B0" w:rsidRDefault="00112AEB" w:rsidP="00112AEB">
      <w:pPr>
        <w:spacing w:before="2" w:after="2"/>
        <w:rPr>
          <w:lang w:val="en-GB"/>
        </w:rPr>
      </w:pPr>
    </w:p>
    <w:p w14:paraId="6D090566" w14:textId="1DBAC996" w:rsidR="00112AEB" w:rsidRDefault="00112AEB" w:rsidP="00594E78">
      <w:pPr>
        <w:pStyle w:val="BodyTextMain"/>
        <w:rPr>
          <w:lang w:val="en-GB"/>
        </w:rPr>
      </w:pPr>
      <w:r w:rsidRPr="002975B0">
        <w:rPr>
          <w:lang w:val="en-GB"/>
        </w:rPr>
        <w:t>A key leading indicator for the construction industry was the health of the overall economy</w:t>
      </w:r>
      <w:r w:rsidR="00393602">
        <w:rPr>
          <w:lang w:val="en-GB"/>
        </w:rPr>
        <w:t>—</w:t>
      </w:r>
      <w:r w:rsidRPr="002975B0">
        <w:rPr>
          <w:lang w:val="en-GB"/>
        </w:rPr>
        <w:t>specifically</w:t>
      </w:r>
      <w:r w:rsidR="00C02215">
        <w:rPr>
          <w:lang w:val="en-GB"/>
        </w:rPr>
        <w:t>,</w:t>
      </w:r>
      <w:r w:rsidRPr="002975B0">
        <w:rPr>
          <w:lang w:val="en-GB"/>
        </w:rPr>
        <w:t xml:space="preserve"> investment in development and infrastructure. The recession of 2014</w:t>
      </w:r>
      <w:r w:rsidR="00A421EA">
        <w:rPr>
          <w:lang w:val="en-GB"/>
        </w:rPr>
        <w:t>–</w:t>
      </w:r>
      <w:r w:rsidRPr="002975B0">
        <w:rPr>
          <w:lang w:val="en-GB"/>
        </w:rPr>
        <w:t>2016 was like no recession Keystone had ever experienced, and many factors compounded to create a very difficult operating environment. The drastic decrease</w:t>
      </w:r>
      <w:r w:rsidR="00A421EA">
        <w:rPr>
          <w:lang w:val="en-GB"/>
        </w:rPr>
        <w:t xml:space="preserve"> in the</w:t>
      </w:r>
      <w:r w:rsidRPr="002975B0">
        <w:rPr>
          <w:lang w:val="en-GB"/>
        </w:rPr>
        <w:t xml:space="preserve"> price of oil, the contraction of investment in the </w:t>
      </w:r>
      <w:r w:rsidR="00A421EA">
        <w:rPr>
          <w:lang w:val="en-GB"/>
        </w:rPr>
        <w:t>oil</w:t>
      </w:r>
      <w:r w:rsidR="00A71021">
        <w:rPr>
          <w:lang w:val="en-GB"/>
        </w:rPr>
        <w:t xml:space="preserve"> </w:t>
      </w:r>
      <w:r w:rsidR="00A421EA">
        <w:rPr>
          <w:lang w:val="en-GB"/>
        </w:rPr>
        <w:t>and</w:t>
      </w:r>
      <w:r w:rsidR="00A71021">
        <w:rPr>
          <w:lang w:val="en-GB"/>
        </w:rPr>
        <w:t xml:space="preserve"> </w:t>
      </w:r>
      <w:r w:rsidR="00A421EA">
        <w:rPr>
          <w:lang w:val="en-GB"/>
        </w:rPr>
        <w:t>gas</w:t>
      </w:r>
      <w:r w:rsidRPr="002975B0">
        <w:rPr>
          <w:lang w:val="en-GB"/>
        </w:rPr>
        <w:t xml:space="preserve"> sector, and a steadily rising unemployment rate created a negative economic outlook. In addition, the change in provincial and federal governments in 2015 delayed infrastructure spending. These delays caused a ripple effect in the tender cycles, moving project tendering eight to 12 months away from anticipated timing. All of these factors represented a major economic blow to Keystone’s operations, and the executive team and Keystone board were all worried for the company’s future (see Exhibit 3)</w:t>
      </w:r>
      <w:r w:rsidR="00594E78" w:rsidRPr="002975B0">
        <w:rPr>
          <w:lang w:val="en-GB"/>
        </w:rPr>
        <w:t>.</w:t>
      </w:r>
    </w:p>
    <w:p w14:paraId="6C34C2B9" w14:textId="77777777" w:rsidR="00C55AB4" w:rsidRPr="002975B0" w:rsidRDefault="00C55AB4" w:rsidP="00594E78">
      <w:pPr>
        <w:pStyle w:val="BodyTextMain"/>
        <w:rPr>
          <w:lang w:val="en-GB"/>
        </w:rPr>
      </w:pPr>
    </w:p>
    <w:p w14:paraId="25D6D4DD" w14:textId="21D42F13" w:rsidR="00112AEB" w:rsidRPr="002975B0" w:rsidRDefault="00112AEB" w:rsidP="00594E78">
      <w:pPr>
        <w:pStyle w:val="BodyTextMain"/>
        <w:rPr>
          <w:rFonts w:ascii="Times" w:hAnsi="Times" w:cs="Times"/>
          <w:color w:val="000000"/>
          <w:lang w:val="en-GB"/>
        </w:rPr>
      </w:pPr>
      <w:r w:rsidRPr="00C55AB4">
        <w:rPr>
          <w:rFonts w:ascii="Times" w:hAnsi="Times" w:cs="Times"/>
          <w:color w:val="000000"/>
          <w:spacing w:val="-2"/>
          <w:kern w:val="22"/>
          <w:lang w:val="en-GB"/>
        </w:rPr>
        <w:t xml:space="preserve">The concerns regarding changes in governments at both the provincial and </w:t>
      </w:r>
      <w:r w:rsidR="00A71021">
        <w:rPr>
          <w:rFonts w:ascii="Times" w:hAnsi="Times" w:cs="Times"/>
          <w:color w:val="000000"/>
          <w:spacing w:val="-2"/>
          <w:kern w:val="22"/>
          <w:lang w:val="en-GB"/>
        </w:rPr>
        <w:t xml:space="preserve">the </w:t>
      </w:r>
      <w:r w:rsidRPr="00C55AB4">
        <w:rPr>
          <w:rFonts w:ascii="Times" w:hAnsi="Times" w:cs="Times"/>
          <w:color w:val="000000"/>
          <w:spacing w:val="-2"/>
          <w:kern w:val="22"/>
          <w:lang w:val="en-GB"/>
        </w:rPr>
        <w:t>federal level appeared to be justified. In Alberta, the power changed from the Progressive Conservative</w:t>
      </w:r>
      <w:r w:rsidR="00A421EA" w:rsidRPr="00C55AB4">
        <w:rPr>
          <w:rFonts w:ascii="Times" w:hAnsi="Times" w:cs="Times"/>
          <w:color w:val="000000"/>
          <w:spacing w:val="-2"/>
          <w:kern w:val="22"/>
          <w:lang w:val="en-GB"/>
        </w:rPr>
        <w:t xml:space="preserve"> Party</w:t>
      </w:r>
      <w:r w:rsidRPr="00C55AB4">
        <w:rPr>
          <w:rFonts w:ascii="Times" w:hAnsi="Times" w:cs="Times"/>
          <w:color w:val="000000"/>
          <w:spacing w:val="-2"/>
          <w:kern w:val="22"/>
          <w:lang w:val="en-GB"/>
        </w:rPr>
        <w:t xml:space="preserve"> to the New Democratic Party (NDP), and some of the policies expressed by the NDP were not viewed by businesses as good for business. It was feared that climate change policies including a carbon tax, an increase of the corporate tax rate from 10 per cent to 12 per cent, and increases in the minimum wage would deter investors and businesses from investing in Alberta. The lack of confidence from investors and a lack of in-migration to Alberta affected the demand for new construction projects and created a bleak economic outlook for Keystone</w:t>
      </w:r>
      <w:r w:rsidR="00594E78" w:rsidRPr="002975B0">
        <w:rPr>
          <w:rFonts w:ascii="Times" w:hAnsi="Times" w:cs="Times"/>
          <w:color w:val="000000"/>
          <w:lang w:val="en-GB"/>
        </w:rPr>
        <w:t>.</w:t>
      </w:r>
    </w:p>
    <w:p w14:paraId="3DB0DD7B" w14:textId="6C07AD76" w:rsidR="00112AEB" w:rsidRPr="002975B0" w:rsidRDefault="00112AEB" w:rsidP="00594E78">
      <w:pPr>
        <w:pStyle w:val="BodyTextMain"/>
        <w:rPr>
          <w:rFonts w:ascii="Times" w:hAnsi="Times" w:cs="Times"/>
          <w:color w:val="000000"/>
          <w:lang w:val="en-GB"/>
        </w:rPr>
      </w:pPr>
      <w:r w:rsidRPr="00C55AB4">
        <w:rPr>
          <w:rFonts w:ascii="Times" w:hAnsi="Times" w:cs="Times"/>
          <w:color w:val="000000"/>
          <w:spacing w:val="-2"/>
          <w:kern w:val="22"/>
          <w:lang w:val="en-GB"/>
        </w:rPr>
        <w:lastRenderedPageBreak/>
        <w:t xml:space="preserve">The recession also compressed the value of heavy construction equipment (also known as “yellow iron”). The value of yellow iron typically held well and was often seen as a source of financing for </w:t>
      </w:r>
      <w:r w:rsidR="00767E65" w:rsidRPr="00C55AB4">
        <w:rPr>
          <w:rFonts w:ascii="Times" w:hAnsi="Times" w:cs="Times"/>
          <w:color w:val="000000"/>
          <w:spacing w:val="-2"/>
          <w:kern w:val="22"/>
          <w:lang w:val="en-GB"/>
        </w:rPr>
        <w:t>heavy-equipment</w:t>
      </w:r>
      <w:r w:rsidRPr="00C55AB4">
        <w:rPr>
          <w:rFonts w:ascii="Times" w:hAnsi="Times" w:cs="Times"/>
          <w:color w:val="000000"/>
          <w:spacing w:val="-2"/>
          <w:kern w:val="22"/>
          <w:lang w:val="en-GB"/>
        </w:rPr>
        <w:t xml:space="preserve"> companies, including Keystone. When the recession began, other </w:t>
      </w:r>
      <w:r w:rsidR="00F02645" w:rsidRPr="00C55AB4">
        <w:rPr>
          <w:rFonts w:ascii="Times" w:hAnsi="Times" w:cs="Times"/>
          <w:color w:val="000000"/>
          <w:spacing w:val="-2"/>
          <w:kern w:val="22"/>
          <w:lang w:val="en-GB"/>
        </w:rPr>
        <w:t>civil</w:t>
      </w:r>
      <w:r w:rsidR="00A71021">
        <w:rPr>
          <w:rFonts w:ascii="Times" w:hAnsi="Times" w:cs="Times"/>
          <w:color w:val="000000"/>
          <w:spacing w:val="-2"/>
          <w:kern w:val="22"/>
          <w:lang w:val="en-GB"/>
        </w:rPr>
        <w:t xml:space="preserve"> </w:t>
      </w:r>
      <w:r w:rsidR="00F02645" w:rsidRPr="00C55AB4">
        <w:rPr>
          <w:rFonts w:ascii="Times" w:hAnsi="Times" w:cs="Times"/>
          <w:color w:val="000000"/>
          <w:spacing w:val="-2"/>
          <w:kern w:val="22"/>
          <w:lang w:val="en-GB"/>
        </w:rPr>
        <w:t>earthworks</w:t>
      </w:r>
      <w:r w:rsidR="00767E65" w:rsidRPr="00C55AB4">
        <w:rPr>
          <w:rFonts w:ascii="Times" w:hAnsi="Times" w:cs="Times"/>
          <w:color w:val="000000"/>
          <w:spacing w:val="-2"/>
          <w:kern w:val="22"/>
          <w:lang w:val="en-GB"/>
        </w:rPr>
        <w:t xml:space="preserve"> </w:t>
      </w:r>
      <w:r w:rsidRPr="00C55AB4">
        <w:rPr>
          <w:rFonts w:ascii="Times" w:hAnsi="Times" w:cs="Times"/>
          <w:color w:val="000000"/>
          <w:spacing w:val="-2"/>
          <w:kern w:val="22"/>
          <w:lang w:val="en-GB"/>
        </w:rPr>
        <w:t>companies started to sell off their equipment. But yellow iron was selling at very low</w:t>
      </w:r>
      <w:r w:rsidR="00F02645" w:rsidRPr="00C55AB4">
        <w:rPr>
          <w:rFonts w:ascii="Times" w:hAnsi="Times" w:cs="Times"/>
          <w:color w:val="000000"/>
          <w:spacing w:val="-2"/>
          <w:kern w:val="22"/>
          <w:lang w:val="en-GB"/>
        </w:rPr>
        <w:t>—</w:t>
      </w:r>
      <w:r w:rsidRPr="00C55AB4">
        <w:rPr>
          <w:rFonts w:ascii="Times" w:hAnsi="Times" w:cs="Times"/>
          <w:color w:val="000000"/>
          <w:spacing w:val="-2"/>
          <w:kern w:val="22"/>
          <w:lang w:val="en-GB"/>
        </w:rPr>
        <w:t>almost cost</w:t>
      </w:r>
      <w:r w:rsidR="00F02645" w:rsidRPr="00C55AB4">
        <w:rPr>
          <w:rFonts w:ascii="Times" w:hAnsi="Times" w:cs="Times"/>
          <w:color w:val="000000"/>
          <w:spacing w:val="-2"/>
          <w:kern w:val="22"/>
          <w:lang w:val="en-GB"/>
        </w:rPr>
        <w:t>—</w:t>
      </w:r>
      <w:r w:rsidRPr="00C55AB4">
        <w:rPr>
          <w:rFonts w:ascii="Times" w:hAnsi="Times" w:cs="Times"/>
          <w:color w:val="000000"/>
          <w:spacing w:val="-2"/>
          <w:kern w:val="22"/>
          <w:lang w:val="en-GB"/>
        </w:rPr>
        <w:t xml:space="preserve">values when the downturn started in 2014 and plunged again in 2015 when </w:t>
      </w:r>
      <w:r w:rsidR="00190DFA" w:rsidRPr="00C55AB4">
        <w:rPr>
          <w:rFonts w:ascii="Times" w:hAnsi="Times" w:cs="Times"/>
          <w:color w:val="000000"/>
          <w:spacing w:val="-2"/>
          <w:kern w:val="22"/>
          <w:lang w:val="en-GB"/>
        </w:rPr>
        <w:t>oil</w:t>
      </w:r>
      <w:r w:rsidR="00A71021">
        <w:rPr>
          <w:rFonts w:ascii="Times" w:hAnsi="Times" w:cs="Times"/>
          <w:color w:val="000000"/>
          <w:spacing w:val="-2"/>
          <w:kern w:val="22"/>
          <w:lang w:val="en-GB"/>
        </w:rPr>
        <w:t xml:space="preserve"> </w:t>
      </w:r>
      <w:r w:rsidR="00190DFA" w:rsidRPr="00C55AB4">
        <w:rPr>
          <w:rFonts w:ascii="Times" w:hAnsi="Times" w:cs="Times"/>
          <w:color w:val="000000"/>
          <w:spacing w:val="-2"/>
          <w:kern w:val="22"/>
          <w:lang w:val="en-GB"/>
        </w:rPr>
        <w:t>and</w:t>
      </w:r>
      <w:r w:rsidR="00A71021">
        <w:rPr>
          <w:rFonts w:ascii="Times" w:hAnsi="Times" w:cs="Times"/>
          <w:color w:val="000000"/>
          <w:spacing w:val="-2"/>
          <w:kern w:val="22"/>
          <w:lang w:val="en-GB"/>
        </w:rPr>
        <w:t xml:space="preserve"> </w:t>
      </w:r>
      <w:r w:rsidR="00190DFA" w:rsidRPr="00C55AB4">
        <w:rPr>
          <w:rFonts w:ascii="Times" w:hAnsi="Times" w:cs="Times"/>
          <w:color w:val="000000"/>
          <w:spacing w:val="-2"/>
          <w:kern w:val="22"/>
          <w:lang w:val="en-GB"/>
        </w:rPr>
        <w:t>gas</w:t>
      </w:r>
      <w:r w:rsidRPr="00C55AB4">
        <w:rPr>
          <w:rFonts w:ascii="Times" w:hAnsi="Times" w:cs="Times"/>
          <w:color w:val="000000"/>
          <w:spacing w:val="-2"/>
          <w:kern w:val="22"/>
          <w:lang w:val="en-GB"/>
        </w:rPr>
        <w:t xml:space="preserve"> projects stopped or </w:t>
      </w:r>
      <w:r w:rsidR="00190DFA" w:rsidRPr="00C55AB4">
        <w:rPr>
          <w:rFonts w:ascii="Times" w:hAnsi="Times" w:cs="Times"/>
          <w:color w:val="000000"/>
          <w:spacing w:val="-2"/>
          <w:kern w:val="22"/>
          <w:lang w:val="en-GB"/>
        </w:rPr>
        <w:t xml:space="preserve">decreased </w:t>
      </w:r>
      <w:r w:rsidRPr="00C55AB4">
        <w:rPr>
          <w:rFonts w:ascii="Times" w:hAnsi="Times" w:cs="Times"/>
          <w:color w:val="000000"/>
          <w:spacing w:val="-2"/>
          <w:kern w:val="22"/>
          <w:lang w:val="en-GB"/>
        </w:rPr>
        <w:t>production. In 2015, equipment auctioneers were so busy that they expanded their sales lots. Most of the equipment was sold to buyers outside of Alberta</w:t>
      </w:r>
      <w:r w:rsidR="00F02645" w:rsidRPr="00C55AB4">
        <w:rPr>
          <w:rFonts w:ascii="Times" w:hAnsi="Times" w:cs="Times"/>
          <w:color w:val="000000"/>
          <w:spacing w:val="-2"/>
          <w:kern w:val="22"/>
          <w:lang w:val="en-GB"/>
        </w:rPr>
        <w:t>—</w:t>
      </w:r>
      <w:r w:rsidRPr="00C55AB4">
        <w:rPr>
          <w:rFonts w:ascii="Times" w:hAnsi="Times" w:cs="Times"/>
          <w:color w:val="000000"/>
          <w:spacing w:val="-2"/>
          <w:kern w:val="22"/>
          <w:lang w:val="en-GB"/>
        </w:rPr>
        <w:t xml:space="preserve">primarily, </w:t>
      </w:r>
      <w:r w:rsidR="00190DFA" w:rsidRPr="00C55AB4">
        <w:rPr>
          <w:rFonts w:ascii="Times" w:hAnsi="Times" w:cs="Times"/>
          <w:color w:val="000000"/>
          <w:spacing w:val="-2"/>
          <w:kern w:val="22"/>
          <w:lang w:val="en-GB"/>
        </w:rPr>
        <w:t>in the U</w:t>
      </w:r>
      <w:r w:rsidR="00A71021">
        <w:rPr>
          <w:rFonts w:ascii="Times" w:hAnsi="Times" w:cs="Times"/>
          <w:color w:val="000000"/>
          <w:spacing w:val="-2"/>
          <w:kern w:val="22"/>
          <w:lang w:val="en-GB"/>
        </w:rPr>
        <w:t xml:space="preserve">nited </w:t>
      </w:r>
      <w:r w:rsidR="00190DFA" w:rsidRPr="00C55AB4">
        <w:rPr>
          <w:rFonts w:ascii="Times" w:hAnsi="Times" w:cs="Times"/>
          <w:color w:val="000000"/>
          <w:spacing w:val="-2"/>
          <w:kern w:val="22"/>
          <w:lang w:val="en-GB"/>
        </w:rPr>
        <w:t>S</w:t>
      </w:r>
      <w:r w:rsidR="00A71021">
        <w:rPr>
          <w:rFonts w:ascii="Times" w:hAnsi="Times" w:cs="Times"/>
          <w:color w:val="000000"/>
          <w:spacing w:val="-2"/>
          <w:kern w:val="22"/>
          <w:lang w:val="en-GB"/>
        </w:rPr>
        <w:t>tates</w:t>
      </w:r>
      <w:r w:rsidRPr="00C55AB4">
        <w:rPr>
          <w:rFonts w:ascii="Times" w:hAnsi="Times" w:cs="Times"/>
          <w:color w:val="000000"/>
          <w:spacing w:val="-2"/>
          <w:kern w:val="22"/>
          <w:lang w:val="en-GB"/>
        </w:rPr>
        <w:t xml:space="preserve">, </w:t>
      </w:r>
      <w:r w:rsidR="00190DFA" w:rsidRPr="00C55AB4">
        <w:rPr>
          <w:rFonts w:ascii="Times" w:hAnsi="Times" w:cs="Times"/>
          <w:color w:val="000000"/>
          <w:spacing w:val="-2"/>
          <w:kern w:val="22"/>
          <w:lang w:val="en-GB"/>
        </w:rPr>
        <w:t xml:space="preserve">the </w:t>
      </w:r>
      <w:r w:rsidRPr="00C55AB4">
        <w:rPr>
          <w:rFonts w:ascii="Times" w:hAnsi="Times" w:cs="Times"/>
          <w:color w:val="000000"/>
          <w:spacing w:val="-2"/>
          <w:kern w:val="22"/>
          <w:lang w:val="en-GB"/>
        </w:rPr>
        <w:t>Middle East, and other Canadian provinces</w:t>
      </w:r>
      <w:r w:rsidRPr="002975B0">
        <w:rPr>
          <w:rFonts w:ascii="Times" w:hAnsi="Times" w:cs="Times"/>
          <w:color w:val="000000"/>
          <w:lang w:val="en-GB"/>
        </w:rPr>
        <w:t xml:space="preserve">. </w:t>
      </w:r>
    </w:p>
    <w:p w14:paraId="452D7E31" w14:textId="77777777" w:rsidR="00112AEB" w:rsidRPr="00C55AB4" w:rsidRDefault="00112AEB" w:rsidP="00594E78">
      <w:pPr>
        <w:pStyle w:val="BodyTextMain"/>
        <w:rPr>
          <w:rFonts w:ascii="Times" w:hAnsi="Times" w:cs="Times"/>
          <w:color w:val="000000"/>
          <w:sz w:val="20"/>
          <w:lang w:val="en-GB"/>
        </w:rPr>
      </w:pPr>
    </w:p>
    <w:p w14:paraId="7D4EF4B7" w14:textId="2F724055" w:rsidR="00112AEB" w:rsidRPr="002975B0" w:rsidRDefault="00112AEB" w:rsidP="00594E78">
      <w:pPr>
        <w:pStyle w:val="BodyTextMain"/>
        <w:rPr>
          <w:lang w:val="en-GB"/>
        </w:rPr>
      </w:pPr>
      <w:r w:rsidRPr="002975B0">
        <w:rPr>
          <w:rFonts w:ascii="Times" w:hAnsi="Times" w:cs="Times"/>
          <w:color w:val="000000"/>
          <w:lang w:val="en-GB"/>
        </w:rPr>
        <w:t>In 2016, there was still a demand for used equipment outside of Alberta</w:t>
      </w:r>
      <w:r w:rsidR="00190DFA">
        <w:rPr>
          <w:rFonts w:ascii="Times" w:hAnsi="Times" w:cs="Times"/>
          <w:color w:val="000000"/>
          <w:lang w:val="en-GB"/>
        </w:rPr>
        <w:t>,</w:t>
      </w:r>
      <w:r w:rsidRPr="002975B0">
        <w:rPr>
          <w:rFonts w:ascii="Times" w:hAnsi="Times" w:cs="Times"/>
          <w:color w:val="000000"/>
          <w:lang w:val="en-GB"/>
        </w:rPr>
        <w:t xml:space="preserve"> as the recession had not been as significant in other parts of Canada or</w:t>
      </w:r>
      <w:r w:rsidR="00190DFA">
        <w:rPr>
          <w:rFonts w:ascii="Times" w:hAnsi="Times" w:cs="Times"/>
          <w:color w:val="000000"/>
          <w:lang w:val="en-GB"/>
        </w:rPr>
        <w:t xml:space="preserve"> in</w:t>
      </w:r>
      <w:r w:rsidRPr="002975B0">
        <w:rPr>
          <w:rFonts w:ascii="Times" w:hAnsi="Times" w:cs="Times"/>
          <w:color w:val="000000"/>
          <w:lang w:val="en-GB"/>
        </w:rPr>
        <w:t xml:space="preserve"> the </w:t>
      </w:r>
      <w:r w:rsidR="00190DFA">
        <w:rPr>
          <w:rFonts w:ascii="Times" w:hAnsi="Times" w:cs="Times"/>
          <w:color w:val="000000"/>
          <w:lang w:val="en-GB"/>
        </w:rPr>
        <w:t>U</w:t>
      </w:r>
      <w:r w:rsidR="00A71021">
        <w:rPr>
          <w:rFonts w:ascii="Times" w:hAnsi="Times" w:cs="Times"/>
          <w:color w:val="000000"/>
          <w:lang w:val="en-GB"/>
        </w:rPr>
        <w:t xml:space="preserve">nited </w:t>
      </w:r>
      <w:r w:rsidR="00190DFA">
        <w:rPr>
          <w:rFonts w:ascii="Times" w:hAnsi="Times" w:cs="Times"/>
          <w:color w:val="000000"/>
          <w:lang w:val="en-GB"/>
        </w:rPr>
        <w:t>S</w:t>
      </w:r>
      <w:r w:rsidR="00A71021">
        <w:rPr>
          <w:rFonts w:ascii="Times" w:hAnsi="Times" w:cs="Times"/>
          <w:color w:val="000000"/>
          <w:lang w:val="en-GB"/>
        </w:rPr>
        <w:t>tates</w:t>
      </w:r>
      <w:r w:rsidRPr="002975B0">
        <w:rPr>
          <w:rFonts w:ascii="Times" w:hAnsi="Times" w:cs="Times"/>
          <w:color w:val="000000"/>
          <w:lang w:val="en-GB"/>
        </w:rPr>
        <w:t>. The unloading of heavy construction equipment left an equipment deficit in Alberta</w:t>
      </w:r>
      <w:r w:rsidR="00F02645">
        <w:rPr>
          <w:rFonts w:ascii="Times" w:hAnsi="Times" w:cs="Times"/>
          <w:color w:val="000000"/>
          <w:lang w:val="en-GB"/>
        </w:rPr>
        <w:t xml:space="preserve">. </w:t>
      </w:r>
      <w:r w:rsidRPr="002975B0">
        <w:rPr>
          <w:rFonts w:ascii="Times" w:hAnsi="Times" w:cs="Times"/>
          <w:color w:val="000000"/>
          <w:lang w:val="en-GB"/>
        </w:rPr>
        <w:t>Keystone</w:t>
      </w:r>
      <w:r w:rsidR="00F02645">
        <w:rPr>
          <w:rFonts w:ascii="Times" w:hAnsi="Times" w:cs="Times"/>
          <w:color w:val="000000"/>
          <w:lang w:val="en-GB"/>
        </w:rPr>
        <w:t>, however,</w:t>
      </w:r>
      <w:r w:rsidRPr="002975B0">
        <w:rPr>
          <w:rFonts w:ascii="Times" w:hAnsi="Times" w:cs="Times"/>
          <w:color w:val="000000"/>
          <w:lang w:val="en-GB"/>
        </w:rPr>
        <w:t xml:space="preserve"> still had over </w:t>
      </w:r>
      <w:r w:rsidR="00A71021">
        <w:rPr>
          <w:rFonts w:ascii="Times" w:hAnsi="Times" w:cs="Times"/>
          <w:color w:val="000000"/>
          <w:lang w:val="en-GB"/>
        </w:rPr>
        <w:t>100</w:t>
      </w:r>
      <w:r w:rsidRPr="002975B0">
        <w:rPr>
          <w:rFonts w:ascii="Times" w:hAnsi="Times" w:cs="Times"/>
          <w:color w:val="000000"/>
          <w:lang w:val="en-GB"/>
        </w:rPr>
        <w:t xml:space="preserve"> pieces. </w:t>
      </w:r>
      <w:r w:rsidRPr="002975B0">
        <w:rPr>
          <w:lang w:val="en-GB"/>
        </w:rPr>
        <w:t xml:space="preserve">Keystone consulted with Alberta-based </w:t>
      </w:r>
      <w:r w:rsidR="00004536">
        <w:rPr>
          <w:lang w:val="en-GB"/>
        </w:rPr>
        <w:t>professional</w:t>
      </w:r>
      <w:r w:rsidR="00A71021">
        <w:rPr>
          <w:lang w:val="en-GB"/>
        </w:rPr>
        <w:t xml:space="preserve"> </w:t>
      </w:r>
      <w:r w:rsidR="00004536">
        <w:rPr>
          <w:lang w:val="en-GB"/>
        </w:rPr>
        <w:t>services</w:t>
      </w:r>
      <w:r w:rsidRPr="002975B0">
        <w:rPr>
          <w:lang w:val="en-GB"/>
        </w:rPr>
        <w:t xml:space="preserve"> companies about the price of yellow iron, its movement, and the available inventory of the construction equipment. </w:t>
      </w:r>
      <w:r w:rsidR="00A71021">
        <w:rPr>
          <w:lang w:val="en-GB"/>
        </w:rPr>
        <w:t>It</w:t>
      </w:r>
      <w:r w:rsidRPr="002975B0">
        <w:rPr>
          <w:lang w:val="en-GB"/>
        </w:rPr>
        <w:t xml:space="preserve"> concluded that there was a deficit in inventory </w:t>
      </w:r>
      <w:r w:rsidR="00004536">
        <w:rPr>
          <w:lang w:val="en-GB"/>
        </w:rPr>
        <w:t>that</w:t>
      </w:r>
      <w:r w:rsidR="00004536" w:rsidRPr="002975B0">
        <w:rPr>
          <w:lang w:val="en-GB"/>
        </w:rPr>
        <w:t xml:space="preserve"> </w:t>
      </w:r>
      <w:r w:rsidRPr="002975B0">
        <w:rPr>
          <w:lang w:val="en-GB"/>
        </w:rPr>
        <w:t xml:space="preserve">would bring a premium in pricing should the economy bounce back. </w:t>
      </w:r>
    </w:p>
    <w:p w14:paraId="590F054B" w14:textId="77777777" w:rsidR="00112AEB" w:rsidRPr="002975B0" w:rsidRDefault="00112AEB" w:rsidP="00112AEB">
      <w:pPr>
        <w:spacing w:before="2" w:after="2"/>
        <w:rPr>
          <w:rFonts w:ascii="Times" w:hAnsi="Times" w:cs="Times"/>
          <w:color w:val="000000"/>
          <w:lang w:val="en-GB"/>
        </w:rPr>
      </w:pPr>
    </w:p>
    <w:p w14:paraId="304AEEFB" w14:textId="77777777" w:rsidR="00112AEB" w:rsidRPr="002975B0" w:rsidRDefault="00112AEB" w:rsidP="00112AEB">
      <w:pPr>
        <w:spacing w:before="2" w:after="2"/>
        <w:rPr>
          <w:rFonts w:ascii="Times" w:hAnsi="Times" w:cs="Times"/>
          <w:color w:val="000000"/>
          <w:lang w:val="en-GB"/>
        </w:rPr>
      </w:pPr>
    </w:p>
    <w:p w14:paraId="45BED9C4" w14:textId="77777777" w:rsidR="00112AEB" w:rsidRPr="002975B0" w:rsidRDefault="00112AEB" w:rsidP="00594E78">
      <w:pPr>
        <w:pStyle w:val="Casehead1"/>
        <w:rPr>
          <w:lang w:val="en-GB"/>
        </w:rPr>
      </w:pPr>
      <w:r w:rsidRPr="002975B0">
        <w:rPr>
          <w:lang w:val="en-GB"/>
        </w:rPr>
        <w:t xml:space="preserve">CLINICAL DECISION MAKING </w:t>
      </w:r>
    </w:p>
    <w:p w14:paraId="45B51217" w14:textId="77777777" w:rsidR="00112AEB" w:rsidRPr="002975B0" w:rsidRDefault="00112AEB" w:rsidP="00112AEB">
      <w:pPr>
        <w:spacing w:before="2" w:after="2"/>
        <w:rPr>
          <w:lang w:val="en-GB"/>
        </w:rPr>
      </w:pPr>
    </w:p>
    <w:p w14:paraId="4E83C6AF" w14:textId="59E9B0BF" w:rsidR="00112AEB" w:rsidRPr="002975B0" w:rsidRDefault="00112AEB" w:rsidP="00594E78">
      <w:pPr>
        <w:pStyle w:val="BodyTextMain"/>
        <w:rPr>
          <w:lang w:val="en-GB"/>
        </w:rPr>
      </w:pPr>
      <w:r w:rsidRPr="002975B0">
        <w:rPr>
          <w:lang w:val="en-GB"/>
        </w:rPr>
        <w:t>The economy, however, did not seem to be bouncing back. Keystone had not won a new contract from November 2015 to April 2016, and fewer and fewer new tenders were</w:t>
      </w:r>
      <w:r w:rsidR="00014D16">
        <w:rPr>
          <w:lang w:val="en-GB"/>
        </w:rPr>
        <w:t xml:space="preserve"> being</w:t>
      </w:r>
      <w:r w:rsidRPr="002975B0">
        <w:rPr>
          <w:lang w:val="en-GB"/>
        </w:rPr>
        <w:t xml:space="preserve"> issued. Other companies were responding to the downturn</w:t>
      </w:r>
      <w:r w:rsidR="0035521C" w:rsidRPr="002975B0">
        <w:rPr>
          <w:lang w:val="en-GB"/>
        </w:rPr>
        <w:t xml:space="preserve"> with various retrenchment strategies and</w:t>
      </w:r>
      <w:r w:rsidRPr="002975B0">
        <w:rPr>
          <w:lang w:val="en-GB"/>
        </w:rPr>
        <w:t xml:space="preserve"> regrouping within their respective businesses. As a result, there were more competitors bidding for less work. The pricing of the work was 28 per cent to 38 per cent below market value. There were even outlier tenders that were completed at 47 per cent below the next highest bid. The margins earned over the period of November 2015 to early 2016 decreased by 32 per cent.</w:t>
      </w:r>
    </w:p>
    <w:p w14:paraId="306A089C" w14:textId="77777777" w:rsidR="00112AEB" w:rsidRPr="00C55AB4" w:rsidRDefault="00112AEB" w:rsidP="00594E78">
      <w:pPr>
        <w:pStyle w:val="BodyTextMain"/>
        <w:rPr>
          <w:sz w:val="20"/>
          <w:lang w:val="en-GB"/>
        </w:rPr>
      </w:pPr>
    </w:p>
    <w:p w14:paraId="6ED904C3" w14:textId="13D8CD92" w:rsidR="00112AEB" w:rsidRDefault="00112AEB" w:rsidP="00594E78">
      <w:pPr>
        <w:pStyle w:val="BodyTextMain"/>
        <w:rPr>
          <w:lang w:val="en-GB"/>
        </w:rPr>
      </w:pPr>
      <w:r w:rsidRPr="002975B0">
        <w:rPr>
          <w:lang w:val="en-GB"/>
        </w:rPr>
        <w:t>In September</w:t>
      </w:r>
      <w:r w:rsidR="00714E31">
        <w:rPr>
          <w:lang w:val="en-GB"/>
        </w:rPr>
        <w:t xml:space="preserve"> </w:t>
      </w:r>
      <w:r w:rsidRPr="002975B0">
        <w:rPr>
          <w:lang w:val="en-GB"/>
        </w:rPr>
        <w:t xml:space="preserve">2016, </w:t>
      </w:r>
      <w:proofErr w:type="spellStart"/>
      <w:r w:rsidRPr="002975B0">
        <w:rPr>
          <w:lang w:val="en-GB"/>
        </w:rPr>
        <w:t>Lalli</w:t>
      </w:r>
      <w:proofErr w:type="spellEnd"/>
      <w:r w:rsidRPr="002975B0">
        <w:rPr>
          <w:lang w:val="en-GB"/>
        </w:rPr>
        <w:t xml:space="preserve"> </w:t>
      </w:r>
      <w:r w:rsidR="00A71021">
        <w:rPr>
          <w:lang w:val="en-GB"/>
        </w:rPr>
        <w:t>realized</w:t>
      </w:r>
      <w:r w:rsidRPr="002975B0">
        <w:rPr>
          <w:lang w:val="en-GB"/>
        </w:rPr>
        <w:t xml:space="preserve"> she needed to consider the company’s options. </w:t>
      </w:r>
      <w:r w:rsidR="00DB7D46">
        <w:rPr>
          <w:lang w:val="en-GB"/>
        </w:rPr>
        <w:t>Keystone</w:t>
      </w:r>
      <w:r w:rsidRPr="002975B0">
        <w:rPr>
          <w:lang w:val="en-GB"/>
        </w:rPr>
        <w:t xml:space="preserve"> was already in </w:t>
      </w:r>
      <w:r w:rsidR="00A71021">
        <w:rPr>
          <w:lang w:val="en-GB"/>
        </w:rPr>
        <w:t>a</w:t>
      </w:r>
      <w:r w:rsidRPr="002975B0">
        <w:rPr>
          <w:lang w:val="en-GB"/>
        </w:rPr>
        <w:t xml:space="preserve"> deficit for 2016 and looking at an even greater deficit based on the 2017 forecast (see Exhibit 4). The future looked bleak. </w:t>
      </w:r>
      <w:proofErr w:type="spellStart"/>
      <w:r w:rsidRPr="002975B0">
        <w:rPr>
          <w:lang w:val="en-GB"/>
        </w:rPr>
        <w:t>Lalli</w:t>
      </w:r>
      <w:proofErr w:type="spellEnd"/>
      <w:r w:rsidRPr="002975B0">
        <w:rPr>
          <w:lang w:val="en-GB"/>
        </w:rPr>
        <w:t xml:space="preserve"> considered </w:t>
      </w:r>
      <w:r w:rsidR="006C796A" w:rsidRPr="002975B0">
        <w:rPr>
          <w:lang w:val="en-GB"/>
        </w:rPr>
        <w:t xml:space="preserve">divesting by </w:t>
      </w:r>
      <w:r w:rsidRPr="002975B0">
        <w:rPr>
          <w:lang w:val="en-GB"/>
        </w:rPr>
        <w:t>closing the Edmonton office and reducing the Calgary office</w:t>
      </w:r>
      <w:r w:rsidR="001B62F5">
        <w:rPr>
          <w:lang w:val="en-GB"/>
        </w:rPr>
        <w:t>,</w:t>
      </w:r>
      <w:r w:rsidRPr="002975B0">
        <w:rPr>
          <w:lang w:val="en-GB"/>
        </w:rPr>
        <w:t xml:space="preserve"> </w:t>
      </w:r>
      <w:r w:rsidR="001B62F5">
        <w:rPr>
          <w:lang w:val="en-GB"/>
        </w:rPr>
        <w:t>e</w:t>
      </w:r>
      <w:r w:rsidRPr="002975B0">
        <w:rPr>
          <w:lang w:val="en-GB"/>
        </w:rPr>
        <w:t xml:space="preserve">xiting the residential market </w:t>
      </w:r>
      <w:r w:rsidR="00DB7D46">
        <w:rPr>
          <w:lang w:val="en-GB"/>
        </w:rPr>
        <w:t>(</w:t>
      </w:r>
      <w:r w:rsidRPr="002975B0">
        <w:rPr>
          <w:lang w:val="en-GB"/>
        </w:rPr>
        <w:t>except for two legacy clients</w:t>
      </w:r>
      <w:r w:rsidR="00DB7D46">
        <w:rPr>
          <w:lang w:val="en-GB"/>
        </w:rPr>
        <w:t>),</w:t>
      </w:r>
      <w:r w:rsidRPr="002975B0">
        <w:rPr>
          <w:lang w:val="en-GB"/>
        </w:rPr>
        <w:t xml:space="preserve"> entering the </w:t>
      </w:r>
      <w:r w:rsidR="00DB7D46">
        <w:rPr>
          <w:lang w:val="en-GB"/>
        </w:rPr>
        <w:t>environmental</w:t>
      </w:r>
      <w:r w:rsidR="00A71021">
        <w:rPr>
          <w:lang w:val="en-GB"/>
        </w:rPr>
        <w:t xml:space="preserve"> </w:t>
      </w:r>
      <w:r w:rsidR="00DB7D46">
        <w:rPr>
          <w:lang w:val="en-GB"/>
        </w:rPr>
        <w:t>reclamation industry</w:t>
      </w:r>
      <w:r w:rsidRPr="002975B0">
        <w:rPr>
          <w:lang w:val="en-GB"/>
        </w:rPr>
        <w:t xml:space="preserve"> with an additional capital commitment</w:t>
      </w:r>
      <w:r w:rsidR="00DB7D46">
        <w:rPr>
          <w:lang w:val="en-GB"/>
        </w:rPr>
        <w:t>,</w:t>
      </w:r>
      <w:r w:rsidRPr="002975B0">
        <w:rPr>
          <w:lang w:val="en-GB"/>
        </w:rPr>
        <w:t xml:space="preserve"> or placing the entire company in the marketplace as a sale of a </w:t>
      </w:r>
      <w:r w:rsidR="0025226D">
        <w:rPr>
          <w:lang w:val="en-GB"/>
        </w:rPr>
        <w:t xml:space="preserve">business as a </w:t>
      </w:r>
      <w:r w:rsidRPr="002975B0">
        <w:rPr>
          <w:lang w:val="en-GB"/>
        </w:rPr>
        <w:t xml:space="preserve">going concern. Alternatively, she considered </w:t>
      </w:r>
      <w:r w:rsidR="006C796A" w:rsidRPr="002975B0">
        <w:rPr>
          <w:lang w:val="en-GB"/>
        </w:rPr>
        <w:t xml:space="preserve">liquidating and </w:t>
      </w:r>
      <w:r w:rsidRPr="002975B0">
        <w:rPr>
          <w:lang w:val="en-GB"/>
        </w:rPr>
        <w:t xml:space="preserve">proceeding with a sale of assets. Even though </w:t>
      </w:r>
      <w:proofErr w:type="spellStart"/>
      <w:r w:rsidRPr="002975B0">
        <w:rPr>
          <w:lang w:val="en-GB"/>
        </w:rPr>
        <w:t>Lalli</w:t>
      </w:r>
      <w:proofErr w:type="spellEnd"/>
      <w:r w:rsidRPr="002975B0">
        <w:rPr>
          <w:lang w:val="en-GB"/>
        </w:rPr>
        <w:t xml:space="preserve"> knew that she would be working her way out of a job, she felt that a sale of assets and closure was the correct decision</w:t>
      </w:r>
      <w:r w:rsidR="0025226D">
        <w:rPr>
          <w:lang w:val="en-GB"/>
        </w:rPr>
        <w:t>—</w:t>
      </w:r>
      <w:r w:rsidRPr="002975B0">
        <w:rPr>
          <w:lang w:val="en-GB"/>
        </w:rPr>
        <w:t xml:space="preserve">but how could </w:t>
      </w:r>
      <w:proofErr w:type="spellStart"/>
      <w:r w:rsidRPr="002975B0">
        <w:rPr>
          <w:lang w:val="en-GB"/>
        </w:rPr>
        <w:t>Lalli</w:t>
      </w:r>
      <w:proofErr w:type="spellEnd"/>
      <w:r w:rsidRPr="002975B0">
        <w:rPr>
          <w:lang w:val="en-GB"/>
        </w:rPr>
        <w:t xml:space="preserve"> cease operations </w:t>
      </w:r>
      <w:r w:rsidR="00B2633F">
        <w:rPr>
          <w:lang w:val="en-GB"/>
        </w:rPr>
        <w:t>while</w:t>
      </w:r>
      <w:r w:rsidRPr="002975B0">
        <w:rPr>
          <w:lang w:val="en-GB"/>
        </w:rPr>
        <w:t xml:space="preserve"> retain</w:t>
      </w:r>
      <w:r w:rsidR="00B2633F">
        <w:rPr>
          <w:lang w:val="en-GB"/>
        </w:rPr>
        <w:t>ing</w:t>
      </w:r>
      <w:r w:rsidRPr="002975B0">
        <w:rPr>
          <w:lang w:val="en-GB"/>
        </w:rPr>
        <w:t xml:space="preserve"> Keystone’s legacy?</w:t>
      </w:r>
    </w:p>
    <w:p w14:paraId="0419417B" w14:textId="3C2A4290" w:rsidR="00C55AB4" w:rsidRPr="002975B0" w:rsidRDefault="00C55AB4" w:rsidP="00594E78">
      <w:pPr>
        <w:pStyle w:val="BodyTextMain"/>
        <w:rPr>
          <w:lang w:val="en-GB"/>
        </w:rPr>
      </w:pPr>
    </w:p>
    <w:p w14:paraId="1C04BF89" w14:textId="3C487171" w:rsidR="00112AEB" w:rsidRPr="002975B0" w:rsidRDefault="00025694" w:rsidP="003A34D8">
      <w:pPr>
        <w:jc w:val="center"/>
        <w:rPr>
          <w:lang w:val="en-GB"/>
        </w:rPr>
      </w:pPr>
      <w:r w:rsidRPr="00C55AB4">
        <w:rPr>
          <w:noProof/>
        </w:rPr>
        <mc:AlternateContent>
          <mc:Choice Requires="wps">
            <w:drawing>
              <wp:anchor distT="45720" distB="45720" distL="114300" distR="114300" simplePos="0" relativeHeight="251659264" behindDoc="0" locked="0" layoutInCell="1" allowOverlap="1" wp14:anchorId="6C48439F" wp14:editId="03913BC6">
                <wp:simplePos x="0" y="0"/>
                <wp:positionH relativeFrom="column">
                  <wp:posOffset>727710</wp:posOffset>
                </wp:positionH>
                <wp:positionV relativeFrom="paragraph">
                  <wp:posOffset>41910</wp:posOffset>
                </wp:positionV>
                <wp:extent cx="4571365" cy="461010"/>
                <wp:effectExtent l="0" t="0" r="1968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1365" cy="461010"/>
                        </a:xfrm>
                        <a:prstGeom prst="rect">
                          <a:avLst/>
                        </a:prstGeom>
                        <a:solidFill>
                          <a:srgbClr val="FFFFFF"/>
                        </a:solidFill>
                        <a:ln w="9525">
                          <a:solidFill>
                            <a:srgbClr val="000000"/>
                          </a:solidFill>
                          <a:miter lim="800000"/>
                          <a:headEnd/>
                          <a:tailEnd/>
                        </a:ln>
                      </wps:spPr>
                      <wps:txbx>
                        <w:txbxContent>
                          <w:p w14:paraId="0A3CB7C7" w14:textId="49BBAB55" w:rsidR="00C55AB4" w:rsidRDefault="00C55AB4" w:rsidP="003A34D8">
                            <w:pPr>
                              <w:pStyle w:val="Footnote"/>
                              <w:jc w:val="center"/>
                            </w:pPr>
                            <w:r w:rsidRPr="00C55AB4">
                              <w:t xml:space="preserve">The research for this case was made possible through the generous support of the </w:t>
                            </w:r>
                            <w:proofErr w:type="spellStart"/>
                            <w:r w:rsidRPr="00C55AB4">
                              <w:t>Westman</w:t>
                            </w:r>
                            <w:proofErr w:type="spellEnd"/>
                            <w:r w:rsidRPr="00C55AB4">
                              <w:t xml:space="preserve"> Centre for Real Estate Studies. The </w:t>
                            </w:r>
                            <w:proofErr w:type="spellStart"/>
                            <w:r w:rsidRPr="00C55AB4">
                              <w:t>Westman</w:t>
                            </w:r>
                            <w:proofErr w:type="spellEnd"/>
                            <w:r w:rsidRPr="00C55AB4">
                              <w:t xml:space="preserve"> Centre </w:t>
                            </w:r>
                            <w:r w:rsidR="00B2633F">
                              <w:t xml:space="preserve">for Real Estate Studies </w:t>
                            </w:r>
                            <w:r w:rsidRPr="00C55AB4">
                              <w:t xml:space="preserve">would like to thank Dr. </w:t>
                            </w:r>
                            <w:proofErr w:type="spellStart"/>
                            <w:r w:rsidRPr="00C55AB4">
                              <w:t>Sandip</w:t>
                            </w:r>
                            <w:proofErr w:type="spellEnd"/>
                            <w:r w:rsidRPr="00C55AB4">
                              <w:t xml:space="preserve"> </w:t>
                            </w:r>
                            <w:proofErr w:type="spellStart"/>
                            <w:r w:rsidRPr="00C55AB4">
                              <w:t>Lalli</w:t>
                            </w:r>
                            <w:proofErr w:type="spellEnd"/>
                            <w:r w:rsidRPr="00C55AB4">
                              <w:t xml:space="preserve"> for her outstanding commitment to this work</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48439F" id="_x0000_t202" coordsize="21600,21600" o:spt="202" path="m,l,21600r21600,l21600,xe">
                <v:stroke joinstyle="miter"/>
                <v:path gradientshapeok="t" o:connecttype="rect"/>
              </v:shapetype>
              <v:shape id="Text Box 2" o:spid="_x0000_s1026" type="#_x0000_t202" style="position:absolute;left:0;text-align:left;margin-left:57.3pt;margin-top:3.3pt;width:359.95pt;height:36.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">
                <v:textbox>
                  <w:txbxContent>
                    <w:p w14:paraId="0A3CB7C7" w14:textId="49BBAB55" w:rsidR="00C55AB4" w:rsidRDefault="00C55AB4" w:rsidP="003A34D8">
                      <w:pPr>
                        <w:pStyle w:val="Footnote"/>
                        <w:jc w:val="center"/>
                      </w:pPr>
                      <w:r w:rsidRPr="00C55AB4">
                        <w:t xml:space="preserve">The research for this case was made possible through the generous support of the </w:t>
                      </w:r>
                      <w:proofErr w:type="spellStart"/>
                      <w:r w:rsidRPr="00C55AB4">
                        <w:t>Westman</w:t>
                      </w:r>
                      <w:proofErr w:type="spellEnd"/>
                      <w:r w:rsidRPr="00C55AB4">
                        <w:t xml:space="preserve"> Centre for Real Estate Studies. The </w:t>
                      </w:r>
                      <w:proofErr w:type="spellStart"/>
                      <w:r w:rsidRPr="00C55AB4">
                        <w:t>Westman</w:t>
                      </w:r>
                      <w:proofErr w:type="spellEnd"/>
                      <w:r w:rsidRPr="00C55AB4">
                        <w:t xml:space="preserve"> Centre </w:t>
                      </w:r>
                      <w:r w:rsidR="00B2633F">
                        <w:t xml:space="preserve">for Real Estate Studies </w:t>
                      </w:r>
                      <w:r w:rsidRPr="00C55AB4">
                        <w:t xml:space="preserve">would like to thank Dr. </w:t>
                      </w:r>
                      <w:proofErr w:type="spellStart"/>
                      <w:r w:rsidRPr="00C55AB4">
                        <w:t>Sandip</w:t>
                      </w:r>
                      <w:proofErr w:type="spellEnd"/>
                      <w:r w:rsidRPr="00C55AB4">
                        <w:t xml:space="preserve"> </w:t>
                      </w:r>
                      <w:proofErr w:type="spellStart"/>
                      <w:r w:rsidRPr="00C55AB4">
                        <w:t>Lalli</w:t>
                      </w:r>
                      <w:proofErr w:type="spellEnd"/>
                      <w:r w:rsidRPr="00C55AB4">
                        <w:t xml:space="preserve"> for her outstanding commitment to this work</w:t>
                      </w:r>
                      <w:r>
                        <w:t>.</w:t>
                      </w:r>
                    </w:p>
                  </w:txbxContent>
                </v:textbox>
                <w10:wrap type="square"/>
              </v:shape>
            </w:pict>
          </mc:Fallback>
        </mc:AlternateContent>
      </w:r>
      <w:r w:rsidR="00112AEB" w:rsidRPr="002975B0">
        <w:rPr>
          <w:lang w:val="en-GB"/>
        </w:rPr>
        <w:br w:type="page"/>
      </w:r>
    </w:p>
    <w:p w14:paraId="7D349D0B" w14:textId="211488B6" w:rsidR="00112AEB" w:rsidRPr="002975B0" w:rsidRDefault="00112AEB" w:rsidP="000147E4">
      <w:pPr>
        <w:pStyle w:val="Casehead1"/>
        <w:jc w:val="center"/>
        <w:rPr>
          <w:lang w:val="en-GB"/>
        </w:rPr>
      </w:pPr>
      <w:r w:rsidRPr="002975B0">
        <w:rPr>
          <w:lang w:val="en-GB"/>
        </w:rPr>
        <w:lastRenderedPageBreak/>
        <w:t xml:space="preserve">EXHIBIT 1: </w:t>
      </w:r>
      <w:r w:rsidR="00627F2B">
        <w:rPr>
          <w:lang w:val="en-GB"/>
        </w:rPr>
        <w:t>West texas intermediate</w:t>
      </w:r>
      <w:r w:rsidRPr="002975B0">
        <w:rPr>
          <w:lang w:val="en-GB"/>
        </w:rPr>
        <w:t xml:space="preserve"> CRUDE OIL PRICES </w:t>
      </w:r>
    </w:p>
    <w:p w14:paraId="6679AAA0" w14:textId="77777777" w:rsidR="00112AEB" w:rsidRPr="002975B0" w:rsidRDefault="00112AEB" w:rsidP="00594E78">
      <w:pPr>
        <w:autoSpaceDE w:val="0"/>
        <w:autoSpaceDN w:val="0"/>
        <w:adjustRightInd w:val="0"/>
        <w:rPr>
          <w:rFonts w:ascii="Times" w:hAnsi="Times" w:cs="Times"/>
          <w:color w:val="000000"/>
          <w:lang w:val="en-GB"/>
        </w:rPr>
      </w:pPr>
    </w:p>
    <w:p w14:paraId="6493B13C" w14:textId="77777777" w:rsidR="00112AEB" w:rsidRPr="002975B0" w:rsidRDefault="00112AEB" w:rsidP="00594E78">
      <w:pPr>
        <w:rPr>
          <w:rFonts w:ascii="Arial" w:hAnsi="Arial" w:cs="Arial"/>
          <w:color w:val="000000"/>
          <w:lang w:val="en-GB"/>
        </w:rPr>
      </w:pPr>
      <w:r w:rsidRPr="002975B0">
        <w:rPr>
          <w:rFonts w:ascii="Arial" w:hAnsi="Arial" w:cs="Arial"/>
          <w:noProof/>
          <w:color w:val="000000"/>
        </w:rPr>
        <w:drawing>
          <wp:inline distT="0" distB="0" distL="0" distR="0" wp14:anchorId="1125AA9E" wp14:editId="76CE1D37">
            <wp:extent cx="5943600" cy="3917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jardins-1024x675.png"/>
                    <pic:cNvPicPr/>
                  </pic:nvPicPr>
                  <pic:blipFill>
                    <a:blip r:embed="rId10">
                      <a:grayscl/>
                      <a:extLst>
                        <a:ext uri="{28A0092B-C50C-407E-A947-70E740481C1C}">
                          <a14:useLocalDpi xmlns:a14="http://schemas.microsoft.com/office/drawing/2010/main" val="0"/>
                        </a:ext>
                      </a:extLst>
                    </a:blip>
                    <a:stretch>
                      <a:fillRect/>
                    </a:stretch>
                  </pic:blipFill>
                  <pic:spPr>
                    <a:xfrm>
                      <a:off x="0" y="0"/>
                      <a:ext cx="5943600" cy="3917950"/>
                    </a:xfrm>
                    <a:prstGeom prst="rect">
                      <a:avLst/>
                    </a:prstGeom>
                  </pic:spPr>
                </pic:pic>
              </a:graphicData>
            </a:graphic>
          </wp:inline>
        </w:drawing>
      </w:r>
    </w:p>
    <w:p w14:paraId="1930413E" w14:textId="77777777" w:rsidR="00594E78" w:rsidRPr="002975B0" w:rsidRDefault="00594E78" w:rsidP="00594E78">
      <w:pPr>
        <w:pStyle w:val="Footnote"/>
        <w:rPr>
          <w:lang w:val="en-GB"/>
        </w:rPr>
      </w:pPr>
    </w:p>
    <w:p w14:paraId="70F6BD5B" w14:textId="7D0FE0BB" w:rsidR="00286BDF" w:rsidRDefault="00286BDF" w:rsidP="003860FF">
      <w:pPr>
        <w:pStyle w:val="Footnote"/>
        <w:rPr>
          <w:lang w:val="en-GB"/>
        </w:rPr>
      </w:pPr>
      <w:r>
        <w:rPr>
          <w:lang w:val="en-GB"/>
        </w:rPr>
        <w:t xml:space="preserve">Note: WTI = West Texas Intermediate; </w:t>
      </w:r>
      <w:proofErr w:type="spellStart"/>
      <w:r>
        <w:rPr>
          <w:lang w:val="en-GB"/>
        </w:rPr>
        <w:t>bbl</w:t>
      </w:r>
      <w:proofErr w:type="spellEnd"/>
      <w:r>
        <w:rPr>
          <w:lang w:val="en-GB"/>
        </w:rPr>
        <w:t xml:space="preserve"> = barrel</w:t>
      </w:r>
    </w:p>
    <w:p w14:paraId="7263E4A6" w14:textId="48360F7F" w:rsidR="000F0E87" w:rsidRDefault="00286BDF" w:rsidP="003860FF">
      <w:pPr>
        <w:pStyle w:val="Footnote"/>
        <w:rPr>
          <w:lang w:val="en-GB"/>
        </w:rPr>
      </w:pPr>
      <w:r>
        <w:rPr>
          <w:lang w:val="en-GB"/>
        </w:rPr>
        <w:t xml:space="preserve">Source: Reproduced </w:t>
      </w:r>
      <w:r w:rsidR="008E6AD6">
        <w:rPr>
          <w:lang w:val="en-GB"/>
        </w:rPr>
        <w:t>with</w:t>
      </w:r>
      <w:r>
        <w:rPr>
          <w:lang w:val="en-GB"/>
        </w:rPr>
        <w:t xml:space="preserve"> permission from Dawn Desjardin, “Canada Needs Oil Prices to Rebound,” in Jason Kirby, “The Most Important Charts for the Canadian Economy in 2016,” </w:t>
      </w:r>
      <w:r w:rsidRPr="001D0BEF">
        <w:rPr>
          <w:i/>
          <w:lang w:val="en-GB"/>
        </w:rPr>
        <w:t>Maclean’s</w:t>
      </w:r>
      <w:r>
        <w:rPr>
          <w:lang w:val="en-GB"/>
        </w:rPr>
        <w:t xml:space="preserve">, December 9, 2015, </w:t>
      </w:r>
      <w:r w:rsidR="008E6AD6">
        <w:rPr>
          <w:lang w:val="en-GB"/>
        </w:rPr>
        <w:t>accessed</w:t>
      </w:r>
      <w:r w:rsidR="00025694">
        <w:rPr>
          <w:lang w:val="en-GB"/>
        </w:rPr>
        <w:t xml:space="preserve"> October 4, 2018, </w:t>
      </w:r>
      <w:r w:rsidR="001059F3">
        <w:rPr>
          <w:lang w:val="en-GB"/>
        </w:rPr>
        <w:t>w</w:t>
      </w:r>
      <w:r w:rsidRPr="00BC33B5">
        <w:rPr>
          <w:lang w:val="en-GB"/>
        </w:rPr>
        <w:t>ww.macleans.ca/economy/economicanalysis/the-most-important-charts-for-the-canadian-economy-in-2016/</w:t>
      </w:r>
      <w:r>
        <w:rPr>
          <w:lang w:val="en-GB"/>
        </w:rPr>
        <w:t>.</w:t>
      </w:r>
    </w:p>
    <w:p w14:paraId="11034755" w14:textId="10DD3837" w:rsidR="00112AEB" w:rsidRPr="001059F3" w:rsidRDefault="00112AEB" w:rsidP="003860FF">
      <w:pPr>
        <w:pStyle w:val="Footnote"/>
        <w:rPr>
          <w:sz w:val="22"/>
          <w:lang w:val="en-GB"/>
        </w:rPr>
      </w:pPr>
    </w:p>
    <w:p w14:paraId="45D43702" w14:textId="133C63FF" w:rsidR="00112AEB" w:rsidRPr="002975B0" w:rsidRDefault="00112AEB" w:rsidP="00594E78">
      <w:pPr>
        <w:rPr>
          <w:rFonts w:ascii="Arial" w:hAnsi="Arial" w:cs="Arial"/>
          <w:b/>
          <w:color w:val="000000"/>
          <w:lang w:val="en-GB"/>
        </w:rPr>
      </w:pPr>
    </w:p>
    <w:p w14:paraId="794F2B3A" w14:textId="027FE8E0" w:rsidR="00112AEB" w:rsidRPr="002975B0" w:rsidRDefault="00112AEB" w:rsidP="000147E4">
      <w:pPr>
        <w:pStyle w:val="Casehead1"/>
        <w:jc w:val="center"/>
        <w:rPr>
          <w:lang w:val="en-GB"/>
        </w:rPr>
      </w:pPr>
      <w:r w:rsidRPr="002975B0">
        <w:rPr>
          <w:lang w:val="en-GB"/>
        </w:rPr>
        <w:t>EXHIBIT 2: KEYSTONE</w:t>
      </w:r>
      <w:r w:rsidR="00DB7D46">
        <w:rPr>
          <w:lang w:val="en-GB"/>
        </w:rPr>
        <w:t xml:space="preserve"> excavating limited</w:t>
      </w:r>
      <w:r w:rsidR="00544397">
        <w:rPr>
          <w:lang w:val="en-GB"/>
        </w:rPr>
        <w:t>—</w:t>
      </w:r>
      <w:r w:rsidRPr="002975B0">
        <w:rPr>
          <w:lang w:val="en-GB"/>
        </w:rPr>
        <w:t>STRATEGY</w:t>
      </w:r>
    </w:p>
    <w:p w14:paraId="6D3A58AA" w14:textId="77777777" w:rsidR="00112AEB" w:rsidRPr="002975B0" w:rsidRDefault="00112AEB" w:rsidP="00594E78">
      <w:pPr>
        <w:autoSpaceDE w:val="0"/>
        <w:autoSpaceDN w:val="0"/>
        <w:adjustRightInd w:val="0"/>
        <w:jc w:val="center"/>
        <w:rPr>
          <w:rFonts w:ascii="Arial" w:hAnsi="Arial" w:cs="Arial"/>
          <w:b/>
          <w:color w:val="000000"/>
          <w:lang w:val="en-GB"/>
        </w:rPr>
      </w:pPr>
    </w:p>
    <w:tbl>
      <w:tblPr>
        <w:tblStyle w:val="TableGrid"/>
        <w:tblW w:w="4394" w:type="pct"/>
        <w:jc w:val="center"/>
        <w:tblLook w:val="04A0" w:firstRow="1" w:lastRow="0" w:firstColumn="1" w:lastColumn="0" w:noHBand="0" w:noVBand="1"/>
      </w:tblPr>
      <w:tblGrid>
        <w:gridCol w:w="4390"/>
        <w:gridCol w:w="3827"/>
      </w:tblGrid>
      <w:tr w:rsidR="00112AEB" w:rsidRPr="002975B0" w14:paraId="5865DD83" w14:textId="77777777" w:rsidTr="00025694">
        <w:trPr>
          <w:jc w:val="center"/>
        </w:trPr>
        <w:tc>
          <w:tcPr>
            <w:tcW w:w="2671" w:type="pct"/>
          </w:tcPr>
          <w:p w14:paraId="726850B0" w14:textId="77777777" w:rsidR="00112AEB" w:rsidRPr="002975B0" w:rsidRDefault="00112AEB" w:rsidP="00594E78">
            <w:pPr>
              <w:jc w:val="center"/>
              <w:rPr>
                <w:rFonts w:ascii="Arial" w:hAnsi="Arial" w:cs="Arial"/>
                <w:b/>
                <w:lang w:val="en-GB"/>
              </w:rPr>
            </w:pPr>
            <w:r w:rsidRPr="002975B0">
              <w:rPr>
                <w:rFonts w:ascii="Arial" w:hAnsi="Arial" w:cs="Arial"/>
                <w:b/>
                <w:lang w:val="en-GB"/>
              </w:rPr>
              <w:t>Where do we play?</w:t>
            </w:r>
          </w:p>
        </w:tc>
        <w:tc>
          <w:tcPr>
            <w:tcW w:w="2329" w:type="pct"/>
          </w:tcPr>
          <w:p w14:paraId="26EC7589" w14:textId="17B1A758" w:rsidR="00112AEB" w:rsidRPr="002975B0" w:rsidRDefault="00112AEB" w:rsidP="00594E78">
            <w:pPr>
              <w:jc w:val="center"/>
              <w:rPr>
                <w:rFonts w:ascii="Arial" w:hAnsi="Arial" w:cs="Arial"/>
                <w:b/>
                <w:lang w:val="en-GB"/>
              </w:rPr>
            </w:pPr>
            <w:r w:rsidRPr="002975B0">
              <w:rPr>
                <w:rFonts w:ascii="Arial" w:hAnsi="Arial" w:cs="Arial"/>
                <w:b/>
                <w:lang w:val="en-GB"/>
              </w:rPr>
              <w:t xml:space="preserve">How </w:t>
            </w:r>
            <w:r w:rsidR="00D26651">
              <w:rPr>
                <w:rFonts w:ascii="Arial" w:hAnsi="Arial" w:cs="Arial"/>
                <w:b/>
                <w:lang w:val="en-GB"/>
              </w:rPr>
              <w:t xml:space="preserve">do </w:t>
            </w:r>
            <w:r w:rsidRPr="002975B0">
              <w:rPr>
                <w:rFonts w:ascii="Arial" w:hAnsi="Arial" w:cs="Arial"/>
                <w:b/>
                <w:lang w:val="en-GB"/>
              </w:rPr>
              <w:t>we win?</w:t>
            </w:r>
          </w:p>
        </w:tc>
      </w:tr>
      <w:tr w:rsidR="00112AEB" w:rsidRPr="002975B0" w14:paraId="478FC9D2" w14:textId="77777777" w:rsidTr="00025694">
        <w:trPr>
          <w:jc w:val="center"/>
        </w:trPr>
        <w:tc>
          <w:tcPr>
            <w:tcW w:w="2671" w:type="pct"/>
          </w:tcPr>
          <w:p w14:paraId="56EFD523" w14:textId="0803F108" w:rsidR="00112AEB" w:rsidRPr="002975B0" w:rsidRDefault="00112AEB" w:rsidP="00594E78">
            <w:pPr>
              <w:rPr>
                <w:rFonts w:ascii="Arial" w:hAnsi="Arial" w:cs="Arial"/>
                <w:lang w:val="en-GB"/>
              </w:rPr>
            </w:pPr>
            <w:r w:rsidRPr="002975B0">
              <w:rPr>
                <w:rFonts w:ascii="Arial" w:hAnsi="Arial" w:cs="Arial"/>
                <w:lang w:val="en-GB"/>
              </w:rPr>
              <w:t>Commercial</w:t>
            </w:r>
            <w:r w:rsidR="00252EE4">
              <w:rPr>
                <w:rFonts w:ascii="Arial" w:hAnsi="Arial" w:cs="Arial"/>
                <w:lang w:val="en-GB"/>
              </w:rPr>
              <w:t xml:space="preserve"> </w:t>
            </w:r>
          </w:p>
          <w:p w14:paraId="49D084CB" w14:textId="77777777" w:rsidR="00112AEB" w:rsidRPr="002975B0" w:rsidRDefault="00112AEB" w:rsidP="00594E78">
            <w:pPr>
              <w:rPr>
                <w:rFonts w:ascii="Arial" w:hAnsi="Arial" w:cs="Arial"/>
                <w:lang w:val="en-GB"/>
              </w:rPr>
            </w:pPr>
            <w:r w:rsidRPr="002975B0">
              <w:rPr>
                <w:rFonts w:ascii="Arial" w:hAnsi="Arial" w:cs="Arial"/>
                <w:lang w:val="en-GB"/>
              </w:rPr>
              <w:t xml:space="preserve">Infrastructure </w:t>
            </w:r>
          </w:p>
          <w:p w14:paraId="5F833ADB" w14:textId="77777777" w:rsidR="00112AEB" w:rsidRPr="002975B0" w:rsidRDefault="00112AEB" w:rsidP="00594E78">
            <w:pPr>
              <w:rPr>
                <w:rFonts w:ascii="Arial" w:hAnsi="Arial" w:cs="Arial"/>
                <w:lang w:val="en-GB"/>
              </w:rPr>
            </w:pPr>
            <w:r w:rsidRPr="002975B0">
              <w:rPr>
                <w:rFonts w:ascii="Arial" w:hAnsi="Arial" w:cs="Arial"/>
                <w:lang w:val="en-GB"/>
              </w:rPr>
              <w:t xml:space="preserve">Industrial </w:t>
            </w:r>
          </w:p>
          <w:p w14:paraId="4875DEF7" w14:textId="77777777" w:rsidR="00112AEB" w:rsidRPr="002975B0" w:rsidRDefault="00112AEB" w:rsidP="00594E78">
            <w:pPr>
              <w:rPr>
                <w:rFonts w:ascii="Arial" w:hAnsi="Arial" w:cs="Arial"/>
                <w:lang w:val="en-GB"/>
              </w:rPr>
            </w:pPr>
            <w:r w:rsidRPr="002975B0">
              <w:rPr>
                <w:rFonts w:ascii="Arial" w:hAnsi="Arial" w:cs="Arial"/>
                <w:lang w:val="en-GB"/>
              </w:rPr>
              <w:t xml:space="preserve">Institutional </w:t>
            </w:r>
          </w:p>
          <w:p w14:paraId="6CF789C9" w14:textId="77777777" w:rsidR="00112AEB" w:rsidRPr="002975B0" w:rsidRDefault="00112AEB" w:rsidP="00594E78">
            <w:pPr>
              <w:rPr>
                <w:rFonts w:ascii="Arial" w:hAnsi="Arial" w:cs="Arial"/>
                <w:lang w:val="en-GB"/>
              </w:rPr>
            </w:pPr>
            <w:r w:rsidRPr="002975B0">
              <w:rPr>
                <w:rFonts w:ascii="Arial" w:hAnsi="Arial" w:cs="Arial"/>
                <w:lang w:val="en-GB"/>
              </w:rPr>
              <w:t xml:space="preserve">Energy </w:t>
            </w:r>
          </w:p>
          <w:p w14:paraId="6F6DDEF9" w14:textId="77777777" w:rsidR="00112AEB" w:rsidRPr="002975B0" w:rsidRDefault="00112AEB" w:rsidP="00594E78">
            <w:pPr>
              <w:rPr>
                <w:rFonts w:ascii="Arial" w:hAnsi="Arial" w:cs="Arial"/>
                <w:lang w:val="en-GB"/>
              </w:rPr>
            </w:pPr>
            <w:r w:rsidRPr="002975B0">
              <w:rPr>
                <w:rFonts w:ascii="Arial" w:hAnsi="Arial" w:cs="Arial"/>
                <w:lang w:val="en-GB"/>
              </w:rPr>
              <w:t xml:space="preserve">Remediation and Reclamation </w:t>
            </w:r>
          </w:p>
          <w:p w14:paraId="650FF981" w14:textId="1F787FBA" w:rsidR="00112AEB" w:rsidRPr="002975B0" w:rsidRDefault="00112AEB" w:rsidP="008E6AD6">
            <w:pPr>
              <w:rPr>
                <w:rFonts w:ascii="Arial" w:hAnsi="Arial" w:cs="Arial"/>
                <w:lang w:val="en-GB"/>
              </w:rPr>
            </w:pPr>
            <w:r w:rsidRPr="002975B0">
              <w:rPr>
                <w:rFonts w:ascii="Arial" w:hAnsi="Arial" w:cs="Arial"/>
                <w:lang w:val="en-GB"/>
              </w:rPr>
              <w:t xml:space="preserve">Residential (Single </w:t>
            </w:r>
            <w:r w:rsidR="008E6AD6">
              <w:rPr>
                <w:rFonts w:ascii="Arial" w:hAnsi="Arial" w:cs="Arial"/>
                <w:lang w:val="en-GB"/>
              </w:rPr>
              <w:t>F</w:t>
            </w:r>
            <w:r w:rsidRPr="002975B0">
              <w:rPr>
                <w:rFonts w:ascii="Arial" w:hAnsi="Arial" w:cs="Arial"/>
                <w:lang w:val="en-GB"/>
              </w:rPr>
              <w:t xml:space="preserve">amily, </w:t>
            </w:r>
            <w:r w:rsidR="00A13485">
              <w:rPr>
                <w:rFonts w:ascii="Arial" w:hAnsi="Arial" w:cs="Arial"/>
                <w:lang w:val="en-GB"/>
              </w:rPr>
              <w:t>E</w:t>
            </w:r>
            <w:r w:rsidRPr="002975B0">
              <w:rPr>
                <w:rFonts w:ascii="Arial" w:hAnsi="Arial" w:cs="Arial"/>
                <w:lang w:val="en-GB"/>
              </w:rPr>
              <w:t xml:space="preserve">state, </w:t>
            </w:r>
            <w:r w:rsidR="00A13485">
              <w:rPr>
                <w:rFonts w:ascii="Arial" w:hAnsi="Arial" w:cs="Arial"/>
                <w:lang w:val="en-GB"/>
              </w:rPr>
              <w:t>A</w:t>
            </w:r>
            <w:r w:rsidRPr="002975B0">
              <w:rPr>
                <w:rFonts w:ascii="Arial" w:hAnsi="Arial" w:cs="Arial"/>
                <w:lang w:val="en-GB"/>
              </w:rPr>
              <w:t>creages)</w:t>
            </w:r>
          </w:p>
        </w:tc>
        <w:tc>
          <w:tcPr>
            <w:tcW w:w="2329" w:type="pct"/>
          </w:tcPr>
          <w:p w14:paraId="30E3BE3A" w14:textId="77777777" w:rsidR="00112AEB" w:rsidRPr="002975B0" w:rsidRDefault="00112AEB" w:rsidP="00594E78">
            <w:pPr>
              <w:rPr>
                <w:rFonts w:ascii="Arial" w:hAnsi="Arial" w:cs="Arial"/>
                <w:lang w:val="en-GB"/>
              </w:rPr>
            </w:pPr>
            <w:r w:rsidRPr="002975B0">
              <w:rPr>
                <w:rFonts w:ascii="Arial" w:hAnsi="Arial" w:cs="Arial"/>
                <w:lang w:val="en-GB"/>
              </w:rPr>
              <w:t>Innovation</w:t>
            </w:r>
          </w:p>
          <w:p w14:paraId="2C059448" w14:textId="77777777" w:rsidR="00112AEB" w:rsidRPr="002975B0" w:rsidRDefault="00112AEB" w:rsidP="00594E78">
            <w:pPr>
              <w:rPr>
                <w:rFonts w:ascii="Arial" w:hAnsi="Arial" w:cs="Arial"/>
                <w:lang w:val="en-GB"/>
              </w:rPr>
            </w:pPr>
            <w:r w:rsidRPr="002975B0">
              <w:rPr>
                <w:rFonts w:ascii="Arial" w:hAnsi="Arial" w:cs="Arial"/>
                <w:lang w:val="en-GB"/>
              </w:rPr>
              <w:t>Technology</w:t>
            </w:r>
          </w:p>
          <w:p w14:paraId="6D16667F" w14:textId="77777777" w:rsidR="00112AEB" w:rsidRPr="002975B0" w:rsidRDefault="00112AEB" w:rsidP="00594E78">
            <w:pPr>
              <w:rPr>
                <w:rFonts w:ascii="Arial" w:hAnsi="Arial" w:cs="Arial"/>
                <w:lang w:val="en-GB"/>
              </w:rPr>
            </w:pPr>
            <w:r w:rsidRPr="002975B0">
              <w:rPr>
                <w:rFonts w:ascii="Arial" w:hAnsi="Arial" w:cs="Arial"/>
                <w:lang w:val="en-GB"/>
              </w:rPr>
              <w:t xml:space="preserve">Safety </w:t>
            </w:r>
          </w:p>
          <w:p w14:paraId="0F66F5E6" w14:textId="6CC8B96A" w:rsidR="00112AEB" w:rsidRPr="002975B0" w:rsidRDefault="00112AEB" w:rsidP="00594E78">
            <w:pPr>
              <w:rPr>
                <w:rFonts w:ascii="Arial" w:hAnsi="Arial" w:cs="Arial"/>
                <w:lang w:val="en-GB"/>
              </w:rPr>
            </w:pPr>
            <w:r w:rsidRPr="002975B0">
              <w:rPr>
                <w:rFonts w:ascii="Arial" w:hAnsi="Arial" w:cs="Arial"/>
                <w:lang w:val="en-GB"/>
              </w:rPr>
              <w:t xml:space="preserve">Investing in </w:t>
            </w:r>
            <w:r w:rsidR="008E6AD6">
              <w:rPr>
                <w:rFonts w:ascii="Arial" w:hAnsi="Arial" w:cs="Arial"/>
                <w:lang w:val="en-GB"/>
              </w:rPr>
              <w:t>E</w:t>
            </w:r>
            <w:r w:rsidRPr="002975B0">
              <w:rPr>
                <w:rFonts w:ascii="Arial" w:hAnsi="Arial" w:cs="Arial"/>
                <w:lang w:val="en-GB"/>
              </w:rPr>
              <w:t>quipment</w:t>
            </w:r>
          </w:p>
          <w:p w14:paraId="7BF4316C" w14:textId="5F38F3A1" w:rsidR="00112AEB" w:rsidRPr="002975B0" w:rsidRDefault="00112AEB" w:rsidP="00594E78">
            <w:pPr>
              <w:rPr>
                <w:rFonts w:ascii="Arial" w:hAnsi="Arial" w:cs="Arial"/>
                <w:lang w:val="en-GB"/>
              </w:rPr>
            </w:pPr>
            <w:r w:rsidRPr="002975B0">
              <w:rPr>
                <w:rFonts w:ascii="Arial" w:hAnsi="Arial" w:cs="Arial"/>
                <w:lang w:val="en-GB"/>
              </w:rPr>
              <w:t>Relationships (</w:t>
            </w:r>
            <w:r w:rsidR="00A13485">
              <w:rPr>
                <w:rFonts w:ascii="Arial" w:hAnsi="Arial" w:cs="Arial"/>
                <w:lang w:val="en-GB"/>
              </w:rPr>
              <w:t>E</w:t>
            </w:r>
            <w:r w:rsidRPr="002975B0">
              <w:rPr>
                <w:rFonts w:ascii="Arial" w:hAnsi="Arial" w:cs="Arial"/>
                <w:lang w:val="en-GB"/>
              </w:rPr>
              <w:t>xpertise/</w:t>
            </w:r>
            <w:r w:rsidR="00A13485">
              <w:rPr>
                <w:rFonts w:ascii="Arial" w:hAnsi="Arial" w:cs="Arial"/>
                <w:lang w:val="en-GB"/>
              </w:rPr>
              <w:t>C</w:t>
            </w:r>
            <w:r w:rsidRPr="002975B0">
              <w:rPr>
                <w:rFonts w:ascii="Arial" w:hAnsi="Arial" w:cs="Arial"/>
                <w:lang w:val="en-GB"/>
              </w:rPr>
              <w:t xml:space="preserve">onsultants) </w:t>
            </w:r>
          </w:p>
          <w:p w14:paraId="6218F744" w14:textId="26E7497F" w:rsidR="00112AEB" w:rsidRPr="002975B0" w:rsidRDefault="00112AEB" w:rsidP="00594E78">
            <w:pPr>
              <w:rPr>
                <w:rFonts w:ascii="Arial" w:hAnsi="Arial" w:cs="Arial"/>
                <w:lang w:val="en-GB"/>
              </w:rPr>
            </w:pPr>
            <w:r w:rsidRPr="002975B0">
              <w:rPr>
                <w:rFonts w:ascii="Arial" w:hAnsi="Arial" w:cs="Arial"/>
                <w:lang w:val="en-GB"/>
              </w:rPr>
              <w:t xml:space="preserve">Attention to </w:t>
            </w:r>
            <w:r w:rsidR="00A13485">
              <w:rPr>
                <w:rFonts w:ascii="Arial" w:hAnsi="Arial" w:cs="Arial"/>
                <w:lang w:val="en-GB"/>
              </w:rPr>
              <w:t>D</w:t>
            </w:r>
            <w:r w:rsidRPr="002975B0">
              <w:rPr>
                <w:rFonts w:ascii="Arial" w:hAnsi="Arial" w:cs="Arial"/>
                <w:lang w:val="en-GB"/>
              </w:rPr>
              <w:t>etail</w:t>
            </w:r>
          </w:p>
          <w:p w14:paraId="72D2CF6E" w14:textId="7248F1E8" w:rsidR="00112AEB" w:rsidRPr="002975B0" w:rsidRDefault="00112AEB" w:rsidP="00594E78">
            <w:pPr>
              <w:rPr>
                <w:rFonts w:ascii="Arial" w:hAnsi="Arial" w:cs="Arial"/>
                <w:lang w:val="en-GB"/>
              </w:rPr>
            </w:pPr>
            <w:r w:rsidRPr="002975B0">
              <w:rPr>
                <w:rFonts w:ascii="Arial" w:hAnsi="Arial" w:cs="Arial"/>
                <w:lang w:val="en-GB"/>
              </w:rPr>
              <w:t xml:space="preserve">Partnerships with </w:t>
            </w:r>
            <w:r w:rsidR="00A13485">
              <w:rPr>
                <w:rFonts w:ascii="Arial" w:hAnsi="Arial" w:cs="Arial"/>
                <w:lang w:val="en-GB"/>
              </w:rPr>
              <w:t>O</w:t>
            </w:r>
            <w:r w:rsidRPr="002975B0">
              <w:rPr>
                <w:rFonts w:ascii="Arial" w:hAnsi="Arial" w:cs="Arial"/>
                <w:lang w:val="en-GB"/>
              </w:rPr>
              <w:t xml:space="preserve">ther </w:t>
            </w:r>
            <w:r w:rsidR="00A13485">
              <w:rPr>
                <w:rFonts w:ascii="Arial" w:hAnsi="Arial" w:cs="Arial"/>
                <w:lang w:val="en-GB"/>
              </w:rPr>
              <w:t>T</w:t>
            </w:r>
            <w:r w:rsidRPr="002975B0">
              <w:rPr>
                <w:rFonts w:ascii="Arial" w:hAnsi="Arial" w:cs="Arial"/>
                <w:lang w:val="en-GB"/>
              </w:rPr>
              <w:t xml:space="preserve">rades </w:t>
            </w:r>
          </w:p>
          <w:p w14:paraId="1C6CA619" w14:textId="77777777" w:rsidR="00112AEB" w:rsidRPr="002975B0" w:rsidRDefault="00112AEB" w:rsidP="00594E78">
            <w:pPr>
              <w:rPr>
                <w:rFonts w:ascii="Arial" w:hAnsi="Arial" w:cs="Arial"/>
                <w:lang w:val="en-GB"/>
              </w:rPr>
            </w:pPr>
            <w:r w:rsidRPr="002975B0">
              <w:rPr>
                <w:rFonts w:ascii="Arial" w:hAnsi="Arial" w:cs="Arial"/>
                <w:lang w:val="en-GB"/>
              </w:rPr>
              <w:t xml:space="preserve">Teamwork </w:t>
            </w:r>
          </w:p>
          <w:p w14:paraId="0F2CDFBB" w14:textId="77777777" w:rsidR="00112AEB" w:rsidRPr="002975B0" w:rsidRDefault="00112AEB" w:rsidP="00594E78">
            <w:pPr>
              <w:rPr>
                <w:rFonts w:ascii="Arial" w:hAnsi="Arial" w:cs="Arial"/>
                <w:lang w:val="en-GB"/>
              </w:rPr>
            </w:pPr>
            <w:r w:rsidRPr="002975B0">
              <w:rPr>
                <w:rFonts w:ascii="Arial" w:hAnsi="Arial" w:cs="Arial"/>
                <w:lang w:val="en-GB"/>
              </w:rPr>
              <w:t>Flexibility</w:t>
            </w:r>
          </w:p>
        </w:tc>
      </w:tr>
    </w:tbl>
    <w:p w14:paraId="723E62AA" w14:textId="77777777" w:rsidR="00112AEB" w:rsidRPr="002975B0" w:rsidRDefault="00112AEB" w:rsidP="00112AEB">
      <w:pPr>
        <w:rPr>
          <w:lang w:val="en-GB"/>
        </w:rPr>
      </w:pPr>
    </w:p>
    <w:p w14:paraId="3F72663F" w14:textId="0CB66538" w:rsidR="003860FF" w:rsidRDefault="00112AEB" w:rsidP="003860FF">
      <w:pPr>
        <w:pStyle w:val="Footnote"/>
        <w:rPr>
          <w:lang w:val="en-GB"/>
        </w:rPr>
      </w:pPr>
      <w:r w:rsidRPr="002975B0">
        <w:rPr>
          <w:lang w:val="en-GB"/>
        </w:rPr>
        <w:t>Source</w:t>
      </w:r>
      <w:r w:rsidRPr="002975B0">
        <w:rPr>
          <w:rStyle w:val="CommentReference"/>
          <w:lang w:val="en-GB"/>
        </w:rPr>
        <w:t xml:space="preserve">: </w:t>
      </w:r>
      <w:r w:rsidRPr="002975B0">
        <w:rPr>
          <w:lang w:val="en-GB"/>
        </w:rPr>
        <w:t>Company documents.</w:t>
      </w:r>
      <w:r w:rsidR="00252EE4">
        <w:rPr>
          <w:lang w:val="en-GB"/>
        </w:rPr>
        <w:t xml:space="preserve"> </w:t>
      </w:r>
    </w:p>
    <w:p w14:paraId="4C55D0E9" w14:textId="77777777" w:rsidR="00B71DBE" w:rsidRPr="00B71DBE" w:rsidRDefault="00B71DBE" w:rsidP="003860FF">
      <w:pPr>
        <w:pStyle w:val="Footnote"/>
        <w:rPr>
          <w:lang w:val="en-GB"/>
        </w:rPr>
      </w:pPr>
    </w:p>
    <w:p w14:paraId="5A3C2FFA" w14:textId="77777777" w:rsidR="003860FF" w:rsidRDefault="003860FF" w:rsidP="003860FF">
      <w:pPr>
        <w:pStyle w:val="Footnote"/>
        <w:rPr>
          <w:sz w:val="20"/>
          <w:lang w:val="en-GB"/>
        </w:rPr>
      </w:pPr>
    </w:p>
    <w:p w14:paraId="0ED4EFF4" w14:textId="77777777" w:rsidR="00B71DBE" w:rsidRDefault="00B71DBE" w:rsidP="003860FF">
      <w:pPr>
        <w:pStyle w:val="Footnote"/>
        <w:rPr>
          <w:sz w:val="20"/>
          <w:lang w:val="en-GB"/>
        </w:rPr>
      </w:pPr>
    </w:p>
    <w:p w14:paraId="1A060D9A" w14:textId="77777777" w:rsidR="00B71DBE" w:rsidRDefault="00B71DBE" w:rsidP="003860FF">
      <w:pPr>
        <w:pStyle w:val="Footnote"/>
        <w:rPr>
          <w:sz w:val="20"/>
          <w:lang w:val="en-GB"/>
        </w:rPr>
      </w:pPr>
    </w:p>
    <w:p w14:paraId="64215150" w14:textId="77777777" w:rsidR="00B71DBE" w:rsidRPr="002975B0" w:rsidRDefault="00B71DBE" w:rsidP="003860FF">
      <w:pPr>
        <w:pStyle w:val="Footnote"/>
        <w:rPr>
          <w:sz w:val="20"/>
          <w:lang w:val="en-GB"/>
        </w:rPr>
      </w:pPr>
    </w:p>
    <w:p w14:paraId="0C1505F3" w14:textId="73754857" w:rsidR="00112AEB" w:rsidRPr="002975B0" w:rsidRDefault="00112AEB" w:rsidP="003860FF">
      <w:pPr>
        <w:pStyle w:val="ExhibitHeading"/>
        <w:rPr>
          <w:lang w:val="en-GB"/>
        </w:rPr>
      </w:pPr>
      <w:r w:rsidRPr="002975B0">
        <w:rPr>
          <w:lang w:val="en-GB"/>
        </w:rPr>
        <w:lastRenderedPageBreak/>
        <w:t xml:space="preserve">EXHIBIT 3: </w:t>
      </w:r>
      <w:r w:rsidR="00A13485">
        <w:rPr>
          <w:lang w:val="en-GB"/>
        </w:rPr>
        <w:t xml:space="preserve">Keystone </w:t>
      </w:r>
      <w:r w:rsidR="00544397">
        <w:rPr>
          <w:lang w:val="en-GB"/>
        </w:rPr>
        <w:t>excavating</w:t>
      </w:r>
      <w:r w:rsidR="009A7810">
        <w:rPr>
          <w:lang w:val="en-GB"/>
        </w:rPr>
        <w:t xml:space="preserve"> Limited</w:t>
      </w:r>
      <w:r w:rsidR="00544397">
        <w:rPr>
          <w:lang w:val="en-GB"/>
        </w:rPr>
        <w:t>—</w:t>
      </w:r>
      <w:r w:rsidRPr="002975B0">
        <w:rPr>
          <w:lang w:val="en-GB"/>
        </w:rPr>
        <w:t>RATIO ANALYSIS</w:t>
      </w:r>
      <w:r w:rsidR="00A13485">
        <w:rPr>
          <w:lang w:val="en-GB"/>
        </w:rPr>
        <w:t>,</w:t>
      </w:r>
      <w:r w:rsidRPr="002975B0">
        <w:rPr>
          <w:lang w:val="en-GB"/>
        </w:rPr>
        <w:t xml:space="preserve"> 2014</w:t>
      </w:r>
      <w:r w:rsidR="00A13485">
        <w:rPr>
          <w:lang w:val="en-GB"/>
        </w:rPr>
        <w:t>–</w:t>
      </w:r>
      <w:r w:rsidRPr="002975B0">
        <w:rPr>
          <w:lang w:val="en-GB"/>
        </w:rPr>
        <w:t>2016</w:t>
      </w:r>
    </w:p>
    <w:p w14:paraId="1D91F679" w14:textId="77777777" w:rsidR="00112AEB" w:rsidRPr="002975B0" w:rsidRDefault="00112AEB" w:rsidP="00112AEB">
      <w:pPr>
        <w:rPr>
          <w:rFonts w:ascii="Arial" w:hAnsi="Arial" w:cs="Arial"/>
          <w:lang w:val="en-GB"/>
        </w:rPr>
      </w:pPr>
    </w:p>
    <w:tbl>
      <w:tblPr>
        <w:tblStyle w:val="TableGrid"/>
        <w:tblW w:w="4765" w:type="dxa"/>
        <w:jc w:val="center"/>
        <w:tblLook w:val="04A0" w:firstRow="1" w:lastRow="0" w:firstColumn="1" w:lastColumn="0" w:noHBand="0" w:noVBand="1"/>
      </w:tblPr>
      <w:tblGrid>
        <w:gridCol w:w="2547"/>
        <w:gridCol w:w="778"/>
        <w:gridCol w:w="810"/>
        <w:gridCol w:w="834"/>
      </w:tblGrid>
      <w:tr w:rsidR="00E26A58" w:rsidRPr="002975B0" w14:paraId="4C67C530" w14:textId="77777777" w:rsidTr="00C56A0E">
        <w:trPr>
          <w:trHeight w:val="303"/>
          <w:jc w:val="center"/>
        </w:trPr>
        <w:tc>
          <w:tcPr>
            <w:tcW w:w="2547" w:type="dxa"/>
            <w:noWrap/>
            <w:hideMark/>
          </w:tcPr>
          <w:p w14:paraId="1554F242" w14:textId="77777777" w:rsidR="00112AEB" w:rsidRPr="002975B0" w:rsidRDefault="00112AEB" w:rsidP="00924803">
            <w:pPr>
              <w:spacing w:before="2" w:after="2"/>
              <w:rPr>
                <w:rFonts w:ascii="Arial" w:hAnsi="Arial" w:cs="Arial"/>
                <w:lang w:val="en-GB"/>
              </w:rPr>
            </w:pPr>
            <w:r w:rsidRPr="002975B0">
              <w:rPr>
                <w:rFonts w:ascii="Arial" w:hAnsi="Arial" w:cs="Arial"/>
                <w:lang w:val="en-GB"/>
              </w:rPr>
              <w:t> </w:t>
            </w:r>
          </w:p>
        </w:tc>
        <w:tc>
          <w:tcPr>
            <w:tcW w:w="778" w:type="dxa"/>
            <w:noWrap/>
            <w:vAlign w:val="center"/>
            <w:hideMark/>
          </w:tcPr>
          <w:p w14:paraId="76DE8845" w14:textId="77777777" w:rsidR="00112AEB" w:rsidRPr="002975B0" w:rsidRDefault="00112AEB" w:rsidP="000147E4">
            <w:pPr>
              <w:spacing w:before="2" w:after="2"/>
              <w:jc w:val="center"/>
              <w:rPr>
                <w:rFonts w:ascii="Arial" w:hAnsi="Arial" w:cs="Arial"/>
                <w:b/>
                <w:bCs/>
                <w:lang w:val="en-GB"/>
              </w:rPr>
            </w:pPr>
            <w:r w:rsidRPr="002975B0">
              <w:rPr>
                <w:rFonts w:ascii="Arial" w:hAnsi="Arial" w:cs="Arial"/>
                <w:b/>
                <w:bCs/>
                <w:lang w:val="en-GB"/>
              </w:rPr>
              <w:t>2014</w:t>
            </w:r>
          </w:p>
        </w:tc>
        <w:tc>
          <w:tcPr>
            <w:tcW w:w="810" w:type="dxa"/>
            <w:noWrap/>
            <w:vAlign w:val="center"/>
            <w:hideMark/>
          </w:tcPr>
          <w:p w14:paraId="521EA50B" w14:textId="77777777" w:rsidR="00112AEB" w:rsidRPr="002975B0" w:rsidRDefault="00112AEB" w:rsidP="000147E4">
            <w:pPr>
              <w:spacing w:before="2" w:after="2"/>
              <w:jc w:val="center"/>
              <w:rPr>
                <w:rFonts w:ascii="Arial" w:hAnsi="Arial" w:cs="Arial"/>
                <w:b/>
                <w:bCs/>
                <w:lang w:val="en-GB"/>
              </w:rPr>
            </w:pPr>
            <w:r w:rsidRPr="002975B0">
              <w:rPr>
                <w:rFonts w:ascii="Arial" w:hAnsi="Arial" w:cs="Arial"/>
                <w:b/>
                <w:bCs/>
                <w:lang w:val="en-GB"/>
              </w:rPr>
              <w:t>2015</w:t>
            </w:r>
          </w:p>
        </w:tc>
        <w:tc>
          <w:tcPr>
            <w:tcW w:w="630" w:type="dxa"/>
            <w:noWrap/>
            <w:vAlign w:val="center"/>
            <w:hideMark/>
          </w:tcPr>
          <w:p w14:paraId="7CAE7913" w14:textId="77777777" w:rsidR="00112AEB" w:rsidRPr="002975B0" w:rsidRDefault="00112AEB" w:rsidP="000147E4">
            <w:pPr>
              <w:spacing w:before="2" w:after="2"/>
              <w:jc w:val="center"/>
              <w:rPr>
                <w:rFonts w:ascii="Arial" w:hAnsi="Arial" w:cs="Arial"/>
                <w:b/>
                <w:bCs/>
                <w:lang w:val="en-GB"/>
              </w:rPr>
            </w:pPr>
            <w:r w:rsidRPr="002975B0">
              <w:rPr>
                <w:rFonts w:ascii="Arial" w:hAnsi="Arial" w:cs="Arial"/>
                <w:b/>
                <w:bCs/>
                <w:lang w:val="en-GB"/>
              </w:rPr>
              <w:t>2016</w:t>
            </w:r>
          </w:p>
        </w:tc>
      </w:tr>
      <w:tr w:rsidR="00E26A58" w:rsidRPr="002975B0" w14:paraId="1EA289A3" w14:textId="77777777" w:rsidTr="00C56A0E">
        <w:trPr>
          <w:trHeight w:val="303"/>
          <w:jc w:val="center"/>
        </w:trPr>
        <w:tc>
          <w:tcPr>
            <w:tcW w:w="2547" w:type="dxa"/>
            <w:noWrap/>
            <w:vAlign w:val="center"/>
            <w:hideMark/>
          </w:tcPr>
          <w:p w14:paraId="4404A2DF" w14:textId="77777777" w:rsidR="00112AEB" w:rsidRPr="002975B0" w:rsidRDefault="00112AEB" w:rsidP="004356AA">
            <w:pPr>
              <w:spacing w:before="2" w:after="2"/>
              <w:rPr>
                <w:rFonts w:ascii="Arial" w:hAnsi="Arial" w:cs="Arial"/>
                <w:b/>
                <w:bCs/>
                <w:lang w:val="en-GB"/>
              </w:rPr>
            </w:pPr>
            <w:r w:rsidRPr="002975B0">
              <w:rPr>
                <w:rFonts w:ascii="Arial" w:hAnsi="Arial" w:cs="Arial"/>
                <w:b/>
                <w:bCs/>
                <w:lang w:val="en-GB"/>
              </w:rPr>
              <w:t>Liquidity Ratios</w:t>
            </w:r>
          </w:p>
        </w:tc>
        <w:tc>
          <w:tcPr>
            <w:tcW w:w="778" w:type="dxa"/>
            <w:noWrap/>
            <w:hideMark/>
          </w:tcPr>
          <w:p w14:paraId="00E91617" w14:textId="77777777" w:rsidR="00112AEB" w:rsidRPr="002975B0" w:rsidRDefault="00112AEB" w:rsidP="00924803">
            <w:pPr>
              <w:spacing w:before="2" w:after="2"/>
              <w:rPr>
                <w:rFonts w:ascii="Arial" w:hAnsi="Arial" w:cs="Arial"/>
                <w:lang w:val="en-GB"/>
              </w:rPr>
            </w:pPr>
            <w:r w:rsidRPr="002975B0">
              <w:rPr>
                <w:rFonts w:ascii="Arial" w:hAnsi="Arial" w:cs="Arial"/>
                <w:lang w:val="en-GB"/>
              </w:rPr>
              <w:t> </w:t>
            </w:r>
          </w:p>
        </w:tc>
        <w:tc>
          <w:tcPr>
            <w:tcW w:w="810" w:type="dxa"/>
            <w:noWrap/>
            <w:hideMark/>
          </w:tcPr>
          <w:p w14:paraId="09011201" w14:textId="77777777" w:rsidR="00112AEB" w:rsidRPr="002975B0" w:rsidRDefault="00112AEB" w:rsidP="00924803">
            <w:pPr>
              <w:spacing w:before="2" w:after="2"/>
              <w:rPr>
                <w:rFonts w:ascii="Arial" w:hAnsi="Arial" w:cs="Arial"/>
                <w:lang w:val="en-GB"/>
              </w:rPr>
            </w:pPr>
            <w:r w:rsidRPr="002975B0">
              <w:rPr>
                <w:rFonts w:ascii="Arial" w:hAnsi="Arial" w:cs="Arial"/>
                <w:lang w:val="en-GB"/>
              </w:rPr>
              <w:t> </w:t>
            </w:r>
          </w:p>
        </w:tc>
        <w:tc>
          <w:tcPr>
            <w:tcW w:w="630" w:type="dxa"/>
            <w:noWrap/>
            <w:hideMark/>
          </w:tcPr>
          <w:p w14:paraId="091C52D6" w14:textId="77777777" w:rsidR="00112AEB" w:rsidRPr="002975B0" w:rsidRDefault="00112AEB" w:rsidP="00924803">
            <w:pPr>
              <w:spacing w:before="2" w:after="2"/>
              <w:rPr>
                <w:rFonts w:ascii="Arial" w:hAnsi="Arial" w:cs="Arial"/>
                <w:lang w:val="en-GB"/>
              </w:rPr>
            </w:pPr>
            <w:r w:rsidRPr="002975B0">
              <w:rPr>
                <w:rFonts w:ascii="Arial" w:hAnsi="Arial" w:cs="Arial"/>
                <w:lang w:val="en-GB"/>
              </w:rPr>
              <w:t> </w:t>
            </w:r>
          </w:p>
        </w:tc>
      </w:tr>
      <w:tr w:rsidR="00E26A58" w:rsidRPr="002975B0" w14:paraId="50786843" w14:textId="77777777" w:rsidTr="00C56A0E">
        <w:trPr>
          <w:trHeight w:val="303"/>
          <w:jc w:val="center"/>
        </w:trPr>
        <w:tc>
          <w:tcPr>
            <w:tcW w:w="2547" w:type="dxa"/>
            <w:noWrap/>
            <w:vAlign w:val="center"/>
            <w:hideMark/>
          </w:tcPr>
          <w:p w14:paraId="5C8702A6" w14:textId="77777777" w:rsidR="00112AEB" w:rsidRPr="002975B0" w:rsidRDefault="00112AEB" w:rsidP="004356AA">
            <w:pPr>
              <w:spacing w:before="2" w:after="2"/>
              <w:rPr>
                <w:rFonts w:ascii="Arial" w:hAnsi="Arial" w:cs="Arial"/>
                <w:lang w:val="en-GB"/>
              </w:rPr>
            </w:pPr>
            <w:r w:rsidRPr="002975B0">
              <w:rPr>
                <w:rFonts w:ascii="Arial" w:hAnsi="Arial" w:cs="Arial"/>
                <w:lang w:val="en-GB"/>
              </w:rPr>
              <w:t>Current Ratio</w:t>
            </w:r>
          </w:p>
        </w:tc>
        <w:tc>
          <w:tcPr>
            <w:tcW w:w="778" w:type="dxa"/>
            <w:noWrap/>
            <w:vAlign w:val="center"/>
            <w:hideMark/>
          </w:tcPr>
          <w:p w14:paraId="427D86FD" w14:textId="67DA9B66" w:rsidR="00112AEB" w:rsidRPr="002975B0" w:rsidRDefault="00112AEB" w:rsidP="000147E4">
            <w:pPr>
              <w:spacing w:before="2" w:after="2"/>
              <w:jc w:val="right"/>
              <w:rPr>
                <w:rFonts w:ascii="Arial" w:hAnsi="Arial" w:cs="Arial"/>
                <w:lang w:val="en-GB"/>
              </w:rPr>
            </w:pPr>
            <w:r w:rsidRPr="002975B0">
              <w:rPr>
                <w:rFonts w:ascii="Arial" w:hAnsi="Arial" w:cs="Arial"/>
                <w:lang w:val="en-GB"/>
              </w:rPr>
              <w:t>0.89</w:t>
            </w:r>
          </w:p>
        </w:tc>
        <w:tc>
          <w:tcPr>
            <w:tcW w:w="810" w:type="dxa"/>
            <w:noWrap/>
            <w:vAlign w:val="center"/>
            <w:hideMark/>
          </w:tcPr>
          <w:p w14:paraId="64B070A0" w14:textId="48887D82" w:rsidR="00112AEB" w:rsidRPr="002975B0" w:rsidRDefault="00112AEB" w:rsidP="000147E4">
            <w:pPr>
              <w:spacing w:before="2" w:after="2"/>
              <w:jc w:val="right"/>
              <w:rPr>
                <w:rFonts w:ascii="Arial" w:hAnsi="Arial" w:cs="Arial"/>
                <w:lang w:val="en-GB"/>
              </w:rPr>
            </w:pPr>
            <w:r w:rsidRPr="002975B0">
              <w:rPr>
                <w:rFonts w:ascii="Arial" w:hAnsi="Arial" w:cs="Arial"/>
                <w:lang w:val="en-GB"/>
              </w:rPr>
              <w:t>1.22</w:t>
            </w:r>
          </w:p>
        </w:tc>
        <w:tc>
          <w:tcPr>
            <w:tcW w:w="630" w:type="dxa"/>
            <w:noWrap/>
            <w:vAlign w:val="center"/>
            <w:hideMark/>
          </w:tcPr>
          <w:p w14:paraId="5FDD865C" w14:textId="3743BBD2" w:rsidR="00112AEB" w:rsidRPr="002975B0" w:rsidRDefault="00112AEB" w:rsidP="000147E4">
            <w:pPr>
              <w:spacing w:before="2" w:after="2"/>
              <w:jc w:val="right"/>
              <w:rPr>
                <w:rFonts w:ascii="Arial" w:hAnsi="Arial" w:cs="Arial"/>
                <w:lang w:val="en-GB"/>
              </w:rPr>
            </w:pPr>
            <w:r w:rsidRPr="002975B0">
              <w:rPr>
                <w:rFonts w:ascii="Arial" w:hAnsi="Arial" w:cs="Arial"/>
                <w:lang w:val="en-GB"/>
              </w:rPr>
              <w:t>1.20</w:t>
            </w:r>
          </w:p>
        </w:tc>
      </w:tr>
      <w:tr w:rsidR="00E26A58" w:rsidRPr="002975B0" w14:paraId="4998A075" w14:textId="77777777" w:rsidTr="00C56A0E">
        <w:trPr>
          <w:trHeight w:val="303"/>
          <w:jc w:val="center"/>
        </w:trPr>
        <w:tc>
          <w:tcPr>
            <w:tcW w:w="2547" w:type="dxa"/>
            <w:noWrap/>
            <w:vAlign w:val="center"/>
            <w:hideMark/>
          </w:tcPr>
          <w:p w14:paraId="3644C14F" w14:textId="77777777" w:rsidR="00112AEB" w:rsidRPr="002975B0" w:rsidRDefault="00112AEB" w:rsidP="004356AA">
            <w:pPr>
              <w:spacing w:before="2" w:after="2"/>
              <w:rPr>
                <w:rFonts w:ascii="Arial" w:hAnsi="Arial" w:cs="Arial"/>
                <w:lang w:val="en-GB"/>
              </w:rPr>
            </w:pPr>
            <w:r w:rsidRPr="002975B0">
              <w:rPr>
                <w:rFonts w:ascii="Arial" w:hAnsi="Arial" w:cs="Arial"/>
                <w:lang w:val="en-GB"/>
              </w:rPr>
              <w:t xml:space="preserve">Receivables Turnover </w:t>
            </w:r>
          </w:p>
        </w:tc>
        <w:tc>
          <w:tcPr>
            <w:tcW w:w="778" w:type="dxa"/>
            <w:noWrap/>
            <w:vAlign w:val="center"/>
            <w:hideMark/>
          </w:tcPr>
          <w:p w14:paraId="06B8CDEB" w14:textId="3C8927BA" w:rsidR="00112AEB" w:rsidRPr="002975B0" w:rsidRDefault="00112AEB" w:rsidP="000147E4">
            <w:pPr>
              <w:spacing w:before="2" w:after="2"/>
              <w:jc w:val="right"/>
              <w:rPr>
                <w:rFonts w:ascii="Arial" w:hAnsi="Arial" w:cs="Arial"/>
                <w:lang w:val="en-GB"/>
              </w:rPr>
            </w:pPr>
            <w:r w:rsidRPr="002975B0">
              <w:rPr>
                <w:rFonts w:ascii="Arial" w:hAnsi="Arial" w:cs="Arial"/>
                <w:lang w:val="en-GB"/>
              </w:rPr>
              <w:t>4.08</w:t>
            </w:r>
          </w:p>
        </w:tc>
        <w:tc>
          <w:tcPr>
            <w:tcW w:w="810" w:type="dxa"/>
            <w:noWrap/>
            <w:vAlign w:val="center"/>
            <w:hideMark/>
          </w:tcPr>
          <w:p w14:paraId="7AC05828" w14:textId="74C5EC80" w:rsidR="00112AEB" w:rsidRPr="002975B0" w:rsidRDefault="00112AEB" w:rsidP="000147E4">
            <w:pPr>
              <w:spacing w:before="2" w:after="2"/>
              <w:jc w:val="right"/>
              <w:rPr>
                <w:rFonts w:ascii="Arial" w:hAnsi="Arial" w:cs="Arial"/>
                <w:lang w:val="en-GB"/>
              </w:rPr>
            </w:pPr>
            <w:r w:rsidRPr="002975B0">
              <w:rPr>
                <w:rFonts w:ascii="Arial" w:hAnsi="Arial" w:cs="Arial"/>
                <w:lang w:val="en-GB"/>
              </w:rPr>
              <w:t>4.62</w:t>
            </w:r>
          </w:p>
        </w:tc>
        <w:tc>
          <w:tcPr>
            <w:tcW w:w="630" w:type="dxa"/>
            <w:noWrap/>
            <w:vAlign w:val="center"/>
            <w:hideMark/>
          </w:tcPr>
          <w:p w14:paraId="4002E1AE" w14:textId="1BE214A9" w:rsidR="00112AEB" w:rsidRPr="002975B0" w:rsidRDefault="00324404" w:rsidP="000147E4">
            <w:pPr>
              <w:spacing w:before="2" w:after="2"/>
              <w:jc w:val="right"/>
              <w:rPr>
                <w:rFonts w:ascii="Arial" w:hAnsi="Arial" w:cs="Arial"/>
                <w:lang w:val="en-GB"/>
              </w:rPr>
            </w:pPr>
            <w:r>
              <w:rPr>
                <w:rFonts w:ascii="Arial" w:hAnsi="Arial" w:cs="Arial"/>
                <w:lang w:val="en-GB"/>
              </w:rPr>
              <w:t>0</w:t>
            </w:r>
            <w:r w:rsidR="00112AEB" w:rsidRPr="002975B0">
              <w:rPr>
                <w:rFonts w:ascii="Arial" w:hAnsi="Arial" w:cs="Arial"/>
                <w:lang w:val="en-GB"/>
              </w:rPr>
              <w:t>.30</w:t>
            </w:r>
          </w:p>
        </w:tc>
      </w:tr>
      <w:tr w:rsidR="00E26A58" w:rsidRPr="002975B0" w14:paraId="398DE4E8" w14:textId="77777777" w:rsidTr="00C56A0E">
        <w:trPr>
          <w:trHeight w:val="303"/>
          <w:jc w:val="center"/>
        </w:trPr>
        <w:tc>
          <w:tcPr>
            <w:tcW w:w="2547" w:type="dxa"/>
            <w:noWrap/>
            <w:vAlign w:val="center"/>
            <w:hideMark/>
          </w:tcPr>
          <w:p w14:paraId="7F5096F2" w14:textId="77777777" w:rsidR="00112AEB" w:rsidRPr="002975B0" w:rsidRDefault="00112AEB" w:rsidP="004356AA">
            <w:pPr>
              <w:spacing w:before="2" w:after="2"/>
              <w:rPr>
                <w:rFonts w:ascii="Arial" w:hAnsi="Arial" w:cs="Arial"/>
                <w:b/>
                <w:bCs/>
                <w:lang w:val="en-GB"/>
              </w:rPr>
            </w:pPr>
            <w:r w:rsidRPr="002975B0">
              <w:rPr>
                <w:rFonts w:ascii="Arial" w:hAnsi="Arial" w:cs="Arial"/>
                <w:b/>
                <w:bCs/>
                <w:lang w:val="en-GB"/>
              </w:rPr>
              <w:t>Leverage Ratios</w:t>
            </w:r>
          </w:p>
        </w:tc>
        <w:tc>
          <w:tcPr>
            <w:tcW w:w="778" w:type="dxa"/>
            <w:noWrap/>
            <w:vAlign w:val="center"/>
            <w:hideMark/>
          </w:tcPr>
          <w:p w14:paraId="51BBB813" w14:textId="77777777" w:rsidR="00112AEB" w:rsidRPr="002975B0" w:rsidRDefault="00112AEB" w:rsidP="000147E4">
            <w:pPr>
              <w:spacing w:before="2" w:after="2"/>
              <w:jc w:val="right"/>
              <w:rPr>
                <w:rFonts w:ascii="Arial" w:hAnsi="Arial" w:cs="Arial"/>
                <w:lang w:val="en-GB"/>
              </w:rPr>
            </w:pPr>
            <w:r w:rsidRPr="002975B0">
              <w:rPr>
                <w:rFonts w:ascii="Arial" w:hAnsi="Arial" w:cs="Arial"/>
                <w:lang w:val="en-GB"/>
              </w:rPr>
              <w:t> </w:t>
            </w:r>
          </w:p>
        </w:tc>
        <w:tc>
          <w:tcPr>
            <w:tcW w:w="810" w:type="dxa"/>
            <w:noWrap/>
            <w:vAlign w:val="center"/>
            <w:hideMark/>
          </w:tcPr>
          <w:p w14:paraId="29919BFA" w14:textId="77777777" w:rsidR="00112AEB" w:rsidRPr="002975B0" w:rsidRDefault="00112AEB" w:rsidP="000147E4">
            <w:pPr>
              <w:spacing w:before="2" w:after="2"/>
              <w:jc w:val="right"/>
              <w:rPr>
                <w:rFonts w:ascii="Arial" w:hAnsi="Arial" w:cs="Arial"/>
                <w:lang w:val="en-GB"/>
              </w:rPr>
            </w:pPr>
            <w:r w:rsidRPr="002975B0">
              <w:rPr>
                <w:rFonts w:ascii="Arial" w:hAnsi="Arial" w:cs="Arial"/>
                <w:lang w:val="en-GB"/>
              </w:rPr>
              <w:t> </w:t>
            </w:r>
          </w:p>
        </w:tc>
        <w:tc>
          <w:tcPr>
            <w:tcW w:w="630" w:type="dxa"/>
            <w:noWrap/>
            <w:vAlign w:val="center"/>
            <w:hideMark/>
          </w:tcPr>
          <w:p w14:paraId="52198EF3" w14:textId="77777777" w:rsidR="00112AEB" w:rsidRPr="002975B0" w:rsidRDefault="00112AEB" w:rsidP="000147E4">
            <w:pPr>
              <w:spacing w:before="2" w:after="2"/>
              <w:jc w:val="right"/>
              <w:rPr>
                <w:rFonts w:ascii="Arial" w:hAnsi="Arial" w:cs="Arial"/>
                <w:lang w:val="en-GB"/>
              </w:rPr>
            </w:pPr>
            <w:r w:rsidRPr="002975B0">
              <w:rPr>
                <w:rFonts w:ascii="Arial" w:hAnsi="Arial" w:cs="Arial"/>
                <w:lang w:val="en-GB"/>
              </w:rPr>
              <w:t> </w:t>
            </w:r>
          </w:p>
        </w:tc>
      </w:tr>
      <w:tr w:rsidR="00E26A58" w:rsidRPr="002975B0" w14:paraId="69C68D4E" w14:textId="77777777" w:rsidTr="00C56A0E">
        <w:trPr>
          <w:trHeight w:val="303"/>
          <w:jc w:val="center"/>
        </w:trPr>
        <w:tc>
          <w:tcPr>
            <w:tcW w:w="2547" w:type="dxa"/>
            <w:noWrap/>
            <w:vAlign w:val="center"/>
            <w:hideMark/>
          </w:tcPr>
          <w:p w14:paraId="13936FF3" w14:textId="77777777" w:rsidR="00112AEB" w:rsidRPr="002975B0" w:rsidRDefault="00112AEB" w:rsidP="004356AA">
            <w:pPr>
              <w:spacing w:before="2" w:after="2"/>
              <w:rPr>
                <w:rFonts w:ascii="Arial" w:hAnsi="Arial" w:cs="Arial"/>
                <w:lang w:val="en-GB"/>
              </w:rPr>
            </w:pPr>
            <w:r w:rsidRPr="002975B0">
              <w:rPr>
                <w:rFonts w:ascii="Arial" w:hAnsi="Arial" w:cs="Arial"/>
                <w:lang w:val="en-GB"/>
              </w:rPr>
              <w:t xml:space="preserve">Debt to Equity </w:t>
            </w:r>
          </w:p>
        </w:tc>
        <w:tc>
          <w:tcPr>
            <w:tcW w:w="778" w:type="dxa"/>
            <w:noWrap/>
            <w:vAlign w:val="center"/>
            <w:hideMark/>
          </w:tcPr>
          <w:p w14:paraId="1A3A84B0" w14:textId="4B3F4F4A" w:rsidR="00112AEB" w:rsidRPr="002975B0" w:rsidRDefault="00112AEB" w:rsidP="000147E4">
            <w:pPr>
              <w:spacing w:before="2" w:after="2"/>
              <w:jc w:val="right"/>
              <w:rPr>
                <w:rFonts w:ascii="Arial" w:hAnsi="Arial" w:cs="Arial"/>
                <w:lang w:val="en-GB"/>
              </w:rPr>
            </w:pPr>
            <w:r w:rsidRPr="002975B0">
              <w:rPr>
                <w:rFonts w:ascii="Arial" w:hAnsi="Arial" w:cs="Arial"/>
                <w:lang w:val="en-GB"/>
              </w:rPr>
              <w:t>0.25</w:t>
            </w:r>
          </w:p>
        </w:tc>
        <w:tc>
          <w:tcPr>
            <w:tcW w:w="810" w:type="dxa"/>
            <w:noWrap/>
            <w:vAlign w:val="center"/>
            <w:hideMark/>
          </w:tcPr>
          <w:p w14:paraId="52010B62" w14:textId="56D1B70D" w:rsidR="00112AEB" w:rsidRPr="002975B0" w:rsidRDefault="00112AEB" w:rsidP="000147E4">
            <w:pPr>
              <w:spacing w:before="2" w:after="2"/>
              <w:jc w:val="right"/>
              <w:rPr>
                <w:rFonts w:ascii="Arial" w:hAnsi="Arial" w:cs="Arial"/>
                <w:lang w:val="en-GB"/>
              </w:rPr>
            </w:pPr>
            <w:r w:rsidRPr="002975B0">
              <w:rPr>
                <w:rFonts w:ascii="Arial" w:hAnsi="Arial" w:cs="Arial"/>
                <w:lang w:val="en-GB"/>
              </w:rPr>
              <w:t>0.10</w:t>
            </w:r>
          </w:p>
        </w:tc>
        <w:tc>
          <w:tcPr>
            <w:tcW w:w="630" w:type="dxa"/>
            <w:noWrap/>
            <w:vAlign w:val="center"/>
            <w:hideMark/>
          </w:tcPr>
          <w:p w14:paraId="0D1E9854" w14:textId="46686083" w:rsidR="00112AEB" w:rsidRPr="002975B0" w:rsidRDefault="00112AEB" w:rsidP="000147E4">
            <w:pPr>
              <w:spacing w:before="2" w:after="2"/>
              <w:jc w:val="right"/>
              <w:rPr>
                <w:rFonts w:ascii="Arial" w:hAnsi="Arial" w:cs="Arial"/>
                <w:lang w:val="en-GB"/>
              </w:rPr>
            </w:pPr>
            <w:r w:rsidRPr="002975B0">
              <w:rPr>
                <w:rFonts w:ascii="Arial" w:hAnsi="Arial" w:cs="Arial"/>
                <w:lang w:val="en-GB"/>
              </w:rPr>
              <w:t>0.41</w:t>
            </w:r>
          </w:p>
        </w:tc>
      </w:tr>
      <w:tr w:rsidR="00E26A58" w:rsidRPr="002975B0" w14:paraId="204BD80F" w14:textId="77777777" w:rsidTr="00C56A0E">
        <w:trPr>
          <w:trHeight w:val="303"/>
          <w:jc w:val="center"/>
        </w:trPr>
        <w:tc>
          <w:tcPr>
            <w:tcW w:w="2547" w:type="dxa"/>
            <w:noWrap/>
            <w:vAlign w:val="center"/>
            <w:hideMark/>
          </w:tcPr>
          <w:p w14:paraId="0127CB6C" w14:textId="77777777" w:rsidR="00112AEB" w:rsidRPr="002975B0" w:rsidRDefault="00112AEB" w:rsidP="004356AA">
            <w:pPr>
              <w:spacing w:before="2" w:after="2"/>
              <w:rPr>
                <w:rFonts w:ascii="Arial" w:hAnsi="Arial" w:cs="Arial"/>
                <w:lang w:val="en-GB"/>
              </w:rPr>
            </w:pPr>
            <w:r w:rsidRPr="002975B0">
              <w:rPr>
                <w:rFonts w:ascii="Arial" w:hAnsi="Arial" w:cs="Arial"/>
                <w:lang w:val="en-GB"/>
              </w:rPr>
              <w:t xml:space="preserve">Total Debt to Total Assets </w:t>
            </w:r>
          </w:p>
        </w:tc>
        <w:tc>
          <w:tcPr>
            <w:tcW w:w="778" w:type="dxa"/>
            <w:noWrap/>
            <w:vAlign w:val="center"/>
            <w:hideMark/>
          </w:tcPr>
          <w:p w14:paraId="6EB398CB" w14:textId="2D4B65EC" w:rsidR="00112AEB" w:rsidRPr="002975B0" w:rsidRDefault="00112AEB" w:rsidP="000147E4">
            <w:pPr>
              <w:spacing w:before="2" w:after="2"/>
              <w:jc w:val="right"/>
              <w:rPr>
                <w:rFonts w:ascii="Arial" w:hAnsi="Arial" w:cs="Arial"/>
                <w:lang w:val="en-GB"/>
              </w:rPr>
            </w:pPr>
            <w:r w:rsidRPr="002975B0">
              <w:rPr>
                <w:rFonts w:ascii="Arial" w:hAnsi="Arial" w:cs="Arial"/>
                <w:lang w:val="en-GB"/>
              </w:rPr>
              <w:t>0.62</w:t>
            </w:r>
          </w:p>
        </w:tc>
        <w:tc>
          <w:tcPr>
            <w:tcW w:w="810" w:type="dxa"/>
            <w:noWrap/>
            <w:vAlign w:val="center"/>
            <w:hideMark/>
          </w:tcPr>
          <w:p w14:paraId="7AF9842D" w14:textId="4091CA87" w:rsidR="00112AEB" w:rsidRPr="002975B0" w:rsidRDefault="00112AEB" w:rsidP="000147E4">
            <w:pPr>
              <w:spacing w:before="2" w:after="2"/>
              <w:jc w:val="right"/>
              <w:rPr>
                <w:rFonts w:ascii="Arial" w:hAnsi="Arial" w:cs="Arial"/>
                <w:lang w:val="en-GB"/>
              </w:rPr>
            </w:pPr>
            <w:r w:rsidRPr="002975B0">
              <w:rPr>
                <w:rFonts w:ascii="Arial" w:hAnsi="Arial" w:cs="Arial"/>
                <w:lang w:val="en-GB"/>
              </w:rPr>
              <w:t>0.39</w:t>
            </w:r>
          </w:p>
        </w:tc>
        <w:tc>
          <w:tcPr>
            <w:tcW w:w="630" w:type="dxa"/>
            <w:noWrap/>
            <w:vAlign w:val="center"/>
            <w:hideMark/>
          </w:tcPr>
          <w:p w14:paraId="5150B566" w14:textId="341374EF" w:rsidR="00112AEB" w:rsidRPr="002975B0" w:rsidRDefault="00112AEB" w:rsidP="000147E4">
            <w:pPr>
              <w:spacing w:before="2" w:after="2"/>
              <w:jc w:val="right"/>
              <w:rPr>
                <w:rFonts w:ascii="Arial" w:hAnsi="Arial" w:cs="Arial"/>
                <w:lang w:val="en-GB"/>
              </w:rPr>
            </w:pPr>
            <w:r w:rsidRPr="002975B0">
              <w:rPr>
                <w:rFonts w:ascii="Arial" w:hAnsi="Arial" w:cs="Arial"/>
                <w:lang w:val="en-GB"/>
              </w:rPr>
              <w:t>0.48</w:t>
            </w:r>
          </w:p>
        </w:tc>
      </w:tr>
      <w:tr w:rsidR="00E26A58" w:rsidRPr="002975B0" w14:paraId="5A82D0CA" w14:textId="77777777" w:rsidTr="00C56A0E">
        <w:trPr>
          <w:trHeight w:val="303"/>
          <w:jc w:val="center"/>
        </w:trPr>
        <w:tc>
          <w:tcPr>
            <w:tcW w:w="2547" w:type="dxa"/>
            <w:noWrap/>
            <w:vAlign w:val="center"/>
            <w:hideMark/>
          </w:tcPr>
          <w:p w14:paraId="18AC6E4D" w14:textId="77777777" w:rsidR="00112AEB" w:rsidRPr="002975B0" w:rsidRDefault="00112AEB" w:rsidP="004356AA">
            <w:pPr>
              <w:spacing w:before="2" w:after="2"/>
              <w:rPr>
                <w:rFonts w:ascii="Arial" w:hAnsi="Arial" w:cs="Arial"/>
                <w:lang w:val="en-GB"/>
              </w:rPr>
            </w:pPr>
            <w:r w:rsidRPr="002975B0">
              <w:rPr>
                <w:rFonts w:ascii="Arial" w:hAnsi="Arial" w:cs="Arial"/>
                <w:lang w:val="en-GB"/>
              </w:rPr>
              <w:t xml:space="preserve">Leverage </w:t>
            </w:r>
          </w:p>
        </w:tc>
        <w:tc>
          <w:tcPr>
            <w:tcW w:w="778" w:type="dxa"/>
            <w:noWrap/>
            <w:vAlign w:val="center"/>
            <w:hideMark/>
          </w:tcPr>
          <w:p w14:paraId="2A1031F4" w14:textId="6979D122" w:rsidR="00112AEB" w:rsidRPr="002975B0" w:rsidRDefault="00112AEB" w:rsidP="000147E4">
            <w:pPr>
              <w:spacing w:before="2" w:after="2"/>
              <w:jc w:val="right"/>
              <w:rPr>
                <w:rFonts w:ascii="Arial" w:hAnsi="Arial" w:cs="Arial"/>
                <w:lang w:val="en-GB"/>
              </w:rPr>
            </w:pPr>
            <w:r w:rsidRPr="002975B0">
              <w:rPr>
                <w:rFonts w:ascii="Arial" w:hAnsi="Arial" w:cs="Arial"/>
                <w:lang w:val="en-GB"/>
              </w:rPr>
              <w:t>2.66</w:t>
            </w:r>
          </w:p>
        </w:tc>
        <w:tc>
          <w:tcPr>
            <w:tcW w:w="810" w:type="dxa"/>
            <w:noWrap/>
            <w:vAlign w:val="center"/>
            <w:hideMark/>
          </w:tcPr>
          <w:p w14:paraId="4A591709" w14:textId="0158FD2B" w:rsidR="00112AEB" w:rsidRPr="002975B0" w:rsidRDefault="00112AEB" w:rsidP="000147E4">
            <w:pPr>
              <w:spacing w:before="2" w:after="2"/>
              <w:jc w:val="right"/>
              <w:rPr>
                <w:rFonts w:ascii="Arial" w:hAnsi="Arial" w:cs="Arial"/>
                <w:lang w:val="en-GB"/>
              </w:rPr>
            </w:pPr>
            <w:r w:rsidRPr="002975B0">
              <w:rPr>
                <w:rFonts w:ascii="Arial" w:hAnsi="Arial" w:cs="Arial"/>
                <w:lang w:val="en-GB"/>
              </w:rPr>
              <w:t>1.64</w:t>
            </w:r>
          </w:p>
        </w:tc>
        <w:tc>
          <w:tcPr>
            <w:tcW w:w="630" w:type="dxa"/>
            <w:noWrap/>
            <w:vAlign w:val="center"/>
            <w:hideMark/>
          </w:tcPr>
          <w:p w14:paraId="56D5935A" w14:textId="4DF4F8BE" w:rsidR="00112AEB" w:rsidRPr="002975B0" w:rsidRDefault="00112AEB" w:rsidP="000147E4">
            <w:pPr>
              <w:spacing w:before="2" w:after="2"/>
              <w:jc w:val="right"/>
              <w:rPr>
                <w:rFonts w:ascii="Arial" w:hAnsi="Arial" w:cs="Arial"/>
                <w:lang w:val="en-GB"/>
              </w:rPr>
            </w:pPr>
            <w:r w:rsidRPr="002975B0">
              <w:rPr>
                <w:rFonts w:ascii="Arial" w:hAnsi="Arial" w:cs="Arial"/>
                <w:lang w:val="en-GB"/>
              </w:rPr>
              <w:t>1.93</w:t>
            </w:r>
          </w:p>
        </w:tc>
      </w:tr>
      <w:tr w:rsidR="00E26A58" w:rsidRPr="002975B0" w14:paraId="765D33CA" w14:textId="77777777" w:rsidTr="00C56A0E">
        <w:trPr>
          <w:trHeight w:val="303"/>
          <w:jc w:val="center"/>
        </w:trPr>
        <w:tc>
          <w:tcPr>
            <w:tcW w:w="2547" w:type="dxa"/>
            <w:noWrap/>
            <w:vAlign w:val="center"/>
            <w:hideMark/>
          </w:tcPr>
          <w:p w14:paraId="6790C134" w14:textId="1E90A4D2" w:rsidR="00112AEB" w:rsidRPr="002975B0" w:rsidRDefault="00112AEB" w:rsidP="004356AA">
            <w:pPr>
              <w:spacing w:before="2" w:after="2"/>
              <w:rPr>
                <w:rFonts w:ascii="Arial" w:hAnsi="Arial" w:cs="Arial"/>
                <w:b/>
                <w:bCs/>
                <w:lang w:val="en-GB"/>
              </w:rPr>
            </w:pPr>
            <w:r w:rsidRPr="002975B0">
              <w:rPr>
                <w:rFonts w:ascii="Arial" w:hAnsi="Arial" w:cs="Arial"/>
                <w:b/>
                <w:bCs/>
                <w:lang w:val="en-GB"/>
              </w:rPr>
              <w:t>Profitability Ratios</w:t>
            </w:r>
            <w:r w:rsidR="00A13485">
              <w:rPr>
                <w:rFonts w:ascii="Arial" w:hAnsi="Arial" w:cs="Arial"/>
                <w:b/>
                <w:bCs/>
                <w:lang w:val="en-GB"/>
              </w:rPr>
              <w:t xml:space="preserve"> (%)</w:t>
            </w:r>
          </w:p>
        </w:tc>
        <w:tc>
          <w:tcPr>
            <w:tcW w:w="778" w:type="dxa"/>
            <w:noWrap/>
            <w:hideMark/>
          </w:tcPr>
          <w:p w14:paraId="3750D057" w14:textId="77777777" w:rsidR="00112AEB" w:rsidRPr="002975B0" w:rsidRDefault="00112AEB" w:rsidP="00924803">
            <w:pPr>
              <w:spacing w:before="2" w:after="2"/>
              <w:rPr>
                <w:rFonts w:ascii="Arial" w:hAnsi="Arial" w:cs="Arial"/>
                <w:lang w:val="en-GB"/>
              </w:rPr>
            </w:pPr>
            <w:r w:rsidRPr="002975B0">
              <w:rPr>
                <w:rFonts w:ascii="Arial" w:hAnsi="Arial" w:cs="Arial"/>
                <w:lang w:val="en-GB"/>
              </w:rPr>
              <w:t> </w:t>
            </w:r>
          </w:p>
        </w:tc>
        <w:tc>
          <w:tcPr>
            <w:tcW w:w="810" w:type="dxa"/>
            <w:noWrap/>
            <w:hideMark/>
          </w:tcPr>
          <w:p w14:paraId="32557B63" w14:textId="77777777" w:rsidR="00112AEB" w:rsidRPr="002975B0" w:rsidRDefault="00112AEB" w:rsidP="00924803">
            <w:pPr>
              <w:spacing w:before="2" w:after="2"/>
              <w:rPr>
                <w:rFonts w:ascii="Arial" w:hAnsi="Arial" w:cs="Arial"/>
                <w:lang w:val="en-GB"/>
              </w:rPr>
            </w:pPr>
            <w:r w:rsidRPr="002975B0">
              <w:rPr>
                <w:rFonts w:ascii="Arial" w:hAnsi="Arial" w:cs="Arial"/>
                <w:lang w:val="en-GB"/>
              </w:rPr>
              <w:t> </w:t>
            </w:r>
          </w:p>
        </w:tc>
        <w:tc>
          <w:tcPr>
            <w:tcW w:w="630" w:type="dxa"/>
            <w:noWrap/>
            <w:hideMark/>
          </w:tcPr>
          <w:p w14:paraId="146B6061" w14:textId="77777777" w:rsidR="00112AEB" w:rsidRPr="002975B0" w:rsidRDefault="00112AEB" w:rsidP="00924803">
            <w:pPr>
              <w:spacing w:before="2" w:after="2"/>
              <w:rPr>
                <w:rFonts w:ascii="Arial" w:hAnsi="Arial" w:cs="Arial"/>
                <w:lang w:val="en-GB"/>
              </w:rPr>
            </w:pPr>
            <w:r w:rsidRPr="002975B0">
              <w:rPr>
                <w:rFonts w:ascii="Arial" w:hAnsi="Arial" w:cs="Arial"/>
                <w:lang w:val="en-GB"/>
              </w:rPr>
              <w:t> </w:t>
            </w:r>
          </w:p>
        </w:tc>
      </w:tr>
      <w:tr w:rsidR="00E26A58" w:rsidRPr="002975B0" w14:paraId="5DEF77E7" w14:textId="77777777" w:rsidTr="00C56A0E">
        <w:trPr>
          <w:trHeight w:val="303"/>
          <w:jc w:val="center"/>
        </w:trPr>
        <w:tc>
          <w:tcPr>
            <w:tcW w:w="2547" w:type="dxa"/>
            <w:noWrap/>
            <w:vAlign w:val="center"/>
            <w:hideMark/>
          </w:tcPr>
          <w:p w14:paraId="7098C251" w14:textId="77777777" w:rsidR="00112AEB" w:rsidRPr="002975B0" w:rsidRDefault="00112AEB" w:rsidP="004356AA">
            <w:pPr>
              <w:spacing w:before="2" w:after="2"/>
              <w:rPr>
                <w:rFonts w:ascii="Arial" w:hAnsi="Arial" w:cs="Arial"/>
                <w:lang w:val="en-GB"/>
              </w:rPr>
            </w:pPr>
            <w:r w:rsidRPr="002975B0">
              <w:rPr>
                <w:rFonts w:ascii="Arial" w:hAnsi="Arial" w:cs="Arial"/>
                <w:lang w:val="en-GB"/>
              </w:rPr>
              <w:t>Gross Operating Margin</w:t>
            </w:r>
          </w:p>
        </w:tc>
        <w:tc>
          <w:tcPr>
            <w:tcW w:w="778" w:type="dxa"/>
            <w:noWrap/>
            <w:vAlign w:val="center"/>
            <w:hideMark/>
          </w:tcPr>
          <w:p w14:paraId="2F639A08" w14:textId="14589511" w:rsidR="00112AEB" w:rsidRPr="002975B0" w:rsidRDefault="00112AEB" w:rsidP="000147E4">
            <w:pPr>
              <w:spacing w:before="2" w:after="2"/>
              <w:jc w:val="right"/>
              <w:rPr>
                <w:rFonts w:ascii="Arial" w:hAnsi="Arial" w:cs="Arial"/>
                <w:lang w:val="en-GB"/>
              </w:rPr>
            </w:pPr>
            <w:r w:rsidRPr="002975B0">
              <w:rPr>
                <w:rFonts w:ascii="Arial" w:hAnsi="Arial" w:cs="Arial"/>
                <w:lang w:val="en-GB"/>
              </w:rPr>
              <w:t>16.61</w:t>
            </w:r>
          </w:p>
        </w:tc>
        <w:tc>
          <w:tcPr>
            <w:tcW w:w="810" w:type="dxa"/>
            <w:noWrap/>
            <w:vAlign w:val="center"/>
            <w:hideMark/>
          </w:tcPr>
          <w:p w14:paraId="1B190172" w14:textId="255B7243" w:rsidR="00112AEB" w:rsidRPr="002975B0" w:rsidRDefault="00112AEB" w:rsidP="000147E4">
            <w:pPr>
              <w:spacing w:before="2" w:after="2"/>
              <w:jc w:val="right"/>
              <w:rPr>
                <w:rFonts w:ascii="Arial" w:hAnsi="Arial" w:cs="Arial"/>
                <w:lang w:val="en-GB"/>
              </w:rPr>
            </w:pPr>
            <w:r w:rsidRPr="002975B0">
              <w:rPr>
                <w:rFonts w:ascii="Arial" w:hAnsi="Arial" w:cs="Arial"/>
                <w:lang w:val="en-GB"/>
              </w:rPr>
              <w:t>20.64</w:t>
            </w:r>
          </w:p>
        </w:tc>
        <w:tc>
          <w:tcPr>
            <w:tcW w:w="630" w:type="dxa"/>
            <w:noWrap/>
            <w:vAlign w:val="center"/>
            <w:hideMark/>
          </w:tcPr>
          <w:p w14:paraId="29593268" w14:textId="403B39F3" w:rsidR="00112AEB" w:rsidRPr="002975B0" w:rsidRDefault="00112AEB" w:rsidP="000147E4">
            <w:pPr>
              <w:spacing w:before="2" w:after="2"/>
              <w:jc w:val="right"/>
              <w:rPr>
                <w:rFonts w:ascii="Arial" w:hAnsi="Arial" w:cs="Arial"/>
                <w:lang w:val="en-GB"/>
              </w:rPr>
            </w:pPr>
            <w:r w:rsidRPr="002975B0">
              <w:rPr>
                <w:rFonts w:ascii="Arial" w:hAnsi="Arial" w:cs="Arial"/>
                <w:lang w:val="en-GB"/>
              </w:rPr>
              <w:t>3.12</w:t>
            </w:r>
          </w:p>
        </w:tc>
      </w:tr>
      <w:tr w:rsidR="00E26A58" w:rsidRPr="002975B0" w14:paraId="4E4E554E" w14:textId="77777777" w:rsidTr="00C56A0E">
        <w:trPr>
          <w:trHeight w:val="303"/>
          <w:jc w:val="center"/>
        </w:trPr>
        <w:tc>
          <w:tcPr>
            <w:tcW w:w="2547" w:type="dxa"/>
            <w:vAlign w:val="center"/>
            <w:hideMark/>
          </w:tcPr>
          <w:p w14:paraId="46D7B4A1" w14:textId="77777777" w:rsidR="00112AEB" w:rsidRPr="002975B0" w:rsidRDefault="00112AEB" w:rsidP="004356AA">
            <w:pPr>
              <w:spacing w:before="2" w:after="2"/>
              <w:rPr>
                <w:rFonts w:ascii="Arial" w:hAnsi="Arial" w:cs="Arial"/>
                <w:lang w:val="en-GB"/>
              </w:rPr>
            </w:pPr>
            <w:r w:rsidRPr="002975B0">
              <w:rPr>
                <w:rFonts w:ascii="Arial" w:hAnsi="Arial" w:cs="Arial"/>
                <w:lang w:val="en-GB"/>
              </w:rPr>
              <w:t xml:space="preserve">Gross Operating Margin </w:t>
            </w:r>
            <w:r w:rsidRPr="002975B0">
              <w:rPr>
                <w:rFonts w:ascii="Arial" w:hAnsi="Arial" w:cs="Arial"/>
                <w:i/>
                <w:iCs/>
                <w:lang w:val="en-GB"/>
              </w:rPr>
              <w:t>Excluding Depreciation</w:t>
            </w:r>
          </w:p>
        </w:tc>
        <w:tc>
          <w:tcPr>
            <w:tcW w:w="778" w:type="dxa"/>
            <w:noWrap/>
            <w:vAlign w:val="center"/>
            <w:hideMark/>
          </w:tcPr>
          <w:p w14:paraId="5C396AEA" w14:textId="3B2AEF4D" w:rsidR="00112AEB" w:rsidRPr="002975B0" w:rsidRDefault="00112AEB" w:rsidP="000147E4">
            <w:pPr>
              <w:spacing w:before="2" w:after="2"/>
              <w:jc w:val="right"/>
              <w:rPr>
                <w:rFonts w:ascii="Arial" w:hAnsi="Arial" w:cs="Arial"/>
                <w:lang w:val="en-GB"/>
              </w:rPr>
            </w:pPr>
            <w:r w:rsidRPr="002975B0">
              <w:rPr>
                <w:rFonts w:ascii="Arial" w:hAnsi="Arial" w:cs="Arial"/>
                <w:lang w:val="en-GB"/>
              </w:rPr>
              <w:t>22.38</w:t>
            </w:r>
          </w:p>
        </w:tc>
        <w:tc>
          <w:tcPr>
            <w:tcW w:w="810" w:type="dxa"/>
            <w:noWrap/>
            <w:vAlign w:val="center"/>
            <w:hideMark/>
          </w:tcPr>
          <w:p w14:paraId="21C77876" w14:textId="792B3682" w:rsidR="00112AEB" w:rsidRPr="002975B0" w:rsidRDefault="00112AEB" w:rsidP="000147E4">
            <w:pPr>
              <w:spacing w:before="2" w:after="2"/>
              <w:jc w:val="right"/>
              <w:rPr>
                <w:rFonts w:ascii="Arial" w:hAnsi="Arial" w:cs="Arial"/>
                <w:lang w:val="en-GB"/>
              </w:rPr>
            </w:pPr>
            <w:r w:rsidRPr="002975B0">
              <w:rPr>
                <w:rFonts w:ascii="Arial" w:hAnsi="Arial" w:cs="Arial"/>
                <w:lang w:val="en-GB"/>
              </w:rPr>
              <w:t>25.85</w:t>
            </w:r>
          </w:p>
        </w:tc>
        <w:tc>
          <w:tcPr>
            <w:tcW w:w="630" w:type="dxa"/>
            <w:noWrap/>
            <w:vAlign w:val="center"/>
            <w:hideMark/>
          </w:tcPr>
          <w:p w14:paraId="7C651E74" w14:textId="09D71BC1" w:rsidR="00112AEB" w:rsidRPr="002975B0" w:rsidRDefault="00112AEB" w:rsidP="000147E4">
            <w:pPr>
              <w:spacing w:before="2" w:after="2"/>
              <w:jc w:val="right"/>
              <w:rPr>
                <w:rFonts w:ascii="Arial" w:hAnsi="Arial" w:cs="Arial"/>
                <w:lang w:val="en-GB"/>
              </w:rPr>
            </w:pPr>
            <w:r w:rsidRPr="002975B0">
              <w:rPr>
                <w:rFonts w:ascii="Arial" w:hAnsi="Arial" w:cs="Arial"/>
                <w:lang w:val="en-GB"/>
              </w:rPr>
              <w:t>17.13</w:t>
            </w:r>
          </w:p>
        </w:tc>
      </w:tr>
      <w:tr w:rsidR="00E26A58" w:rsidRPr="002975B0" w14:paraId="49E0C54A" w14:textId="77777777" w:rsidTr="00C56A0E">
        <w:trPr>
          <w:trHeight w:val="303"/>
          <w:jc w:val="center"/>
        </w:trPr>
        <w:tc>
          <w:tcPr>
            <w:tcW w:w="2547" w:type="dxa"/>
            <w:noWrap/>
            <w:vAlign w:val="center"/>
            <w:hideMark/>
          </w:tcPr>
          <w:p w14:paraId="2E2B7345" w14:textId="77777777" w:rsidR="00112AEB" w:rsidRPr="002975B0" w:rsidRDefault="00112AEB" w:rsidP="004356AA">
            <w:pPr>
              <w:spacing w:before="2" w:after="2"/>
              <w:rPr>
                <w:rFonts w:ascii="Arial" w:hAnsi="Arial" w:cs="Arial"/>
                <w:lang w:val="en-GB"/>
              </w:rPr>
            </w:pPr>
            <w:r w:rsidRPr="002975B0">
              <w:rPr>
                <w:rFonts w:ascii="Arial" w:hAnsi="Arial" w:cs="Arial"/>
                <w:lang w:val="en-GB"/>
              </w:rPr>
              <w:t xml:space="preserve">Net Operating Margin </w:t>
            </w:r>
          </w:p>
        </w:tc>
        <w:tc>
          <w:tcPr>
            <w:tcW w:w="778" w:type="dxa"/>
            <w:noWrap/>
            <w:vAlign w:val="center"/>
            <w:hideMark/>
          </w:tcPr>
          <w:p w14:paraId="53F1E10D" w14:textId="1C507EC7" w:rsidR="00112AEB" w:rsidRPr="002975B0" w:rsidRDefault="00112AEB" w:rsidP="000147E4">
            <w:pPr>
              <w:spacing w:before="2" w:after="2"/>
              <w:jc w:val="right"/>
              <w:rPr>
                <w:rFonts w:ascii="Arial" w:hAnsi="Arial" w:cs="Arial"/>
                <w:lang w:val="en-GB"/>
              </w:rPr>
            </w:pPr>
            <w:r w:rsidRPr="002975B0">
              <w:rPr>
                <w:rFonts w:ascii="Arial" w:hAnsi="Arial" w:cs="Arial"/>
                <w:lang w:val="en-GB"/>
              </w:rPr>
              <w:t>0.69</w:t>
            </w:r>
          </w:p>
        </w:tc>
        <w:tc>
          <w:tcPr>
            <w:tcW w:w="810" w:type="dxa"/>
            <w:noWrap/>
            <w:vAlign w:val="center"/>
            <w:hideMark/>
          </w:tcPr>
          <w:p w14:paraId="01539867" w14:textId="571C4C98" w:rsidR="00112AEB" w:rsidRPr="002975B0" w:rsidRDefault="00112AEB" w:rsidP="000147E4">
            <w:pPr>
              <w:spacing w:before="2" w:after="2"/>
              <w:jc w:val="right"/>
              <w:rPr>
                <w:rFonts w:ascii="Arial" w:hAnsi="Arial" w:cs="Arial"/>
                <w:lang w:val="en-GB"/>
              </w:rPr>
            </w:pPr>
            <w:r w:rsidRPr="002975B0">
              <w:rPr>
                <w:rFonts w:ascii="Arial" w:hAnsi="Arial" w:cs="Arial"/>
                <w:lang w:val="en-GB"/>
              </w:rPr>
              <w:t>3.32</w:t>
            </w:r>
          </w:p>
        </w:tc>
        <w:tc>
          <w:tcPr>
            <w:tcW w:w="630" w:type="dxa"/>
            <w:noWrap/>
            <w:vAlign w:val="center"/>
            <w:hideMark/>
          </w:tcPr>
          <w:p w14:paraId="7F0A5160" w14:textId="3CFE0859" w:rsidR="00112AEB" w:rsidRPr="002975B0" w:rsidRDefault="00E26A58" w:rsidP="000147E4">
            <w:pPr>
              <w:spacing w:before="2" w:after="2"/>
              <w:jc w:val="right"/>
              <w:rPr>
                <w:rFonts w:ascii="Arial" w:hAnsi="Arial" w:cs="Arial"/>
                <w:lang w:val="en-GB"/>
              </w:rPr>
            </w:pPr>
            <w:r>
              <w:rPr>
                <w:rFonts w:ascii="Arial" w:hAnsi="Arial" w:cs="Arial"/>
                <w:lang w:val="en-GB"/>
              </w:rPr>
              <w:t>−</w:t>
            </w:r>
            <w:r w:rsidR="00112AEB" w:rsidRPr="002975B0">
              <w:rPr>
                <w:rFonts w:ascii="Arial" w:hAnsi="Arial" w:cs="Arial"/>
                <w:lang w:val="en-GB"/>
              </w:rPr>
              <w:t>25.65</w:t>
            </w:r>
          </w:p>
        </w:tc>
      </w:tr>
      <w:tr w:rsidR="00E26A58" w:rsidRPr="002975B0" w14:paraId="26C2EB0F" w14:textId="77777777" w:rsidTr="00C56A0E">
        <w:trPr>
          <w:trHeight w:val="303"/>
          <w:jc w:val="center"/>
        </w:trPr>
        <w:tc>
          <w:tcPr>
            <w:tcW w:w="2547" w:type="dxa"/>
            <w:vAlign w:val="center"/>
            <w:hideMark/>
          </w:tcPr>
          <w:p w14:paraId="4EFD7F2C" w14:textId="77777777" w:rsidR="00112AEB" w:rsidRPr="002975B0" w:rsidRDefault="00112AEB" w:rsidP="004356AA">
            <w:pPr>
              <w:spacing w:before="2" w:after="2"/>
              <w:rPr>
                <w:rFonts w:ascii="Arial" w:hAnsi="Arial" w:cs="Arial"/>
                <w:lang w:val="en-GB"/>
              </w:rPr>
            </w:pPr>
            <w:r w:rsidRPr="002975B0">
              <w:rPr>
                <w:rFonts w:ascii="Arial" w:hAnsi="Arial" w:cs="Arial"/>
                <w:lang w:val="en-GB"/>
              </w:rPr>
              <w:t xml:space="preserve">Net Operating Margin </w:t>
            </w:r>
            <w:r w:rsidRPr="002975B0">
              <w:rPr>
                <w:rFonts w:ascii="Arial" w:hAnsi="Arial" w:cs="Arial"/>
                <w:i/>
                <w:iCs/>
                <w:lang w:val="en-GB"/>
              </w:rPr>
              <w:t>Excluding Depreciation</w:t>
            </w:r>
          </w:p>
        </w:tc>
        <w:tc>
          <w:tcPr>
            <w:tcW w:w="778" w:type="dxa"/>
            <w:noWrap/>
            <w:vAlign w:val="center"/>
            <w:hideMark/>
          </w:tcPr>
          <w:p w14:paraId="6E04AC46" w14:textId="789310AD" w:rsidR="00112AEB" w:rsidRPr="002975B0" w:rsidRDefault="00112AEB" w:rsidP="000147E4">
            <w:pPr>
              <w:spacing w:before="2" w:after="2"/>
              <w:jc w:val="right"/>
              <w:rPr>
                <w:rFonts w:ascii="Arial" w:hAnsi="Arial" w:cs="Arial"/>
                <w:lang w:val="en-GB"/>
              </w:rPr>
            </w:pPr>
            <w:r w:rsidRPr="002975B0">
              <w:rPr>
                <w:rFonts w:ascii="Arial" w:hAnsi="Arial" w:cs="Arial"/>
                <w:lang w:val="en-GB"/>
              </w:rPr>
              <w:t>6.18</w:t>
            </w:r>
          </w:p>
        </w:tc>
        <w:tc>
          <w:tcPr>
            <w:tcW w:w="810" w:type="dxa"/>
            <w:noWrap/>
            <w:vAlign w:val="center"/>
            <w:hideMark/>
          </w:tcPr>
          <w:p w14:paraId="4451EBD8" w14:textId="3CF3AE97" w:rsidR="00112AEB" w:rsidRPr="002975B0" w:rsidRDefault="00112AEB" w:rsidP="000147E4">
            <w:pPr>
              <w:spacing w:before="2" w:after="2"/>
              <w:jc w:val="right"/>
              <w:rPr>
                <w:rFonts w:ascii="Arial" w:hAnsi="Arial" w:cs="Arial"/>
                <w:lang w:val="en-GB"/>
              </w:rPr>
            </w:pPr>
            <w:r w:rsidRPr="002975B0">
              <w:rPr>
                <w:rFonts w:ascii="Arial" w:hAnsi="Arial" w:cs="Arial"/>
                <w:lang w:val="en-GB"/>
              </w:rPr>
              <w:t>8.66</w:t>
            </w:r>
          </w:p>
        </w:tc>
        <w:tc>
          <w:tcPr>
            <w:tcW w:w="630" w:type="dxa"/>
            <w:noWrap/>
            <w:vAlign w:val="center"/>
            <w:hideMark/>
          </w:tcPr>
          <w:p w14:paraId="15D1A566" w14:textId="4E697FEC" w:rsidR="00112AEB" w:rsidRPr="002975B0" w:rsidRDefault="00E26A58" w:rsidP="000147E4">
            <w:pPr>
              <w:spacing w:before="2" w:after="2"/>
              <w:jc w:val="right"/>
              <w:rPr>
                <w:rFonts w:ascii="Arial" w:hAnsi="Arial" w:cs="Arial"/>
                <w:lang w:val="en-GB"/>
              </w:rPr>
            </w:pPr>
            <w:r>
              <w:rPr>
                <w:rFonts w:ascii="Arial" w:hAnsi="Arial" w:cs="Arial"/>
                <w:lang w:val="en-GB"/>
              </w:rPr>
              <w:t>−</w:t>
            </w:r>
            <w:r w:rsidR="00112AEB" w:rsidRPr="002975B0">
              <w:rPr>
                <w:rFonts w:ascii="Arial" w:hAnsi="Arial" w:cs="Arial"/>
                <w:lang w:val="en-GB"/>
              </w:rPr>
              <w:t>10.93</w:t>
            </w:r>
          </w:p>
        </w:tc>
      </w:tr>
      <w:tr w:rsidR="00E26A58" w:rsidRPr="002975B0" w14:paraId="0B831C00" w14:textId="77777777" w:rsidTr="00C56A0E">
        <w:trPr>
          <w:trHeight w:val="303"/>
          <w:jc w:val="center"/>
        </w:trPr>
        <w:tc>
          <w:tcPr>
            <w:tcW w:w="2547" w:type="dxa"/>
            <w:noWrap/>
            <w:vAlign w:val="center"/>
            <w:hideMark/>
          </w:tcPr>
          <w:p w14:paraId="1EC07059" w14:textId="77777777" w:rsidR="00112AEB" w:rsidRPr="002975B0" w:rsidRDefault="00112AEB" w:rsidP="004356AA">
            <w:pPr>
              <w:spacing w:before="2" w:after="2"/>
              <w:rPr>
                <w:rFonts w:ascii="Arial" w:hAnsi="Arial" w:cs="Arial"/>
                <w:lang w:val="en-GB"/>
              </w:rPr>
            </w:pPr>
            <w:r w:rsidRPr="002975B0">
              <w:rPr>
                <w:rFonts w:ascii="Arial" w:hAnsi="Arial" w:cs="Arial"/>
                <w:lang w:val="en-GB"/>
              </w:rPr>
              <w:t xml:space="preserve">Return on Asset </w:t>
            </w:r>
          </w:p>
        </w:tc>
        <w:tc>
          <w:tcPr>
            <w:tcW w:w="778" w:type="dxa"/>
            <w:noWrap/>
            <w:vAlign w:val="center"/>
            <w:hideMark/>
          </w:tcPr>
          <w:p w14:paraId="57A2CE43" w14:textId="405D71A7" w:rsidR="00112AEB" w:rsidRPr="002975B0" w:rsidRDefault="00112AEB" w:rsidP="000147E4">
            <w:pPr>
              <w:spacing w:before="2" w:after="2"/>
              <w:jc w:val="right"/>
              <w:rPr>
                <w:rFonts w:ascii="Arial" w:hAnsi="Arial" w:cs="Arial"/>
                <w:lang w:val="en-GB"/>
              </w:rPr>
            </w:pPr>
            <w:r w:rsidRPr="002975B0">
              <w:rPr>
                <w:rFonts w:ascii="Arial" w:hAnsi="Arial" w:cs="Arial"/>
                <w:lang w:val="en-GB"/>
              </w:rPr>
              <w:t>2.12</w:t>
            </w:r>
          </w:p>
        </w:tc>
        <w:tc>
          <w:tcPr>
            <w:tcW w:w="810" w:type="dxa"/>
            <w:noWrap/>
            <w:vAlign w:val="center"/>
            <w:hideMark/>
          </w:tcPr>
          <w:p w14:paraId="1BCFC891" w14:textId="5BDDE33E" w:rsidR="00112AEB" w:rsidRPr="002975B0" w:rsidRDefault="00112AEB" w:rsidP="000147E4">
            <w:pPr>
              <w:spacing w:before="2" w:after="2"/>
              <w:jc w:val="right"/>
              <w:rPr>
                <w:rFonts w:ascii="Arial" w:hAnsi="Arial" w:cs="Arial"/>
                <w:lang w:val="en-GB"/>
              </w:rPr>
            </w:pPr>
            <w:r w:rsidRPr="002975B0">
              <w:rPr>
                <w:rFonts w:ascii="Arial" w:hAnsi="Arial" w:cs="Arial"/>
                <w:lang w:val="en-GB"/>
              </w:rPr>
              <w:t>20.68</w:t>
            </w:r>
          </w:p>
        </w:tc>
        <w:tc>
          <w:tcPr>
            <w:tcW w:w="630" w:type="dxa"/>
            <w:noWrap/>
            <w:vAlign w:val="center"/>
            <w:hideMark/>
          </w:tcPr>
          <w:p w14:paraId="0D4E2F8E" w14:textId="6A63979D" w:rsidR="00112AEB" w:rsidRPr="002975B0" w:rsidRDefault="00112AEB" w:rsidP="000147E4">
            <w:pPr>
              <w:spacing w:before="2" w:after="2"/>
              <w:jc w:val="right"/>
              <w:rPr>
                <w:rFonts w:ascii="Arial" w:hAnsi="Arial" w:cs="Arial"/>
                <w:lang w:val="en-GB"/>
              </w:rPr>
            </w:pPr>
            <w:r w:rsidRPr="002975B0">
              <w:rPr>
                <w:rFonts w:ascii="Arial" w:hAnsi="Arial" w:cs="Arial"/>
                <w:lang w:val="en-GB"/>
              </w:rPr>
              <w:t>6.76</w:t>
            </w:r>
          </w:p>
        </w:tc>
      </w:tr>
      <w:tr w:rsidR="00E26A58" w:rsidRPr="002975B0" w14:paraId="7D305669" w14:textId="77777777" w:rsidTr="00C56A0E">
        <w:trPr>
          <w:trHeight w:val="303"/>
          <w:jc w:val="center"/>
        </w:trPr>
        <w:tc>
          <w:tcPr>
            <w:tcW w:w="2547" w:type="dxa"/>
            <w:noWrap/>
            <w:vAlign w:val="center"/>
            <w:hideMark/>
          </w:tcPr>
          <w:p w14:paraId="3FD5F56E" w14:textId="77777777" w:rsidR="00112AEB" w:rsidRPr="002975B0" w:rsidRDefault="00112AEB" w:rsidP="004356AA">
            <w:pPr>
              <w:spacing w:before="2" w:after="2"/>
              <w:rPr>
                <w:rFonts w:ascii="Arial" w:hAnsi="Arial" w:cs="Arial"/>
                <w:lang w:val="en-GB"/>
              </w:rPr>
            </w:pPr>
            <w:r w:rsidRPr="002975B0">
              <w:rPr>
                <w:rFonts w:ascii="Arial" w:hAnsi="Arial" w:cs="Arial"/>
                <w:lang w:val="en-GB"/>
              </w:rPr>
              <w:t xml:space="preserve">Return on Equity </w:t>
            </w:r>
          </w:p>
        </w:tc>
        <w:tc>
          <w:tcPr>
            <w:tcW w:w="778" w:type="dxa"/>
            <w:noWrap/>
            <w:vAlign w:val="center"/>
            <w:hideMark/>
          </w:tcPr>
          <w:p w14:paraId="0E35571A" w14:textId="195F835D" w:rsidR="00112AEB" w:rsidRPr="002975B0" w:rsidRDefault="00E26A58" w:rsidP="000147E4">
            <w:pPr>
              <w:spacing w:before="2" w:after="2"/>
              <w:jc w:val="right"/>
              <w:rPr>
                <w:rFonts w:ascii="Arial" w:hAnsi="Arial" w:cs="Arial"/>
                <w:lang w:val="en-GB"/>
              </w:rPr>
            </w:pPr>
            <w:r>
              <w:rPr>
                <w:rFonts w:ascii="Arial" w:hAnsi="Arial" w:cs="Arial"/>
                <w:lang w:val="en-GB"/>
              </w:rPr>
              <w:t>−</w:t>
            </w:r>
            <w:r w:rsidR="00112AEB" w:rsidRPr="002975B0">
              <w:rPr>
                <w:rFonts w:ascii="Arial" w:hAnsi="Arial" w:cs="Arial"/>
                <w:lang w:val="en-GB"/>
              </w:rPr>
              <w:t>1.60</w:t>
            </w:r>
          </w:p>
        </w:tc>
        <w:tc>
          <w:tcPr>
            <w:tcW w:w="810" w:type="dxa"/>
            <w:noWrap/>
            <w:vAlign w:val="center"/>
            <w:hideMark/>
          </w:tcPr>
          <w:p w14:paraId="2F5B47A1" w14:textId="003F4248" w:rsidR="00112AEB" w:rsidRPr="002975B0" w:rsidRDefault="00112AEB" w:rsidP="000147E4">
            <w:pPr>
              <w:spacing w:before="2" w:after="2"/>
              <w:jc w:val="right"/>
              <w:rPr>
                <w:rFonts w:ascii="Arial" w:hAnsi="Arial" w:cs="Arial"/>
                <w:lang w:val="en-GB"/>
              </w:rPr>
            </w:pPr>
            <w:r w:rsidRPr="002975B0">
              <w:rPr>
                <w:rFonts w:ascii="Arial" w:hAnsi="Arial" w:cs="Arial"/>
                <w:lang w:val="en-GB"/>
              </w:rPr>
              <w:t>8.67</w:t>
            </w:r>
          </w:p>
        </w:tc>
        <w:tc>
          <w:tcPr>
            <w:tcW w:w="630" w:type="dxa"/>
            <w:noWrap/>
            <w:vAlign w:val="center"/>
            <w:hideMark/>
          </w:tcPr>
          <w:p w14:paraId="5BD7B464" w14:textId="15DE802D" w:rsidR="00112AEB" w:rsidRPr="002975B0" w:rsidRDefault="00112AEB" w:rsidP="000147E4">
            <w:pPr>
              <w:spacing w:before="2" w:after="2"/>
              <w:jc w:val="right"/>
              <w:rPr>
                <w:rFonts w:ascii="Arial" w:hAnsi="Arial" w:cs="Arial"/>
                <w:lang w:val="en-GB"/>
              </w:rPr>
            </w:pPr>
            <w:r w:rsidRPr="002975B0">
              <w:rPr>
                <w:rFonts w:ascii="Arial" w:hAnsi="Arial" w:cs="Arial"/>
                <w:lang w:val="en-GB"/>
              </w:rPr>
              <w:t>4.45</w:t>
            </w:r>
          </w:p>
        </w:tc>
      </w:tr>
    </w:tbl>
    <w:p w14:paraId="5E6AE87D" w14:textId="77777777" w:rsidR="00112AEB" w:rsidRPr="002975B0" w:rsidRDefault="00112AEB" w:rsidP="00112AEB">
      <w:pPr>
        <w:spacing w:before="2" w:after="2"/>
        <w:rPr>
          <w:lang w:val="en-GB"/>
        </w:rPr>
      </w:pPr>
    </w:p>
    <w:p w14:paraId="4665F2C1" w14:textId="77777777" w:rsidR="00112AEB" w:rsidRPr="002975B0" w:rsidRDefault="00112AEB" w:rsidP="003860FF">
      <w:pPr>
        <w:pStyle w:val="Footnote"/>
        <w:rPr>
          <w:lang w:val="en-GB"/>
        </w:rPr>
      </w:pPr>
      <w:r w:rsidRPr="002975B0">
        <w:rPr>
          <w:lang w:val="en-GB"/>
        </w:rPr>
        <w:t>Source: Company documents.</w:t>
      </w:r>
    </w:p>
    <w:p w14:paraId="4BD422D9" w14:textId="25C25329" w:rsidR="00112AEB" w:rsidRPr="002975B0" w:rsidRDefault="00112AEB" w:rsidP="003860FF">
      <w:pPr>
        <w:rPr>
          <w:lang w:val="en-GB"/>
        </w:rPr>
      </w:pPr>
      <w:r w:rsidRPr="002975B0">
        <w:rPr>
          <w:lang w:val="en-GB"/>
        </w:rPr>
        <w:br w:type="page"/>
      </w:r>
    </w:p>
    <w:p w14:paraId="61F895A9" w14:textId="77777777" w:rsidR="003860FF" w:rsidRPr="002975B0" w:rsidRDefault="003860FF" w:rsidP="003860FF">
      <w:pPr>
        <w:pStyle w:val="ExhibitHeading"/>
        <w:rPr>
          <w:lang w:val="en-GB"/>
        </w:rPr>
        <w:sectPr w:rsidR="003860FF" w:rsidRPr="002975B0" w:rsidSect="00751E0B">
          <w:headerReference w:type="default" r:id="rId11"/>
          <w:pgSz w:w="12240" w:h="15840" w:code="1"/>
          <w:pgMar w:top="1080" w:right="1440" w:bottom="1440" w:left="1440" w:header="1080" w:footer="720" w:gutter="0"/>
          <w:cols w:space="720"/>
          <w:titlePg/>
          <w:docGrid w:linePitch="360"/>
        </w:sectPr>
      </w:pPr>
    </w:p>
    <w:p w14:paraId="3E0D0FD3" w14:textId="302B3DAF" w:rsidR="00112AEB" w:rsidRPr="002975B0" w:rsidRDefault="00112AEB" w:rsidP="003860FF">
      <w:pPr>
        <w:pStyle w:val="ExhibitHeading"/>
        <w:rPr>
          <w:lang w:val="en-GB"/>
        </w:rPr>
      </w:pPr>
      <w:r w:rsidRPr="002975B0">
        <w:rPr>
          <w:lang w:val="en-GB"/>
        </w:rPr>
        <w:lastRenderedPageBreak/>
        <w:t>EXHIBIT 4: KEYSTONE EXCAVATING L</w:t>
      </w:r>
      <w:r w:rsidR="009A7810">
        <w:rPr>
          <w:lang w:val="en-GB"/>
        </w:rPr>
        <w:t>imited—</w:t>
      </w:r>
      <w:r w:rsidRPr="002975B0">
        <w:rPr>
          <w:lang w:val="en-GB"/>
        </w:rPr>
        <w:t>FINANCIAL</w:t>
      </w:r>
      <w:r w:rsidR="00A069FA" w:rsidRPr="002975B0">
        <w:rPr>
          <w:lang w:val="en-GB"/>
        </w:rPr>
        <w:t xml:space="preserve"> PROJECTIONS</w:t>
      </w:r>
      <w:r w:rsidR="00382ADD">
        <w:rPr>
          <w:lang w:val="en-GB"/>
        </w:rPr>
        <w:t xml:space="preserve">, </w:t>
      </w:r>
      <w:r w:rsidR="00A069FA" w:rsidRPr="002975B0">
        <w:rPr>
          <w:lang w:val="en-GB"/>
        </w:rPr>
        <w:t>2017</w:t>
      </w:r>
      <w:r w:rsidR="00382ADD">
        <w:rPr>
          <w:lang w:val="en-GB"/>
        </w:rPr>
        <w:t>–</w:t>
      </w:r>
      <w:r w:rsidR="00A069FA" w:rsidRPr="002975B0">
        <w:rPr>
          <w:lang w:val="en-GB"/>
        </w:rPr>
        <w:t>2018</w:t>
      </w:r>
    </w:p>
    <w:p w14:paraId="1624F097" w14:textId="77777777" w:rsidR="00112AEB" w:rsidRPr="002975B0" w:rsidRDefault="00112AEB" w:rsidP="00112AEB">
      <w:pPr>
        <w:spacing w:before="2" w:after="2"/>
        <w:jc w:val="center"/>
        <w:rPr>
          <w:rFonts w:ascii="Arial" w:hAnsi="Arial" w:cs="Arial"/>
          <w:b/>
          <w:lang w:val="en-GB"/>
        </w:rPr>
      </w:pPr>
    </w:p>
    <w:tbl>
      <w:tblPr>
        <w:tblStyle w:val="TableGrid"/>
        <w:tblW w:w="10601" w:type="dxa"/>
        <w:jc w:val="center"/>
        <w:tblLayout w:type="fixed"/>
        <w:tblLook w:val="04A0" w:firstRow="1" w:lastRow="0" w:firstColumn="1" w:lastColumn="0" w:noHBand="0" w:noVBand="1"/>
      </w:tblPr>
      <w:tblGrid>
        <w:gridCol w:w="1555"/>
        <w:gridCol w:w="1216"/>
        <w:gridCol w:w="1766"/>
        <w:gridCol w:w="1134"/>
        <w:gridCol w:w="1275"/>
        <w:gridCol w:w="1134"/>
        <w:gridCol w:w="1134"/>
        <w:gridCol w:w="1387"/>
      </w:tblGrid>
      <w:tr w:rsidR="003860FF" w:rsidRPr="002975B0" w14:paraId="41E548E5" w14:textId="77777777" w:rsidTr="00025694">
        <w:trPr>
          <w:trHeight w:val="915"/>
          <w:jc w:val="center"/>
        </w:trPr>
        <w:tc>
          <w:tcPr>
            <w:tcW w:w="1555" w:type="dxa"/>
            <w:noWrap/>
            <w:vAlign w:val="center"/>
            <w:hideMark/>
          </w:tcPr>
          <w:p w14:paraId="222E89A7" w14:textId="77777777" w:rsidR="00112AEB" w:rsidRPr="002975B0" w:rsidRDefault="00112AEB" w:rsidP="000147E4">
            <w:pPr>
              <w:spacing w:before="2" w:after="2"/>
              <w:jc w:val="center"/>
              <w:rPr>
                <w:rFonts w:ascii="Arial" w:hAnsi="Arial" w:cs="Arial"/>
                <w:b/>
                <w:bCs/>
                <w:lang w:val="en-GB"/>
              </w:rPr>
            </w:pPr>
            <w:r w:rsidRPr="002975B0">
              <w:rPr>
                <w:rFonts w:ascii="Arial" w:hAnsi="Arial" w:cs="Arial"/>
                <w:b/>
                <w:bCs/>
                <w:lang w:val="en-GB"/>
              </w:rPr>
              <w:t>Category</w:t>
            </w:r>
          </w:p>
        </w:tc>
        <w:tc>
          <w:tcPr>
            <w:tcW w:w="1216" w:type="dxa"/>
            <w:vAlign w:val="center"/>
            <w:hideMark/>
          </w:tcPr>
          <w:p w14:paraId="73005E1F" w14:textId="70B2D44C" w:rsidR="00112AEB" w:rsidRDefault="00A21EDF" w:rsidP="000147E4">
            <w:pPr>
              <w:spacing w:before="2" w:after="2"/>
              <w:jc w:val="center"/>
              <w:rPr>
                <w:rFonts w:ascii="Arial" w:hAnsi="Arial" w:cs="Arial"/>
                <w:b/>
                <w:bCs/>
                <w:lang w:val="en-GB"/>
              </w:rPr>
            </w:pPr>
            <w:r w:rsidRPr="002975B0">
              <w:rPr>
                <w:rFonts w:ascii="Arial" w:hAnsi="Arial" w:cs="Arial"/>
                <w:b/>
                <w:bCs/>
                <w:lang w:val="en-GB"/>
              </w:rPr>
              <w:t>Revenue Target</w:t>
            </w:r>
          </w:p>
          <w:p w14:paraId="6E63995E" w14:textId="11377AC6" w:rsidR="00382ADD" w:rsidRPr="002975B0" w:rsidRDefault="00382ADD" w:rsidP="000147E4">
            <w:pPr>
              <w:spacing w:before="2" w:after="2"/>
              <w:jc w:val="center"/>
              <w:rPr>
                <w:rFonts w:ascii="Arial" w:hAnsi="Arial" w:cs="Arial"/>
                <w:b/>
                <w:bCs/>
                <w:lang w:val="en-GB"/>
              </w:rPr>
            </w:pPr>
            <w:r>
              <w:rPr>
                <w:rFonts w:ascii="Arial" w:hAnsi="Arial" w:cs="Arial"/>
                <w:b/>
                <w:bCs/>
                <w:lang w:val="en-GB"/>
              </w:rPr>
              <w:t>(%)</w:t>
            </w:r>
          </w:p>
        </w:tc>
        <w:tc>
          <w:tcPr>
            <w:tcW w:w="1766" w:type="dxa"/>
            <w:vAlign w:val="center"/>
            <w:hideMark/>
          </w:tcPr>
          <w:p w14:paraId="7DFF92D9" w14:textId="4F8D3DBC" w:rsidR="00112AEB" w:rsidRPr="002975B0" w:rsidRDefault="00112AEB">
            <w:pPr>
              <w:spacing w:before="2" w:after="2"/>
              <w:jc w:val="center"/>
              <w:rPr>
                <w:rFonts w:ascii="Arial" w:hAnsi="Arial" w:cs="Arial"/>
                <w:b/>
                <w:bCs/>
                <w:lang w:val="en-GB"/>
              </w:rPr>
            </w:pPr>
            <w:r w:rsidRPr="002975B0">
              <w:rPr>
                <w:rFonts w:ascii="Arial" w:hAnsi="Arial" w:cs="Arial"/>
                <w:b/>
                <w:bCs/>
                <w:lang w:val="en-GB"/>
              </w:rPr>
              <w:t>Estimate November 30, 2016</w:t>
            </w:r>
            <w:r w:rsidR="004D3F89">
              <w:rPr>
                <w:rFonts w:ascii="Arial" w:hAnsi="Arial" w:cs="Arial"/>
                <w:b/>
                <w:bCs/>
                <w:lang w:val="en-GB"/>
              </w:rPr>
              <w:t>–</w:t>
            </w:r>
            <w:r w:rsidRPr="002975B0">
              <w:rPr>
                <w:rFonts w:ascii="Arial" w:hAnsi="Arial" w:cs="Arial"/>
                <w:b/>
                <w:bCs/>
                <w:lang w:val="en-GB"/>
              </w:rPr>
              <w:t>YTD</w:t>
            </w:r>
            <w:r w:rsidR="008E6AD6">
              <w:rPr>
                <w:rFonts w:ascii="Arial" w:hAnsi="Arial" w:cs="Arial"/>
                <w:b/>
                <w:bCs/>
                <w:lang w:val="en-GB"/>
              </w:rPr>
              <w:t xml:space="preserve"> (CA$)</w:t>
            </w:r>
          </w:p>
        </w:tc>
        <w:tc>
          <w:tcPr>
            <w:tcW w:w="1134" w:type="dxa"/>
            <w:vAlign w:val="center"/>
            <w:hideMark/>
          </w:tcPr>
          <w:p w14:paraId="50B177A8" w14:textId="64898DD9" w:rsidR="00112AEB" w:rsidRPr="002975B0" w:rsidRDefault="00112AEB" w:rsidP="000147E4">
            <w:pPr>
              <w:spacing w:before="2" w:after="2"/>
              <w:jc w:val="center"/>
              <w:rPr>
                <w:rFonts w:ascii="Arial" w:hAnsi="Arial" w:cs="Arial"/>
                <w:b/>
                <w:bCs/>
                <w:lang w:val="en-GB"/>
              </w:rPr>
            </w:pPr>
            <w:r w:rsidRPr="002975B0">
              <w:rPr>
                <w:rFonts w:ascii="Arial" w:hAnsi="Arial" w:cs="Arial"/>
                <w:b/>
                <w:bCs/>
                <w:lang w:val="en-GB"/>
              </w:rPr>
              <w:t>Estimate 2016</w:t>
            </w:r>
            <w:r w:rsidR="00A21EDF">
              <w:rPr>
                <w:rFonts w:ascii="Arial" w:hAnsi="Arial" w:cs="Arial"/>
                <w:b/>
                <w:bCs/>
                <w:lang w:val="en-GB"/>
              </w:rPr>
              <w:t xml:space="preserve"> (%)</w:t>
            </w:r>
          </w:p>
        </w:tc>
        <w:tc>
          <w:tcPr>
            <w:tcW w:w="1275" w:type="dxa"/>
            <w:vAlign w:val="center"/>
            <w:hideMark/>
          </w:tcPr>
          <w:p w14:paraId="4348465E" w14:textId="05EA2424" w:rsidR="00112AEB" w:rsidRPr="002975B0" w:rsidRDefault="00112AEB" w:rsidP="008E6AD6">
            <w:pPr>
              <w:spacing w:before="2" w:after="2"/>
              <w:jc w:val="center"/>
              <w:rPr>
                <w:rFonts w:ascii="Arial" w:hAnsi="Arial" w:cs="Arial"/>
                <w:b/>
                <w:bCs/>
                <w:lang w:val="en-GB"/>
              </w:rPr>
            </w:pPr>
            <w:r w:rsidRPr="002975B0">
              <w:rPr>
                <w:rFonts w:ascii="Arial" w:hAnsi="Arial" w:cs="Arial"/>
                <w:b/>
                <w:bCs/>
                <w:lang w:val="en-GB"/>
              </w:rPr>
              <w:t>Projected 2017</w:t>
            </w:r>
            <w:r w:rsidR="004D3F89">
              <w:rPr>
                <w:rFonts w:ascii="Arial" w:hAnsi="Arial" w:cs="Arial"/>
                <w:b/>
                <w:bCs/>
                <w:lang w:val="en-GB"/>
              </w:rPr>
              <w:t xml:space="preserve"> (US</w:t>
            </w:r>
            <w:r w:rsidR="008E6AD6">
              <w:rPr>
                <w:rFonts w:ascii="Arial" w:hAnsi="Arial" w:cs="Arial"/>
                <w:b/>
                <w:bCs/>
                <w:lang w:val="en-GB"/>
              </w:rPr>
              <w:t>$</w:t>
            </w:r>
            <w:r w:rsidR="004D3F89">
              <w:rPr>
                <w:rFonts w:ascii="Arial" w:hAnsi="Arial" w:cs="Arial"/>
                <w:b/>
                <w:bCs/>
                <w:lang w:val="en-GB"/>
              </w:rPr>
              <w:t>)</w:t>
            </w:r>
          </w:p>
        </w:tc>
        <w:tc>
          <w:tcPr>
            <w:tcW w:w="1134" w:type="dxa"/>
            <w:vAlign w:val="center"/>
            <w:hideMark/>
          </w:tcPr>
          <w:p w14:paraId="46C051ED" w14:textId="35E92256" w:rsidR="00112AEB" w:rsidRPr="002975B0" w:rsidRDefault="00DB08F3" w:rsidP="000147E4">
            <w:pPr>
              <w:spacing w:before="2" w:after="2"/>
              <w:jc w:val="center"/>
              <w:rPr>
                <w:rFonts w:ascii="Arial" w:hAnsi="Arial" w:cs="Arial"/>
                <w:b/>
                <w:bCs/>
                <w:lang w:val="en-GB"/>
              </w:rPr>
            </w:pPr>
            <w:r w:rsidRPr="002975B0">
              <w:rPr>
                <w:rFonts w:ascii="Arial" w:hAnsi="Arial" w:cs="Arial"/>
                <w:b/>
                <w:bCs/>
                <w:lang w:val="en-GB"/>
              </w:rPr>
              <w:t xml:space="preserve">Projected 2017 </w:t>
            </w:r>
            <w:r w:rsidR="00112AEB" w:rsidRPr="002975B0">
              <w:rPr>
                <w:rFonts w:ascii="Arial" w:hAnsi="Arial" w:cs="Arial"/>
                <w:b/>
                <w:bCs/>
                <w:lang w:val="en-GB"/>
              </w:rPr>
              <w:t>Revenue</w:t>
            </w:r>
            <w:r w:rsidR="004D3F89">
              <w:rPr>
                <w:rFonts w:ascii="Arial" w:hAnsi="Arial" w:cs="Arial"/>
                <w:b/>
                <w:bCs/>
                <w:lang w:val="en-GB"/>
              </w:rPr>
              <w:t xml:space="preserve"> (%)</w:t>
            </w:r>
          </w:p>
        </w:tc>
        <w:tc>
          <w:tcPr>
            <w:tcW w:w="1134" w:type="dxa"/>
            <w:vAlign w:val="center"/>
            <w:hideMark/>
          </w:tcPr>
          <w:p w14:paraId="5B13B967" w14:textId="39D7682C" w:rsidR="00112AEB" w:rsidRPr="002975B0" w:rsidRDefault="00112AEB" w:rsidP="008E6AD6">
            <w:pPr>
              <w:spacing w:before="2" w:after="2"/>
              <w:jc w:val="center"/>
              <w:rPr>
                <w:rFonts w:ascii="Arial" w:hAnsi="Arial" w:cs="Arial"/>
                <w:b/>
                <w:bCs/>
                <w:lang w:val="en-GB"/>
              </w:rPr>
            </w:pPr>
            <w:r w:rsidRPr="002975B0">
              <w:rPr>
                <w:rFonts w:ascii="Arial" w:hAnsi="Arial" w:cs="Arial"/>
                <w:b/>
                <w:bCs/>
                <w:lang w:val="en-GB"/>
              </w:rPr>
              <w:t>Projected 2018 Keystone</w:t>
            </w:r>
            <w:r w:rsidR="00A03C72">
              <w:rPr>
                <w:rFonts w:ascii="Arial" w:hAnsi="Arial" w:cs="Arial"/>
                <w:b/>
                <w:bCs/>
                <w:lang w:val="en-GB"/>
              </w:rPr>
              <w:t xml:space="preserve"> (CA</w:t>
            </w:r>
            <w:r w:rsidR="008E6AD6">
              <w:rPr>
                <w:rFonts w:ascii="Arial" w:hAnsi="Arial" w:cs="Arial"/>
                <w:b/>
                <w:bCs/>
                <w:lang w:val="en-GB"/>
              </w:rPr>
              <w:t>$</w:t>
            </w:r>
            <w:r w:rsidR="004D3F89">
              <w:rPr>
                <w:rFonts w:ascii="Arial" w:hAnsi="Arial" w:cs="Arial"/>
                <w:b/>
                <w:bCs/>
                <w:lang w:val="en-GB"/>
              </w:rPr>
              <w:t>)</w:t>
            </w:r>
          </w:p>
        </w:tc>
        <w:tc>
          <w:tcPr>
            <w:tcW w:w="1387" w:type="dxa"/>
            <w:vAlign w:val="center"/>
            <w:hideMark/>
          </w:tcPr>
          <w:p w14:paraId="1EBC8920" w14:textId="5EC4176E" w:rsidR="00112AEB" w:rsidRPr="002975B0" w:rsidRDefault="00DB08F3" w:rsidP="000147E4">
            <w:pPr>
              <w:spacing w:before="2" w:after="2"/>
              <w:jc w:val="center"/>
              <w:rPr>
                <w:rFonts w:ascii="Arial" w:hAnsi="Arial" w:cs="Arial"/>
                <w:b/>
                <w:bCs/>
                <w:lang w:val="en-GB"/>
              </w:rPr>
            </w:pPr>
            <w:r w:rsidRPr="002975B0">
              <w:rPr>
                <w:rFonts w:ascii="Arial" w:hAnsi="Arial" w:cs="Arial"/>
                <w:b/>
                <w:bCs/>
                <w:lang w:val="en-GB"/>
              </w:rPr>
              <w:t>Projected 2018</w:t>
            </w:r>
            <w:r w:rsidR="00112AEB" w:rsidRPr="002975B0">
              <w:rPr>
                <w:rFonts w:ascii="Arial" w:hAnsi="Arial" w:cs="Arial"/>
                <w:b/>
                <w:bCs/>
                <w:lang w:val="en-GB"/>
              </w:rPr>
              <w:t xml:space="preserve"> Revenue</w:t>
            </w:r>
            <w:r w:rsidR="00A21EDF">
              <w:rPr>
                <w:rFonts w:ascii="Arial" w:hAnsi="Arial" w:cs="Arial"/>
                <w:b/>
                <w:bCs/>
                <w:lang w:val="en-GB"/>
              </w:rPr>
              <w:t xml:space="preserve"> (%)</w:t>
            </w:r>
          </w:p>
        </w:tc>
      </w:tr>
      <w:tr w:rsidR="003860FF" w:rsidRPr="002975B0" w14:paraId="3D1123DF" w14:textId="77777777" w:rsidTr="00025694">
        <w:trPr>
          <w:trHeight w:val="300"/>
          <w:jc w:val="center"/>
        </w:trPr>
        <w:tc>
          <w:tcPr>
            <w:tcW w:w="1555" w:type="dxa"/>
            <w:noWrap/>
            <w:vAlign w:val="center"/>
            <w:hideMark/>
          </w:tcPr>
          <w:p w14:paraId="142A62D8" w14:textId="77777777" w:rsidR="00112AEB" w:rsidRPr="002975B0" w:rsidRDefault="00112AEB">
            <w:pPr>
              <w:spacing w:before="2" w:after="2"/>
              <w:rPr>
                <w:rFonts w:ascii="Arial" w:hAnsi="Arial" w:cs="Arial"/>
                <w:lang w:val="en-GB"/>
              </w:rPr>
            </w:pPr>
            <w:r w:rsidRPr="002975B0">
              <w:rPr>
                <w:rFonts w:ascii="Arial" w:hAnsi="Arial" w:cs="Arial"/>
                <w:lang w:val="en-GB"/>
              </w:rPr>
              <w:t>Revenue</w:t>
            </w:r>
          </w:p>
        </w:tc>
        <w:tc>
          <w:tcPr>
            <w:tcW w:w="1216" w:type="dxa"/>
            <w:noWrap/>
            <w:vAlign w:val="center"/>
            <w:hideMark/>
          </w:tcPr>
          <w:p w14:paraId="391EB04B" w14:textId="77777777" w:rsidR="00112AEB" w:rsidRPr="002975B0" w:rsidRDefault="00112AEB" w:rsidP="000147E4">
            <w:pPr>
              <w:spacing w:before="2" w:after="2"/>
              <w:jc w:val="right"/>
              <w:rPr>
                <w:rFonts w:ascii="Arial" w:hAnsi="Arial" w:cs="Arial"/>
                <w:lang w:val="en-GB"/>
              </w:rPr>
            </w:pPr>
            <w:r w:rsidRPr="002975B0">
              <w:rPr>
                <w:rFonts w:ascii="Arial" w:hAnsi="Arial" w:cs="Arial"/>
                <w:lang w:val="en-GB"/>
              </w:rPr>
              <w:t> </w:t>
            </w:r>
          </w:p>
        </w:tc>
        <w:tc>
          <w:tcPr>
            <w:tcW w:w="1766" w:type="dxa"/>
            <w:noWrap/>
            <w:vAlign w:val="center"/>
            <w:hideMark/>
          </w:tcPr>
          <w:p w14:paraId="695DED15" w14:textId="55B26C50" w:rsidR="00112AEB" w:rsidRPr="002975B0" w:rsidRDefault="00112AEB" w:rsidP="000147E4">
            <w:pPr>
              <w:spacing w:before="2" w:after="2"/>
              <w:jc w:val="right"/>
              <w:rPr>
                <w:rFonts w:ascii="Arial" w:hAnsi="Arial" w:cs="Arial"/>
                <w:lang w:val="en-GB"/>
              </w:rPr>
            </w:pPr>
            <w:r w:rsidRPr="002975B0">
              <w:rPr>
                <w:rFonts w:ascii="Arial" w:hAnsi="Arial" w:cs="Arial"/>
                <w:lang w:val="en-GB"/>
              </w:rPr>
              <w:t xml:space="preserve">11,354,276 </w:t>
            </w:r>
          </w:p>
        </w:tc>
        <w:tc>
          <w:tcPr>
            <w:tcW w:w="1134" w:type="dxa"/>
            <w:noWrap/>
            <w:vAlign w:val="center"/>
            <w:hideMark/>
          </w:tcPr>
          <w:p w14:paraId="535D358A" w14:textId="77777777" w:rsidR="00112AEB" w:rsidRPr="002975B0" w:rsidRDefault="00112AEB" w:rsidP="000147E4">
            <w:pPr>
              <w:spacing w:before="2" w:after="2"/>
              <w:jc w:val="right"/>
              <w:rPr>
                <w:rFonts w:ascii="Arial" w:hAnsi="Arial" w:cs="Arial"/>
                <w:lang w:val="en-GB"/>
              </w:rPr>
            </w:pPr>
            <w:r w:rsidRPr="002975B0">
              <w:rPr>
                <w:rFonts w:ascii="Arial" w:hAnsi="Arial" w:cs="Arial"/>
                <w:lang w:val="en-GB"/>
              </w:rPr>
              <w:t> </w:t>
            </w:r>
          </w:p>
        </w:tc>
        <w:tc>
          <w:tcPr>
            <w:tcW w:w="1275" w:type="dxa"/>
            <w:noWrap/>
            <w:vAlign w:val="center"/>
            <w:hideMark/>
          </w:tcPr>
          <w:p w14:paraId="39DBD316" w14:textId="38F2100E" w:rsidR="00112AEB" w:rsidRPr="002975B0" w:rsidRDefault="00112AEB" w:rsidP="000147E4">
            <w:pPr>
              <w:spacing w:before="2" w:after="2"/>
              <w:jc w:val="right"/>
              <w:rPr>
                <w:rFonts w:ascii="Arial" w:hAnsi="Arial" w:cs="Arial"/>
                <w:lang w:val="en-GB"/>
              </w:rPr>
            </w:pPr>
            <w:r w:rsidRPr="002975B0">
              <w:rPr>
                <w:rFonts w:ascii="Arial" w:hAnsi="Arial" w:cs="Arial"/>
                <w:lang w:val="en-GB"/>
              </w:rPr>
              <w:t xml:space="preserve">14,539,924 </w:t>
            </w:r>
          </w:p>
        </w:tc>
        <w:tc>
          <w:tcPr>
            <w:tcW w:w="1134" w:type="dxa"/>
            <w:noWrap/>
            <w:vAlign w:val="center"/>
            <w:hideMark/>
          </w:tcPr>
          <w:p w14:paraId="413DD8AC" w14:textId="77777777" w:rsidR="00112AEB" w:rsidRPr="002975B0" w:rsidRDefault="00112AEB" w:rsidP="000147E4">
            <w:pPr>
              <w:spacing w:before="2" w:after="2"/>
              <w:jc w:val="right"/>
              <w:rPr>
                <w:rFonts w:ascii="Arial" w:hAnsi="Arial" w:cs="Arial"/>
                <w:lang w:val="en-GB"/>
              </w:rPr>
            </w:pPr>
            <w:r w:rsidRPr="002975B0">
              <w:rPr>
                <w:rFonts w:ascii="Arial" w:hAnsi="Arial" w:cs="Arial"/>
                <w:lang w:val="en-GB"/>
              </w:rPr>
              <w:t> </w:t>
            </w:r>
          </w:p>
        </w:tc>
        <w:tc>
          <w:tcPr>
            <w:tcW w:w="1134" w:type="dxa"/>
            <w:noWrap/>
            <w:vAlign w:val="center"/>
            <w:hideMark/>
          </w:tcPr>
          <w:p w14:paraId="7CAE049D" w14:textId="395EBE81" w:rsidR="00112AEB" w:rsidRPr="002975B0" w:rsidRDefault="00112AEB" w:rsidP="000147E4">
            <w:pPr>
              <w:spacing w:before="2" w:after="2"/>
              <w:jc w:val="right"/>
              <w:rPr>
                <w:rFonts w:ascii="Arial" w:hAnsi="Arial" w:cs="Arial"/>
                <w:lang w:val="en-GB"/>
              </w:rPr>
            </w:pPr>
            <w:r w:rsidRPr="002975B0">
              <w:rPr>
                <w:rFonts w:ascii="Arial" w:hAnsi="Arial" w:cs="Arial"/>
                <w:lang w:val="en-GB"/>
              </w:rPr>
              <w:t xml:space="preserve">16,060,000 </w:t>
            </w:r>
          </w:p>
        </w:tc>
        <w:tc>
          <w:tcPr>
            <w:tcW w:w="1387" w:type="dxa"/>
            <w:noWrap/>
            <w:vAlign w:val="center"/>
            <w:hideMark/>
          </w:tcPr>
          <w:p w14:paraId="3AF3FBD6" w14:textId="77777777" w:rsidR="00112AEB" w:rsidRPr="002975B0" w:rsidRDefault="00112AEB" w:rsidP="000147E4">
            <w:pPr>
              <w:spacing w:before="2" w:after="2"/>
              <w:jc w:val="right"/>
              <w:rPr>
                <w:rFonts w:ascii="Arial" w:hAnsi="Arial" w:cs="Arial"/>
                <w:lang w:val="en-GB"/>
              </w:rPr>
            </w:pPr>
            <w:r w:rsidRPr="002975B0">
              <w:rPr>
                <w:rFonts w:ascii="Arial" w:hAnsi="Arial" w:cs="Arial"/>
                <w:lang w:val="en-GB"/>
              </w:rPr>
              <w:t> </w:t>
            </w:r>
          </w:p>
        </w:tc>
      </w:tr>
      <w:tr w:rsidR="003860FF" w:rsidRPr="002975B0" w14:paraId="35253C46" w14:textId="77777777" w:rsidTr="00025694">
        <w:trPr>
          <w:trHeight w:val="300"/>
          <w:jc w:val="center"/>
        </w:trPr>
        <w:tc>
          <w:tcPr>
            <w:tcW w:w="1555" w:type="dxa"/>
            <w:noWrap/>
            <w:vAlign w:val="center"/>
            <w:hideMark/>
          </w:tcPr>
          <w:p w14:paraId="559A07C3" w14:textId="77777777" w:rsidR="00112AEB" w:rsidRPr="002975B0" w:rsidRDefault="00112AEB">
            <w:pPr>
              <w:spacing w:before="2" w:after="2"/>
              <w:rPr>
                <w:rFonts w:ascii="Arial" w:hAnsi="Arial" w:cs="Arial"/>
                <w:lang w:val="en-GB"/>
              </w:rPr>
            </w:pPr>
            <w:r w:rsidRPr="002975B0">
              <w:rPr>
                <w:rFonts w:ascii="Arial" w:hAnsi="Arial" w:cs="Arial"/>
                <w:lang w:val="en-GB"/>
              </w:rPr>
              <w:t>Direct Cost</w:t>
            </w:r>
          </w:p>
        </w:tc>
        <w:tc>
          <w:tcPr>
            <w:tcW w:w="1216" w:type="dxa"/>
            <w:noWrap/>
            <w:vAlign w:val="center"/>
            <w:hideMark/>
          </w:tcPr>
          <w:p w14:paraId="1128B74F" w14:textId="02BF3767" w:rsidR="00112AEB" w:rsidRPr="002975B0" w:rsidRDefault="00112AEB" w:rsidP="000147E4">
            <w:pPr>
              <w:spacing w:before="2" w:after="2"/>
              <w:jc w:val="right"/>
              <w:rPr>
                <w:rFonts w:ascii="Arial" w:hAnsi="Arial" w:cs="Arial"/>
                <w:lang w:val="en-GB"/>
              </w:rPr>
            </w:pPr>
            <w:r w:rsidRPr="002975B0">
              <w:rPr>
                <w:rFonts w:ascii="Arial" w:hAnsi="Arial" w:cs="Arial"/>
                <w:lang w:val="en-GB"/>
              </w:rPr>
              <w:t>74</w:t>
            </w:r>
          </w:p>
        </w:tc>
        <w:tc>
          <w:tcPr>
            <w:tcW w:w="1766" w:type="dxa"/>
            <w:noWrap/>
            <w:vAlign w:val="center"/>
            <w:hideMark/>
          </w:tcPr>
          <w:p w14:paraId="620D01A7" w14:textId="7CBD2A67" w:rsidR="00112AEB" w:rsidRPr="002975B0" w:rsidRDefault="00112AEB" w:rsidP="000147E4">
            <w:pPr>
              <w:spacing w:before="2" w:after="2"/>
              <w:jc w:val="right"/>
              <w:rPr>
                <w:rFonts w:ascii="Arial" w:hAnsi="Arial" w:cs="Arial"/>
                <w:lang w:val="en-GB"/>
              </w:rPr>
            </w:pPr>
            <w:r w:rsidRPr="002975B0">
              <w:rPr>
                <w:rFonts w:ascii="Arial" w:hAnsi="Arial" w:cs="Arial"/>
                <w:lang w:val="en-GB"/>
              </w:rPr>
              <w:t xml:space="preserve">10,321,748 </w:t>
            </w:r>
          </w:p>
        </w:tc>
        <w:tc>
          <w:tcPr>
            <w:tcW w:w="1134" w:type="dxa"/>
            <w:noWrap/>
            <w:vAlign w:val="center"/>
            <w:hideMark/>
          </w:tcPr>
          <w:p w14:paraId="28054719" w14:textId="0010B646" w:rsidR="00112AEB" w:rsidRPr="002975B0" w:rsidRDefault="003860FF" w:rsidP="000147E4">
            <w:pPr>
              <w:spacing w:before="2" w:after="2"/>
              <w:jc w:val="right"/>
              <w:rPr>
                <w:rFonts w:ascii="Arial" w:hAnsi="Arial" w:cs="Arial"/>
                <w:lang w:val="en-GB"/>
              </w:rPr>
            </w:pPr>
            <w:r w:rsidRPr="002975B0">
              <w:rPr>
                <w:rFonts w:ascii="Arial" w:hAnsi="Arial" w:cs="Arial"/>
                <w:lang w:val="en-GB"/>
              </w:rPr>
              <w:t>91</w:t>
            </w:r>
          </w:p>
        </w:tc>
        <w:tc>
          <w:tcPr>
            <w:tcW w:w="1275" w:type="dxa"/>
            <w:noWrap/>
            <w:vAlign w:val="center"/>
            <w:hideMark/>
          </w:tcPr>
          <w:p w14:paraId="6D856558" w14:textId="1C2D416C" w:rsidR="00112AEB" w:rsidRPr="002975B0" w:rsidRDefault="00112AEB" w:rsidP="000147E4">
            <w:pPr>
              <w:spacing w:before="2" w:after="2"/>
              <w:jc w:val="right"/>
              <w:rPr>
                <w:rFonts w:ascii="Arial" w:hAnsi="Arial" w:cs="Arial"/>
                <w:lang w:val="en-GB"/>
              </w:rPr>
            </w:pPr>
            <w:r w:rsidRPr="002975B0">
              <w:rPr>
                <w:rFonts w:ascii="Arial" w:hAnsi="Arial" w:cs="Arial"/>
                <w:lang w:val="en-GB"/>
              </w:rPr>
              <w:t xml:space="preserve">10,790,869 </w:t>
            </w:r>
          </w:p>
        </w:tc>
        <w:tc>
          <w:tcPr>
            <w:tcW w:w="1134" w:type="dxa"/>
            <w:noWrap/>
            <w:vAlign w:val="center"/>
            <w:hideMark/>
          </w:tcPr>
          <w:p w14:paraId="318DC3F3" w14:textId="0F33833D" w:rsidR="00112AEB" w:rsidRPr="002975B0" w:rsidRDefault="00112AEB" w:rsidP="000147E4">
            <w:pPr>
              <w:spacing w:before="2" w:after="2"/>
              <w:jc w:val="right"/>
              <w:rPr>
                <w:rFonts w:ascii="Arial" w:hAnsi="Arial" w:cs="Arial"/>
                <w:lang w:val="en-GB"/>
              </w:rPr>
            </w:pPr>
            <w:r w:rsidRPr="002975B0">
              <w:rPr>
                <w:rFonts w:ascii="Arial" w:hAnsi="Arial" w:cs="Arial"/>
                <w:lang w:val="en-GB"/>
              </w:rPr>
              <w:t>74</w:t>
            </w:r>
          </w:p>
        </w:tc>
        <w:tc>
          <w:tcPr>
            <w:tcW w:w="1134" w:type="dxa"/>
            <w:noWrap/>
            <w:vAlign w:val="center"/>
            <w:hideMark/>
          </w:tcPr>
          <w:p w14:paraId="26A3192C" w14:textId="463E6259" w:rsidR="00112AEB" w:rsidRPr="002975B0" w:rsidRDefault="00112AEB" w:rsidP="000147E4">
            <w:pPr>
              <w:spacing w:before="2" w:after="2"/>
              <w:jc w:val="right"/>
              <w:rPr>
                <w:rFonts w:ascii="Arial" w:hAnsi="Arial" w:cs="Arial"/>
                <w:lang w:val="en-GB"/>
              </w:rPr>
            </w:pPr>
            <w:r w:rsidRPr="002975B0">
              <w:rPr>
                <w:rFonts w:ascii="Arial" w:hAnsi="Arial" w:cs="Arial"/>
                <w:lang w:val="en-GB"/>
              </w:rPr>
              <w:t xml:space="preserve">11,884,400 </w:t>
            </w:r>
          </w:p>
        </w:tc>
        <w:tc>
          <w:tcPr>
            <w:tcW w:w="1387" w:type="dxa"/>
            <w:noWrap/>
            <w:vAlign w:val="center"/>
            <w:hideMark/>
          </w:tcPr>
          <w:p w14:paraId="5A0962EE" w14:textId="624FCA18" w:rsidR="00112AEB" w:rsidRPr="002975B0" w:rsidRDefault="00112AEB" w:rsidP="000147E4">
            <w:pPr>
              <w:spacing w:before="2" w:after="2"/>
              <w:jc w:val="right"/>
              <w:rPr>
                <w:rFonts w:ascii="Arial" w:hAnsi="Arial" w:cs="Arial"/>
                <w:lang w:val="en-GB"/>
              </w:rPr>
            </w:pPr>
            <w:r w:rsidRPr="002975B0">
              <w:rPr>
                <w:rFonts w:ascii="Arial" w:hAnsi="Arial" w:cs="Arial"/>
                <w:lang w:val="en-GB"/>
              </w:rPr>
              <w:t>74</w:t>
            </w:r>
          </w:p>
        </w:tc>
      </w:tr>
      <w:tr w:rsidR="003860FF" w:rsidRPr="002975B0" w14:paraId="5D21269C" w14:textId="77777777" w:rsidTr="00025694">
        <w:trPr>
          <w:trHeight w:val="300"/>
          <w:jc w:val="center"/>
        </w:trPr>
        <w:tc>
          <w:tcPr>
            <w:tcW w:w="1555" w:type="dxa"/>
            <w:noWrap/>
            <w:vAlign w:val="center"/>
            <w:hideMark/>
          </w:tcPr>
          <w:p w14:paraId="70860DE9" w14:textId="77777777" w:rsidR="00112AEB" w:rsidRPr="002975B0" w:rsidRDefault="00112AEB">
            <w:pPr>
              <w:spacing w:before="2" w:after="2"/>
              <w:rPr>
                <w:rFonts w:ascii="Arial" w:hAnsi="Arial" w:cs="Arial"/>
                <w:lang w:val="en-GB"/>
              </w:rPr>
            </w:pPr>
            <w:r w:rsidRPr="002975B0">
              <w:rPr>
                <w:rFonts w:ascii="Arial" w:hAnsi="Arial" w:cs="Arial"/>
                <w:lang w:val="en-GB"/>
              </w:rPr>
              <w:t>Gross Margin</w:t>
            </w:r>
          </w:p>
        </w:tc>
        <w:tc>
          <w:tcPr>
            <w:tcW w:w="1216" w:type="dxa"/>
            <w:noWrap/>
            <w:vAlign w:val="center"/>
            <w:hideMark/>
          </w:tcPr>
          <w:p w14:paraId="61D0A498" w14:textId="2A08EBCA" w:rsidR="00112AEB" w:rsidRPr="002975B0" w:rsidRDefault="00112AEB" w:rsidP="000147E4">
            <w:pPr>
              <w:spacing w:before="2" w:after="2"/>
              <w:jc w:val="right"/>
              <w:rPr>
                <w:rFonts w:ascii="Arial" w:hAnsi="Arial" w:cs="Arial"/>
                <w:lang w:val="en-GB"/>
              </w:rPr>
            </w:pPr>
            <w:r w:rsidRPr="002975B0">
              <w:rPr>
                <w:rFonts w:ascii="Arial" w:hAnsi="Arial" w:cs="Arial"/>
                <w:lang w:val="en-GB"/>
              </w:rPr>
              <w:t>26</w:t>
            </w:r>
          </w:p>
        </w:tc>
        <w:tc>
          <w:tcPr>
            <w:tcW w:w="1766" w:type="dxa"/>
            <w:noWrap/>
            <w:vAlign w:val="center"/>
            <w:hideMark/>
          </w:tcPr>
          <w:p w14:paraId="1C474C4A" w14:textId="334A5B88" w:rsidR="00112AEB" w:rsidRPr="002975B0" w:rsidRDefault="00112AEB" w:rsidP="000147E4">
            <w:pPr>
              <w:spacing w:before="2" w:after="2"/>
              <w:jc w:val="right"/>
              <w:rPr>
                <w:rFonts w:ascii="Arial" w:hAnsi="Arial" w:cs="Arial"/>
                <w:lang w:val="en-GB"/>
              </w:rPr>
            </w:pPr>
            <w:r w:rsidRPr="002975B0">
              <w:rPr>
                <w:rFonts w:ascii="Arial" w:hAnsi="Arial" w:cs="Arial"/>
                <w:lang w:val="en-GB"/>
              </w:rPr>
              <w:t xml:space="preserve">1,032,528 </w:t>
            </w:r>
          </w:p>
        </w:tc>
        <w:tc>
          <w:tcPr>
            <w:tcW w:w="1134" w:type="dxa"/>
            <w:noWrap/>
            <w:vAlign w:val="center"/>
            <w:hideMark/>
          </w:tcPr>
          <w:p w14:paraId="76466A07" w14:textId="46A63E42" w:rsidR="00112AEB" w:rsidRPr="002975B0" w:rsidRDefault="00112AEB" w:rsidP="000147E4">
            <w:pPr>
              <w:spacing w:before="2" w:after="2"/>
              <w:jc w:val="right"/>
              <w:rPr>
                <w:rFonts w:ascii="Arial" w:hAnsi="Arial" w:cs="Arial"/>
                <w:lang w:val="en-GB"/>
              </w:rPr>
            </w:pPr>
            <w:r w:rsidRPr="002975B0">
              <w:rPr>
                <w:rFonts w:ascii="Arial" w:hAnsi="Arial" w:cs="Arial"/>
                <w:lang w:val="en-GB"/>
              </w:rPr>
              <w:t>9</w:t>
            </w:r>
          </w:p>
        </w:tc>
        <w:tc>
          <w:tcPr>
            <w:tcW w:w="1275" w:type="dxa"/>
            <w:noWrap/>
            <w:vAlign w:val="center"/>
            <w:hideMark/>
          </w:tcPr>
          <w:p w14:paraId="065E82C3" w14:textId="72AF393F" w:rsidR="00112AEB" w:rsidRPr="002975B0" w:rsidRDefault="00112AEB" w:rsidP="000147E4">
            <w:pPr>
              <w:spacing w:before="2" w:after="2"/>
              <w:jc w:val="right"/>
              <w:rPr>
                <w:rFonts w:ascii="Arial" w:hAnsi="Arial" w:cs="Arial"/>
                <w:lang w:val="en-GB"/>
              </w:rPr>
            </w:pPr>
            <w:r w:rsidRPr="002975B0">
              <w:rPr>
                <w:rFonts w:ascii="Arial" w:hAnsi="Arial" w:cs="Arial"/>
                <w:lang w:val="en-GB"/>
              </w:rPr>
              <w:t xml:space="preserve">3,749,055 </w:t>
            </w:r>
          </w:p>
        </w:tc>
        <w:tc>
          <w:tcPr>
            <w:tcW w:w="1134" w:type="dxa"/>
            <w:noWrap/>
            <w:vAlign w:val="center"/>
            <w:hideMark/>
          </w:tcPr>
          <w:p w14:paraId="72CB1BD3" w14:textId="47342CD5" w:rsidR="00112AEB" w:rsidRPr="002975B0" w:rsidRDefault="00112AEB" w:rsidP="000147E4">
            <w:pPr>
              <w:spacing w:before="2" w:after="2"/>
              <w:jc w:val="right"/>
              <w:rPr>
                <w:rFonts w:ascii="Arial" w:hAnsi="Arial" w:cs="Arial"/>
                <w:lang w:val="en-GB"/>
              </w:rPr>
            </w:pPr>
            <w:r w:rsidRPr="002975B0">
              <w:rPr>
                <w:rFonts w:ascii="Arial" w:hAnsi="Arial" w:cs="Arial"/>
                <w:lang w:val="en-GB"/>
              </w:rPr>
              <w:t>26</w:t>
            </w:r>
          </w:p>
        </w:tc>
        <w:tc>
          <w:tcPr>
            <w:tcW w:w="1134" w:type="dxa"/>
            <w:noWrap/>
            <w:vAlign w:val="center"/>
            <w:hideMark/>
          </w:tcPr>
          <w:p w14:paraId="74F75533" w14:textId="37A8C677" w:rsidR="00112AEB" w:rsidRPr="002975B0" w:rsidRDefault="00112AEB" w:rsidP="000147E4">
            <w:pPr>
              <w:spacing w:before="2" w:after="2"/>
              <w:jc w:val="right"/>
              <w:rPr>
                <w:rFonts w:ascii="Arial" w:hAnsi="Arial" w:cs="Arial"/>
                <w:lang w:val="en-GB"/>
              </w:rPr>
            </w:pPr>
            <w:r w:rsidRPr="002975B0">
              <w:rPr>
                <w:rFonts w:ascii="Arial" w:hAnsi="Arial" w:cs="Arial"/>
                <w:lang w:val="en-GB"/>
              </w:rPr>
              <w:t xml:space="preserve">4,175,600 </w:t>
            </w:r>
          </w:p>
        </w:tc>
        <w:tc>
          <w:tcPr>
            <w:tcW w:w="1387" w:type="dxa"/>
            <w:noWrap/>
            <w:vAlign w:val="center"/>
            <w:hideMark/>
          </w:tcPr>
          <w:p w14:paraId="4F8C86EE" w14:textId="60D289F6" w:rsidR="00112AEB" w:rsidRPr="002975B0" w:rsidRDefault="00112AEB" w:rsidP="000147E4">
            <w:pPr>
              <w:spacing w:before="2" w:after="2"/>
              <w:jc w:val="right"/>
              <w:rPr>
                <w:rFonts w:ascii="Arial" w:hAnsi="Arial" w:cs="Arial"/>
                <w:lang w:val="en-GB"/>
              </w:rPr>
            </w:pPr>
            <w:r w:rsidRPr="002975B0">
              <w:rPr>
                <w:rFonts w:ascii="Arial" w:hAnsi="Arial" w:cs="Arial"/>
                <w:lang w:val="en-GB"/>
              </w:rPr>
              <w:t>26</w:t>
            </w:r>
          </w:p>
        </w:tc>
      </w:tr>
      <w:tr w:rsidR="003860FF" w:rsidRPr="002975B0" w14:paraId="0B500230" w14:textId="77777777" w:rsidTr="00025694">
        <w:trPr>
          <w:trHeight w:val="300"/>
          <w:jc w:val="center"/>
        </w:trPr>
        <w:tc>
          <w:tcPr>
            <w:tcW w:w="1555" w:type="dxa"/>
            <w:noWrap/>
            <w:vAlign w:val="center"/>
            <w:hideMark/>
          </w:tcPr>
          <w:p w14:paraId="5BD319D1" w14:textId="70593FF3" w:rsidR="00112AEB" w:rsidRPr="002975B0" w:rsidRDefault="00112AEB">
            <w:pPr>
              <w:spacing w:before="2" w:after="2"/>
              <w:rPr>
                <w:rFonts w:ascii="Arial" w:hAnsi="Arial" w:cs="Arial"/>
                <w:lang w:val="en-GB"/>
              </w:rPr>
            </w:pPr>
            <w:r w:rsidRPr="002975B0">
              <w:rPr>
                <w:rFonts w:ascii="Arial" w:hAnsi="Arial" w:cs="Arial"/>
                <w:lang w:val="en-GB"/>
              </w:rPr>
              <w:t>Admin</w:t>
            </w:r>
            <w:r w:rsidR="008E6AD6">
              <w:rPr>
                <w:rFonts w:ascii="Arial" w:hAnsi="Arial" w:cs="Arial"/>
                <w:lang w:val="en-GB"/>
              </w:rPr>
              <w:t>istrative</w:t>
            </w:r>
            <w:r w:rsidRPr="002975B0">
              <w:rPr>
                <w:rFonts w:ascii="Arial" w:hAnsi="Arial" w:cs="Arial"/>
                <w:lang w:val="en-GB"/>
              </w:rPr>
              <w:t xml:space="preserve"> Expenses</w:t>
            </w:r>
          </w:p>
        </w:tc>
        <w:tc>
          <w:tcPr>
            <w:tcW w:w="1216" w:type="dxa"/>
            <w:noWrap/>
            <w:vAlign w:val="center"/>
            <w:hideMark/>
          </w:tcPr>
          <w:p w14:paraId="4C925D63" w14:textId="08038E31" w:rsidR="00112AEB" w:rsidRPr="002975B0" w:rsidRDefault="00112AEB" w:rsidP="000147E4">
            <w:pPr>
              <w:spacing w:before="2" w:after="2"/>
              <w:jc w:val="right"/>
              <w:rPr>
                <w:rFonts w:ascii="Arial" w:hAnsi="Arial" w:cs="Arial"/>
                <w:lang w:val="en-GB"/>
              </w:rPr>
            </w:pPr>
            <w:r w:rsidRPr="002975B0">
              <w:rPr>
                <w:rFonts w:ascii="Arial" w:hAnsi="Arial" w:cs="Arial"/>
                <w:lang w:val="en-GB"/>
              </w:rPr>
              <w:t>10</w:t>
            </w:r>
          </w:p>
        </w:tc>
        <w:tc>
          <w:tcPr>
            <w:tcW w:w="1766" w:type="dxa"/>
            <w:noWrap/>
            <w:vAlign w:val="center"/>
            <w:hideMark/>
          </w:tcPr>
          <w:p w14:paraId="26157F79" w14:textId="0B72AFE4" w:rsidR="00112AEB" w:rsidRPr="002975B0" w:rsidRDefault="00112AEB" w:rsidP="000147E4">
            <w:pPr>
              <w:spacing w:before="2" w:after="2"/>
              <w:jc w:val="right"/>
              <w:rPr>
                <w:rFonts w:ascii="Arial" w:hAnsi="Arial" w:cs="Arial"/>
                <w:lang w:val="en-GB"/>
              </w:rPr>
            </w:pPr>
            <w:r w:rsidRPr="002975B0">
              <w:rPr>
                <w:rFonts w:ascii="Arial" w:hAnsi="Arial" w:cs="Arial"/>
                <w:lang w:val="en-GB"/>
              </w:rPr>
              <w:t xml:space="preserve">2,812,176 </w:t>
            </w:r>
          </w:p>
        </w:tc>
        <w:tc>
          <w:tcPr>
            <w:tcW w:w="1134" w:type="dxa"/>
            <w:noWrap/>
            <w:vAlign w:val="center"/>
            <w:hideMark/>
          </w:tcPr>
          <w:p w14:paraId="21C81D00" w14:textId="49D2793F" w:rsidR="00112AEB" w:rsidRPr="002975B0" w:rsidRDefault="00112AEB" w:rsidP="000147E4">
            <w:pPr>
              <w:spacing w:before="2" w:after="2"/>
              <w:jc w:val="right"/>
              <w:rPr>
                <w:rFonts w:ascii="Arial" w:hAnsi="Arial" w:cs="Arial"/>
                <w:lang w:val="en-GB"/>
              </w:rPr>
            </w:pPr>
            <w:r w:rsidRPr="002975B0">
              <w:rPr>
                <w:rFonts w:ascii="Arial" w:hAnsi="Arial" w:cs="Arial"/>
                <w:lang w:val="en-GB"/>
              </w:rPr>
              <w:t>25</w:t>
            </w:r>
          </w:p>
        </w:tc>
        <w:tc>
          <w:tcPr>
            <w:tcW w:w="1275" w:type="dxa"/>
            <w:noWrap/>
            <w:vAlign w:val="center"/>
            <w:hideMark/>
          </w:tcPr>
          <w:p w14:paraId="150D4CE3" w14:textId="2A82414D" w:rsidR="00112AEB" w:rsidRPr="002975B0" w:rsidRDefault="00112AEB" w:rsidP="000147E4">
            <w:pPr>
              <w:spacing w:before="2" w:after="2"/>
              <w:jc w:val="right"/>
              <w:rPr>
                <w:rFonts w:ascii="Arial" w:hAnsi="Arial" w:cs="Arial"/>
                <w:lang w:val="en-GB"/>
              </w:rPr>
            </w:pPr>
            <w:r w:rsidRPr="002975B0">
              <w:rPr>
                <w:rFonts w:ascii="Arial" w:hAnsi="Arial" w:cs="Arial"/>
                <w:lang w:val="en-GB"/>
              </w:rPr>
              <w:t xml:space="preserve">2,588,564 </w:t>
            </w:r>
          </w:p>
        </w:tc>
        <w:tc>
          <w:tcPr>
            <w:tcW w:w="1134" w:type="dxa"/>
            <w:noWrap/>
            <w:vAlign w:val="center"/>
            <w:hideMark/>
          </w:tcPr>
          <w:p w14:paraId="3A4B69AC" w14:textId="620FF186" w:rsidR="00112AEB" w:rsidRPr="002975B0" w:rsidRDefault="00112AEB" w:rsidP="000147E4">
            <w:pPr>
              <w:spacing w:before="2" w:after="2"/>
              <w:jc w:val="right"/>
              <w:rPr>
                <w:rFonts w:ascii="Arial" w:hAnsi="Arial" w:cs="Arial"/>
                <w:lang w:val="en-GB"/>
              </w:rPr>
            </w:pPr>
            <w:r w:rsidRPr="002975B0">
              <w:rPr>
                <w:rFonts w:ascii="Arial" w:hAnsi="Arial" w:cs="Arial"/>
                <w:lang w:val="en-GB"/>
              </w:rPr>
              <w:t>18</w:t>
            </w:r>
          </w:p>
        </w:tc>
        <w:tc>
          <w:tcPr>
            <w:tcW w:w="1134" w:type="dxa"/>
            <w:noWrap/>
            <w:vAlign w:val="center"/>
            <w:hideMark/>
          </w:tcPr>
          <w:p w14:paraId="7A21B0B7" w14:textId="18B1979F" w:rsidR="00112AEB" w:rsidRPr="002975B0" w:rsidRDefault="00112AEB" w:rsidP="000147E4">
            <w:pPr>
              <w:spacing w:before="2" w:after="2"/>
              <w:jc w:val="right"/>
              <w:rPr>
                <w:rFonts w:ascii="Arial" w:hAnsi="Arial" w:cs="Arial"/>
                <w:lang w:val="en-GB"/>
              </w:rPr>
            </w:pPr>
            <w:r w:rsidRPr="002975B0">
              <w:rPr>
                <w:rFonts w:ascii="Arial" w:hAnsi="Arial" w:cs="Arial"/>
                <w:lang w:val="en-GB"/>
              </w:rPr>
              <w:t xml:space="preserve">1,525,700 </w:t>
            </w:r>
          </w:p>
        </w:tc>
        <w:tc>
          <w:tcPr>
            <w:tcW w:w="1387" w:type="dxa"/>
            <w:noWrap/>
            <w:vAlign w:val="center"/>
            <w:hideMark/>
          </w:tcPr>
          <w:p w14:paraId="79855663" w14:textId="70125E7D" w:rsidR="00112AEB" w:rsidRPr="002975B0" w:rsidRDefault="00112AEB" w:rsidP="000147E4">
            <w:pPr>
              <w:spacing w:before="2" w:after="2"/>
              <w:jc w:val="right"/>
              <w:rPr>
                <w:rFonts w:ascii="Arial" w:hAnsi="Arial" w:cs="Arial"/>
                <w:lang w:val="en-GB"/>
              </w:rPr>
            </w:pPr>
            <w:r w:rsidRPr="002975B0">
              <w:rPr>
                <w:rFonts w:ascii="Arial" w:hAnsi="Arial" w:cs="Arial"/>
                <w:lang w:val="en-GB"/>
              </w:rPr>
              <w:t>10</w:t>
            </w:r>
          </w:p>
        </w:tc>
      </w:tr>
      <w:tr w:rsidR="003860FF" w:rsidRPr="002975B0" w14:paraId="28279D06" w14:textId="77777777" w:rsidTr="00025694">
        <w:trPr>
          <w:trHeight w:val="300"/>
          <w:jc w:val="center"/>
        </w:trPr>
        <w:tc>
          <w:tcPr>
            <w:tcW w:w="1555" w:type="dxa"/>
            <w:noWrap/>
            <w:vAlign w:val="center"/>
            <w:hideMark/>
          </w:tcPr>
          <w:p w14:paraId="1770A669" w14:textId="77777777" w:rsidR="00112AEB" w:rsidRPr="002975B0" w:rsidRDefault="00112AEB">
            <w:pPr>
              <w:spacing w:before="2" w:after="2"/>
              <w:rPr>
                <w:rFonts w:ascii="Arial" w:hAnsi="Arial" w:cs="Arial"/>
                <w:lang w:val="en-GB"/>
              </w:rPr>
            </w:pPr>
            <w:r w:rsidRPr="002975B0">
              <w:rPr>
                <w:rFonts w:ascii="Arial" w:hAnsi="Arial" w:cs="Arial"/>
                <w:lang w:val="en-GB"/>
              </w:rPr>
              <w:t>Earnings before tax</w:t>
            </w:r>
          </w:p>
        </w:tc>
        <w:tc>
          <w:tcPr>
            <w:tcW w:w="1216" w:type="dxa"/>
            <w:noWrap/>
            <w:vAlign w:val="center"/>
            <w:hideMark/>
          </w:tcPr>
          <w:p w14:paraId="57ACBBBF" w14:textId="0BBFD64D" w:rsidR="00112AEB" w:rsidRPr="002975B0" w:rsidRDefault="00112AEB" w:rsidP="000147E4">
            <w:pPr>
              <w:spacing w:before="2" w:after="2"/>
              <w:jc w:val="right"/>
              <w:rPr>
                <w:rFonts w:ascii="Arial" w:hAnsi="Arial" w:cs="Arial"/>
                <w:lang w:val="en-GB"/>
              </w:rPr>
            </w:pPr>
            <w:r w:rsidRPr="002975B0">
              <w:rPr>
                <w:rFonts w:ascii="Arial" w:hAnsi="Arial" w:cs="Arial"/>
                <w:lang w:val="en-GB"/>
              </w:rPr>
              <w:t>17</w:t>
            </w:r>
          </w:p>
        </w:tc>
        <w:tc>
          <w:tcPr>
            <w:tcW w:w="1766" w:type="dxa"/>
            <w:noWrap/>
            <w:vAlign w:val="center"/>
            <w:hideMark/>
          </w:tcPr>
          <w:p w14:paraId="18AB71AB" w14:textId="598D093C" w:rsidR="00112AEB" w:rsidRPr="002975B0" w:rsidRDefault="00112AEB" w:rsidP="000147E4">
            <w:pPr>
              <w:spacing w:before="2" w:after="2"/>
              <w:jc w:val="right"/>
              <w:rPr>
                <w:rFonts w:ascii="Arial" w:hAnsi="Arial" w:cs="Arial"/>
                <w:lang w:val="en-GB"/>
              </w:rPr>
            </w:pPr>
            <w:r w:rsidRPr="002975B0">
              <w:rPr>
                <w:rFonts w:ascii="Arial" w:hAnsi="Arial" w:cs="Arial"/>
                <w:lang w:val="en-GB"/>
              </w:rPr>
              <w:t>(1,779,648)</w:t>
            </w:r>
          </w:p>
        </w:tc>
        <w:tc>
          <w:tcPr>
            <w:tcW w:w="1134" w:type="dxa"/>
            <w:noWrap/>
            <w:vAlign w:val="center"/>
            <w:hideMark/>
          </w:tcPr>
          <w:p w14:paraId="04347A73" w14:textId="5792FD0C" w:rsidR="00112AEB" w:rsidRPr="002975B0" w:rsidRDefault="00A21EDF" w:rsidP="000147E4">
            <w:pPr>
              <w:spacing w:before="2" w:after="2"/>
              <w:jc w:val="right"/>
              <w:rPr>
                <w:rFonts w:ascii="Arial" w:hAnsi="Arial" w:cs="Arial"/>
                <w:lang w:val="en-GB"/>
              </w:rPr>
            </w:pPr>
            <w:r>
              <w:rPr>
                <w:rFonts w:ascii="Arial" w:hAnsi="Arial" w:cs="Arial"/>
                <w:lang w:val="en-GB"/>
              </w:rPr>
              <w:t>−</w:t>
            </w:r>
            <w:r w:rsidR="00112AEB" w:rsidRPr="002975B0">
              <w:rPr>
                <w:rFonts w:ascii="Arial" w:hAnsi="Arial" w:cs="Arial"/>
                <w:lang w:val="en-GB"/>
              </w:rPr>
              <w:t>16</w:t>
            </w:r>
          </w:p>
        </w:tc>
        <w:tc>
          <w:tcPr>
            <w:tcW w:w="1275" w:type="dxa"/>
            <w:noWrap/>
            <w:vAlign w:val="center"/>
            <w:hideMark/>
          </w:tcPr>
          <w:p w14:paraId="6C4A52A2" w14:textId="3D02A228" w:rsidR="00112AEB" w:rsidRPr="002975B0" w:rsidRDefault="00112AEB" w:rsidP="000147E4">
            <w:pPr>
              <w:spacing w:before="2" w:after="2"/>
              <w:jc w:val="right"/>
              <w:rPr>
                <w:rFonts w:ascii="Arial" w:hAnsi="Arial" w:cs="Arial"/>
                <w:lang w:val="en-GB"/>
              </w:rPr>
            </w:pPr>
            <w:r w:rsidRPr="002975B0">
              <w:rPr>
                <w:rFonts w:ascii="Arial" w:hAnsi="Arial" w:cs="Arial"/>
                <w:lang w:val="en-GB"/>
              </w:rPr>
              <w:t xml:space="preserve">1,180,491 </w:t>
            </w:r>
          </w:p>
        </w:tc>
        <w:tc>
          <w:tcPr>
            <w:tcW w:w="1134" w:type="dxa"/>
            <w:noWrap/>
            <w:vAlign w:val="center"/>
            <w:hideMark/>
          </w:tcPr>
          <w:p w14:paraId="7A510E47" w14:textId="2913A87B" w:rsidR="00112AEB" w:rsidRPr="002975B0" w:rsidRDefault="00112AEB" w:rsidP="000147E4">
            <w:pPr>
              <w:spacing w:before="2" w:after="2"/>
              <w:jc w:val="right"/>
              <w:rPr>
                <w:rFonts w:ascii="Arial" w:hAnsi="Arial" w:cs="Arial"/>
                <w:lang w:val="en-GB"/>
              </w:rPr>
            </w:pPr>
            <w:r w:rsidRPr="002975B0">
              <w:rPr>
                <w:rFonts w:ascii="Arial" w:hAnsi="Arial" w:cs="Arial"/>
                <w:lang w:val="en-GB"/>
              </w:rPr>
              <w:t>8</w:t>
            </w:r>
          </w:p>
        </w:tc>
        <w:tc>
          <w:tcPr>
            <w:tcW w:w="1134" w:type="dxa"/>
            <w:noWrap/>
            <w:vAlign w:val="center"/>
            <w:hideMark/>
          </w:tcPr>
          <w:p w14:paraId="129DBCB2" w14:textId="72334940" w:rsidR="00112AEB" w:rsidRPr="002975B0" w:rsidRDefault="00112AEB" w:rsidP="000147E4">
            <w:pPr>
              <w:spacing w:before="2" w:after="2"/>
              <w:jc w:val="right"/>
              <w:rPr>
                <w:rFonts w:ascii="Arial" w:hAnsi="Arial" w:cs="Arial"/>
                <w:lang w:val="en-GB"/>
              </w:rPr>
            </w:pPr>
            <w:r w:rsidRPr="002975B0">
              <w:rPr>
                <w:rFonts w:ascii="Arial" w:hAnsi="Arial" w:cs="Arial"/>
                <w:lang w:val="en-GB"/>
              </w:rPr>
              <w:t xml:space="preserve">2,649,900 </w:t>
            </w:r>
          </w:p>
        </w:tc>
        <w:tc>
          <w:tcPr>
            <w:tcW w:w="1387" w:type="dxa"/>
            <w:noWrap/>
            <w:vAlign w:val="center"/>
            <w:hideMark/>
          </w:tcPr>
          <w:p w14:paraId="485CB8BA" w14:textId="348E22E6" w:rsidR="00112AEB" w:rsidRPr="002975B0" w:rsidRDefault="00112AEB" w:rsidP="000147E4">
            <w:pPr>
              <w:spacing w:before="2" w:after="2"/>
              <w:jc w:val="right"/>
              <w:rPr>
                <w:rFonts w:ascii="Arial" w:hAnsi="Arial" w:cs="Arial"/>
                <w:lang w:val="en-GB"/>
              </w:rPr>
            </w:pPr>
            <w:r w:rsidRPr="002975B0">
              <w:rPr>
                <w:rFonts w:ascii="Arial" w:hAnsi="Arial" w:cs="Arial"/>
                <w:lang w:val="en-GB"/>
              </w:rPr>
              <w:t>17</w:t>
            </w:r>
          </w:p>
        </w:tc>
      </w:tr>
    </w:tbl>
    <w:p w14:paraId="62395A5E" w14:textId="77777777" w:rsidR="00112AEB" w:rsidRPr="002975B0" w:rsidRDefault="00112AEB" w:rsidP="00112AEB">
      <w:pPr>
        <w:rPr>
          <w:lang w:val="en-GB"/>
        </w:rPr>
      </w:pPr>
    </w:p>
    <w:p w14:paraId="1AAD0573" w14:textId="17C436C1" w:rsidR="00FA4112" w:rsidRPr="002975B0" w:rsidRDefault="00FA4112" w:rsidP="00FA4112">
      <w:pPr>
        <w:pStyle w:val="Footnote"/>
        <w:rPr>
          <w:lang w:val="en-GB"/>
        </w:rPr>
      </w:pPr>
      <w:r w:rsidRPr="002975B0">
        <w:rPr>
          <w:lang w:val="en-GB"/>
        </w:rPr>
        <w:t xml:space="preserve">Note: Projections in </w:t>
      </w:r>
      <w:proofErr w:type="gramStart"/>
      <w:r w:rsidRPr="002975B0">
        <w:rPr>
          <w:lang w:val="en-GB"/>
        </w:rPr>
        <w:t>Fall</w:t>
      </w:r>
      <w:proofErr w:type="gramEnd"/>
      <w:r w:rsidRPr="002975B0">
        <w:rPr>
          <w:lang w:val="en-GB"/>
        </w:rPr>
        <w:t xml:space="preserve"> 2016</w:t>
      </w:r>
      <w:r w:rsidR="00382ADD">
        <w:rPr>
          <w:lang w:val="en-GB"/>
        </w:rPr>
        <w:t>,</w:t>
      </w:r>
      <w:r w:rsidRPr="002975B0">
        <w:rPr>
          <w:lang w:val="en-GB"/>
        </w:rPr>
        <w:t xml:space="preserve"> based on work with valuation companies</w:t>
      </w:r>
      <w:r w:rsidR="00382ADD">
        <w:rPr>
          <w:lang w:val="en-GB"/>
        </w:rPr>
        <w:t>; YTD = year to date</w:t>
      </w:r>
      <w:r w:rsidR="004D3F89">
        <w:rPr>
          <w:lang w:val="en-GB"/>
        </w:rPr>
        <w:t>; admin = administrative</w:t>
      </w:r>
      <w:r w:rsidR="00A03C72">
        <w:rPr>
          <w:lang w:val="en-GB"/>
        </w:rPr>
        <w:t>.</w:t>
      </w:r>
    </w:p>
    <w:p w14:paraId="63EE813E" w14:textId="74FB8639" w:rsidR="00112AEB" w:rsidRPr="002975B0" w:rsidRDefault="00112AEB" w:rsidP="00684143">
      <w:pPr>
        <w:pStyle w:val="Footnote"/>
        <w:rPr>
          <w:lang w:val="en-GB"/>
        </w:rPr>
      </w:pPr>
      <w:r w:rsidRPr="002975B0">
        <w:rPr>
          <w:lang w:val="en-GB"/>
        </w:rPr>
        <w:t>Source</w:t>
      </w:r>
      <w:r w:rsidRPr="002975B0">
        <w:rPr>
          <w:rStyle w:val="CommentReference"/>
          <w:lang w:val="en-GB"/>
        </w:rPr>
        <w:t xml:space="preserve">: </w:t>
      </w:r>
      <w:r w:rsidR="00516844" w:rsidRPr="002975B0">
        <w:rPr>
          <w:lang w:val="en-GB"/>
        </w:rPr>
        <w:t>Company documen</w:t>
      </w:r>
      <w:r w:rsidR="00684143" w:rsidRPr="002975B0">
        <w:rPr>
          <w:lang w:val="en-GB"/>
        </w:rPr>
        <w:t>ts</w:t>
      </w:r>
      <w:r w:rsidR="008E6AD6">
        <w:rPr>
          <w:lang w:val="en-GB"/>
        </w:rPr>
        <w:t>.</w:t>
      </w:r>
      <w:bookmarkStart w:id="1" w:name="_GoBack"/>
      <w:bookmarkEnd w:id="1"/>
    </w:p>
    <w:sectPr w:rsidR="00112AEB" w:rsidRPr="002975B0" w:rsidSect="003860FF">
      <w:headerReference w:type="first" r:id="rId12"/>
      <w:pgSz w:w="15840" w:h="12240" w:orient="landscape" w:code="1"/>
      <w:pgMar w:top="1440" w:right="108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5A74DA" w16cid:durableId="1F3A96A4"/>
  <w16cid:commentId w16cid:paraId="71E39CAF" w16cid:durableId="1F3BF1E3"/>
  <w16cid:commentId w16cid:paraId="359CD809" w16cid:durableId="1F3A292C"/>
  <w16cid:commentId w16cid:paraId="4F52660A" w16cid:durableId="1F3A9B2D"/>
  <w16cid:commentId w16cid:paraId="5ECF9B4E" w16cid:durableId="1F3A5BB0"/>
  <w16cid:commentId w16cid:paraId="174D118C" w16cid:durableId="1F3A7ACC"/>
  <w16cid:commentId w16cid:paraId="05B89235" w16cid:durableId="1F3A7BBB"/>
  <w16cid:commentId w16cid:paraId="6960FD90" w16cid:durableId="1F3A8908"/>
  <w16cid:commentId w16cid:paraId="2C54DA5C" w16cid:durableId="1F3A891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34B27D" w14:textId="77777777" w:rsidR="00B17CEE" w:rsidRDefault="00B17CEE" w:rsidP="00D75295">
      <w:r>
        <w:separator/>
      </w:r>
    </w:p>
  </w:endnote>
  <w:endnote w:type="continuationSeparator" w:id="0">
    <w:p w14:paraId="319D83CB" w14:textId="77777777" w:rsidR="00B17CEE" w:rsidRDefault="00B17CEE"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KaiTi_GB2312">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B12C88" w14:textId="77777777" w:rsidR="00B17CEE" w:rsidRDefault="00B17CEE" w:rsidP="00D75295">
      <w:r>
        <w:separator/>
      </w:r>
    </w:p>
  </w:footnote>
  <w:footnote w:type="continuationSeparator" w:id="0">
    <w:p w14:paraId="79CAF3DF" w14:textId="77777777" w:rsidR="00B17CEE" w:rsidRDefault="00B17CEE" w:rsidP="00D75295">
      <w:r>
        <w:continuationSeparator/>
      </w:r>
    </w:p>
  </w:footnote>
  <w:footnote w:id="1">
    <w:p w14:paraId="530C3519" w14:textId="775D9D66" w:rsidR="0081026D" w:rsidRPr="00321957" w:rsidRDefault="0081026D" w:rsidP="00594E78">
      <w:pPr>
        <w:pStyle w:val="Footnote"/>
        <w:rPr>
          <w:lang w:val="en-GB"/>
        </w:rPr>
      </w:pPr>
      <w:r w:rsidRPr="00321957">
        <w:rPr>
          <w:rStyle w:val="FootnoteReference"/>
          <w:lang w:val="en-GB"/>
        </w:rPr>
        <w:footnoteRef/>
      </w:r>
      <w:r w:rsidR="003A34D8">
        <w:rPr>
          <w:lang w:val="en-GB"/>
        </w:rPr>
        <w:t> Alberta Government, Alberta Regional Dashboard, accessed March 7, 2018, </w:t>
      </w:r>
      <w:r w:rsidRPr="00321957">
        <w:rPr>
          <w:lang w:val="en-GB"/>
        </w:rPr>
        <w:t>https://regionaldashboard.alberta.ca/#/municipalities-by-criteria</w:t>
      </w:r>
      <w:r w:rsidR="00025694">
        <w:rPr>
          <w:lang w:val="en-GB"/>
        </w:rPr>
        <w:t>.</w:t>
      </w:r>
    </w:p>
  </w:footnote>
  <w:footnote w:id="2">
    <w:p w14:paraId="165DF233" w14:textId="6FEAC56A" w:rsidR="0081026D" w:rsidRPr="00321957" w:rsidRDefault="0081026D" w:rsidP="00594E78">
      <w:pPr>
        <w:pStyle w:val="Footnote"/>
        <w:rPr>
          <w:lang w:val="en-GB"/>
        </w:rPr>
      </w:pPr>
      <w:r w:rsidRPr="00321957">
        <w:rPr>
          <w:rStyle w:val="FootnoteReference"/>
          <w:lang w:val="en-GB"/>
        </w:rPr>
        <w:footnoteRef/>
      </w:r>
      <w:r w:rsidRPr="00321957">
        <w:rPr>
          <w:lang w:val="en-GB"/>
        </w:rPr>
        <w:t xml:space="preserve"> “Population Estimates on July 1st, by Age and Sex,” table 17-10-0005-01, Statistics Canada, accessed March 7, 2018, www.statcan.gc.ca/tables-tableaux/sum-som/l01/cst01/demo02b-eng.htm.</w:t>
      </w:r>
    </w:p>
  </w:footnote>
  <w:footnote w:id="3">
    <w:p w14:paraId="2D215A82" w14:textId="14504C7A" w:rsidR="0081026D" w:rsidRPr="00025694" w:rsidRDefault="0081026D" w:rsidP="00594E78">
      <w:pPr>
        <w:pStyle w:val="Footnote"/>
        <w:rPr>
          <w:spacing w:val="-4"/>
          <w:lang w:val="en-GB"/>
        </w:rPr>
      </w:pPr>
      <w:r w:rsidRPr="00025694">
        <w:rPr>
          <w:rStyle w:val="FootnoteReference"/>
          <w:spacing w:val="-4"/>
          <w:lang w:val="en-GB"/>
        </w:rPr>
        <w:footnoteRef/>
      </w:r>
      <w:r w:rsidRPr="00025694">
        <w:rPr>
          <w:spacing w:val="-4"/>
          <w:lang w:val="en-GB"/>
        </w:rPr>
        <w:t xml:space="preserve"> “Unemployment Rate,” Alberta Government, 2017, accessed March 7, 2018, http://economicdashboard.alberta.ca/Unemployment.</w:t>
      </w:r>
    </w:p>
  </w:footnote>
  <w:footnote w:id="4">
    <w:p w14:paraId="7399E7BE" w14:textId="6DEDBDEC" w:rsidR="0081026D" w:rsidRPr="00321957" w:rsidRDefault="0081026D" w:rsidP="00594E78">
      <w:pPr>
        <w:pStyle w:val="Footnote"/>
        <w:rPr>
          <w:lang w:val="en-GB"/>
        </w:rPr>
      </w:pPr>
      <w:r w:rsidRPr="00321957">
        <w:rPr>
          <w:rStyle w:val="FootnoteReference"/>
          <w:lang w:val="en-GB"/>
        </w:rPr>
        <w:footnoteRef/>
      </w:r>
      <w:r w:rsidRPr="00321957">
        <w:rPr>
          <w:lang w:val="en-GB"/>
        </w:rPr>
        <w:t xml:space="preserve"> Government of Alberta, </w:t>
      </w:r>
      <w:r w:rsidRPr="00470FE3">
        <w:rPr>
          <w:i/>
          <w:lang w:val="en-GB"/>
        </w:rPr>
        <w:t>2017 Alberta Regional Labour Market Review</w:t>
      </w:r>
      <w:r w:rsidRPr="00321957">
        <w:rPr>
          <w:lang w:val="en-GB"/>
        </w:rPr>
        <w:t>, 2017, accessed March 7, 2018, https://work.alberta.ca/documents/annual-alberta-regional-labour-market-review.pdf.</w:t>
      </w:r>
    </w:p>
  </w:footnote>
  <w:footnote w:id="5">
    <w:p w14:paraId="725C5EE7" w14:textId="46741B25" w:rsidR="0081026D" w:rsidRPr="00321957" w:rsidRDefault="0081026D" w:rsidP="00594E78">
      <w:pPr>
        <w:pStyle w:val="Footnote"/>
        <w:rPr>
          <w:lang w:val="en-GB"/>
        </w:rPr>
      </w:pPr>
      <w:r w:rsidRPr="00321957">
        <w:rPr>
          <w:rStyle w:val="FootnoteReference"/>
          <w:lang w:val="en-GB"/>
        </w:rPr>
        <w:footnoteRef/>
      </w:r>
      <w:r w:rsidRPr="00321957">
        <w:rPr>
          <w:lang w:val="en-GB"/>
        </w:rPr>
        <w:t xml:space="preserve"> “Census Profile, 2016 Census,” Statistics Canada, November 29, 2017, accessed March 8, 2018, www12.statcan.g</w:t>
      </w:r>
      <w:r w:rsidR="00A27916">
        <w:rPr>
          <w:lang w:val="en-GB"/>
        </w:rPr>
        <w:t>c.ca/censusrecensement/2016/dp</w:t>
      </w:r>
      <w:r w:rsidRPr="00321957">
        <w:rPr>
          <w:lang w:val="en-GB"/>
        </w:rPr>
        <w:t>pd/prof/details/Page.cfm?Lang=E&amp;Geo1=PR&amp;Code1=48&amp;Geo2=&amp;Code2=&amp;Data=Count&amp;SearchText=Alberta&amp;SearchType=Begins&amp;SearchPR=01&amp;B1=All&amp;GeoLevel=PR&amp;GeoCode=48.</w:t>
      </w:r>
    </w:p>
  </w:footnote>
  <w:footnote w:id="6">
    <w:p w14:paraId="5CB1BFEC" w14:textId="17288E90" w:rsidR="0081026D" w:rsidRPr="00321957" w:rsidRDefault="0081026D" w:rsidP="00594E78">
      <w:pPr>
        <w:pStyle w:val="Footnote"/>
        <w:rPr>
          <w:lang w:val="en-GB"/>
        </w:rPr>
      </w:pPr>
      <w:r w:rsidRPr="00321957">
        <w:rPr>
          <w:rStyle w:val="FootnoteReference"/>
          <w:lang w:val="en-GB"/>
        </w:rPr>
        <w:footnoteRef/>
      </w:r>
      <w:r w:rsidRPr="00321957">
        <w:rPr>
          <w:lang w:val="en-GB"/>
        </w:rPr>
        <w:t xml:space="preserve"> </w:t>
      </w:r>
      <w:proofErr w:type="spellStart"/>
      <w:r w:rsidRPr="00321957">
        <w:rPr>
          <w:lang w:val="en-GB"/>
        </w:rPr>
        <w:t>BuildForce</w:t>
      </w:r>
      <w:proofErr w:type="spellEnd"/>
      <w:r w:rsidRPr="00321957">
        <w:rPr>
          <w:lang w:val="en-GB"/>
        </w:rPr>
        <w:t xml:space="preserve"> Canada, </w:t>
      </w:r>
      <w:r w:rsidRPr="00470FE3">
        <w:rPr>
          <w:i/>
          <w:lang w:val="en-GB"/>
        </w:rPr>
        <w:t>Construction and Maintenance Looking Forward—Alberta: 2015–2024 Key Highlight</w:t>
      </w:r>
      <w:r w:rsidRPr="00321957">
        <w:rPr>
          <w:i/>
          <w:lang w:val="en-GB"/>
        </w:rPr>
        <w:t>s</w:t>
      </w:r>
      <w:r w:rsidRPr="00470FE3">
        <w:rPr>
          <w:i/>
          <w:lang w:val="en-GB"/>
        </w:rPr>
        <w:t>,</w:t>
      </w:r>
      <w:r w:rsidRPr="00321957">
        <w:rPr>
          <w:lang w:val="en-GB"/>
        </w:rPr>
        <w:t xml:space="preserve"> March 2015, accessed March 7, 2018, www.buildforce.ca/en/system/files/products/2015_AB_Constr_Maint_Looking_Forward.pdf.</w:t>
      </w:r>
    </w:p>
  </w:footnote>
  <w:footnote w:id="7">
    <w:p w14:paraId="2A1CB241" w14:textId="38E9AE2B" w:rsidR="0081026D" w:rsidRPr="00321957" w:rsidRDefault="0081026D" w:rsidP="00594E78">
      <w:pPr>
        <w:pStyle w:val="Footnote"/>
        <w:rPr>
          <w:lang w:val="en-GB"/>
        </w:rPr>
      </w:pPr>
      <w:r w:rsidRPr="00321957">
        <w:rPr>
          <w:rStyle w:val="FootnoteReference"/>
          <w:lang w:val="en-GB"/>
        </w:rPr>
        <w:footnoteRef/>
      </w:r>
      <w:r w:rsidRPr="00321957">
        <w:rPr>
          <w:lang w:val="en-GB"/>
        </w:rPr>
        <w:t xml:space="preserve"> Statistics Canada, “Oil and Gas Extraction, 2016,” </w:t>
      </w:r>
      <w:r w:rsidRPr="00470FE3">
        <w:rPr>
          <w:i/>
          <w:lang w:val="en-GB"/>
        </w:rPr>
        <w:t>The Daily</w:t>
      </w:r>
      <w:r w:rsidRPr="00321957">
        <w:rPr>
          <w:lang w:val="en-GB"/>
        </w:rPr>
        <w:t>, October 6, 2017, accessed March 7, 2018, www.statcan.gc.ca/daily-quotidien/171006/dq171006b-eng.htm.</w:t>
      </w:r>
    </w:p>
  </w:footnote>
  <w:footnote w:id="8">
    <w:p w14:paraId="29EF2235" w14:textId="01BDC4F9" w:rsidR="0081026D" w:rsidRPr="00321957" w:rsidRDefault="0081026D" w:rsidP="00594E78">
      <w:pPr>
        <w:pStyle w:val="Footnote"/>
        <w:rPr>
          <w:lang w:val="en-GB"/>
        </w:rPr>
      </w:pPr>
      <w:r w:rsidRPr="00321957">
        <w:rPr>
          <w:rStyle w:val="FootnoteReference"/>
          <w:lang w:val="en-GB"/>
        </w:rPr>
        <w:footnoteRef/>
      </w:r>
      <w:r w:rsidRPr="00321957">
        <w:rPr>
          <w:lang w:val="en-GB"/>
        </w:rPr>
        <w:t xml:space="preserve"> Robson Fletcher, “Alberta Resource Revenue Plunges to Historic Low,” CBC News, March 4, 2016, accessed March 7, 2018, www.cbc.ca/news/canada/calgary/resource-revenue-alberta-history-royalties-budgets-1.3474346.  </w:t>
      </w:r>
    </w:p>
  </w:footnote>
  <w:footnote w:id="9">
    <w:p w14:paraId="560026BE" w14:textId="683A38AE" w:rsidR="0081026D" w:rsidRPr="00321957" w:rsidRDefault="0081026D" w:rsidP="00594E78">
      <w:pPr>
        <w:pStyle w:val="Footnote"/>
        <w:rPr>
          <w:lang w:val="en-GB"/>
        </w:rPr>
      </w:pPr>
      <w:r w:rsidRPr="00321957">
        <w:rPr>
          <w:rStyle w:val="FootnoteReference"/>
          <w:lang w:val="en-GB"/>
        </w:rPr>
        <w:footnoteRef/>
      </w:r>
      <w:r w:rsidRPr="00321957">
        <w:rPr>
          <w:lang w:val="en-GB"/>
        </w:rPr>
        <w:t xml:space="preserve"> All dollar amounts are in Canadian dollars unless otherwise noted.</w:t>
      </w:r>
    </w:p>
  </w:footnote>
  <w:footnote w:id="10">
    <w:p w14:paraId="5EDB188B" w14:textId="6D395595" w:rsidR="0081026D" w:rsidRPr="00321957" w:rsidRDefault="0081026D" w:rsidP="00594E78">
      <w:pPr>
        <w:pStyle w:val="Footnote"/>
        <w:rPr>
          <w:lang w:val="en-GB"/>
        </w:rPr>
      </w:pPr>
      <w:r w:rsidRPr="00321957">
        <w:rPr>
          <w:rStyle w:val="FootnoteReference"/>
          <w:lang w:val="en-GB"/>
        </w:rPr>
        <w:footnoteRef/>
      </w:r>
      <w:r w:rsidRPr="00321957">
        <w:rPr>
          <w:lang w:val="en-GB"/>
        </w:rPr>
        <w:t xml:space="preserve"> “Building Permits, Values by Activity Sector (x 1,000),” table 34-10-0003-01, Statistics Canada, accessed March 7, 2018, https://www150.statcan.gc.ca/t1/tbl1/en/tv.action?pid=3410000301.</w:t>
      </w:r>
    </w:p>
  </w:footnote>
  <w:footnote w:id="11">
    <w:p w14:paraId="16497E51" w14:textId="342F0698" w:rsidR="0081026D" w:rsidRPr="00321957" w:rsidRDefault="0081026D" w:rsidP="00594E78">
      <w:pPr>
        <w:pStyle w:val="Footnote"/>
        <w:rPr>
          <w:lang w:val="en-GB"/>
        </w:rPr>
      </w:pPr>
      <w:r w:rsidRPr="00321957">
        <w:rPr>
          <w:rStyle w:val="FootnoteReference"/>
          <w:lang w:val="en-GB"/>
        </w:rPr>
        <w:footnoteRef/>
      </w:r>
      <w:r w:rsidRPr="00321957">
        <w:rPr>
          <w:lang w:val="en-GB"/>
        </w:rPr>
        <w:t xml:space="preserve"> “Gross Domestic Product, Expenditure-Based, Provincial and Territorial, Annual (x 1,000,000),” table 36-10-0222-01, Statistics Canada, 2017, accessed March 7, 2018</w:t>
      </w:r>
      <w:r w:rsidR="002A6D3A">
        <w:rPr>
          <w:lang w:val="en-GB"/>
        </w:rPr>
        <w:t xml:space="preserve">, </w:t>
      </w:r>
      <w:r w:rsidR="002A6D3A" w:rsidRPr="002A6D3A">
        <w:rPr>
          <w:lang w:val="en-GB"/>
        </w:rPr>
        <w:t>https://www150.statcan.gc.ca/t1/tbl1/en/tv.action?pid=3610022201</w:t>
      </w:r>
    </w:p>
  </w:footnote>
  <w:footnote w:id="12">
    <w:p w14:paraId="1C7F9988" w14:textId="47BB31A1" w:rsidR="0081026D" w:rsidRPr="00025694" w:rsidRDefault="0081026D" w:rsidP="00594E78">
      <w:pPr>
        <w:pStyle w:val="Footnote"/>
        <w:rPr>
          <w:spacing w:val="-2"/>
          <w:lang w:val="en-GB"/>
        </w:rPr>
      </w:pPr>
      <w:r w:rsidRPr="003A34D8">
        <w:rPr>
          <w:rStyle w:val="FootnoteReference"/>
          <w:kern w:val="17"/>
          <w:lang w:val="en-GB"/>
        </w:rPr>
        <w:footnoteRef/>
      </w:r>
      <w:r w:rsidRPr="003A34D8">
        <w:rPr>
          <w:kern w:val="17"/>
          <w:lang w:val="en-GB"/>
        </w:rPr>
        <w:t xml:space="preserve"> Manulife Asset Management, </w:t>
      </w:r>
      <w:r w:rsidRPr="003A34D8">
        <w:rPr>
          <w:i/>
          <w:kern w:val="17"/>
          <w:lang w:val="en-GB"/>
        </w:rPr>
        <w:t>Canadian Commercial Real Estate Outlook: Spring 2017</w:t>
      </w:r>
      <w:r w:rsidRPr="003A34D8">
        <w:rPr>
          <w:kern w:val="17"/>
          <w:lang w:val="en-GB"/>
        </w:rPr>
        <w:t>, accessed March 8, 2018, www.manulifeam.com/ca/Research-and-Insights/Market-Views-And-Insights/Canadian-Commercial-Real-Estate-Outlook-Spring-2017</w:t>
      </w:r>
      <w:r w:rsidRPr="00025694">
        <w:rPr>
          <w:spacing w:val="-2"/>
          <w:lang w:val="en-GB"/>
        </w:rPr>
        <w:t>/.</w:t>
      </w:r>
    </w:p>
  </w:footnote>
  <w:footnote w:id="13">
    <w:p w14:paraId="1DD5AC2B" w14:textId="09BBB7FB" w:rsidR="0081026D" w:rsidRPr="00025694" w:rsidRDefault="0081026D" w:rsidP="00594E78">
      <w:pPr>
        <w:pStyle w:val="Footnote"/>
        <w:rPr>
          <w:spacing w:val="-4"/>
          <w:lang w:val="en-GB"/>
        </w:rPr>
      </w:pPr>
      <w:r w:rsidRPr="00025694">
        <w:rPr>
          <w:rStyle w:val="FootnoteReference"/>
          <w:spacing w:val="-4"/>
          <w:lang w:val="en-GB"/>
        </w:rPr>
        <w:footnoteRef/>
      </w:r>
      <w:r w:rsidRPr="00025694">
        <w:rPr>
          <w:spacing w:val="-4"/>
          <w:lang w:val="en-GB"/>
        </w:rPr>
        <w:t xml:space="preserve"> Services Section, Procurement Services,</w:t>
      </w:r>
      <w:r w:rsidR="00E33FA4" w:rsidRPr="00025694">
        <w:rPr>
          <w:spacing w:val="-4"/>
          <w:lang w:val="en-GB"/>
        </w:rPr>
        <w:t xml:space="preserve"> </w:t>
      </w:r>
      <w:r w:rsidRPr="00025694">
        <w:rPr>
          <w:spacing w:val="-4"/>
          <w:lang w:val="en-GB"/>
        </w:rPr>
        <w:t>Service Alberta</w:t>
      </w:r>
      <w:r w:rsidRPr="00025694">
        <w:rPr>
          <w:i/>
          <w:spacing w:val="-4"/>
          <w:lang w:val="en-GB"/>
        </w:rPr>
        <w:t>, Fixed Price Systems Development Request for Proposals (RFP) Template</w:t>
      </w:r>
      <w:r w:rsidRPr="00025694">
        <w:rPr>
          <w:spacing w:val="-4"/>
          <w:lang w:val="en-GB"/>
        </w:rPr>
        <w:t xml:space="preserve">, January 28, 2015, accessed April 4, 2018, </w:t>
      </w:r>
      <w:proofErr w:type="gramStart"/>
      <w:r w:rsidRPr="00025694">
        <w:rPr>
          <w:spacing w:val="-4"/>
          <w:lang w:val="en-GB"/>
        </w:rPr>
        <w:t>www.servicealberta.gov.ab.ca</w:t>
      </w:r>
      <w:proofErr w:type="gramEnd"/>
      <w:r w:rsidRPr="00025694">
        <w:rPr>
          <w:spacing w:val="-4"/>
          <w:lang w:val="en-GB"/>
        </w:rPr>
        <w:t>/pdf/buy_sell/FixedPriceRFPTemplate.pdf.</w:t>
      </w:r>
    </w:p>
  </w:footnote>
  <w:footnote w:id="14">
    <w:p w14:paraId="4ABE7CAF" w14:textId="134FA5A7" w:rsidR="0081026D" w:rsidRPr="00321957" w:rsidRDefault="0081026D" w:rsidP="00594E78">
      <w:pPr>
        <w:pStyle w:val="Footnote"/>
        <w:rPr>
          <w:lang w:val="en-GB"/>
        </w:rPr>
      </w:pPr>
      <w:r w:rsidRPr="00C55AB4">
        <w:rPr>
          <w:rStyle w:val="FootnoteReference"/>
          <w:spacing w:val="-2"/>
          <w:kern w:val="17"/>
          <w:lang w:val="en-GB"/>
        </w:rPr>
        <w:footnoteRef/>
      </w:r>
      <w:r w:rsidRPr="00C55AB4">
        <w:rPr>
          <w:spacing w:val="-2"/>
          <w:kern w:val="17"/>
          <w:lang w:val="en-GB"/>
        </w:rPr>
        <w:t xml:space="preserve"> Mentor Engineering, </w:t>
      </w:r>
      <w:r w:rsidR="00B71DBE" w:rsidRPr="00C55AB4">
        <w:rPr>
          <w:spacing w:val="-2"/>
          <w:kern w:val="17"/>
          <w:lang w:val="en-GB"/>
        </w:rPr>
        <w:t>“</w:t>
      </w:r>
      <w:r w:rsidR="004A0AB8" w:rsidRPr="00C55AB4">
        <w:rPr>
          <w:spacing w:val="-2"/>
          <w:kern w:val="17"/>
          <w:lang w:val="en-GB"/>
        </w:rPr>
        <w:t xml:space="preserve">Case Study: </w:t>
      </w:r>
      <w:r w:rsidRPr="00C55AB4">
        <w:rPr>
          <w:spacing w:val="-2"/>
          <w:kern w:val="17"/>
          <w:lang w:val="en-GB"/>
        </w:rPr>
        <w:t>Keystone Excavating</w:t>
      </w:r>
      <w:r w:rsidR="004A0AB8" w:rsidRPr="00C55AB4">
        <w:rPr>
          <w:spacing w:val="-2"/>
          <w:kern w:val="17"/>
          <w:lang w:val="en-GB"/>
        </w:rPr>
        <w:t xml:space="preserve"> </w:t>
      </w:r>
      <w:r w:rsidR="00E33FA4">
        <w:rPr>
          <w:spacing w:val="-2"/>
          <w:kern w:val="17"/>
          <w:lang w:val="en-GB"/>
        </w:rPr>
        <w:t>G</w:t>
      </w:r>
      <w:r w:rsidR="004A0AB8" w:rsidRPr="00C55AB4">
        <w:rPr>
          <w:spacing w:val="-2"/>
          <w:kern w:val="17"/>
          <w:lang w:val="en-GB"/>
        </w:rPr>
        <w:t xml:space="preserve">oes </w:t>
      </w:r>
      <w:r w:rsidR="00E33FA4">
        <w:rPr>
          <w:spacing w:val="-2"/>
          <w:kern w:val="17"/>
          <w:lang w:val="en-GB"/>
        </w:rPr>
        <w:t>R</w:t>
      </w:r>
      <w:r w:rsidR="004A0AB8" w:rsidRPr="00C55AB4">
        <w:rPr>
          <w:spacing w:val="-2"/>
          <w:kern w:val="17"/>
          <w:lang w:val="en-GB"/>
        </w:rPr>
        <w:t xml:space="preserve">eal </w:t>
      </w:r>
      <w:r w:rsidR="00E33FA4">
        <w:rPr>
          <w:spacing w:val="-2"/>
          <w:kern w:val="17"/>
          <w:lang w:val="en-GB"/>
        </w:rPr>
        <w:t>T</w:t>
      </w:r>
      <w:r w:rsidR="004A0AB8" w:rsidRPr="00C55AB4">
        <w:rPr>
          <w:spacing w:val="-2"/>
          <w:kern w:val="17"/>
          <w:lang w:val="en-GB"/>
        </w:rPr>
        <w:t xml:space="preserve">ime with a </w:t>
      </w:r>
      <w:r w:rsidR="00E33FA4">
        <w:rPr>
          <w:spacing w:val="-2"/>
          <w:kern w:val="17"/>
          <w:lang w:val="en-GB"/>
        </w:rPr>
        <w:t>M</w:t>
      </w:r>
      <w:r w:rsidR="004A0AB8" w:rsidRPr="00C55AB4">
        <w:rPr>
          <w:spacing w:val="-2"/>
          <w:kern w:val="17"/>
          <w:lang w:val="en-GB"/>
        </w:rPr>
        <w:t xml:space="preserve">obile </w:t>
      </w:r>
      <w:r w:rsidR="00E33FA4">
        <w:rPr>
          <w:spacing w:val="-2"/>
          <w:kern w:val="17"/>
          <w:lang w:val="en-GB"/>
        </w:rPr>
        <w:t>W</w:t>
      </w:r>
      <w:r w:rsidR="004A0AB8" w:rsidRPr="00C55AB4">
        <w:rPr>
          <w:spacing w:val="-2"/>
          <w:kern w:val="17"/>
          <w:lang w:val="en-GB"/>
        </w:rPr>
        <w:t xml:space="preserve">orkforce </w:t>
      </w:r>
      <w:r w:rsidR="00E33FA4">
        <w:rPr>
          <w:spacing w:val="-2"/>
          <w:kern w:val="17"/>
          <w:lang w:val="en-GB"/>
        </w:rPr>
        <w:t>M</w:t>
      </w:r>
      <w:r w:rsidR="004A0AB8" w:rsidRPr="00C55AB4">
        <w:rPr>
          <w:spacing w:val="-2"/>
          <w:kern w:val="17"/>
          <w:lang w:val="en-GB"/>
        </w:rPr>
        <w:t xml:space="preserve">anagement </w:t>
      </w:r>
      <w:r w:rsidR="00E33FA4">
        <w:rPr>
          <w:spacing w:val="-2"/>
          <w:kern w:val="17"/>
          <w:lang w:val="en-GB"/>
        </w:rPr>
        <w:t>S</w:t>
      </w:r>
      <w:r w:rsidR="004A0AB8" w:rsidRPr="00C55AB4">
        <w:rPr>
          <w:spacing w:val="-2"/>
          <w:kern w:val="17"/>
          <w:lang w:val="en-GB"/>
        </w:rPr>
        <w:t>olution</w:t>
      </w:r>
      <w:r w:rsidR="00E33FA4">
        <w:rPr>
          <w:spacing w:val="-2"/>
          <w:kern w:val="17"/>
          <w:lang w:val="en-GB"/>
        </w:rPr>
        <w:t>,</w:t>
      </w:r>
      <w:r w:rsidR="00B71DBE" w:rsidRPr="00C55AB4">
        <w:rPr>
          <w:spacing w:val="-2"/>
          <w:kern w:val="17"/>
          <w:lang w:val="en-GB"/>
        </w:rPr>
        <w:t>”</w:t>
      </w:r>
      <w:r w:rsidRPr="00C55AB4">
        <w:rPr>
          <w:spacing w:val="-2"/>
          <w:kern w:val="17"/>
          <w:lang w:val="en-GB"/>
        </w:rPr>
        <w:t xml:space="preserve"> </w:t>
      </w:r>
      <w:r w:rsidR="00E33FA4">
        <w:rPr>
          <w:spacing w:val="-2"/>
          <w:kern w:val="17"/>
          <w:lang w:val="en-GB"/>
        </w:rPr>
        <w:t xml:space="preserve">Field Technologies Online, </w:t>
      </w:r>
      <w:r w:rsidRPr="00C55AB4">
        <w:rPr>
          <w:spacing w:val="-2"/>
          <w:kern w:val="17"/>
          <w:lang w:val="en-GB"/>
        </w:rPr>
        <w:t xml:space="preserve">accessed </w:t>
      </w:r>
      <w:r w:rsidR="004A0AB8" w:rsidRPr="00C55AB4">
        <w:rPr>
          <w:spacing w:val="-2"/>
          <w:kern w:val="17"/>
          <w:lang w:val="en-GB"/>
        </w:rPr>
        <w:t>September 13</w:t>
      </w:r>
      <w:r w:rsidRPr="00C55AB4">
        <w:rPr>
          <w:spacing w:val="-2"/>
          <w:kern w:val="17"/>
          <w:lang w:val="en-GB"/>
        </w:rPr>
        <w:t xml:space="preserve">, 2018, </w:t>
      </w:r>
      <w:r w:rsidR="004A0AB8" w:rsidRPr="00C55AB4">
        <w:rPr>
          <w:spacing w:val="-2"/>
          <w:kern w:val="17"/>
          <w:lang w:val="en-GB"/>
        </w:rPr>
        <w:t>https://www.fieldtechnologiesonline.com/doc/keystone-excavating-goes-real-time-with-a-0001</w:t>
      </w:r>
      <w:r>
        <w:rPr>
          <w:lang w:val="en-GB"/>
        </w:rPr>
        <w:t>.</w:t>
      </w:r>
      <w:r w:rsidRPr="00321957">
        <w:rPr>
          <w:lang w:val="en-GB"/>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2088D3B2" w:rsidR="0081026D" w:rsidRPr="00C92CC4" w:rsidRDefault="0081026D"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27916">
      <w:rPr>
        <w:rFonts w:ascii="Arial" w:hAnsi="Arial"/>
        <w:b/>
        <w:noProof/>
      </w:rPr>
      <w:t>8</w:t>
    </w:r>
    <w:r>
      <w:rPr>
        <w:rFonts w:ascii="Arial" w:hAnsi="Arial"/>
        <w:b/>
      </w:rPr>
      <w:fldChar w:fldCharType="end"/>
    </w:r>
    <w:r>
      <w:rPr>
        <w:rFonts w:ascii="Arial" w:hAnsi="Arial"/>
        <w:b/>
      </w:rPr>
      <w:tab/>
    </w:r>
    <w:r w:rsidR="00C61F4B">
      <w:rPr>
        <w:rFonts w:ascii="Arial" w:hAnsi="Arial"/>
        <w:b/>
      </w:rPr>
      <w:t>9B18M158</w:t>
    </w:r>
  </w:p>
  <w:p w14:paraId="2B53C0A0" w14:textId="77777777" w:rsidR="0081026D" w:rsidRDefault="0081026D" w:rsidP="00D13667">
    <w:pPr>
      <w:pStyle w:val="Header"/>
      <w:tabs>
        <w:tab w:val="clear" w:pos="4680"/>
      </w:tabs>
      <w:rPr>
        <w:sz w:val="18"/>
        <w:szCs w:val="18"/>
      </w:rPr>
    </w:pPr>
  </w:p>
  <w:p w14:paraId="47119730" w14:textId="77777777" w:rsidR="0081026D" w:rsidRPr="00C92CC4" w:rsidRDefault="0081026D" w:rsidP="00D13667">
    <w:pPr>
      <w:pStyle w:val="Header"/>
      <w:tabs>
        <w:tab w:val="clear" w:pos="468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678D41" w14:textId="2198F9DB" w:rsidR="001059F3" w:rsidRPr="00C92CC4" w:rsidRDefault="001059F3" w:rsidP="001059F3">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27916">
      <w:rPr>
        <w:rFonts w:ascii="Arial" w:hAnsi="Arial"/>
        <w:b/>
        <w:noProof/>
      </w:rPr>
      <w:t>9</w:t>
    </w:r>
    <w:r>
      <w:rPr>
        <w:rFonts w:ascii="Arial" w:hAnsi="Arial"/>
        <w:b/>
      </w:rPr>
      <w:fldChar w:fldCharType="end"/>
    </w:r>
    <w:r>
      <w:rPr>
        <w:rFonts w:ascii="Arial" w:hAnsi="Arial"/>
        <w:b/>
      </w:rPr>
      <w:tab/>
    </w:r>
    <w:r w:rsidR="005A31E0">
      <w:rPr>
        <w:rFonts w:ascii="Arial" w:hAnsi="Arial"/>
        <w:b/>
      </w:rPr>
      <w:tab/>
    </w:r>
    <w:r w:rsidR="005A31E0">
      <w:rPr>
        <w:rFonts w:ascii="Arial" w:hAnsi="Arial"/>
        <w:b/>
      </w:rPr>
      <w:tab/>
    </w:r>
    <w:r w:rsidR="005A31E0">
      <w:rPr>
        <w:rFonts w:ascii="Arial" w:hAnsi="Arial"/>
        <w:b/>
      </w:rPr>
      <w:tab/>
    </w:r>
    <w:r w:rsidR="005A31E0">
      <w:rPr>
        <w:rFonts w:ascii="Arial" w:hAnsi="Arial"/>
        <w:b/>
      </w:rPr>
      <w:tab/>
      <w:t xml:space="preserve"> 9B18M158</w:t>
    </w:r>
  </w:p>
  <w:p w14:paraId="3EA2CAE8" w14:textId="77777777" w:rsidR="001059F3" w:rsidRDefault="001059F3" w:rsidP="001059F3">
    <w:pPr>
      <w:pStyle w:val="Header"/>
      <w:tabs>
        <w:tab w:val="clear" w:pos="4680"/>
      </w:tabs>
      <w:rPr>
        <w:sz w:val="18"/>
        <w:szCs w:val="18"/>
      </w:rPr>
    </w:pPr>
  </w:p>
  <w:p w14:paraId="064F0D63" w14:textId="77777777" w:rsidR="001059F3" w:rsidRDefault="001059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51C1F08"/>
    <w:multiLevelType w:val="multilevel"/>
    <w:tmpl w:val="7D28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15E10DD"/>
    <w:multiLevelType w:val="hybridMultilevel"/>
    <w:tmpl w:val="36B8C302"/>
    <w:lvl w:ilvl="0" w:tplc="5E1847A0">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4"/>
  </w:num>
  <w:num w:numId="3">
    <w:abstractNumId w:val="2"/>
  </w:num>
  <w:num w:numId="4">
    <w:abstractNumId w:val="7"/>
  </w:num>
  <w:num w:numId="5">
    <w:abstractNumId w:val="3"/>
  </w:num>
  <w:num w:numId="6">
    <w:abstractNumId w:val="6"/>
  </w:num>
  <w:num w:numId="7">
    <w:abstractNumId w:val="0"/>
  </w:num>
  <w:num w:numId="8">
    <w:abstractNumId w:val="1"/>
  </w:num>
  <w:num w:numId="9">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3412"/>
    <w:rsid w:val="00004536"/>
    <w:rsid w:val="00004E04"/>
    <w:rsid w:val="00013360"/>
    <w:rsid w:val="000147E4"/>
    <w:rsid w:val="00014D16"/>
    <w:rsid w:val="00016759"/>
    <w:rsid w:val="000216CE"/>
    <w:rsid w:val="00024ED4"/>
    <w:rsid w:val="00025694"/>
    <w:rsid w:val="00025DC7"/>
    <w:rsid w:val="00035F09"/>
    <w:rsid w:val="0004188F"/>
    <w:rsid w:val="00042E14"/>
    <w:rsid w:val="00044ECC"/>
    <w:rsid w:val="000531D3"/>
    <w:rsid w:val="0005646B"/>
    <w:rsid w:val="000607A4"/>
    <w:rsid w:val="0008102D"/>
    <w:rsid w:val="00086B26"/>
    <w:rsid w:val="00087D23"/>
    <w:rsid w:val="0009191B"/>
    <w:rsid w:val="00094C0E"/>
    <w:rsid w:val="000A146D"/>
    <w:rsid w:val="000A4D4C"/>
    <w:rsid w:val="000B0179"/>
    <w:rsid w:val="000C44EA"/>
    <w:rsid w:val="000D2A2F"/>
    <w:rsid w:val="000D7091"/>
    <w:rsid w:val="000F0C22"/>
    <w:rsid w:val="000F0E87"/>
    <w:rsid w:val="000F6B09"/>
    <w:rsid w:val="000F6FDC"/>
    <w:rsid w:val="00104567"/>
    <w:rsid w:val="00104916"/>
    <w:rsid w:val="00104AA7"/>
    <w:rsid w:val="001059F3"/>
    <w:rsid w:val="00106957"/>
    <w:rsid w:val="00112AEB"/>
    <w:rsid w:val="0012732D"/>
    <w:rsid w:val="001276E8"/>
    <w:rsid w:val="001436AD"/>
    <w:rsid w:val="00143F25"/>
    <w:rsid w:val="00152682"/>
    <w:rsid w:val="00154FC9"/>
    <w:rsid w:val="00155308"/>
    <w:rsid w:val="0017389A"/>
    <w:rsid w:val="00190DFA"/>
    <w:rsid w:val="0019241A"/>
    <w:rsid w:val="00192A18"/>
    <w:rsid w:val="00194A70"/>
    <w:rsid w:val="001A05EC"/>
    <w:rsid w:val="001A22D1"/>
    <w:rsid w:val="001A3905"/>
    <w:rsid w:val="001A752D"/>
    <w:rsid w:val="001A757E"/>
    <w:rsid w:val="001B5032"/>
    <w:rsid w:val="001B62F5"/>
    <w:rsid w:val="001C2D0A"/>
    <w:rsid w:val="001C7777"/>
    <w:rsid w:val="001D344B"/>
    <w:rsid w:val="001E364F"/>
    <w:rsid w:val="001F4222"/>
    <w:rsid w:val="001F7288"/>
    <w:rsid w:val="00203AA1"/>
    <w:rsid w:val="00213E98"/>
    <w:rsid w:val="002230EB"/>
    <w:rsid w:val="002300B8"/>
    <w:rsid w:val="00230150"/>
    <w:rsid w:val="00230489"/>
    <w:rsid w:val="0023081A"/>
    <w:rsid w:val="00233111"/>
    <w:rsid w:val="002469A8"/>
    <w:rsid w:val="00247492"/>
    <w:rsid w:val="0025226D"/>
    <w:rsid w:val="00252EE4"/>
    <w:rsid w:val="00256905"/>
    <w:rsid w:val="002577AD"/>
    <w:rsid w:val="00265FA8"/>
    <w:rsid w:val="00286BDF"/>
    <w:rsid w:val="002975B0"/>
    <w:rsid w:val="002A3857"/>
    <w:rsid w:val="002A6D3A"/>
    <w:rsid w:val="002B40D9"/>
    <w:rsid w:val="002C080C"/>
    <w:rsid w:val="002C4B80"/>
    <w:rsid w:val="002C4E29"/>
    <w:rsid w:val="002C70D5"/>
    <w:rsid w:val="002E6AFF"/>
    <w:rsid w:val="002F460C"/>
    <w:rsid w:val="002F48D6"/>
    <w:rsid w:val="00317391"/>
    <w:rsid w:val="00321957"/>
    <w:rsid w:val="00324404"/>
    <w:rsid w:val="00326216"/>
    <w:rsid w:val="00336580"/>
    <w:rsid w:val="00346F11"/>
    <w:rsid w:val="00354899"/>
    <w:rsid w:val="0035521C"/>
    <w:rsid w:val="00355FD6"/>
    <w:rsid w:val="00364A5C"/>
    <w:rsid w:val="00371D6F"/>
    <w:rsid w:val="00373D92"/>
    <w:rsid w:val="00373FB1"/>
    <w:rsid w:val="00382ADD"/>
    <w:rsid w:val="003860FF"/>
    <w:rsid w:val="00393602"/>
    <w:rsid w:val="00396C76"/>
    <w:rsid w:val="00397DE2"/>
    <w:rsid w:val="003A34D8"/>
    <w:rsid w:val="003A3FA6"/>
    <w:rsid w:val="003A41A0"/>
    <w:rsid w:val="003B30D8"/>
    <w:rsid w:val="003B7EF2"/>
    <w:rsid w:val="003C3FA4"/>
    <w:rsid w:val="003D0BA1"/>
    <w:rsid w:val="003D7045"/>
    <w:rsid w:val="003F2B0C"/>
    <w:rsid w:val="003F552E"/>
    <w:rsid w:val="004105B2"/>
    <w:rsid w:val="0041145A"/>
    <w:rsid w:val="00412900"/>
    <w:rsid w:val="004221E4"/>
    <w:rsid w:val="004273F8"/>
    <w:rsid w:val="004328BD"/>
    <w:rsid w:val="004355A3"/>
    <w:rsid w:val="004356AA"/>
    <w:rsid w:val="00442E25"/>
    <w:rsid w:val="00446546"/>
    <w:rsid w:val="00452769"/>
    <w:rsid w:val="00452ABF"/>
    <w:rsid w:val="00454FA7"/>
    <w:rsid w:val="0046237E"/>
    <w:rsid w:val="00462E0A"/>
    <w:rsid w:val="00465348"/>
    <w:rsid w:val="00470FE3"/>
    <w:rsid w:val="004979A5"/>
    <w:rsid w:val="004A084D"/>
    <w:rsid w:val="004A0AB8"/>
    <w:rsid w:val="004A25E0"/>
    <w:rsid w:val="004B1CCB"/>
    <w:rsid w:val="004B5149"/>
    <w:rsid w:val="004B632F"/>
    <w:rsid w:val="004D06CD"/>
    <w:rsid w:val="004D3F89"/>
    <w:rsid w:val="004D3FB1"/>
    <w:rsid w:val="004D6F21"/>
    <w:rsid w:val="004D73A5"/>
    <w:rsid w:val="004E1546"/>
    <w:rsid w:val="004E3AD1"/>
    <w:rsid w:val="004E5869"/>
    <w:rsid w:val="00506398"/>
    <w:rsid w:val="005160F1"/>
    <w:rsid w:val="00516844"/>
    <w:rsid w:val="00524F2F"/>
    <w:rsid w:val="00527E5C"/>
    <w:rsid w:val="00532CF5"/>
    <w:rsid w:val="00533E65"/>
    <w:rsid w:val="00544397"/>
    <w:rsid w:val="005528CB"/>
    <w:rsid w:val="00566771"/>
    <w:rsid w:val="00581E2E"/>
    <w:rsid w:val="00584F15"/>
    <w:rsid w:val="00591F50"/>
    <w:rsid w:val="00592DB0"/>
    <w:rsid w:val="00594E78"/>
    <w:rsid w:val="0059514B"/>
    <w:rsid w:val="005A1B0F"/>
    <w:rsid w:val="005A31E0"/>
    <w:rsid w:val="005B352F"/>
    <w:rsid w:val="005B5EFE"/>
    <w:rsid w:val="005B6A8A"/>
    <w:rsid w:val="005C43B0"/>
    <w:rsid w:val="005E0E9D"/>
    <w:rsid w:val="005E31F6"/>
    <w:rsid w:val="006163F7"/>
    <w:rsid w:val="00627C63"/>
    <w:rsid w:val="00627F2B"/>
    <w:rsid w:val="0063350B"/>
    <w:rsid w:val="00652606"/>
    <w:rsid w:val="00655759"/>
    <w:rsid w:val="006641C1"/>
    <w:rsid w:val="00666678"/>
    <w:rsid w:val="00684143"/>
    <w:rsid w:val="00687BEC"/>
    <w:rsid w:val="006946EE"/>
    <w:rsid w:val="006A58A9"/>
    <w:rsid w:val="006A606D"/>
    <w:rsid w:val="006C0371"/>
    <w:rsid w:val="006C08B6"/>
    <w:rsid w:val="006C0B1A"/>
    <w:rsid w:val="006C6065"/>
    <w:rsid w:val="006C6CE3"/>
    <w:rsid w:val="006C796A"/>
    <w:rsid w:val="006C7F9F"/>
    <w:rsid w:val="006D1FF8"/>
    <w:rsid w:val="006D7C83"/>
    <w:rsid w:val="006E2F6D"/>
    <w:rsid w:val="006E58F6"/>
    <w:rsid w:val="006E77E1"/>
    <w:rsid w:val="006F131D"/>
    <w:rsid w:val="006F7993"/>
    <w:rsid w:val="00711642"/>
    <w:rsid w:val="00714E31"/>
    <w:rsid w:val="00741248"/>
    <w:rsid w:val="00744C77"/>
    <w:rsid w:val="007507C6"/>
    <w:rsid w:val="00751E0B"/>
    <w:rsid w:val="00752BCD"/>
    <w:rsid w:val="007638C3"/>
    <w:rsid w:val="00766DA1"/>
    <w:rsid w:val="00767E65"/>
    <w:rsid w:val="00780D94"/>
    <w:rsid w:val="007866A6"/>
    <w:rsid w:val="00786A5A"/>
    <w:rsid w:val="007925FD"/>
    <w:rsid w:val="007A130D"/>
    <w:rsid w:val="007D1A2D"/>
    <w:rsid w:val="007D4102"/>
    <w:rsid w:val="007E16E5"/>
    <w:rsid w:val="007E2E57"/>
    <w:rsid w:val="007E54A7"/>
    <w:rsid w:val="007F43B7"/>
    <w:rsid w:val="007F6217"/>
    <w:rsid w:val="0081026D"/>
    <w:rsid w:val="00821FFC"/>
    <w:rsid w:val="00825FEE"/>
    <w:rsid w:val="008271CA"/>
    <w:rsid w:val="00837B56"/>
    <w:rsid w:val="008467D5"/>
    <w:rsid w:val="00857F51"/>
    <w:rsid w:val="008763DC"/>
    <w:rsid w:val="008A4DC4"/>
    <w:rsid w:val="008B2299"/>
    <w:rsid w:val="008B438C"/>
    <w:rsid w:val="008C7156"/>
    <w:rsid w:val="008D06CA"/>
    <w:rsid w:val="008D3A46"/>
    <w:rsid w:val="008E08F2"/>
    <w:rsid w:val="008E6AD6"/>
    <w:rsid w:val="008F1C1D"/>
    <w:rsid w:val="008F2385"/>
    <w:rsid w:val="009067A4"/>
    <w:rsid w:val="00907550"/>
    <w:rsid w:val="00920DBD"/>
    <w:rsid w:val="00924803"/>
    <w:rsid w:val="009265D4"/>
    <w:rsid w:val="00930885"/>
    <w:rsid w:val="00933D68"/>
    <w:rsid w:val="009340DB"/>
    <w:rsid w:val="0094618C"/>
    <w:rsid w:val="0095684B"/>
    <w:rsid w:val="00972498"/>
    <w:rsid w:val="00974421"/>
    <w:rsid w:val="0097481F"/>
    <w:rsid w:val="00974CC6"/>
    <w:rsid w:val="00976AD4"/>
    <w:rsid w:val="00982582"/>
    <w:rsid w:val="00990AD9"/>
    <w:rsid w:val="00995547"/>
    <w:rsid w:val="009A107B"/>
    <w:rsid w:val="009A170A"/>
    <w:rsid w:val="009A312F"/>
    <w:rsid w:val="009A4297"/>
    <w:rsid w:val="009A5348"/>
    <w:rsid w:val="009A7810"/>
    <w:rsid w:val="009B0AB7"/>
    <w:rsid w:val="009C76D5"/>
    <w:rsid w:val="009F1593"/>
    <w:rsid w:val="009F7AA4"/>
    <w:rsid w:val="00A03C72"/>
    <w:rsid w:val="00A069FA"/>
    <w:rsid w:val="00A10AD7"/>
    <w:rsid w:val="00A13485"/>
    <w:rsid w:val="00A14633"/>
    <w:rsid w:val="00A21EDF"/>
    <w:rsid w:val="00A225AA"/>
    <w:rsid w:val="00A27916"/>
    <w:rsid w:val="00A30503"/>
    <w:rsid w:val="00A33FEA"/>
    <w:rsid w:val="00A421EA"/>
    <w:rsid w:val="00A428DF"/>
    <w:rsid w:val="00A559DB"/>
    <w:rsid w:val="00A569EA"/>
    <w:rsid w:val="00A56BFD"/>
    <w:rsid w:val="00A676A0"/>
    <w:rsid w:val="00A71021"/>
    <w:rsid w:val="00A970EA"/>
    <w:rsid w:val="00AA2EBB"/>
    <w:rsid w:val="00AC68A9"/>
    <w:rsid w:val="00AD0C32"/>
    <w:rsid w:val="00AE6515"/>
    <w:rsid w:val="00AF30DB"/>
    <w:rsid w:val="00AF35FC"/>
    <w:rsid w:val="00AF5556"/>
    <w:rsid w:val="00B03639"/>
    <w:rsid w:val="00B0652A"/>
    <w:rsid w:val="00B1596A"/>
    <w:rsid w:val="00B17CEE"/>
    <w:rsid w:val="00B2633F"/>
    <w:rsid w:val="00B40937"/>
    <w:rsid w:val="00B423EF"/>
    <w:rsid w:val="00B453DE"/>
    <w:rsid w:val="00B62497"/>
    <w:rsid w:val="00B63920"/>
    <w:rsid w:val="00B71DBE"/>
    <w:rsid w:val="00B72597"/>
    <w:rsid w:val="00B84F91"/>
    <w:rsid w:val="00B87DC0"/>
    <w:rsid w:val="00B901F9"/>
    <w:rsid w:val="00BA02B6"/>
    <w:rsid w:val="00BA0BE2"/>
    <w:rsid w:val="00BC33B5"/>
    <w:rsid w:val="00BC4D98"/>
    <w:rsid w:val="00BC53F7"/>
    <w:rsid w:val="00BD6EFB"/>
    <w:rsid w:val="00BE3DF5"/>
    <w:rsid w:val="00BE546A"/>
    <w:rsid w:val="00BF5EAB"/>
    <w:rsid w:val="00C02215"/>
    <w:rsid w:val="00C02410"/>
    <w:rsid w:val="00C1584D"/>
    <w:rsid w:val="00C15BE2"/>
    <w:rsid w:val="00C27151"/>
    <w:rsid w:val="00C27649"/>
    <w:rsid w:val="00C3447F"/>
    <w:rsid w:val="00C44714"/>
    <w:rsid w:val="00C55AB4"/>
    <w:rsid w:val="00C56A0E"/>
    <w:rsid w:val="00C61F4B"/>
    <w:rsid w:val="00C67102"/>
    <w:rsid w:val="00C67CC7"/>
    <w:rsid w:val="00C81491"/>
    <w:rsid w:val="00C81676"/>
    <w:rsid w:val="00C85C5D"/>
    <w:rsid w:val="00C92CC4"/>
    <w:rsid w:val="00C93BAD"/>
    <w:rsid w:val="00CA08A8"/>
    <w:rsid w:val="00CA0AFB"/>
    <w:rsid w:val="00CA2CE1"/>
    <w:rsid w:val="00CA3976"/>
    <w:rsid w:val="00CA50E3"/>
    <w:rsid w:val="00CA757B"/>
    <w:rsid w:val="00CB1A85"/>
    <w:rsid w:val="00CC1787"/>
    <w:rsid w:val="00CC182C"/>
    <w:rsid w:val="00CD0824"/>
    <w:rsid w:val="00CD1400"/>
    <w:rsid w:val="00CD2908"/>
    <w:rsid w:val="00CF5760"/>
    <w:rsid w:val="00D03A82"/>
    <w:rsid w:val="00D13667"/>
    <w:rsid w:val="00D15344"/>
    <w:rsid w:val="00D23F57"/>
    <w:rsid w:val="00D26651"/>
    <w:rsid w:val="00D31BEC"/>
    <w:rsid w:val="00D40580"/>
    <w:rsid w:val="00D63150"/>
    <w:rsid w:val="00D636BA"/>
    <w:rsid w:val="00D64A32"/>
    <w:rsid w:val="00D64EFC"/>
    <w:rsid w:val="00D7442F"/>
    <w:rsid w:val="00D75295"/>
    <w:rsid w:val="00D76CE9"/>
    <w:rsid w:val="00D97F12"/>
    <w:rsid w:val="00DA6095"/>
    <w:rsid w:val="00DB08F3"/>
    <w:rsid w:val="00DB42E7"/>
    <w:rsid w:val="00DB5FE0"/>
    <w:rsid w:val="00DB7D46"/>
    <w:rsid w:val="00DC09D8"/>
    <w:rsid w:val="00DE01A6"/>
    <w:rsid w:val="00DE7A98"/>
    <w:rsid w:val="00DF32C2"/>
    <w:rsid w:val="00DF6D25"/>
    <w:rsid w:val="00E02586"/>
    <w:rsid w:val="00E26A58"/>
    <w:rsid w:val="00E33FA4"/>
    <w:rsid w:val="00E340DF"/>
    <w:rsid w:val="00E44785"/>
    <w:rsid w:val="00E471A7"/>
    <w:rsid w:val="00E62BB2"/>
    <w:rsid w:val="00E635CF"/>
    <w:rsid w:val="00E97B3A"/>
    <w:rsid w:val="00EB1E3B"/>
    <w:rsid w:val="00EC022E"/>
    <w:rsid w:val="00EC6E0A"/>
    <w:rsid w:val="00ED4E18"/>
    <w:rsid w:val="00ED7922"/>
    <w:rsid w:val="00EE02C4"/>
    <w:rsid w:val="00EE1F37"/>
    <w:rsid w:val="00EF14DB"/>
    <w:rsid w:val="00EF3562"/>
    <w:rsid w:val="00F0159C"/>
    <w:rsid w:val="00F02645"/>
    <w:rsid w:val="00F105B7"/>
    <w:rsid w:val="00F13220"/>
    <w:rsid w:val="00F17A21"/>
    <w:rsid w:val="00F31F26"/>
    <w:rsid w:val="00F36257"/>
    <w:rsid w:val="00F37B27"/>
    <w:rsid w:val="00F4563F"/>
    <w:rsid w:val="00F46556"/>
    <w:rsid w:val="00F50E91"/>
    <w:rsid w:val="00F57D29"/>
    <w:rsid w:val="00F60786"/>
    <w:rsid w:val="00F8486B"/>
    <w:rsid w:val="00F91BC7"/>
    <w:rsid w:val="00F96201"/>
    <w:rsid w:val="00FA1BBC"/>
    <w:rsid w:val="00FA4112"/>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customStyle="1" w:styleId="p1">
    <w:name w:val="p1"/>
    <w:basedOn w:val="Normal"/>
    <w:rsid w:val="00112AEB"/>
    <w:pPr>
      <w:spacing w:before="2" w:after="2"/>
    </w:pPr>
    <w:rPr>
      <w:rFonts w:ascii="Times" w:eastAsiaTheme="minorHAnsi" w:hAnsi="Times"/>
      <w:sz w:val="21"/>
      <w:szCs w:val="21"/>
    </w:rPr>
  </w:style>
  <w:style w:type="paragraph" w:customStyle="1" w:styleId="p2">
    <w:name w:val="p2"/>
    <w:basedOn w:val="Normal"/>
    <w:rsid w:val="00112AEB"/>
    <w:pPr>
      <w:spacing w:before="2" w:after="2"/>
    </w:pPr>
    <w:rPr>
      <w:rFonts w:ascii="Times" w:eastAsiaTheme="minorHAnsi" w:hAnsi="Times"/>
      <w:sz w:val="21"/>
      <w:szCs w:val="21"/>
    </w:rPr>
  </w:style>
  <w:style w:type="paragraph" w:customStyle="1" w:styleId="p3">
    <w:name w:val="p3"/>
    <w:basedOn w:val="Normal"/>
    <w:rsid w:val="00112AEB"/>
    <w:pPr>
      <w:spacing w:before="2" w:after="2"/>
    </w:pPr>
    <w:rPr>
      <w:rFonts w:ascii="Times" w:eastAsiaTheme="minorHAnsi" w:hAnsi="Times"/>
      <w:sz w:val="17"/>
      <w:szCs w:val="17"/>
    </w:rPr>
  </w:style>
  <w:style w:type="paragraph" w:customStyle="1" w:styleId="p4">
    <w:name w:val="p4"/>
    <w:basedOn w:val="Normal"/>
    <w:rsid w:val="00112AEB"/>
    <w:pPr>
      <w:spacing w:before="2" w:after="2"/>
    </w:pPr>
    <w:rPr>
      <w:rFonts w:ascii="Times" w:eastAsiaTheme="minorHAnsi" w:hAnsi="Times"/>
      <w:sz w:val="17"/>
      <w:szCs w:val="17"/>
    </w:rPr>
  </w:style>
  <w:style w:type="character" w:customStyle="1" w:styleId="UnresolvedMention1">
    <w:name w:val="Unresolved Mention1"/>
    <w:basedOn w:val="DefaultParagraphFont"/>
    <w:uiPriority w:val="99"/>
    <w:rsid w:val="00112AEB"/>
    <w:rPr>
      <w:color w:val="808080"/>
      <w:shd w:val="clear" w:color="auto" w:fill="E6E6E6"/>
    </w:rPr>
  </w:style>
  <w:style w:type="character" w:customStyle="1" w:styleId="UnresolvedMention">
    <w:name w:val="Unresolved Mention"/>
    <w:basedOn w:val="DefaultParagraphFont"/>
    <w:uiPriority w:val="99"/>
    <w:semiHidden/>
    <w:unhideWhenUsed/>
    <w:rsid w:val="00AC68A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38BBD5-A82D-4B5A-ADEA-704A9F2CC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9</Pages>
  <Words>3448</Words>
  <Characters>19658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23060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Gow, Jasmin</cp:lastModifiedBy>
  <cp:revision>11</cp:revision>
  <cp:lastPrinted>2015-03-04T20:34:00Z</cp:lastPrinted>
  <dcterms:created xsi:type="dcterms:W3CDTF">2018-10-05T15:16:00Z</dcterms:created>
  <dcterms:modified xsi:type="dcterms:W3CDTF">2018-10-15T13:06:00Z</dcterms:modified>
</cp:coreProperties>
</file>