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6AB81" w14:textId="77777777"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3E30B643" wp14:editId="6DCCF4FD">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4AE5FAF" w14:textId="1A881393" w:rsidR="00D75295" w:rsidRDefault="004048F7" w:rsidP="00F105B7">
      <w:pPr>
        <w:pStyle w:val="ProductNumber"/>
      </w:pPr>
      <w:r>
        <w:t>9B18M166</w:t>
      </w:r>
    </w:p>
    <w:p w14:paraId="1099A507" w14:textId="77777777" w:rsidR="00D75295" w:rsidRPr="003D0BA1" w:rsidRDefault="00D75295" w:rsidP="00D75295">
      <w:pPr>
        <w:jc w:val="right"/>
        <w:rPr>
          <w:rFonts w:ascii="Arial" w:hAnsi="Arial"/>
          <w:b/>
          <w:sz w:val="28"/>
          <w:szCs w:val="28"/>
        </w:rPr>
      </w:pPr>
    </w:p>
    <w:p w14:paraId="715CB8F5" w14:textId="77777777" w:rsidR="00013360" w:rsidRPr="003D0BA1" w:rsidRDefault="00013360" w:rsidP="00D75295">
      <w:pPr>
        <w:jc w:val="right"/>
        <w:rPr>
          <w:rFonts w:ascii="Arial" w:hAnsi="Arial"/>
          <w:b/>
          <w:sz w:val="28"/>
          <w:szCs w:val="28"/>
        </w:rPr>
      </w:pPr>
    </w:p>
    <w:p w14:paraId="0D3090C8" w14:textId="77777777" w:rsidR="00013360" w:rsidRDefault="00C67D8C" w:rsidP="00013360">
      <w:pPr>
        <w:pStyle w:val="CaseTitle"/>
        <w:spacing w:after="0" w:line="240" w:lineRule="auto"/>
        <w:rPr>
          <w:sz w:val="20"/>
          <w:szCs w:val="20"/>
        </w:rPr>
      </w:pPr>
      <w:r w:rsidRPr="00C67D8C">
        <w:rPr>
          <w:rFonts w:eastAsia="Times New Roman"/>
          <w:szCs w:val="20"/>
          <w:lang w:val="en-GB"/>
        </w:rPr>
        <w:t>LCBO: ORGANiZATIONAL TRANSFORMATION</w:t>
      </w:r>
    </w:p>
    <w:p w14:paraId="1B2F1336" w14:textId="77777777" w:rsidR="00CA3976" w:rsidRDefault="00CA3976" w:rsidP="00013360">
      <w:pPr>
        <w:pStyle w:val="CaseTitle"/>
        <w:spacing w:after="0" w:line="240" w:lineRule="auto"/>
        <w:rPr>
          <w:sz w:val="20"/>
          <w:szCs w:val="20"/>
        </w:rPr>
      </w:pPr>
    </w:p>
    <w:p w14:paraId="7800CE30" w14:textId="77777777" w:rsidR="00013360" w:rsidRPr="00013360" w:rsidRDefault="00013360" w:rsidP="00013360">
      <w:pPr>
        <w:pStyle w:val="CaseTitle"/>
        <w:spacing w:after="0" w:line="240" w:lineRule="auto"/>
        <w:rPr>
          <w:sz w:val="20"/>
          <w:szCs w:val="20"/>
        </w:rPr>
      </w:pPr>
    </w:p>
    <w:p w14:paraId="51F303E5" w14:textId="77777777" w:rsidR="00627C63" w:rsidRPr="00627C63" w:rsidRDefault="00766B8F" w:rsidP="00627C63">
      <w:pPr>
        <w:pStyle w:val="StyleCopyrightStatementAfter0ptBottomSinglesolidline1"/>
      </w:pPr>
      <w:hyperlink r:id="rId9" w:history="1">
        <w:proofErr w:type="spellStart"/>
        <w:r w:rsidR="00C67D8C" w:rsidRPr="00C67D8C">
          <w:rPr>
            <w:rStyle w:val="Hyperlink"/>
            <w:color w:val="auto"/>
            <w:u w:val="none"/>
            <w:lang w:val="en-GB"/>
          </w:rPr>
          <w:t>Ramasastry</w:t>
        </w:r>
        <w:proofErr w:type="spellEnd"/>
        <w:r w:rsidR="00C67D8C" w:rsidRPr="00C67D8C">
          <w:rPr>
            <w:rStyle w:val="Hyperlink"/>
            <w:color w:val="auto"/>
            <w:u w:val="none"/>
            <w:lang w:val="en-GB"/>
          </w:rPr>
          <w:t xml:space="preserve"> Chandrasekhar</w:t>
        </w:r>
      </w:hyperlink>
      <w:r w:rsidR="00C67D8C" w:rsidRPr="00C67D8C">
        <w:rPr>
          <w:color w:val="auto"/>
        </w:rPr>
        <w:t xml:space="preserve"> </w:t>
      </w:r>
      <w:r w:rsidR="004B632F" w:rsidRPr="00C67D8C">
        <w:rPr>
          <w:color w:val="auto"/>
        </w:rPr>
        <w:t>wr</w:t>
      </w:r>
      <w:r w:rsidR="004B632F" w:rsidRPr="00104567">
        <w:t>ote this</w:t>
      </w:r>
      <w:r w:rsidR="004B632F">
        <w:t xml:space="preserve"> </w:t>
      </w:r>
      <w:r w:rsidR="00152682">
        <w:t>case</w:t>
      </w:r>
      <w:r w:rsidR="004B632F">
        <w:t xml:space="preserve"> </w:t>
      </w:r>
      <w:r w:rsidR="00C67D8C">
        <w:t xml:space="preserve">under the supervision of Jean-Louis </w:t>
      </w:r>
      <w:proofErr w:type="spellStart"/>
      <w:r w:rsidR="00C67D8C">
        <w:t>Schaan</w:t>
      </w:r>
      <w:proofErr w:type="spellEnd"/>
      <w:r w:rsidR="00C67D8C">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14:paraId="72E936CA" w14:textId="77777777" w:rsidR="00751E0B" w:rsidRDefault="00751E0B" w:rsidP="00751E0B">
      <w:pPr>
        <w:pStyle w:val="StyleCopyrightStatementAfter0ptBottomSinglesolidline1"/>
      </w:pPr>
    </w:p>
    <w:p w14:paraId="77E7D1F9" w14:textId="77777777" w:rsidR="00A569EA" w:rsidRPr="00E23AB7" w:rsidRDefault="00A569EA" w:rsidP="00833FF4">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14:paraId="136F418F" w14:textId="77777777" w:rsidR="00A569EA" w:rsidRPr="00E23AB7" w:rsidRDefault="00A569EA" w:rsidP="00833FF4">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2E32C76B" w14:textId="3DC3C575" w:rsidR="00751E0B" w:rsidRDefault="00A569EA" w:rsidP="00751E0B">
      <w:pPr>
        <w:pStyle w:val="StyleStyleCopyrightStatementAfter0ptBottomSinglesolid"/>
      </w:pPr>
      <w:r w:rsidRPr="00E23AB7">
        <w:rPr>
          <w:rFonts w:cs="Arial"/>
          <w:szCs w:val="16"/>
        </w:rPr>
        <w:t>Copyright © 20</w:t>
      </w:r>
      <w:r w:rsidR="00C67D8C">
        <w:rPr>
          <w:rFonts w:cs="Arial"/>
          <w:szCs w:val="16"/>
        </w:rPr>
        <w:t>18</w:t>
      </w:r>
      <w:r w:rsidRPr="00E23AB7">
        <w:rPr>
          <w:rFonts w:cs="Arial"/>
          <w:szCs w:val="16"/>
        </w:rPr>
        <w:t xml:space="preserve">, </w:t>
      </w:r>
      <w:r w:rsidRPr="00E23AB7">
        <w:rPr>
          <w:rFonts w:cs="Arial"/>
          <w:szCs w:val="16"/>
          <w:lang w:val="en-CA"/>
        </w:rPr>
        <w:t xml:space="preserve">Ivey </w:t>
      </w:r>
      <w:r w:rsidR="00780D94">
        <w:rPr>
          <w:rFonts w:cs="Arial"/>
          <w:szCs w:val="16"/>
          <w:lang w:val="en-CA"/>
        </w:rPr>
        <w:t xml:space="preserve">Business </w:t>
      </w:r>
      <w:r w:rsidRPr="00E23AB7">
        <w:rPr>
          <w:rFonts w:cs="Arial"/>
          <w:szCs w:val="16"/>
          <w:lang w:val="en-CA"/>
        </w:rPr>
        <w:t>School Foundation</w:t>
      </w:r>
      <w:r>
        <w:rPr>
          <w:rFonts w:cs="Arial"/>
          <w:szCs w:val="16"/>
          <w:lang w:val="en-CA"/>
        </w:rPr>
        <w:tab/>
      </w:r>
      <w:r w:rsidR="00751E0B">
        <w:t xml:space="preserve">Version: </w:t>
      </w:r>
      <w:r w:rsidR="003D0BA1">
        <w:t>20</w:t>
      </w:r>
      <w:r w:rsidR="00C67D8C">
        <w:t>18</w:t>
      </w:r>
      <w:r w:rsidR="001C7777">
        <w:t>-</w:t>
      </w:r>
      <w:r w:rsidR="00766B8F">
        <w:t>11</w:t>
      </w:r>
      <w:r w:rsidR="00751E0B">
        <w:t>-</w:t>
      </w:r>
      <w:r w:rsidR="00766B8F">
        <w:t>02</w:t>
      </w:r>
    </w:p>
    <w:p w14:paraId="6D191DBF" w14:textId="77777777" w:rsidR="00751E0B" w:rsidRPr="003B7EF2" w:rsidRDefault="00751E0B" w:rsidP="00751E0B">
      <w:pPr>
        <w:pStyle w:val="StyleCopyrightStatementAfter0ptBottomSinglesolidline1"/>
        <w:rPr>
          <w:rFonts w:ascii="Times New Roman" w:hAnsi="Times New Roman"/>
          <w:sz w:val="20"/>
        </w:rPr>
      </w:pPr>
    </w:p>
    <w:p w14:paraId="77972C55" w14:textId="77777777" w:rsidR="004B632F" w:rsidRDefault="004B632F" w:rsidP="004B632F">
      <w:pPr>
        <w:pStyle w:val="StyleCopyrightStatementAfter0ptBottomSinglesolidline1"/>
        <w:rPr>
          <w:rFonts w:ascii="Times New Roman" w:hAnsi="Times New Roman"/>
          <w:sz w:val="20"/>
        </w:rPr>
      </w:pPr>
    </w:p>
    <w:p w14:paraId="7D8CB422" w14:textId="77777777" w:rsidR="00C67D8C" w:rsidRPr="00C666E3" w:rsidRDefault="00C67D8C" w:rsidP="00C67D8C">
      <w:pPr>
        <w:pStyle w:val="BodyTextMain"/>
        <w:rPr>
          <w:rFonts w:ascii="Arial" w:hAnsi="Arial" w:cs="Arial"/>
          <w:b/>
          <w:color w:val="000000"/>
          <w:spacing w:val="-4"/>
          <w:kern w:val="22"/>
          <w:lang w:val="en-GB"/>
        </w:rPr>
      </w:pPr>
      <w:bookmarkStart w:id="0" w:name="_Hlk503517512"/>
      <w:r w:rsidRPr="00C666E3">
        <w:rPr>
          <w:color w:val="000000"/>
          <w:spacing w:val="-4"/>
          <w:kern w:val="22"/>
          <w:lang w:val="en-GB"/>
        </w:rPr>
        <w:t xml:space="preserve">It was July 2016. A month </w:t>
      </w:r>
      <w:r>
        <w:rPr>
          <w:color w:val="000000"/>
          <w:spacing w:val="-4"/>
          <w:kern w:val="22"/>
          <w:lang w:val="en-GB"/>
        </w:rPr>
        <w:t>earlier</w:t>
      </w:r>
      <w:r w:rsidRPr="00C666E3">
        <w:rPr>
          <w:color w:val="000000"/>
          <w:spacing w:val="-4"/>
          <w:kern w:val="22"/>
          <w:lang w:val="en-GB"/>
        </w:rPr>
        <w:t xml:space="preserve">, George </w:t>
      </w:r>
      <w:proofErr w:type="spellStart"/>
      <w:r w:rsidRPr="00C666E3">
        <w:rPr>
          <w:color w:val="000000"/>
          <w:spacing w:val="-4"/>
          <w:kern w:val="22"/>
          <w:lang w:val="en-GB"/>
        </w:rPr>
        <w:t>Soleas</w:t>
      </w:r>
      <w:proofErr w:type="spellEnd"/>
      <w:r w:rsidRPr="00C666E3">
        <w:rPr>
          <w:color w:val="000000"/>
          <w:spacing w:val="-4"/>
          <w:kern w:val="22"/>
          <w:lang w:val="en-GB"/>
        </w:rPr>
        <w:t xml:space="preserve"> had been appointed </w:t>
      </w:r>
      <w:r w:rsidRPr="00C666E3">
        <w:rPr>
          <w:spacing w:val="-4"/>
          <w:kern w:val="22"/>
          <w:lang w:val="en-GB"/>
        </w:rPr>
        <w:t xml:space="preserve">as </w:t>
      </w:r>
      <w:r>
        <w:rPr>
          <w:spacing w:val="-4"/>
          <w:kern w:val="22"/>
          <w:lang w:val="en-GB"/>
        </w:rPr>
        <w:t>p</w:t>
      </w:r>
      <w:r w:rsidRPr="00C666E3">
        <w:rPr>
          <w:spacing w:val="-4"/>
          <w:kern w:val="22"/>
          <w:lang w:val="en-GB"/>
        </w:rPr>
        <w:t xml:space="preserve">resident and chief executive officer (CEO) of the Liquor Control Board of Ontario (LCBO), a </w:t>
      </w:r>
      <w:r>
        <w:rPr>
          <w:spacing w:val="-4"/>
          <w:kern w:val="22"/>
          <w:lang w:val="en-GB"/>
        </w:rPr>
        <w:t>C</w:t>
      </w:r>
      <w:r w:rsidRPr="00C666E3">
        <w:rPr>
          <w:spacing w:val="-4"/>
          <w:kern w:val="22"/>
          <w:lang w:val="en-GB"/>
        </w:rPr>
        <w:t xml:space="preserve">rown corporation of the </w:t>
      </w:r>
      <w:r>
        <w:rPr>
          <w:spacing w:val="-4"/>
          <w:kern w:val="22"/>
          <w:lang w:val="en-GB"/>
        </w:rPr>
        <w:t xml:space="preserve">Canadian </w:t>
      </w:r>
      <w:r w:rsidRPr="00C666E3">
        <w:rPr>
          <w:spacing w:val="-4"/>
          <w:kern w:val="22"/>
          <w:lang w:val="en-GB"/>
        </w:rPr>
        <w:t>province of Ontario</w:t>
      </w:r>
      <w:r>
        <w:rPr>
          <w:spacing w:val="-4"/>
          <w:kern w:val="22"/>
          <w:lang w:val="en-GB"/>
        </w:rPr>
        <w:t>,</w:t>
      </w:r>
      <w:r w:rsidRPr="00C666E3">
        <w:rPr>
          <w:spacing w:val="-4"/>
          <w:kern w:val="22"/>
          <w:lang w:val="en-GB"/>
        </w:rPr>
        <w:t xml:space="preserve"> and a </w:t>
      </w:r>
      <w:r w:rsidRPr="00C46390">
        <w:rPr>
          <w:spacing w:val="-4"/>
          <w:kern w:val="22"/>
          <w:lang w:val="en-GB"/>
        </w:rPr>
        <w:t>beverage alcohol retailer</w:t>
      </w:r>
      <w:r w:rsidRPr="00C666E3">
        <w:rPr>
          <w:spacing w:val="-4"/>
          <w:kern w:val="22"/>
          <w:lang w:val="en-GB"/>
        </w:rPr>
        <w:t xml:space="preserve"> with a near-monopoly position. </w:t>
      </w:r>
      <w:proofErr w:type="spellStart"/>
      <w:r w:rsidRPr="00C666E3">
        <w:rPr>
          <w:spacing w:val="-4"/>
          <w:kern w:val="22"/>
          <w:lang w:val="en-GB"/>
        </w:rPr>
        <w:t>Soleas</w:t>
      </w:r>
      <w:proofErr w:type="spellEnd"/>
      <w:r w:rsidRPr="00C666E3">
        <w:rPr>
          <w:spacing w:val="-4"/>
          <w:kern w:val="22"/>
          <w:lang w:val="en-GB"/>
        </w:rPr>
        <w:t xml:space="preserve"> had spent two decades with </w:t>
      </w:r>
      <w:r>
        <w:rPr>
          <w:spacing w:val="-4"/>
          <w:kern w:val="22"/>
          <w:lang w:val="en-GB"/>
        </w:rPr>
        <w:t xml:space="preserve">the </w:t>
      </w:r>
      <w:r w:rsidRPr="00C666E3">
        <w:rPr>
          <w:spacing w:val="-4"/>
          <w:kern w:val="22"/>
          <w:lang w:val="en-GB"/>
        </w:rPr>
        <w:t xml:space="preserve">LCBO, most recently as its </w:t>
      </w:r>
      <w:r>
        <w:rPr>
          <w:spacing w:val="-4"/>
          <w:kern w:val="22"/>
          <w:lang w:val="en-GB"/>
        </w:rPr>
        <w:t>e</w:t>
      </w:r>
      <w:r w:rsidRPr="00C666E3">
        <w:rPr>
          <w:spacing w:val="-4"/>
          <w:kern w:val="22"/>
          <w:lang w:val="en-GB"/>
        </w:rPr>
        <w:t xml:space="preserve">xecutive </w:t>
      </w:r>
      <w:r>
        <w:rPr>
          <w:spacing w:val="-4"/>
          <w:kern w:val="22"/>
          <w:lang w:val="en-GB"/>
        </w:rPr>
        <w:t>v</w:t>
      </w:r>
      <w:r w:rsidRPr="00C666E3">
        <w:rPr>
          <w:spacing w:val="-4"/>
          <w:kern w:val="22"/>
          <w:lang w:val="en-GB"/>
        </w:rPr>
        <w:t>ice</w:t>
      </w:r>
      <w:r>
        <w:rPr>
          <w:spacing w:val="-4"/>
          <w:kern w:val="22"/>
          <w:lang w:val="en-GB"/>
        </w:rPr>
        <w:t>-p</w:t>
      </w:r>
      <w:r w:rsidRPr="00C666E3">
        <w:rPr>
          <w:spacing w:val="-4"/>
          <w:kern w:val="22"/>
          <w:lang w:val="en-GB"/>
        </w:rPr>
        <w:t xml:space="preserve">resident. </w:t>
      </w:r>
      <w:r>
        <w:rPr>
          <w:spacing w:val="-4"/>
          <w:kern w:val="22"/>
          <w:lang w:val="en-GB"/>
        </w:rPr>
        <w:t>S</w:t>
      </w:r>
      <w:r w:rsidRPr="00C666E3">
        <w:rPr>
          <w:spacing w:val="-4"/>
          <w:kern w:val="22"/>
          <w:lang w:val="en-GB"/>
        </w:rPr>
        <w:t xml:space="preserve">ince early 2016, </w:t>
      </w:r>
      <w:r>
        <w:rPr>
          <w:spacing w:val="-4"/>
          <w:kern w:val="22"/>
          <w:lang w:val="en-GB"/>
        </w:rPr>
        <w:t>h</w:t>
      </w:r>
      <w:r w:rsidRPr="00C666E3">
        <w:rPr>
          <w:spacing w:val="-4"/>
          <w:kern w:val="22"/>
          <w:lang w:val="en-GB"/>
        </w:rPr>
        <w:t xml:space="preserve">e had been closely involved with the development of a new growth strategy for the LCBO. A road map for </w:t>
      </w:r>
      <w:r>
        <w:rPr>
          <w:spacing w:val="-4"/>
          <w:kern w:val="22"/>
          <w:lang w:val="en-GB"/>
        </w:rPr>
        <w:t>executing this strategy</w:t>
      </w:r>
      <w:r w:rsidRPr="00C666E3">
        <w:rPr>
          <w:spacing w:val="-4"/>
          <w:kern w:val="22"/>
          <w:lang w:val="en-GB"/>
        </w:rPr>
        <w:t xml:space="preserve"> was also in progress.</w:t>
      </w:r>
    </w:p>
    <w:p w14:paraId="19E774EA" w14:textId="77777777" w:rsidR="00C67D8C" w:rsidRPr="00077C08" w:rsidRDefault="00C67D8C" w:rsidP="00C67D8C">
      <w:pPr>
        <w:pStyle w:val="BodyTextMain"/>
        <w:rPr>
          <w:sz w:val="18"/>
          <w:szCs w:val="18"/>
          <w:lang w:val="en-GB"/>
        </w:rPr>
      </w:pPr>
    </w:p>
    <w:p w14:paraId="5F7CF286" w14:textId="77777777" w:rsidR="00C67D8C" w:rsidRPr="00C666E3" w:rsidRDefault="00C67D8C" w:rsidP="00C67D8C">
      <w:pPr>
        <w:pStyle w:val="BodyTextMain"/>
        <w:rPr>
          <w:color w:val="000000"/>
          <w:lang w:val="en-GB"/>
        </w:rPr>
      </w:pPr>
      <w:r w:rsidRPr="00C666E3">
        <w:rPr>
          <w:color w:val="000000"/>
          <w:lang w:val="en-GB"/>
        </w:rPr>
        <w:t>The beverage alcohol market in Ontario was changing. The provincial government, which fully owned the LCBO, had decided to allow grocery stores to sell select beverage alcohol. The decision bec</w:t>
      </w:r>
      <w:r>
        <w:rPr>
          <w:color w:val="000000"/>
          <w:lang w:val="en-GB"/>
        </w:rPr>
        <w:t>a</w:t>
      </w:r>
      <w:r w:rsidRPr="00C666E3">
        <w:rPr>
          <w:color w:val="000000"/>
          <w:lang w:val="en-GB"/>
        </w:rPr>
        <w:t>me effective December 2015</w:t>
      </w:r>
      <w:r>
        <w:rPr>
          <w:color w:val="000000"/>
          <w:lang w:val="en-GB"/>
        </w:rPr>
        <w:t>,</w:t>
      </w:r>
      <w:r w:rsidRPr="00C666E3">
        <w:rPr>
          <w:color w:val="000000"/>
          <w:lang w:val="en-GB"/>
        </w:rPr>
        <w:t xml:space="preserve"> when the government awarded the first round of beer licen</w:t>
      </w:r>
      <w:r>
        <w:rPr>
          <w:color w:val="000000"/>
          <w:lang w:val="en-GB"/>
        </w:rPr>
        <w:t>c</w:t>
      </w:r>
      <w:r w:rsidRPr="00C666E3">
        <w:rPr>
          <w:color w:val="000000"/>
          <w:lang w:val="en-GB"/>
        </w:rPr>
        <w:t>es to 45 grocery stores operated by 13 large grocery chains.</w:t>
      </w:r>
      <w:r w:rsidRPr="00C666E3">
        <w:rPr>
          <w:color w:val="000000"/>
          <w:vertAlign w:val="superscript"/>
          <w:lang w:val="en-GB"/>
        </w:rPr>
        <w:footnoteReference w:id="1"/>
      </w:r>
      <w:r w:rsidRPr="00C666E3">
        <w:rPr>
          <w:color w:val="000000"/>
          <w:lang w:val="en-GB"/>
        </w:rPr>
        <w:t xml:space="preserve"> The plan, over the long term, was to allow up to 450 grocery stores in Ontario to sell beer, cider</w:t>
      </w:r>
      <w:r>
        <w:rPr>
          <w:color w:val="000000"/>
          <w:lang w:val="en-GB"/>
        </w:rPr>
        <w:t>,</w:t>
      </w:r>
      <w:r w:rsidRPr="00C666E3">
        <w:rPr>
          <w:color w:val="000000"/>
          <w:lang w:val="en-GB"/>
        </w:rPr>
        <w:t xml:space="preserve"> and some wine to their customers. The grocery stores would try to wean</w:t>
      </w:r>
      <w:bookmarkStart w:id="1" w:name="_Hlk513433487"/>
      <w:r w:rsidRPr="00C666E3">
        <w:rPr>
          <w:color w:val="000000"/>
          <w:lang w:val="en-GB"/>
        </w:rPr>
        <w:t xml:space="preserve"> </w:t>
      </w:r>
      <w:bookmarkEnd w:id="1"/>
      <w:r w:rsidRPr="00C666E3">
        <w:rPr>
          <w:color w:val="000000"/>
          <w:lang w:val="en-GB"/>
        </w:rPr>
        <w:t xml:space="preserve">market share </w:t>
      </w:r>
      <w:r>
        <w:rPr>
          <w:color w:val="000000"/>
          <w:lang w:val="en-GB"/>
        </w:rPr>
        <w:t xml:space="preserve">away </w:t>
      </w:r>
      <w:r w:rsidRPr="00C666E3">
        <w:rPr>
          <w:color w:val="000000"/>
          <w:lang w:val="en-GB"/>
        </w:rPr>
        <w:t>from the LCBO’s own retail stores located near them</w:t>
      </w:r>
      <w:r>
        <w:rPr>
          <w:color w:val="000000"/>
          <w:lang w:val="en-GB"/>
        </w:rPr>
        <w:t>,</w:t>
      </w:r>
      <w:r w:rsidRPr="00C666E3">
        <w:rPr>
          <w:color w:val="000000"/>
          <w:lang w:val="en-GB"/>
        </w:rPr>
        <w:t xml:space="preserve"> even as the LCBO was required to take on the additional role of wholesale distributor to grocery stores in the province. </w:t>
      </w:r>
    </w:p>
    <w:p w14:paraId="5770DD63" w14:textId="77777777" w:rsidR="00C67D8C" w:rsidRPr="00077C08" w:rsidRDefault="00C67D8C" w:rsidP="00C67D8C">
      <w:pPr>
        <w:pStyle w:val="BodyTextMain"/>
        <w:rPr>
          <w:color w:val="000000"/>
          <w:sz w:val="18"/>
          <w:szCs w:val="18"/>
          <w:lang w:val="en-GB"/>
        </w:rPr>
      </w:pPr>
    </w:p>
    <w:p w14:paraId="1FEA0F96" w14:textId="683FB798" w:rsidR="00C67D8C" w:rsidRPr="00C666E3" w:rsidRDefault="00C67D8C" w:rsidP="00C67D8C">
      <w:pPr>
        <w:pStyle w:val="BodyTextMain"/>
        <w:rPr>
          <w:bCs/>
          <w:color w:val="000000"/>
          <w:lang w:val="en-GB"/>
        </w:rPr>
      </w:pPr>
      <w:proofErr w:type="spellStart"/>
      <w:r w:rsidRPr="00C666E3">
        <w:rPr>
          <w:bCs/>
          <w:color w:val="000000"/>
          <w:lang w:val="en-GB"/>
        </w:rPr>
        <w:t>Soleas</w:t>
      </w:r>
      <w:proofErr w:type="spellEnd"/>
      <w:r w:rsidR="00833FF4">
        <w:rPr>
          <w:bCs/>
          <w:color w:val="000000"/>
          <w:lang w:val="en-GB"/>
        </w:rPr>
        <w:t xml:space="preserve"> said</w:t>
      </w:r>
      <w:r w:rsidRPr="00C666E3">
        <w:rPr>
          <w:bCs/>
          <w:color w:val="000000"/>
          <w:lang w:val="en-GB"/>
        </w:rPr>
        <w:t>:</w:t>
      </w:r>
    </w:p>
    <w:p w14:paraId="7164A131" w14:textId="77777777" w:rsidR="00C67D8C" w:rsidRPr="00077C08" w:rsidRDefault="00C67D8C" w:rsidP="00C67D8C">
      <w:pPr>
        <w:pStyle w:val="BodyTextMain"/>
        <w:rPr>
          <w:sz w:val="18"/>
          <w:szCs w:val="18"/>
          <w:lang w:val="en-GB"/>
        </w:rPr>
      </w:pPr>
    </w:p>
    <w:p w14:paraId="3C88BB61" w14:textId="77777777" w:rsidR="00C67D8C" w:rsidRPr="00C666E3" w:rsidRDefault="00C67D8C" w:rsidP="00C67D8C">
      <w:pPr>
        <w:pStyle w:val="BodyTextMain"/>
        <w:ind w:left="720"/>
        <w:rPr>
          <w:lang w:val="en-GB"/>
        </w:rPr>
      </w:pPr>
      <w:r w:rsidRPr="00C666E3">
        <w:rPr>
          <w:lang w:val="en-GB"/>
        </w:rPr>
        <w:t>A more competitive marketplace means we have to earn customer loyalty. And we have a new set of customers as the wholesaler to grocers. We have to start thinking differently and ask ourselves new questions. How do we manage this hybrid model? How do we leverage technology to keep up with our new, savvy competitors in grocery? How do we use digital analytics to provide unique customer experiences at our retail stores? How should LCBO become innovative as an organization, empowering our employees to come up with new and creative ideas of improving our efficiencies and retaining our customers?</w:t>
      </w:r>
    </w:p>
    <w:p w14:paraId="64894556" w14:textId="77777777" w:rsidR="00C67D8C" w:rsidRPr="00077C08" w:rsidRDefault="00C67D8C" w:rsidP="00C67D8C">
      <w:pPr>
        <w:pStyle w:val="BodyTextMain"/>
        <w:rPr>
          <w:sz w:val="18"/>
          <w:szCs w:val="18"/>
          <w:lang w:val="en-GB"/>
        </w:rPr>
      </w:pPr>
    </w:p>
    <w:p w14:paraId="0135F0ED" w14:textId="77777777" w:rsidR="00C67D8C" w:rsidRPr="00077C08" w:rsidRDefault="00C67D8C" w:rsidP="00C67D8C">
      <w:pPr>
        <w:pStyle w:val="BodyTextMain"/>
        <w:rPr>
          <w:sz w:val="18"/>
          <w:szCs w:val="18"/>
          <w:lang w:val="en-GB"/>
        </w:rPr>
      </w:pPr>
    </w:p>
    <w:bookmarkEnd w:id="0"/>
    <w:p w14:paraId="0D68712B" w14:textId="77777777" w:rsidR="00C67D8C" w:rsidRPr="00C666E3" w:rsidRDefault="00C67D8C" w:rsidP="00C67D8C">
      <w:pPr>
        <w:pStyle w:val="Casehead1"/>
        <w:rPr>
          <w:lang w:val="en-GB"/>
        </w:rPr>
      </w:pPr>
      <w:r>
        <w:rPr>
          <w:lang w:val="en-GB"/>
        </w:rPr>
        <w:t xml:space="preserve">the </w:t>
      </w:r>
      <w:r w:rsidRPr="00C666E3">
        <w:rPr>
          <w:lang w:val="en-GB"/>
        </w:rPr>
        <w:t xml:space="preserve">BEVERAGE ALCOHOL INDUSTRY </w:t>
      </w:r>
    </w:p>
    <w:p w14:paraId="7ACA3385" w14:textId="77777777" w:rsidR="00C67D8C" w:rsidRPr="00077C08" w:rsidRDefault="00C67D8C" w:rsidP="00C67D8C">
      <w:pPr>
        <w:pStyle w:val="BodyTextMain"/>
        <w:rPr>
          <w:sz w:val="18"/>
          <w:szCs w:val="18"/>
          <w:lang w:val="en-GB"/>
        </w:rPr>
      </w:pPr>
    </w:p>
    <w:p w14:paraId="3A2763CD" w14:textId="751CA20E" w:rsidR="00C67D8C" w:rsidRPr="00C666E3" w:rsidRDefault="00C67D8C" w:rsidP="00C67D8C">
      <w:pPr>
        <w:pStyle w:val="BodyTextMain"/>
        <w:rPr>
          <w:lang w:val="en-GB"/>
        </w:rPr>
      </w:pPr>
      <w:r w:rsidRPr="00C666E3">
        <w:rPr>
          <w:lang w:val="en-GB"/>
        </w:rPr>
        <w:t>Canadians consume</w:t>
      </w:r>
      <w:r>
        <w:rPr>
          <w:lang w:val="en-GB"/>
        </w:rPr>
        <w:t>d</w:t>
      </w:r>
      <w:r w:rsidRPr="00C666E3">
        <w:rPr>
          <w:lang w:val="en-GB"/>
        </w:rPr>
        <w:t xml:space="preserve"> more alcohol per capita than the worldwide average, according to </w:t>
      </w:r>
      <w:r w:rsidR="004669C0">
        <w:rPr>
          <w:lang w:val="en-GB"/>
        </w:rPr>
        <w:t xml:space="preserve">a report by </w:t>
      </w:r>
      <w:r w:rsidRPr="00C666E3">
        <w:rPr>
          <w:lang w:val="en-GB"/>
        </w:rPr>
        <w:t xml:space="preserve">the World Health Organization. </w:t>
      </w:r>
      <w:r>
        <w:rPr>
          <w:lang w:val="en-GB"/>
        </w:rPr>
        <w:t xml:space="preserve">In 2016, </w:t>
      </w:r>
      <w:r w:rsidRPr="00C666E3">
        <w:rPr>
          <w:lang w:val="en-GB"/>
        </w:rPr>
        <w:t>Canadians aged 15 and older drank 10 lit</w:t>
      </w:r>
      <w:r>
        <w:rPr>
          <w:lang w:val="en-GB"/>
        </w:rPr>
        <w:t>re</w:t>
      </w:r>
      <w:r w:rsidRPr="00C666E3">
        <w:rPr>
          <w:lang w:val="en-GB"/>
        </w:rPr>
        <w:t>s of pure alcohol per capita</w:t>
      </w:r>
      <w:r>
        <w:rPr>
          <w:lang w:val="en-GB"/>
        </w:rPr>
        <w:t>.</w:t>
      </w:r>
      <w:r w:rsidRPr="00C666E3">
        <w:rPr>
          <w:lang w:val="en-GB"/>
        </w:rPr>
        <w:t xml:space="preserve"> </w:t>
      </w:r>
      <w:proofErr w:type="gramStart"/>
      <w:r w:rsidRPr="00C666E3">
        <w:rPr>
          <w:lang w:val="en-GB"/>
        </w:rPr>
        <w:t>which</w:t>
      </w:r>
      <w:proofErr w:type="gramEnd"/>
      <w:r w:rsidRPr="00C666E3">
        <w:rPr>
          <w:lang w:val="en-GB"/>
        </w:rPr>
        <w:t xml:space="preserve"> was 3.6 times more than the world average. Of the nearly 200 countries included in the report, Canada </w:t>
      </w:r>
      <w:r w:rsidRPr="00C666E3">
        <w:rPr>
          <w:lang w:val="en-GB"/>
        </w:rPr>
        <w:lastRenderedPageBreak/>
        <w:t>ranked 40th.</w:t>
      </w:r>
      <w:r w:rsidRPr="00C666E3">
        <w:rPr>
          <w:vertAlign w:val="superscript"/>
          <w:lang w:val="en-GB"/>
        </w:rPr>
        <w:footnoteReference w:id="2"/>
      </w:r>
      <w:r w:rsidRPr="00C666E3">
        <w:rPr>
          <w:rFonts w:eastAsia="Calibri"/>
          <w:color w:val="1E1B1D"/>
          <w:lang w:val="en-GB" w:eastAsia="en-CA"/>
        </w:rPr>
        <w:t xml:space="preserve"> A report titled “Alcohol Consumption in Canada” issued by the country’s </w:t>
      </w:r>
      <w:r w:rsidR="004669C0">
        <w:rPr>
          <w:rFonts w:eastAsia="Calibri"/>
          <w:color w:val="1E1B1D"/>
          <w:lang w:val="en-GB" w:eastAsia="en-CA"/>
        </w:rPr>
        <w:t>c</w:t>
      </w:r>
      <w:r w:rsidRPr="00C666E3">
        <w:rPr>
          <w:rFonts w:eastAsia="Calibri"/>
          <w:color w:val="1E1B1D"/>
          <w:lang w:val="en-GB" w:eastAsia="en-CA"/>
        </w:rPr>
        <w:t xml:space="preserve">hief </w:t>
      </w:r>
      <w:r w:rsidR="004669C0">
        <w:rPr>
          <w:rFonts w:eastAsia="Calibri"/>
          <w:color w:val="1E1B1D"/>
          <w:lang w:val="en-GB" w:eastAsia="en-CA"/>
        </w:rPr>
        <w:t>p</w:t>
      </w:r>
      <w:r w:rsidRPr="00C666E3">
        <w:rPr>
          <w:rFonts w:eastAsia="Calibri"/>
          <w:color w:val="1E1B1D"/>
          <w:lang w:val="en-GB" w:eastAsia="en-CA"/>
        </w:rPr>
        <w:t>ublic </w:t>
      </w:r>
      <w:r w:rsidR="004669C0">
        <w:rPr>
          <w:rFonts w:eastAsia="Calibri"/>
          <w:color w:val="1E1B1D"/>
          <w:lang w:val="en-GB" w:eastAsia="en-CA"/>
        </w:rPr>
        <w:t>h</w:t>
      </w:r>
      <w:r w:rsidRPr="00C666E3">
        <w:rPr>
          <w:rFonts w:eastAsia="Calibri"/>
          <w:color w:val="1E1B1D"/>
          <w:lang w:val="en-GB" w:eastAsia="en-CA"/>
        </w:rPr>
        <w:t xml:space="preserve">ealth </w:t>
      </w:r>
      <w:r w:rsidR="004669C0">
        <w:rPr>
          <w:rFonts w:eastAsia="Calibri"/>
          <w:color w:val="1E1B1D"/>
          <w:lang w:val="en-GB" w:eastAsia="en-CA"/>
        </w:rPr>
        <w:t>o</w:t>
      </w:r>
      <w:r w:rsidRPr="00C666E3">
        <w:rPr>
          <w:rFonts w:eastAsia="Calibri"/>
          <w:color w:val="1E1B1D"/>
          <w:lang w:val="en-GB" w:eastAsia="en-CA"/>
        </w:rPr>
        <w:t xml:space="preserve">fficer in 2015 said that </w:t>
      </w:r>
      <w:r w:rsidRPr="00C666E3">
        <w:rPr>
          <w:rFonts w:eastAsia="Calibri"/>
          <w:lang w:val="en-GB" w:eastAsia="en-CA"/>
        </w:rPr>
        <w:t>an estimated 22 million Canadians, comprising 80 per cent of the population, consumed alcohol. The highest percentage of drinkers was in the 30-</w:t>
      </w:r>
      <w:r>
        <w:rPr>
          <w:rFonts w:eastAsia="Calibri"/>
          <w:lang w:val="en-GB" w:eastAsia="en-CA"/>
        </w:rPr>
        <w:t xml:space="preserve"> to </w:t>
      </w:r>
      <w:r w:rsidRPr="00C666E3">
        <w:rPr>
          <w:rFonts w:eastAsia="Calibri"/>
          <w:lang w:val="en-GB" w:eastAsia="en-CA"/>
        </w:rPr>
        <w:t>34</w:t>
      </w:r>
      <w:r>
        <w:rPr>
          <w:rFonts w:eastAsia="Calibri"/>
          <w:lang w:val="en-GB" w:eastAsia="en-CA"/>
        </w:rPr>
        <w:t>-</w:t>
      </w:r>
      <w:r w:rsidRPr="00C666E3">
        <w:rPr>
          <w:rFonts w:eastAsia="Calibri"/>
          <w:lang w:val="en-GB" w:eastAsia="en-CA"/>
        </w:rPr>
        <w:t>year</w:t>
      </w:r>
      <w:r>
        <w:rPr>
          <w:rFonts w:eastAsia="Calibri"/>
          <w:lang w:val="en-GB" w:eastAsia="en-CA"/>
        </w:rPr>
        <w:t>-old</w:t>
      </w:r>
      <w:r w:rsidRPr="00C666E3">
        <w:rPr>
          <w:rFonts w:eastAsia="Calibri"/>
          <w:lang w:val="en-GB" w:eastAsia="en-CA"/>
        </w:rPr>
        <w:t xml:space="preserve"> range.</w:t>
      </w:r>
      <w:r w:rsidRPr="00C666E3">
        <w:rPr>
          <w:rFonts w:eastAsia="Calibri"/>
          <w:vertAlign w:val="superscript"/>
          <w:lang w:val="en-GB" w:eastAsia="en-CA"/>
        </w:rPr>
        <w:footnoteReference w:id="3"/>
      </w:r>
      <w:r w:rsidRPr="00C666E3">
        <w:rPr>
          <w:lang w:val="en-GB"/>
        </w:rPr>
        <w:t> </w:t>
      </w:r>
    </w:p>
    <w:p w14:paraId="142C6FB0" w14:textId="77777777" w:rsidR="00C67D8C" w:rsidRPr="00077C08" w:rsidRDefault="00C67D8C" w:rsidP="00C67D8C">
      <w:pPr>
        <w:pStyle w:val="BodyTextMain"/>
        <w:rPr>
          <w:sz w:val="18"/>
          <w:szCs w:val="18"/>
          <w:lang w:val="en-GB"/>
        </w:rPr>
      </w:pPr>
    </w:p>
    <w:p w14:paraId="07C57FF8" w14:textId="202EA8C7" w:rsidR="00C67D8C" w:rsidRPr="00C666E3" w:rsidRDefault="00C67D8C" w:rsidP="00C67D8C">
      <w:pPr>
        <w:pStyle w:val="BodyTextMain"/>
        <w:rPr>
          <w:lang w:val="en-GB"/>
        </w:rPr>
      </w:pPr>
      <w:r>
        <w:rPr>
          <w:lang w:val="en-GB"/>
        </w:rPr>
        <w:t>Canada’s</w:t>
      </w:r>
      <w:r w:rsidRPr="00C666E3">
        <w:rPr>
          <w:lang w:val="en-GB"/>
        </w:rPr>
        <w:t xml:space="preserve"> beverage alcohol industry had revenues of $23.59 billion</w:t>
      </w:r>
      <w:r>
        <w:rPr>
          <w:rStyle w:val="FootnoteReference"/>
          <w:lang w:val="en-GB"/>
        </w:rPr>
        <w:footnoteReference w:id="4"/>
      </w:r>
      <w:r w:rsidRPr="00C666E3">
        <w:rPr>
          <w:lang w:val="en-GB"/>
        </w:rPr>
        <w:t xml:space="preserve"> in 2015</w:t>
      </w:r>
      <w:r>
        <w:rPr>
          <w:lang w:val="en-GB"/>
        </w:rPr>
        <w:t>, and</w:t>
      </w:r>
      <w:r w:rsidRPr="00C666E3">
        <w:rPr>
          <w:lang w:val="en-GB"/>
        </w:rPr>
        <w:t xml:space="preserve"> was growing </w:t>
      </w:r>
      <w:r>
        <w:rPr>
          <w:lang w:val="en-GB"/>
        </w:rPr>
        <w:t xml:space="preserve">approximately 3 </w:t>
      </w:r>
      <w:r w:rsidRPr="00C666E3">
        <w:rPr>
          <w:lang w:val="en-GB"/>
        </w:rPr>
        <w:t xml:space="preserve">per cent per </w:t>
      </w:r>
      <w:r w:rsidR="004669C0">
        <w:rPr>
          <w:lang w:val="en-GB"/>
        </w:rPr>
        <w:t>year</w:t>
      </w:r>
      <w:r w:rsidRPr="00C666E3">
        <w:rPr>
          <w:lang w:val="en-GB"/>
        </w:rPr>
        <w:t>. The price increases averaged 1.9 per cent annually. On the supply side, 249 breweries manufactur</w:t>
      </w:r>
      <w:r>
        <w:rPr>
          <w:lang w:val="en-GB"/>
        </w:rPr>
        <w:t>ed</w:t>
      </w:r>
      <w:r w:rsidRPr="00C666E3">
        <w:rPr>
          <w:lang w:val="en-GB"/>
        </w:rPr>
        <w:t xml:space="preserve"> beer products</w:t>
      </w:r>
      <w:r>
        <w:rPr>
          <w:lang w:val="en-GB"/>
        </w:rPr>
        <w:t>; however,</w:t>
      </w:r>
      <w:r w:rsidRPr="00C666E3">
        <w:rPr>
          <w:lang w:val="en-GB"/>
        </w:rPr>
        <w:t xml:space="preserve"> Canada was a net importer of beer. On the demand side, 4,872 stores and agencies nationwide </w:t>
      </w:r>
      <w:r>
        <w:rPr>
          <w:lang w:val="en-GB"/>
        </w:rPr>
        <w:t xml:space="preserve">were </w:t>
      </w:r>
      <w:r w:rsidRPr="00C666E3">
        <w:rPr>
          <w:lang w:val="en-GB"/>
        </w:rPr>
        <w:t xml:space="preserve">licensed to sell alcoholic beverages for off-premises consumption. The industry had generated 45,128 jobs in 2015. </w:t>
      </w:r>
    </w:p>
    <w:p w14:paraId="3ECAF614" w14:textId="77777777" w:rsidR="00C67D8C" w:rsidRPr="00077C08" w:rsidRDefault="00C67D8C" w:rsidP="00C67D8C">
      <w:pPr>
        <w:pStyle w:val="BodyTextMain"/>
        <w:rPr>
          <w:sz w:val="18"/>
          <w:szCs w:val="18"/>
          <w:lang w:val="en-GB"/>
        </w:rPr>
      </w:pPr>
    </w:p>
    <w:p w14:paraId="0B4F44D2" w14:textId="5613A797" w:rsidR="00C67D8C" w:rsidRPr="00C666E3" w:rsidRDefault="00C67D8C" w:rsidP="00C67D8C">
      <w:pPr>
        <w:pStyle w:val="BodyTextMain"/>
        <w:rPr>
          <w:lang w:val="en-GB"/>
        </w:rPr>
      </w:pPr>
      <w:r w:rsidRPr="00C666E3">
        <w:rPr>
          <w:lang w:val="en-GB"/>
        </w:rPr>
        <w:t>Beverage alcohol was a discretionary purchase. The growth drivers for the industry included per</w:t>
      </w:r>
      <w:r w:rsidR="004669C0">
        <w:rPr>
          <w:lang w:val="en-GB"/>
        </w:rPr>
        <w:t>-</w:t>
      </w:r>
      <w:r w:rsidRPr="00C666E3">
        <w:rPr>
          <w:lang w:val="en-GB"/>
        </w:rPr>
        <w:t xml:space="preserve">capita disposable incomes; </w:t>
      </w:r>
      <w:r>
        <w:rPr>
          <w:lang w:val="en-GB"/>
        </w:rPr>
        <w:t xml:space="preserve">the </w:t>
      </w:r>
      <w:r w:rsidRPr="00C666E3">
        <w:rPr>
          <w:lang w:val="en-GB"/>
        </w:rPr>
        <w:t>number of adults aged 20</w:t>
      </w:r>
      <w:r>
        <w:rPr>
          <w:lang w:val="en-GB"/>
        </w:rPr>
        <w:t>–</w:t>
      </w:r>
      <w:r w:rsidRPr="00C666E3">
        <w:rPr>
          <w:lang w:val="en-GB"/>
        </w:rPr>
        <w:t>64; per</w:t>
      </w:r>
      <w:r w:rsidR="004669C0">
        <w:rPr>
          <w:lang w:val="en-GB"/>
        </w:rPr>
        <w:t>-</w:t>
      </w:r>
      <w:r w:rsidRPr="00C666E3">
        <w:rPr>
          <w:lang w:val="en-GB"/>
        </w:rPr>
        <w:t xml:space="preserve">capita alcohol consumption; and </w:t>
      </w:r>
      <w:r w:rsidR="00766B8F">
        <w:rPr>
          <w:lang w:val="en-GB"/>
        </w:rPr>
        <w:t>the upgrade</w:t>
      </w:r>
      <w:r w:rsidRPr="00C666E3">
        <w:rPr>
          <w:lang w:val="en-GB"/>
        </w:rPr>
        <w:t xml:space="preserve"> from low-cost alcohol in bulk to premium alcohol</w:t>
      </w:r>
      <w:r>
        <w:rPr>
          <w:lang w:val="en-GB"/>
        </w:rPr>
        <w:t>, which was</w:t>
      </w:r>
      <w:r w:rsidRPr="00C666E3">
        <w:rPr>
          <w:lang w:val="en-GB"/>
        </w:rPr>
        <w:t xml:space="preserve"> available, typically, in smaller packaging. </w:t>
      </w:r>
    </w:p>
    <w:p w14:paraId="7B0FE0CF" w14:textId="77777777" w:rsidR="00C67D8C" w:rsidRPr="00077C08" w:rsidRDefault="00C67D8C" w:rsidP="00C67D8C">
      <w:pPr>
        <w:pStyle w:val="BodyTextMain"/>
        <w:rPr>
          <w:sz w:val="18"/>
          <w:szCs w:val="18"/>
          <w:lang w:val="en-GB"/>
        </w:rPr>
      </w:pPr>
    </w:p>
    <w:p w14:paraId="2B307211" w14:textId="0B0AA729" w:rsidR="00C67D8C" w:rsidRPr="00C666E3" w:rsidRDefault="00C67D8C" w:rsidP="00C67D8C">
      <w:pPr>
        <w:pStyle w:val="BodyTextMain"/>
        <w:rPr>
          <w:lang w:val="en-GB"/>
        </w:rPr>
      </w:pPr>
      <w:r w:rsidRPr="00C666E3">
        <w:rPr>
          <w:lang w:val="en-GB"/>
        </w:rPr>
        <w:t>The industry was in the mature life cycle stage</w:t>
      </w:r>
      <w:r w:rsidR="004669C0">
        <w:rPr>
          <w:lang w:val="en-GB"/>
        </w:rPr>
        <w:t>,</w:t>
      </w:r>
      <w:r w:rsidRPr="00C666E3">
        <w:rPr>
          <w:lang w:val="en-GB"/>
        </w:rPr>
        <w:t xml:space="preserve"> characterized by declining per</w:t>
      </w:r>
      <w:r w:rsidR="004669C0">
        <w:rPr>
          <w:lang w:val="en-GB"/>
        </w:rPr>
        <w:t>-</w:t>
      </w:r>
      <w:r w:rsidRPr="00C666E3">
        <w:rPr>
          <w:lang w:val="en-GB"/>
        </w:rPr>
        <w:t xml:space="preserve">capita consumption, </w:t>
      </w:r>
      <w:r>
        <w:rPr>
          <w:lang w:val="en-GB"/>
        </w:rPr>
        <w:t xml:space="preserve">the </w:t>
      </w:r>
      <w:r w:rsidRPr="00C666E3">
        <w:rPr>
          <w:lang w:val="en-GB"/>
        </w:rPr>
        <w:t xml:space="preserve">rate of revenue </w:t>
      </w:r>
      <w:r>
        <w:rPr>
          <w:lang w:val="en-GB"/>
        </w:rPr>
        <w:t xml:space="preserve">growth </w:t>
      </w:r>
      <w:r w:rsidRPr="00C666E3">
        <w:rPr>
          <w:lang w:val="en-GB"/>
        </w:rPr>
        <w:t xml:space="preserve">being on par with the rate of economic growth, stabilization of technologies and processes, standardization of product portfolio, and rationalization of low-margin products. There was also little product innovation. </w:t>
      </w:r>
    </w:p>
    <w:p w14:paraId="7C94BC3B" w14:textId="77777777" w:rsidR="00C67D8C" w:rsidRPr="00077C08" w:rsidRDefault="00C67D8C" w:rsidP="00C67D8C">
      <w:pPr>
        <w:pStyle w:val="BodyTextMain"/>
        <w:rPr>
          <w:sz w:val="18"/>
          <w:szCs w:val="18"/>
          <w:lang w:val="en-GB"/>
        </w:rPr>
      </w:pPr>
    </w:p>
    <w:p w14:paraId="71061D44" w14:textId="77777777" w:rsidR="00C67D8C" w:rsidRPr="00C666E3" w:rsidRDefault="00C67D8C" w:rsidP="00C67D8C">
      <w:pPr>
        <w:pStyle w:val="BodyTextMain"/>
        <w:rPr>
          <w:lang w:val="en-GB"/>
        </w:rPr>
      </w:pPr>
      <w:r w:rsidRPr="00C666E3">
        <w:rPr>
          <w:lang w:val="en-GB"/>
        </w:rPr>
        <w:t xml:space="preserve">The industry was regulated by governments at the provincial level. Each Canadian province had its own liquor control board </w:t>
      </w:r>
      <w:r>
        <w:rPr>
          <w:lang w:val="en-GB"/>
        </w:rPr>
        <w:t>that</w:t>
      </w:r>
      <w:r w:rsidRPr="00C666E3">
        <w:rPr>
          <w:lang w:val="en-GB"/>
        </w:rPr>
        <w:t xml:space="preserve"> managed the sale of alcohol to individual consumers. </w:t>
      </w:r>
      <w:r>
        <w:rPr>
          <w:lang w:val="en-GB"/>
        </w:rPr>
        <w:t xml:space="preserve">The industry </w:t>
      </w:r>
      <w:r w:rsidRPr="00C666E3">
        <w:rPr>
          <w:lang w:val="en-GB"/>
        </w:rPr>
        <w:t xml:space="preserve">therefore </w:t>
      </w:r>
      <w:r>
        <w:rPr>
          <w:lang w:val="en-GB"/>
        </w:rPr>
        <w:t xml:space="preserve">had </w:t>
      </w:r>
      <w:r w:rsidRPr="00C666E3">
        <w:rPr>
          <w:lang w:val="en-GB"/>
        </w:rPr>
        <w:t>little consolidation</w:t>
      </w:r>
      <w:r>
        <w:rPr>
          <w:lang w:val="en-GB"/>
        </w:rPr>
        <w:t>,</w:t>
      </w:r>
      <w:r w:rsidRPr="00C666E3">
        <w:rPr>
          <w:lang w:val="en-GB"/>
        </w:rPr>
        <w:t xml:space="preserve"> leading to the emergence of national players. The entry barriers were high.</w:t>
      </w:r>
    </w:p>
    <w:p w14:paraId="129DA108" w14:textId="77777777" w:rsidR="00C67D8C" w:rsidRPr="00077C08" w:rsidRDefault="00C67D8C" w:rsidP="00C67D8C">
      <w:pPr>
        <w:pStyle w:val="BodyTextMain"/>
        <w:rPr>
          <w:sz w:val="18"/>
          <w:szCs w:val="18"/>
          <w:lang w:val="en-GB"/>
        </w:rPr>
      </w:pPr>
    </w:p>
    <w:p w14:paraId="443775F7" w14:textId="77777777" w:rsidR="00C67D8C" w:rsidRPr="00C666E3" w:rsidRDefault="00C67D8C" w:rsidP="00C67D8C">
      <w:pPr>
        <w:pStyle w:val="BodyTextMain"/>
        <w:rPr>
          <w:lang w:val="en-GB"/>
        </w:rPr>
      </w:pPr>
      <w:r>
        <w:rPr>
          <w:lang w:val="en-GB"/>
        </w:rPr>
        <w:t>In 2015</w:t>
      </w:r>
      <w:r w:rsidRPr="00C666E3">
        <w:rPr>
          <w:lang w:val="en-GB"/>
        </w:rPr>
        <w:t xml:space="preserve">, the </w:t>
      </w:r>
      <w:r>
        <w:rPr>
          <w:lang w:val="en-GB"/>
        </w:rPr>
        <w:t xml:space="preserve">Ontario </w:t>
      </w:r>
      <w:r w:rsidRPr="00C666E3">
        <w:rPr>
          <w:lang w:val="en-GB"/>
        </w:rPr>
        <w:t>beverage alcohol market had generated revenues of $</w:t>
      </w:r>
      <w:r>
        <w:rPr>
          <w:lang w:val="en-GB"/>
        </w:rPr>
        <w:t>22.08</w:t>
      </w:r>
      <w:r w:rsidRPr="00C666E3">
        <w:rPr>
          <w:lang w:val="en-GB"/>
        </w:rPr>
        <w:t xml:space="preserve"> billion</w:t>
      </w:r>
      <w:r>
        <w:rPr>
          <w:rStyle w:val="FootnoteReference"/>
          <w:lang w:val="en-GB"/>
        </w:rPr>
        <w:footnoteReference w:id="5"/>
      </w:r>
      <w:r w:rsidRPr="00C666E3">
        <w:rPr>
          <w:lang w:val="en-GB"/>
        </w:rPr>
        <w:t xml:space="preserve"> </w:t>
      </w:r>
      <w:r>
        <w:rPr>
          <w:lang w:val="en-GB"/>
        </w:rPr>
        <w:t>from</w:t>
      </w:r>
      <w:r w:rsidRPr="00C666E3">
        <w:rPr>
          <w:lang w:val="en-GB"/>
        </w:rPr>
        <w:t xml:space="preserve"> 2,067 outlets (</w:t>
      </w:r>
      <w:r>
        <w:rPr>
          <w:lang w:val="en-GB"/>
        </w:rPr>
        <w:t>see E</w:t>
      </w:r>
      <w:r w:rsidRPr="00C666E3">
        <w:rPr>
          <w:lang w:val="en-GB"/>
        </w:rPr>
        <w:t>xhibit 1) including 214 agencies chosen through a competitive bidding process. The LCBO held the leading market share by value</w:t>
      </w:r>
      <w:r>
        <w:rPr>
          <w:lang w:val="en-GB"/>
        </w:rPr>
        <w:t>,</w:t>
      </w:r>
      <w:r w:rsidRPr="00C666E3">
        <w:rPr>
          <w:lang w:val="en-GB"/>
        </w:rPr>
        <w:t xml:space="preserve"> while </w:t>
      </w:r>
      <w:r>
        <w:rPr>
          <w:lang w:val="en-GB"/>
        </w:rPr>
        <w:t>T</w:t>
      </w:r>
      <w:r w:rsidRPr="00C666E3">
        <w:rPr>
          <w:lang w:val="en-GB"/>
        </w:rPr>
        <w:t xml:space="preserve">he Beer Store </w:t>
      </w:r>
      <w:r>
        <w:rPr>
          <w:lang w:val="en-GB"/>
        </w:rPr>
        <w:t>led in</w:t>
      </w:r>
      <w:r w:rsidRPr="00C666E3">
        <w:rPr>
          <w:lang w:val="en-GB"/>
        </w:rPr>
        <w:t xml:space="preserve"> market share by volume (</w:t>
      </w:r>
      <w:r>
        <w:rPr>
          <w:lang w:val="en-GB"/>
        </w:rPr>
        <w:t>see E</w:t>
      </w:r>
      <w:r w:rsidRPr="00C666E3">
        <w:rPr>
          <w:lang w:val="en-GB"/>
        </w:rPr>
        <w:t xml:space="preserve">xhibit 2). </w:t>
      </w:r>
    </w:p>
    <w:p w14:paraId="1EB55834" w14:textId="77777777" w:rsidR="00C67D8C" w:rsidRPr="00077C08" w:rsidRDefault="00C67D8C" w:rsidP="00C67D8C">
      <w:pPr>
        <w:pStyle w:val="BodyTextMain"/>
        <w:rPr>
          <w:sz w:val="18"/>
          <w:szCs w:val="18"/>
          <w:lang w:val="en-GB"/>
        </w:rPr>
      </w:pPr>
    </w:p>
    <w:p w14:paraId="2E0583B4" w14:textId="60D38C5A" w:rsidR="00C67D8C" w:rsidRPr="00077C08" w:rsidRDefault="00C67D8C" w:rsidP="00C67D8C">
      <w:pPr>
        <w:pStyle w:val="BodyTextMain"/>
        <w:rPr>
          <w:spacing w:val="-2"/>
          <w:kern w:val="22"/>
          <w:lang w:val="en-GB"/>
        </w:rPr>
      </w:pPr>
      <w:r w:rsidRPr="00077C08">
        <w:rPr>
          <w:spacing w:val="-2"/>
          <w:kern w:val="22"/>
          <w:lang w:val="en-GB"/>
        </w:rPr>
        <w:t xml:space="preserve">In November 2014, the provincial government appointed a five-member panel led by W. Edmund Clark, the former CEO of TD Bank Group, to </w:t>
      </w:r>
      <w:proofErr w:type="gramStart"/>
      <w:r w:rsidRPr="00077C08">
        <w:rPr>
          <w:spacing w:val="-2"/>
          <w:kern w:val="22"/>
          <w:lang w:val="en-GB"/>
        </w:rPr>
        <w:t>advise</w:t>
      </w:r>
      <w:proofErr w:type="gramEnd"/>
      <w:r w:rsidRPr="00077C08">
        <w:rPr>
          <w:spacing w:val="-2"/>
          <w:kern w:val="22"/>
          <w:lang w:val="en-GB"/>
        </w:rPr>
        <w:t xml:space="preserve"> on maximizing the returns of government assets such as the LCBO. The Premier’s Advisory Council on Government Assets issued three reports over three years recommending two key changes that were acted on. First, wine, beer</w:t>
      </w:r>
      <w:r w:rsidR="000F4964">
        <w:rPr>
          <w:spacing w:val="-2"/>
          <w:kern w:val="22"/>
          <w:lang w:val="en-GB"/>
        </w:rPr>
        <w:t>,</w:t>
      </w:r>
      <w:r w:rsidRPr="00077C08">
        <w:rPr>
          <w:spacing w:val="-2"/>
          <w:kern w:val="22"/>
          <w:lang w:val="en-GB"/>
        </w:rPr>
        <w:t xml:space="preserve"> and cider, both domestic and imported, would be sold through grocery stores selected through a competitive process. Up to 450 grocery stores would sell beer and cider. Of these, 300 stores would also be allowed to sell wine, including through the relocation of stand-alone wine stores that would be allowed to operate within grocery stores, using a shared checkout. The phase-in period would continue over the next 10 years. Second, a new 10-year Beer Framework was agreed upon with the owners of The Beer Store, opening ownership to all Ontario brewers, appointing an independent </w:t>
      </w:r>
      <w:r w:rsidR="000F4964">
        <w:rPr>
          <w:spacing w:val="-2"/>
          <w:kern w:val="22"/>
          <w:lang w:val="en-GB"/>
        </w:rPr>
        <w:t>b</w:t>
      </w:r>
      <w:r w:rsidRPr="00077C08">
        <w:rPr>
          <w:spacing w:val="-2"/>
          <w:kern w:val="22"/>
          <w:lang w:val="en-GB"/>
        </w:rPr>
        <w:t xml:space="preserve">eer </w:t>
      </w:r>
      <w:r w:rsidR="000F4964">
        <w:rPr>
          <w:spacing w:val="-2"/>
          <w:kern w:val="22"/>
          <w:lang w:val="en-GB"/>
        </w:rPr>
        <w:t>o</w:t>
      </w:r>
      <w:r w:rsidRPr="00077C08">
        <w:rPr>
          <w:spacing w:val="-2"/>
          <w:kern w:val="22"/>
          <w:lang w:val="en-GB"/>
        </w:rPr>
        <w:t xml:space="preserve">mbudsman and extending the Ontario Deposit Return Program contract (among other elements). </w:t>
      </w:r>
    </w:p>
    <w:p w14:paraId="249A6ECD" w14:textId="77777777" w:rsidR="00C67D8C" w:rsidRPr="00077C08" w:rsidRDefault="00C67D8C" w:rsidP="00C67D8C">
      <w:pPr>
        <w:pStyle w:val="BodyTextMain"/>
        <w:rPr>
          <w:sz w:val="18"/>
          <w:szCs w:val="18"/>
          <w:lang w:val="en-GB"/>
        </w:rPr>
      </w:pPr>
    </w:p>
    <w:p w14:paraId="53998337" w14:textId="5E6B974A" w:rsidR="00C67D8C" w:rsidRPr="00C666E3" w:rsidRDefault="00C67D8C" w:rsidP="00C67D8C">
      <w:pPr>
        <w:pStyle w:val="BodyTextMain"/>
        <w:rPr>
          <w:lang w:val="en-GB"/>
        </w:rPr>
      </w:pPr>
      <w:r w:rsidRPr="00C666E3">
        <w:rPr>
          <w:lang w:val="en-GB"/>
        </w:rPr>
        <w:t xml:space="preserve">A survey conducted by </w:t>
      </w:r>
      <w:proofErr w:type="spellStart"/>
      <w:r w:rsidRPr="00C666E3">
        <w:rPr>
          <w:lang w:val="en-GB"/>
        </w:rPr>
        <w:t>Ipsos</w:t>
      </w:r>
      <w:proofErr w:type="spellEnd"/>
      <w:r w:rsidRPr="00C666E3">
        <w:rPr>
          <w:lang w:val="en-GB"/>
        </w:rPr>
        <w:t xml:space="preserve"> in May 2015 on a sample size of 1,000 respondents in Canada had shown the following patterns of beverage alcohol consumption by Canadians.</w:t>
      </w:r>
      <w:r w:rsidRPr="00C666E3">
        <w:rPr>
          <w:vertAlign w:val="superscript"/>
          <w:lang w:val="en-GB"/>
        </w:rPr>
        <w:footnoteReference w:id="6"/>
      </w:r>
      <w:r>
        <w:rPr>
          <w:lang w:val="en-GB"/>
        </w:rPr>
        <w:t xml:space="preserve"> </w:t>
      </w:r>
      <w:r w:rsidRPr="00C666E3">
        <w:rPr>
          <w:lang w:val="en-GB"/>
        </w:rPr>
        <w:t>As per the survey findings, beer was the most popular beverage alcohol among Canadians (57 per cent sought beer</w:t>
      </w:r>
      <w:r>
        <w:rPr>
          <w:lang w:val="en-GB"/>
        </w:rPr>
        <w:t>;</w:t>
      </w:r>
      <w:r w:rsidRPr="00C666E3">
        <w:rPr>
          <w:lang w:val="en-GB"/>
        </w:rPr>
        <w:t xml:space="preserve"> 42 per cent</w:t>
      </w:r>
      <w:r>
        <w:rPr>
          <w:lang w:val="en-GB"/>
        </w:rPr>
        <w:t>,</w:t>
      </w:r>
      <w:r w:rsidRPr="00C666E3">
        <w:rPr>
          <w:lang w:val="en-GB"/>
        </w:rPr>
        <w:t xml:space="preserve"> wine</w:t>
      </w:r>
      <w:r>
        <w:rPr>
          <w:lang w:val="en-GB"/>
        </w:rPr>
        <w:t>;</w:t>
      </w:r>
      <w:r w:rsidRPr="00C666E3">
        <w:rPr>
          <w:lang w:val="en-GB"/>
        </w:rPr>
        <w:t xml:space="preserve"> and 32 per cent</w:t>
      </w:r>
      <w:r>
        <w:rPr>
          <w:lang w:val="en-GB"/>
        </w:rPr>
        <w:t>,</w:t>
      </w:r>
      <w:r w:rsidRPr="00C666E3">
        <w:rPr>
          <w:lang w:val="en-GB"/>
        </w:rPr>
        <w:t xml:space="preserve"> spirits). Evening was the most preferred time for alcohol consumption (66 per cent of consumers </w:t>
      </w:r>
      <w:r w:rsidRPr="00C666E3">
        <w:rPr>
          <w:lang w:val="en-GB"/>
        </w:rPr>
        <w:lastRenderedPageBreak/>
        <w:t>preferred the time between 5</w:t>
      </w:r>
      <w:r w:rsidR="00C7379E">
        <w:rPr>
          <w:lang w:val="en-GB"/>
        </w:rPr>
        <w:t>:00</w:t>
      </w:r>
      <w:r w:rsidRPr="00C666E3">
        <w:rPr>
          <w:lang w:val="en-GB"/>
        </w:rPr>
        <w:t xml:space="preserve"> p</w:t>
      </w:r>
      <w:r>
        <w:rPr>
          <w:lang w:val="en-GB"/>
        </w:rPr>
        <w:t>.</w:t>
      </w:r>
      <w:r w:rsidRPr="00C666E3">
        <w:rPr>
          <w:lang w:val="en-GB"/>
        </w:rPr>
        <w:t>m</w:t>
      </w:r>
      <w:r>
        <w:rPr>
          <w:lang w:val="en-GB"/>
        </w:rPr>
        <w:t>.</w:t>
      </w:r>
      <w:r w:rsidRPr="00C666E3">
        <w:rPr>
          <w:lang w:val="en-GB"/>
        </w:rPr>
        <w:t xml:space="preserve"> and 10</w:t>
      </w:r>
      <w:r w:rsidR="00C7379E">
        <w:rPr>
          <w:lang w:val="en-GB"/>
        </w:rPr>
        <w:t>:00</w:t>
      </w:r>
      <w:r w:rsidRPr="00C666E3">
        <w:rPr>
          <w:lang w:val="en-GB"/>
        </w:rPr>
        <w:t xml:space="preserve"> p</w:t>
      </w:r>
      <w:r>
        <w:rPr>
          <w:lang w:val="en-GB"/>
        </w:rPr>
        <w:t>.</w:t>
      </w:r>
      <w:r w:rsidRPr="00C666E3">
        <w:rPr>
          <w:lang w:val="en-GB"/>
        </w:rPr>
        <w:t>m</w:t>
      </w:r>
      <w:r>
        <w:rPr>
          <w:lang w:val="en-GB"/>
        </w:rPr>
        <w:t>.,</w:t>
      </w:r>
      <w:r w:rsidRPr="00C666E3">
        <w:rPr>
          <w:lang w:val="en-GB"/>
        </w:rPr>
        <w:t xml:space="preserve"> while 18 per cent</w:t>
      </w:r>
      <w:r w:rsidR="00C7379E">
        <w:rPr>
          <w:lang w:val="en-GB"/>
        </w:rPr>
        <w:t xml:space="preserve"> preferred</w:t>
      </w:r>
      <w:r w:rsidRPr="00C666E3">
        <w:rPr>
          <w:lang w:val="en-GB"/>
        </w:rPr>
        <w:t xml:space="preserve"> between noon and 5</w:t>
      </w:r>
      <w:r w:rsidR="00C7379E">
        <w:rPr>
          <w:lang w:val="en-GB"/>
        </w:rPr>
        <w:t>:00</w:t>
      </w:r>
      <w:r w:rsidRPr="00C666E3">
        <w:rPr>
          <w:lang w:val="en-GB"/>
        </w:rPr>
        <w:t xml:space="preserve"> p</w:t>
      </w:r>
      <w:r>
        <w:rPr>
          <w:lang w:val="en-GB"/>
        </w:rPr>
        <w:t>.</w:t>
      </w:r>
      <w:r w:rsidRPr="00C666E3">
        <w:rPr>
          <w:lang w:val="en-GB"/>
        </w:rPr>
        <w:t>m</w:t>
      </w:r>
      <w:r>
        <w:rPr>
          <w:lang w:val="en-GB"/>
        </w:rPr>
        <w:t>.;</w:t>
      </w:r>
      <w:r w:rsidRPr="00C666E3">
        <w:rPr>
          <w:lang w:val="en-GB"/>
        </w:rPr>
        <w:t xml:space="preserve"> </w:t>
      </w:r>
      <w:r>
        <w:rPr>
          <w:lang w:val="en-GB"/>
        </w:rPr>
        <w:t>2</w:t>
      </w:r>
      <w:r w:rsidRPr="00C666E3">
        <w:rPr>
          <w:lang w:val="en-GB"/>
        </w:rPr>
        <w:t xml:space="preserve"> per cent</w:t>
      </w:r>
      <w:r>
        <w:rPr>
          <w:lang w:val="en-GB"/>
        </w:rPr>
        <w:t>,</w:t>
      </w:r>
      <w:r w:rsidRPr="00C666E3">
        <w:rPr>
          <w:lang w:val="en-GB"/>
        </w:rPr>
        <w:t xml:space="preserve"> in the morning</w:t>
      </w:r>
      <w:r>
        <w:rPr>
          <w:lang w:val="en-GB"/>
        </w:rPr>
        <w:t>;</w:t>
      </w:r>
      <w:r w:rsidRPr="00C666E3">
        <w:rPr>
          <w:lang w:val="en-GB"/>
        </w:rPr>
        <w:t xml:space="preserve"> and 14 per cent</w:t>
      </w:r>
      <w:r>
        <w:rPr>
          <w:lang w:val="en-GB"/>
        </w:rPr>
        <w:t>,</w:t>
      </w:r>
      <w:r w:rsidRPr="00C666E3">
        <w:rPr>
          <w:lang w:val="en-GB"/>
        </w:rPr>
        <w:t xml:space="preserve"> at night). </w:t>
      </w:r>
      <w:r>
        <w:rPr>
          <w:lang w:val="en-GB"/>
        </w:rPr>
        <w:t>Most people (</w:t>
      </w:r>
      <w:r w:rsidRPr="00C666E3">
        <w:rPr>
          <w:lang w:val="en-GB"/>
        </w:rPr>
        <w:t>60.5 per cent</w:t>
      </w:r>
      <w:r>
        <w:rPr>
          <w:lang w:val="en-GB"/>
        </w:rPr>
        <w:t>)</w:t>
      </w:r>
      <w:r w:rsidRPr="00C666E3">
        <w:rPr>
          <w:lang w:val="en-GB"/>
        </w:rPr>
        <w:t xml:space="preserve"> preferred alcohol consumption over the weekend</w:t>
      </w:r>
      <w:r>
        <w:rPr>
          <w:lang w:val="en-GB"/>
        </w:rPr>
        <w:t>,</w:t>
      </w:r>
      <w:r w:rsidRPr="00C666E3">
        <w:rPr>
          <w:lang w:val="en-GB"/>
        </w:rPr>
        <w:t xml:space="preserve"> while 39.5 per cent preferred it on weekdays. The most common drinking occasion, for 27 per cent of respondents, was after work while relaxing at home</w:t>
      </w:r>
      <w:r>
        <w:rPr>
          <w:lang w:val="en-GB"/>
        </w:rPr>
        <w:t>;</w:t>
      </w:r>
      <w:r w:rsidRPr="00C666E3">
        <w:rPr>
          <w:lang w:val="en-GB"/>
        </w:rPr>
        <w:t xml:space="preserve"> 21 per cent</w:t>
      </w:r>
      <w:r>
        <w:rPr>
          <w:lang w:val="en-GB"/>
        </w:rPr>
        <w:t>,</w:t>
      </w:r>
      <w:r w:rsidRPr="00C666E3">
        <w:rPr>
          <w:lang w:val="en-GB"/>
        </w:rPr>
        <w:t xml:space="preserve"> while watching a game</w:t>
      </w:r>
      <w:r>
        <w:rPr>
          <w:lang w:val="en-GB"/>
        </w:rPr>
        <w:t>; and</w:t>
      </w:r>
      <w:r w:rsidRPr="00C666E3">
        <w:rPr>
          <w:lang w:val="en-GB"/>
        </w:rPr>
        <w:t xml:space="preserve"> 17 per cent</w:t>
      </w:r>
      <w:r>
        <w:rPr>
          <w:lang w:val="en-GB"/>
        </w:rPr>
        <w:t>,</w:t>
      </w:r>
      <w:r w:rsidRPr="00C666E3">
        <w:rPr>
          <w:lang w:val="en-GB"/>
        </w:rPr>
        <w:t xml:space="preserve"> while having a meal. Home was the preferred place for consuming alcohol for 58 per cent of respondents</w:t>
      </w:r>
      <w:r>
        <w:rPr>
          <w:lang w:val="en-GB"/>
        </w:rPr>
        <w:t>,</w:t>
      </w:r>
      <w:r w:rsidRPr="00C666E3">
        <w:rPr>
          <w:lang w:val="en-GB"/>
        </w:rPr>
        <w:t xml:space="preserve"> while 16 per cent did so at someone else’s place, 10 per cent at a bar, </w:t>
      </w:r>
      <w:r>
        <w:rPr>
          <w:lang w:val="en-GB"/>
        </w:rPr>
        <w:t>6</w:t>
      </w:r>
      <w:r w:rsidRPr="00C666E3">
        <w:rPr>
          <w:lang w:val="en-GB"/>
        </w:rPr>
        <w:t xml:space="preserve"> per cent at a restaurant</w:t>
      </w:r>
      <w:r>
        <w:rPr>
          <w:lang w:val="en-GB"/>
        </w:rPr>
        <w:t>,</w:t>
      </w:r>
      <w:r w:rsidRPr="00C666E3">
        <w:rPr>
          <w:lang w:val="en-GB"/>
        </w:rPr>
        <w:t xml:space="preserve"> and </w:t>
      </w:r>
      <w:r>
        <w:rPr>
          <w:lang w:val="en-GB"/>
        </w:rPr>
        <w:t>3</w:t>
      </w:r>
      <w:r w:rsidRPr="00C666E3">
        <w:rPr>
          <w:lang w:val="en-GB"/>
        </w:rPr>
        <w:t xml:space="preserve"> per cent at a hotel. </w:t>
      </w:r>
      <w:r>
        <w:rPr>
          <w:lang w:val="en-GB"/>
        </w:rPr>
        <w:t>A s</w:t>
      </w:r>
      <w:r w:rsidRPr="00C666E3">
        <w:rPr>
          <w:lang w:val="en-GB"/>
        </w:rPr>
        <w:t>pouse or partner was the drinking companion for 29 per cent</w:t>
      </w:r>
      <w:r>
        <w:rPr>
          <w:lang w:val="en-GB"/>
        </w:rPr>
        <w:t>,</w:t>
      </w:r>
      <w:r w:rsidRPr="00C666E3">
        <w:rPr>
          <w:lang w:val="en-GB"/>
        </w:rPr>
        <w:t xml:space="preserve"> while 21 per cent consumed </w:t>
      </w:r>
      <w:r w:rsidR="00A75D52">
        <w:rPr>
          <w:lang w:val="en-GB"/>
        </w:rPr>
        <w:t xml:space="preserve">alcohol </w:t>
      </w:r>
      <w:r w:rsidRPr="00C666E3">
        <w:rPr>
          <w:lang w:val="en-GB"/>
        </w:rPr>
        <w:t xml:space="preserve">with a group of two </w:t>
      </w:r>
      <w:r>
        <w:rPr>
          <w:lang w:val="en-GB"/>
        </w:rPr>
        <w:t>to</w:t>
      </w:r>
      <w:r w:rsidRPr="00C666E3">
        <w:rPr>
          <w:lang w:val="en-GB"/>
        </w:rPr>
        <w:t xml:space="preserve"> four people</w:t>
      </w:r>
      <w:r>
        <w:rPr>
          <w:lang w:val="en-GB"/>
        </w:rPr>
        <w:t>,</w:t>
      </w:r>
      <w:r w:rsidRPr="00C666E3">
        <w:rPr>
          <w:lang w:val="en-GB"/>
        </w:rPr>
        <w:t xml:space="preserve"> </w:t>
      </w:r>
      <w:r>
        <w:rPr>
          <w:lang w:val="en-GB"/>
        </w:rPr>
        <w:t>and</w:t>
      </w:r>
      <w:r w:rsidRPr="00C666E3">
        <w:rPr>
          <w:lang w:val="en-GB"/>
        </w:rPr>
        <w:t xml:space="preserve"> 20 per cent consumed alone. </w:t>
      </w:r>
      <w:r>
        <w:rPr>
          <w:lang w:val="en-GB"/>
        </w:rPr>
        <w:t xml:space="preserve">Of those surveyed, </w:t>
      </w:r>
      <w:r w:rsidRPr="00C666E3">
        <w:rPr>
          <w:lang w:val="en-GB"/>
        </w:rPr>
        <w:t xml:space="preserve">65 per cent </w:t>
      </w:r>
      <w:r w:rsidR="00A75D52">
        <w:rPr>
          <w:lang w:val="en-GB"/>
        </w:rPr>
        <w:t xml:space="preserve">had </w:t>
      </w:r>
      <w:r w:rsidR="007F77B3">
        <w:rPr>
          <w:lang w:val="en-GB"/>
        </w:rPr>
        <w:t xml:space="preserve">given their feedback for the survey </w:t>
      </w:r>
      <w:r w:rsidR="007F77B3" w:rsidRPr="00C666E3">
        <w:rPr>
          <w:lang w:val="en-GB"/>
        </w:rPr>
        <w:t>in</w:t>
      </w:r>
      <w:r w:rsidRPr="00C666E3">
        <w:rPr>
          <w:lang w:val="en-GB"/>
        </w:rPr>
        <w:t xml:space="preserve"> person</w:t>
      </w:r>
      <w:r>
        <w:rPr>
          <w:lang w:val="en-GB"/>
        </w:rPr>
        <w:t>,</w:t>
      </w:r>
      <w:r w:rsidRPr="00C666E3">
        <w:rPr>
          <w:lang w:val="en-GB"/>
        </w:rPr>
        <w:t xml:space="preserve"> while 20 per cent did so through text messaging, 18 per cent through Facebook postings</w:t>
      </w:r>
      <w:r>
        <w:rPr>
          <w:lang w:val="en-GB"/>
        </w:rPr>
        <w:t>,</w:t>
      </w:r>
      <w:r w:rsidRPr="00C666E3">
        <w:rPr>
          <w:lang w:val="en-GB"/>
        </w:rPr>
        <w:t xml:space="preserve"> and </w:t>
      </w:r>
      <w:r>
        <w:rPr>
          <w:lang w:val="en-GB"/>
        </w:rPr>
        <w:t>7</w:t>
      </w:r>
      <w:r w:rsidRPr="00C666E3">
        <w:rPr>
          <w:lang w:val="en-GB"/>
        </w:rPr>
        <w:t xml:space="preserve"> per cent through tweets.</w:t>
      </w:r>
    </w:p>
    <w:p w14:paraId="434BBF87" w14:textId="77777777" w:rsidR="00C67D8C" w:rsidRPr="00077C08" w:rsidRDefault="00C67D8C" w:rsidP="00C67D8C">
      <w:pPr>
        <w:pStyle w:val="BodyTextMain"/>
        <w:rPr>
          <w:sz w:val="18"/>
          <w:szCs w:val="18"/>
          <w:lang w:val="en-GB"/>
        </w:rPr>
      </w:pPr>
    </w:p>
    <w:p w14:paraId="4BFF831F" w14:textId="77777777" w:rsidR="00C67D8C" w:rsidRPr="00077C08" w:rsidRDefault="00C67D8C" w:rsidP="00C67D8C">
      <w:pPr>
        <w:pStyle w:val="BodyTextMain"/>
        <w:rPr>
          <w:sz w:val="18"/>
          <w:szCs w:val="18"/>
          <w:lang w:val="en-GB"/>
        </w:rPr>
      </w:pPr>
    </w:p>
    <w:p w14:paraId="24561760" w14:textId="77777777" w:rsidR="00C67D8C" w:rsidRPr="00C666E3" w:rsidRDefault="00C67D8C" w:rsidP="00C67D8C">
      <w:pPr>
        <w:pStyle w:val="Casehead1"/>
        <w:rPr>
          <w:lang w:val="en-GB"/>
        </w:rPr>
      </w:pPr>
      <w:r>
        <w:rPr>
          <w:lang w:val="en-GB"/>
        </w:rPr>
        <w:t xml:space="preserve">ThE </w:t>
      </w:r>
      <w:r w:rsidRPr="00C666E3">
        <w:rPr>
          <w:lang w:val="en-GB"/>
        </w:rPr>
        <w:t>LCBO</w:t>
      </w:r>
    </w:p>
    <w:p w14:paraId="15CB92EC" w14:textId="77777777" w:rsidR="00C67D8C" w:rsidRPr="00077C08" w:rsidRDefault="00C67D8C" w:rsidP="00C67D8C">
      <w:pPr>
        <w:pStyle w:val="BodyTextMain"/>
        <w:rPr>
          <w:sz w:val="18"/>
          <w:szCs w:val="18"/>
          <w:lang w:val="en-GB"/>
        </w:rPr>
      </w:pPr>
    </w:p>
    <w:p w14:paraId="3DD0216E" w14:textId="77777777" w:rsidR="00C67D8C" w:rsidRPr="00C666E3" w:rsidRDefault="00C67D8C" w:rsidP="00C67D8C">
      <w:pPr>
        <w:pStyle w:val="BodyTextMain"/>
        <w:rPr>
          <w:lang w:val="en-GB"/>
        </w:rPr>
      </w:pPr>
      <w:r w:rsidRPr="00C666E3">
        <w:rPr>
          <w:lang w:val="en-GB"/>
        </w:rPr>
        <w:t xml:space="preserve">The LCBO focused on the demand side of the alcoholic beverages business within the province of Ontario. It was </w:t>
      </w:r>
      <w:r>
        <w:rPr>
          <w:lang w:val="en-GB"/>
        </w:rPr>
        <w:t xml:space="preserve">both </w:t>
      </w:r>
      <w:r w:rsidRPr="00C666E3">
        <w:rPr>
          <w:lang w:val="en-GB"/>
        </w:rPr>
        <w:t xml:space="preserve">a retailer and </w:t>
      </w:r>
      <w:r>
        <w:rPr>
          <w:lang w:val="en-GB"/>
        </w:rPr>
        <w:t xml:space="preserve">a </w:t>
      </w:r>
      <w:r w:rsidRPr="00C666E3">
        <w:rPr>
          <w:lang w:val="en-GB"/>
        </w:rPr>
        <w:t xml:space="preserve">distributor. As one of the largest buyers of alcohol products in the world, it was mandated to sell alcohol directly to the public. Set up as a government agency in 1927, the LCBO was incorporated in 1975 as a </w:t>
      </w:r>
      <w:r>
        <w:rPr>
          <w:lang w:val="en-GB"/>
        </w:rPr>
        <w:t>C</w:t>
      </w:r>
      <w:r w:rsidRPr="00C666E3">
        <w:rPr>
          <w:lang w:val="en-GB"/>
        </w:rPr>
        <w:t xml:space="preserve">rown corporation of the province of Ontario. </w:t>
      </w:r>
    </w:p>
    <w:p w14:paraId="749F4D8D" w14:textId="77777777" w:rsidR="00C67D8C" w:rsidRPr="00077C08" w:rsidRDefault="00C67D8C" w:rsidP="00C67D8C">
      <w:pPr>
        <w:pStyle w:val="BodyTextMain"/>
        <w:rPr>
          <w:sz w:val="18"/>
          <w:szCs w:val="18"/>
          <w:lang w:val="en-GB"/>
        </w:rPr>
      </w:pPr>
    </w:p>
    <w:p w14:paraId="1E6F1D33" w14:textId="07022B64" w:rsidR="00C67D8C" w:rsidRPr="00C666E3" w:rsidRDefault="00C67D8C" w:rsidP="00C67D8C">
      <w:pPr>
        <w:pStyle w:val="BodyTextMain"/>
        <w:rPr>
          <w:lang w:val="en-GB"/>
        </w:rPr>
      </w:pPr>
      <w:r w:rsidRPr="00C666E3">
        <w:rPr>
          <w:lang w:val="en-GB"/>
        </w:rPr>
        <w:t xml:space="preserve">Driven by the vision of “serving as the destination of Ontarians for the world’s wines, beers and spirits,” the LCBO’s mission was not only </w:t>
      </w:r>
      <w:r w:rsidR="00A75D52">
        <w:rPr>
          <w:lang w:val="en-GB"/>
        </w:rPr>
        <w:t xml:space="preserve">to </w:t>
      </w:r>
      <w:r w:rsidRPr="00C666E3">
        <w:rPr>
          <w:lang w:val="en-GB"/>
        </w:rPr>
        <w:t xml:space="preserve">support the </w:t>
      </w:r>
      <w:r>
        <w:rPr>
          <w:lang w:val="en-GB"/>
        </w:rPr>
        <w:t xml:space="preserve">province’s </w:t>
      </w:r>
      <w:r w:rsidRPr="00C666E3">
        <w:rPr>
          <w:lang w:val="en-GB"/>
        </w:rPr>
        <w:t>small breweries, distilleries</w:t>
      </w:r>
      <w:r>
        <w:rPr>
          <w:lang w:val="en-GB"/>
        </w:rPr>
        <w:t>,</w:t>
      </w:r>
      <w:r w:rsidRPr="00C666E3">
        <w:rPr>
          <w:lang w:val="en-GB"/>
        </w:rPr>
        <w:t xml:space="preserve"> and wineries</w:t>
      </w:r>
      <w:r>
        <w:rPr>
          <w:lang w:val="en-GB"/>
        </w:rPr>
        <w:t>,</w:t>
      </w:r>
      <w:r w:rsidRPr="00C666E3">
        <w:rPr>
          <w:lang w:val="en-GB"/>
        </w:rPr>
        <w:t xml:space="preserve"> which were generating local jobs and bringing in tourism revenue</w:t>
      </w:r>
      <w:r w:rsidR="00A75D52">
        <w:rPr>
          <w:lang w:val="en-GB"/>
        </w:rPr>
        <w:t>,</w:t>
      </w:r>
      <w:r w:rsidRPr="00C666E3">
        <w:rPr>
          <w:lang w:val="en-GB"/>
        </w:rPr>
        <w:t xml:space="preserve"> but </w:t>
      </w:r>
      <w:r>
        <w:rPr>
          <w:lang w:val="en-GB"/>
        </w:rPr>
        <w:t xml:space="preserve">also </w:t>
      </w:r>
      <w:r w:rsidR="00A75D52">
        <w:rPr>
          <w:lang w:val="en-GB"/>
        </w:rPr>
        <w:t xml:space="preserve">to </w:t>
      </w:r>
      <w:r w:rsidRPr="00C666E3">
        <w:rPr>
          <w:lang w:val="en-GB"/>
        </w:rPr>
        <w:t xml:space="preserve">be “the best in class, socially responsible, customer focused and </w:t>
      </w:r>
      <w:r w:rsidR="00A75D52">
        <w:rPr>
          <w:lang w:val="en-GB"/>
        </w:rPr>
        <w:t xml:space="preserve">[a] </w:t>
      </w:r>
      <w:r w:rsidRPr="00C666E3">
        <w:rPr>
          <w:lang w:val="en-GB"/>
        </w:rPr>
        <w:t>profitable retailer of alcohol.”</w:t>
      </w:r>
      <w:r>
        <w:rPr>
          <w:rStyle w:val="FootnoteReference"/>
          <w:lang w:val="en-GB"/>
        </w:rPr>
        <w:footnoteReference w:id="7"/>
      </w:r>
    </w:p>
    <w:p w14:paraId="27BFF47C" w14:textId="77777777" w:rsidR="00C67D8C" w:rsidRPr="00077C08" w:rsidRDefault="00C67D8C" w:rsidP="00C67D8C">
      <w:pPr>
        <w:pStyle w:val="BodyTextMain"/>
        <w:rPr>
          <w:sz w:val="18"/>
          <w:szCs w:val="18"/>
          <w:lang w:val="en-GB"/>
        </w:rPr>
      </w:pPr>
    </w:p>
    <w:p w14:paraId="0A13136A" w14:textId="79474F1A" w:rsidR="00C67D8C" w:rsidRPr="00C666E3" w:rsidRDefault="00C67D8C" w:rsidP="00C67D8C">
      <w:pPr>
        <w:pStyle w:val="BodyTextMain"/>
        <w:rPr>
          <w:lang w:val="en-GB"/>
        </w:rPr>
      </w:pPr>
      <w:r w:rsidRPr="00C666E3">
        <w:rPr>
          <w:lang w:val="en-GB"/>
        </w:rPr>
        <w:t xml:space="preserve">For the year ended March 2016, </w:t>
      </w:r>
      <w:r>
        <w:rPr>
          <w:lang w:val="en-GB"/>
        </w:rPr>
        <w:t xml:space="preserve">the </w:t>
      </w:r>
      <w:r w:rsidRPr="00C666E3">
        <w:rPr>
          <w:lang w:val="en-GB"/>
        </w:rPr>
        <w:t>LCBO had generated revenues of $5.57 billion and net income of $1.97 billion (</w:t>
      </w:r>
      <w:r>
        <w:rPr>
          <w:lang w:val="en-GB"/>
        </w:rPr>
        <w:t>see E</w:t>
      </w:r>
      <w:r w:rsidRPr="00C666E3">
        <w:rPr>
          <w:lang w:val="en-GB"/>
        </w:rPr>
        <w:t>xhibit 3). It had paid a dividend of $1.94 billion for the year to the provincial government, its sole shareholder. The company ha</w:t>
      </w:r>
      <w:r>
        <w:rPr>
          <w:lang w:val="en-GB"/>
        </w:rPr>
        <w:t>d</w:t>
      </w:r>
      <w:r w:rsidRPr="00C666E3">
        <w:rPr>
          <w:lang w:val="en-GB"/>
        </w:rPr>
        <w:t xml:space="preserve"> five retail service cent</w:t>
      </w:r>
      <w:r>
        <w:rPr>
          <w:lang w:val="en-GB"/>
        </w:rPr>
        <w:t>re</w:t>
      </w:r>
      <w:r w:rsidRPr="00C666E3">
        <w:rPr>
          <w:lang w:val="en-GB"/>
        </w:rPr>
        <w:t>s (in Durham, London, Ottawa, Thunder Bay</w:t>
      </w:r>
      <w:r>
        <w:rPr>
          <w:lang w:val="en-GB"/>
        </w:rPr>
        <w:t>,</w:t>
      </w:r>
      <w:r w:rsidRPr="00C666E3">
        <w:rPr>
          <w:lang w:val="en-GB"/>
        </w:rPr>
        <w:t xml:space="preserve"> and Toronto) </w:t>
      </w:r>
      <w:r>
        <w:rPr>
          <w:lang w:val="en-GB"/>
        </w:rPr>
        <w:t xml:space="preserve">that </w:t>
      </w:r>
      <w:r w:rsidRPr="00C666E3">
        <w:rPr>
          <w:lang w:val="en-GB"/>
        </w:rPr>
        <w:t>distribut</w:t>
      </w:r>
      <w:r>
        <w:rPr>
          <w:lang w:val="en-GB"/>
        </w:rPr>
        <w:t>ed</w:t>
      </w:r>
      <w:r w:rsidRPr="00C666E3">
        <w:rPr>
          <w:lang w:val="en-GB"/>
        </w:rPr>
        <w:t xml:space="preserve"> 24,000 stock-keeping</w:t>
      </w:r>
      <w:r>
        <w:rPr>
          <w:lang w:val="en-GB"/>
        </w:rPr>
        <w:t xml:space="preserve"> </w:t>
      </w:r>
      <w:r w:rsidRPr="00C666E3">
        <w:rPr>
          <w:lang w:val="en-GB"/>
        </w:rPr>
        <w:t>units to 654 stores in the province. Wine, spirits</w:t>
      </w:r>
      <w:r>
        <w:rPr>
          <w:lang w:val="en-GB"/>
        </w:rPr>
        <w:t>,</w:t>
      </w:r>
      <w:r w:rsidRPr="00C666E3">
        <w:rPr>
          <w:lang w:val="en-GB"/>
        </w:rPr>
        <w:t xml:space="preserve"> and beer were the </w:t>
      </w:r>
      <w:r>
        <w:rPr>
          <w:lang w:val="en-GB"/>
        </w:rPr>
        <w:t xml:space="preserve">LCBO’s </w:t>
      </w:r>
      <w:r w:rsidRPr="00C666E3">
        <w:rPr>
          <w:lang w:val="en-GB"/>
        </w:rPr>
        <w:t>largest selling categories, in that order (</w:t>
      </w:r>
      <w:r>
        <w:rPr>
          <w:lang w:val="en-GB"/>
        </w:rPr>
        <w:t>see E</w:t>
      </w:r>
      <w:r w:rsidRPr="00C666E3">
        <w:rPr>
          <w:lang w:val="en-GB"/>
        </w:rPr>
        <w:t xml:space="preserve">xhibit 4). Although it ranked second in market share by volume </w:t>
      </w:r>
      <w:r w:rsidR="00A75D52">
        <w:rPr>
          <w:lang w:val="en-GB"/>
        </w:rPr>
        <w:t>after</w:t>
      </w:r>
      <w:r w:rsidRPr="00C666E3">
        <w:rPr>
          <w:lang w:val="en-GB"/>
        </w:rPr>
        <w:t xml:space="preserve"> </w:t>
      </w:r>
      <w:r>
        <w:rPr>
          <w:lang w:val="en-GB"/>
        </w:rPr>
        <w:t>T</w:t>
      </w:r>
      <w:r w:rsidRPr="00C666E3">
        <w:rPr>
          <w:lang w:val="en-GB"/>
        </w:rPr>
        <w:t>he Beer Store</w:t>
      </w:r>
      <w:r>
        <w:rPr>
          <w:lang w:val="en-GB"/>
        </w:rPr>
        <w:t xml:space="preserve"> in 2016</w:t>
      </w:r>
      <w:r w:rsidRPr="00C666E3">
        <w:rPr>
          <w:lang w:val="en-GB"/>
        </w:rPr>
        <w:t>, the LCBO held the majority market share by value, at 53.2 per cent. It had been regularly improving its market share every year because, among other reasons, it was a broad service retailer carrying the full range of alcoholic beverages. It was also showing regular improvements, every year, in several growth metrics (</w:t>
      </w:r>
      <w:r>
        <w:rPr>
          <w:lang w:val="en-GB"/>
        </w:rPr>
        <w:t>see E</w:t>
      </w:r>
      <w:r w:rsidRPr="00C666E3">
        <w:rPr>
          <w:lang w:val="en-GB"/>
        </w:rPr>
        <w:t>xhibit 5).</w:t>
      </w:r>
    </w:p>
    <w:p w14:paraId="18DC7F3C" w14:textId="77777777" w:rsidR="00C67D8C" w:rsidRPr="00077C08" w:rsidRDefault="00C67D8C" w:rsidP="00C67D8C">
      <w:pPr>
        <w:pStyle w:val="BodyTextMain"/>
        <w:rPr>
          <w:sz w:val="18"/>
          <w:szCs w:val="18"/>
          <w:lang w:val="en-GB"/>
        </w:rPr>
      </w:pPr>
    </w:p>
    <w:p w14:paraId="5E09DD56" w14:textId="77777777" w:rsidR="00C67D8C" w:rsidRPr="00C666E3" w:rsidRDefault="00C67D8C" w:rsidP="00C67D8C">
      <w:pPr>
        <w:pStyle w:val="BodyTextMain"/>
        <w:rPr>
          <w:lang w:val="en-GB"/>
        </w:rPr>
      </w:pPr>
      <w:r w:rsidRPr="00C666E3">
        <w:rPr>
          <w:lang w:val="en-GB"/>
        </w:rPr>
        <w:t xml:space="preserve">In recommending a new distribution channel through grocery stores in April 2015, the </w:t>
      </w:r>
      <w:bookmarkStart w:id="2" w:name="_Hlk503456757"/>
      <w:r w:rsidRPr="00C666E3">
        <w:rPr>
          <w:lang w:val="en-GB"/>
        </w:rPr>
        <w:t xml:space="preserve">Asset Review Council </w:t>
      </w:r>
      <w:bookmarkEnd w:id="2"/>
      <w:r w:rsidRPr="00C666E3">
        <w:rPr>
          <w:lang w:val="en-GB"/>
        </w:rPr>
        <w:t xml:space="preserve">had reinforced </w:t>
      </w:r>
      <w:r>
        <w:rPr>
          <w:lang w:val="en-GB"/>
        </w:rPr>
        <w:t>the LCBO’s three</w:t>
      </w:r>
      <w:r w:rsidRPr="00C666E3">
        <w:rPr>
          <w:lang w:val="en-GB"/>
        </w:rPr>
        <w:t xml:space="preserve"> prevailing areas of differentiation</w:t>
      </w:r>
      <w:r>
        <w:rPr>
          <w:lang w:val="en-GB"/>
        </w:rPr>
        <w:t>:</w:t>
      </w:r>
      <w:r w:rsidRPr="00C666E3">
        <w:rPr>
          <w:lang w:val="en-GB"/>
        </w:rPr>
        <w:t xml:space="preserve"> </w:t>
      </w:r>
      <w:r>
        <w:rPr>
          <w:lang w:val="en-GB"/>
        </w:rPr>
        <w:t>t</w:t>
      </w:r>
      <w:r w:rsidRPr="00C666E3">
        <w:rPr>
          <w:lang w:val="en-GB"/>
        </w:rPr>
        <w:t>he LCBO would still be the only organization to sell spirits</w:t>
      </w:r>
      <w:r>
        <w:rPr>
          <w:lang w:val="en-GB"/>
        </w:rPr>
        <w:t>,</w:t>
      </w:r>
      <w:r w:rsidRPr="00C666E3">
        <w:rPr>
          <w:lang w:val="en-GB"/>
        </w:rPr>
        <w:t xml:space="preserve"> the only </w:t>
      </w:r>
      <w:r>
        <w:rPr>
          <w:lang w:val="en-GB"/>
        </w:rPr>
        <w:t xml:space="preserve">retailer </w:t>
      </w:r>
      <w:r w:rsidRPr="00C666E3">
        <w:rPr>
          <w:lang w:val="en-GB"/>
        </w:rPr>
        <w:t>to sell wines priced at less than $10.95</w:t>
      </w:r>
      <w:r>
        <w:rPr>
          <w:lang w:val="en-GB"/>
        </w:rPr>
        <w:t>,</w:t>
      </w:r>
      <w:r w:rsidRPr="00C666E3">
        <w:rPr>
          <w:lang w:val="en-GB"/>
        </w:rPr>
        <w:t xml:space="preserve"> </w:t>
      </w:r>
      <w:r>
        <w:rPr>
          <w:lang w:val="en-GB"/>
        </w:rPr>
        <w:t xml:space="preserve">and </w:t>
      </w:r>
      <w:r w:rsidRPr="00C666E3">
        <w:rPr>
          <w:lang w:val="en-GB"/>
        </w:rPr>
        <w:t xml:space="preserve">the only alcoholic beverages retailer to be allowed to sell online. </w:t>
      </w:r>
    </w:p>
    <w:p w14:paraId="3B7D2374" w14:textId="77777777" w:rsidR="00C67D8C" w:rsidRPr="00077C08" w:rsidRDefault="00C67D8C" w:rsidP="00C67D8C">
      <w:pPr>
        <w:pStyle w:val="BodyTextMain"/>
        <w:rPr>
          <w:sz w:val="18"/>
          <w:szCs w:val="18"/>
          <w:lang w:val="en-GB"/>
        </w:rPr>
      </w:pPr>
    </w:p>
    <w:p w14:paraId="4AC5F29B" w14:textId="77777777" w:rsidR="00C67D8C" w:rsidRPr="00C666E3" w:rsidRDefault="00C67D8C" w:rsidP="00C67D8C">
      <w:pPr>
        <w:pStyle w:val="BodyTextMain"/>
        <w:rPr>
          <w:bCs/>
          <w:lang w:val="en-GB"/>
        </w:rPr>
      </w:pPr>
      <w:r w:rsidRPr="00C666E3">
        <w:rPr>
          <w:bCs/>
          <w:lang w:val="en-GB"/>
        </w:rPr>
        <w:t>The recommendation had also turned the spotlight on a major constraint</w:t>
      </w:r>
      <w:r>
        <w:rPr>
          <w:bCs/>
          <w:lang w:val="en-GB"/>
        </w:rPr>
        <w:t>—</w:t>
      </w:r>
      <w:r w:rsidRPr="00C666E3">
        <w:rPr>
          <w:bCs/>
          <w:lang w:val="en-GB"/>
        </w:rPr>
        <w:t>labo</w:t>
      </w:r>
      <w:r>
        <w:rPr>
          <w:bCs/>
          <w:lang w:val="en-GB"/>
        </w:rPr>
        <w:t>u</w:t>
      </w:r>
      <w:r w:rsidRPr="00C666E3">
        <w:rPr>
          <w:bCs/>
          <w:lang w:val="en-GB"/>
        </w:rPr>
        <w:t>r costs. A court</w:t>
      </w:r>
      <w:r>
        <w:rPr>
          <w:bCs/>
          <w:lang w:val="en-GB"/>
        </w:rPr>
        <w:t>-</w:t>
      </w:r>
      <w:r w:rsidRPr="00C666E3">
        <w:rPr>
          <w:bCs/>
          <w:lang w:val="en-GB"/>
        </w:rPr>
        <w:t>appointed arbitrator review</w:t>
      </w:r>
      <w:r>
        <w:rPr>
          <w:bCs/>
          <w:lang w:val="en-GB"/>
        </w:rPr>
        <w:t>ed</w:t>
      </w:r>
      <w:r w:rsidRPr="00C666E3">
        <w:rPr>
          <w:bCs/>
          <w:lang w:val="en-GB"/>
        </w:rPr>
        <w:t xml:space="preserve"> the hourly wage rate for both full</w:t>
      </w:r>
      <w:r>
        <w:rPr>
          <w:bCs/>
          <w:lang w:val="en-GB"/>
        </w:rPr>
        <w:t>-</w:t>
      </w:r>
      <w:r w:rsidRPr="00C666E3">
        <w:rPr>
          <w:bCs/>
          <w:lang w:val="en-GB"/>
        </w:rPr>
        <w:t>time and part</w:t>
      </w:r>
      <w:r>
        <w:rPr>
          <w:bCs/>
          <w:lang w:val="en-GB"/>
        </w:rPr>
        <w:t>-</w:t>
      </w:r>
      <w:r w:rsidRPr="00C666E3">
        <w:rPr>
          <w:bCs/>
          <w:lang w:val="en-GB"/>
        </w:rPr>
        <w:t>time store employees</w:t>
      </w:r>
      <w:r>
        <w:rPr>
          <w:bCs/>
          <w:lang w:val="en-GB"/>
        </w:rPr>
        <w:t>, who were</w:t>
      </w:r>
      <w:r w:rsidRPr="00C666E3">
        <w:rPr>
          <w:bCs/>
          <w:lang w:val="en-GB"/>
        </w:rPr>
        <w:t xml:space="preserve"> known as customer service representatives (CSRs). It was believed that, under a ruling expected in February 2017, the hourly rate for CSRs would </w:t>
      </w:r>
      <w:r>
        <w:rPr>
          <w:bCs/>
          <w:lang w:val="en-GB"/>
        </w:rPr>
        <w:t>increase</w:t>
      </w:r>
      <w:r w:rsidRPr="00C666E3">
        <w:rPr>
          <w:bCs/>
          <w:lang w:val="en-GB"/>
        </w:rPr>
        <w:t xml:space="preserve"> to $27.50, taking the company’s salary</w:t>
      </w:r>
      <w:r>
        <w:rPr>
          <w:bCs/>
          <w:lang w:val="en-GB"/>
        </w:rPr>
        <w:t>-</w:t>
      </w:r>
      <w:r w:rsidRPr="00C666E3">
        <w:rPr>
          <w:bCs/>
          <w:lang w:val="en-GB"/>
        </w:rPr>
        <w:t>to</w:t>
      </w:r>
      <w:r>
        <w:rPr>
          <w:bCs/>
          <w:lang w:val="en-GB"/>
        </w:rPr>
        <w:t>-</w:t>
      </w:r>
      <w:r w:rsidRPr="00C666E3">
        <w:rPr>
          <w:bCs/>
          <w:lang w:val="en-GB"/>
        </w:rPr>
        <w:t xml:space="preserve">sales ratio to </w:t>
      </w:r>
      <w:r>
        <w:rPr>
          <w:bCs/>
          <w:lang w:val="en-GB"/>
        </w:rPr>
        <w:t>6</w:t>
      </w:r>
      <w:r w:rsidRPr="00C666E3">
        <w:rPr>
          <w:bCs/>
          <w:lang w:val="en-GB"/>
        </w:rPr>
        <w:t xml:space="preserve"> per cent. The ratio was lower than the retail industry in general because of the LCBO’s higher employee productivity. But the ruling would make </w:t>
      </w:r>
      <w:r>
        <w:rPr>
          <w:bCs/>
          <w:lang w:val="en-GB"/>
        </w:rPr>
        <w:t xml:space="preserve">the </w:t>
      </w:r>
      <w:r w:rsidRPr="00C666E3">
        <w:rPr>
          <w:bCs/>
          <w:lang w:val="en-GB"/>
        </w:rPr>
        <w:t xml:space="preserve">LCBO’s CSRs the highest paid in their category in the province. </w:t>
      </w:r>
    </w:p>
    <w:p w14:paraId="7FD050B6" w14:textId="77777777" w:rsidR="00A75D52" w:rsidRDefault="00A75D52" w:rsidP="00C67D8C">
      <w:pPr>
        <w:pStyle w:val="BodyTextMain"/>
        <w:rPr>
          <w:bCs/>
          <w:lang w:val="en-GB"/>
        </w:rPr>
      </w:pPr>
    </w:p>
    <w:p w14:paraId="26F8F981" w14:textId="3ECB2A54" w:rsidR="00C67D8C" w:rsidRPr="00C666E3" w:rsidRDefault="00C67D8C" w:rsidP="00C67D8C">
      <w:pPr>
        <w:pStyle w:val="BodyTextMain"/>
        <w:rPr>
          <w:bCs/>
          <w:lang w:val="en-GB"/>
        </w:rPr>
      </w:pPr>
      <w:r w:rsidRPr="00C666E3">
        <w:rPr>
          <w:bCs/>
          <w:lang w:val="en-GB"/>
        </w:rPr>
        <w:t xml:space="preserve">As of March 2016, </w:t>
      </w:r>
      <w:r>
        <w:rPr>
          <w:bCs/>
          <w:lang w:val="en-GB"/>
        </w:rPr>
        <w:t xml:space="preserve">the </w:t>
      </w:r>
      <w:r w:rsidRPr="00C666E3">
        <w:rPr>
          <w:bCs/>
          <w:lang w:val="en-GB"/>
        </w:rPr>
        <w:t>LCBO had 6,665 full</w:t>
      </w:r>
      <w:r>
        <w:rPr>
          <w:bCs/>
          <w:lang w:val="en-GB"/>
        </w:rPr>
        <w:t>-</w:t>
      </w:r>
      <w:r w:rsidRPr="00C666E3">
        <w:rPr>
          <w:bCs/>
          <w:lang w:val="en-GB"/>
        </w:rPr>
        <w:t xml:space="preserve">time employees and </w:t>
      </w:r>
      <w:r>
        <w:rPr>
          <w:bCs/>
          <w:lang w:val="en-GB"/>
        </w:rPr>
        <w:t>approximately</w:t>
      </w:r>
      <w:r w:rsidRPr="00C666E3">
        <w:rPr>
          <w:bCs/>
          <w:lang w:val="en-GB"/>
        </w:rPr>
        <w:t xml:space="preserve"> 1,000</w:t>
      </w:r>
      <w:r>
        <w:rPr>
          <w:bCs/>
          <w:lang w:val="en-GB"/>
        </w:rPr>
        <w:t xml:space="preserve"> </w:t>
      </w:r>
      <w:r w:rsidRPr="00C666E3">
        <w:rPr>
          <w:bCs/>
          <w:lang w:val="en-GB"/>
        </w:rPr>
        <w:t>part</w:t>
      </w:r>
      <w:r>
        <w:rPr>
          <w:bCs/>
          <w:lang w:val="en-GB"/>
        </w:rPr>
        <w:t>-</w:t>
      </w:r>
      <w:r w:rsidRPr="00C666E3">
        <w:rPr>
          <w:bCs/>
          <w:lang w:val="en-GB"/>
        </w:rPr>
        <w:t xml:space="preserve">time employees. In addition, </w:t>
      </w:r>
      <w:r>
        <w:rPr>
          <w:bCs/>
          <w:lang w:val="en-GB"/>
        </w:rPr>
        <w:t xml:space="preserve">each year </w:t>
      </w:r>
      <w:r w:rsidRPr="00C666E3">
        <w:rPr>
          <w:bCs/>
          <w:lang w:val="en-GB"/>
        </w:rPr>
        <w:t>during the six</w:t>
      </w:r>
      <w:r>
        <w:rPr>
          <w:bCs/>
          <w:lang w:val="en-GB"/>
        </w:rPr>
        <w:t>-</w:t>
      </w:r>
      <w:r w:rsidRPr="00C666E3">
        <w:rPr>
          <w:bCs/>
          <w:lang w:val="en-GB"/>
        </w:rPr>
        <w:t xml:space="preserve">week </w:t>
      </w:r>
      <w:r>
        <w:rPr>
          <w:bCs/>
          <w:lang w:val="en-GB"/>
        </w:rPr>
        <w:t>holiday</w:t>
      </w:r>
      <w:r w:rsidRPr="00C666E3">
        <w:rPr>
          <w:bCs/>
          <w:lang w:val="en-GB"/>
        </w:rPr>
        <w:t xml:space="preserve"> season, 2,500 fixed</w:t>
      </w:r>
      <w:r>
        <w:rPr>
          <w:bCs/>
          <w:lang w:val="en-GB"/>
        </w:rPr>
        <w:t>-</w:t>
      </w:r>
      <w:r w:rsidRPr="00C666E3">
        <w:rPr>
          <w:bCs/>
          <w:lang w:val="en-GB"/>
        </w:rPr>
        <w:t xml:space="preserve">term employees </w:t>
      </w:r>
      <w:r w:rsidR="00A75D52">
        <w:rPr>
          <w:bCs/>
          <w:lang w:val="en-GB"/>
        </w:rPr>
        <w:t>(</w:t>
      </w:r>
      <w:r w:rsidRPr="00C666E3">
        <w:rPr>
          <w:bCs/>
          <w:lang w:val="en-GB"/>
        </w:rPr>
        <w:t>as they were called</w:t>
      </w:r>
      <w:r w:rsidR="00A75D52">
        <w:rPr>
          <w:bCs/>
          <w:lang w:val="en-GB"/>
        </w:rPr>
        <w:t>)</w:t>
      </w:r>
      <w:r w:rsidRPr="00C666E3">
        <w:rPr>
          <w:bCs/>
          <w:lang w:val="en-GB"/>
        </w:rPr>
        <w:t xml:space="preserve"> </w:t>
      </w:r>
      <w:r>
        <w:rPr>
          <w:bCs/>
          <w:lang w:val="en-GB"/>
        </w:rPr>
        <w:t>were hired</w:t>
      </w:r>
      <w:r w:rsidRPr="00C666E3">
        <w:rPr>
          <w:bCs/>
          <w:lang w:val="en-GB"/>
        </w:rPr>
        <w:t xml:space="preserve"> at an hourly rate of $15. </w:t>
      </w:r>
    </w:p>
    <w:p w14:paraId="3888917F" w14:textId="1323B62E" w:rsidR="00C67D8C" w:rsidRPr="00C666E3" w:rsidRDefault="00C67D8C" w:rsidP="00C67D8C">
      <w:pPr>
        <w:pStyle w:val="BodyTextMain"/>
        <w:rPr>
          <w:bCs/>
          <w:lang w:val="en-GB"/>
        </w:rPr>
      </w:pPr>
      <w:r w:rsidRPr="00C666E3">
        <w:rPr>
          <w:bCs/>
          <w:lang w:val="en-GB"/>
        </w:rPr>
        <w:lastRenderedPageBreak/>
        <w:t xml:space="preserve">Patrick Ford, </w:t>
      </w:r>
      <w:r>
        <w:rPr>
          <w:bCs/>
          <w:lang w:val="en-GB"/>
        </w:rPr>
        <w:t>s</w:t>
      </w:r>
      <w:r w:rsidRPr="00C666E3">
        <w:rPr>
          <w:bCs/>
          <w:lang w:val="en-GB"/>
        </w:rPr>
        <w:t xml:space="preserve">enior </w:t>
      </w:r>
      <w:r>
        <w:rPr>
          <w:bCs/>
          <w:lang w:val="en-GB"/>
        </w:rPr>
        <w:t>v</w:t>
      </w:r>
      <w:r w:rsidRPr="00C666E3">
        <w:rPr>
          <w:bCs/>
          <w:lang w:val="en-GB"/>
        </w:rPr>
        <w:t>ice</w:t>
      </w:r>
      <w:r>
        <w:rPr>
          <w:bCs/>
          <w:lang w:val="en-GB"/>
        </w:rPr>
        <w:t>-p</w:t>
      </w:r>
      <w:r w:rsidRPr="00C666E3">
        <w:rPr>
          <w:bCs/>
          <w:lang w:val="en-GB"/>
        </w:rPr>
        <w:t>resident, Human Resources</w:t>
      </w:r>
      <w:r w:rsidR="00A75D52">
        <w:rPr>
          <w:bCs/>
          <w:lang w:val="en-GB"/>
        </w:rPr>
        <w:t>, explained</w:t>
      </w:r>
      <w:r w:rsidRPr="00C666E3">
        <w:rPr>
          <w:bCs/>
          <w:lang w:val="en-GB"/>
        </w:rPr>
        <w:t>:</w:t>
      </w:r>
    </w:p>
    <w:p w14:paraId="6A42817D" w14:textId="77777777" w:rsidR="00C67D8C" w:rsidRPr="00077C08" w:rsidRDefault="00C67D8C" w:rsidP="00C67D8C">
      <w:pPr>
        <w:pStyle w:val="BodyTextMain"/>
        <w:rPr>
          <w:bCs/>
          <w:sz w:val="18"/>
          <w:szCs w:val="18"/>
          <w:lang w:val="en-GB"/>
        </w:rPr>
      </w:pPr>
    </w:p>
    <w:p w14:paraId="146E75C6" w14:textId="77777777" w:rsidR="00C67D8C" w:rsidRPr="00C666E3" w:rsidRDefault="00C67D8C" w:rsidP="00C67D8C">
      <w:pPr>
        <w:pStyle w:val="BodyTextMain"/>
        <w:ind w:left="720"/>
        <w:rPr>
          <w:lang w:val="en-GB"/>
        </w:rPr>
      </w:pPr>
      <w:r w:rsidRPr="00C666E3">
        <w:rPr>
          <w:lang w:val="en-GB"/>
        </w:rPr>
        <w:t xml:space="preserve">We are known in Canadian retail as a desirable company to work for. The pay is competitive, but more than that they want to join us because we treat our people well. We take care of them and invest in them. For example, we fund relevant continuing education for almost any university and college course for any employee. Unlike a routine retail business operating on thin margins, which is prone to see it as </w:t>
      </w:r>
      <w:proofErr w:type="gramStart"/>
      <w:r w:rsidRPr="00C666E3">
        <w:rPr>
          <w:lang w:val="en-GB"/>
        </w:rPr>
        <w:t>an</w:t>
      </w:r>
      <w:proofErr w:type="gramEnd"/>
      <w:r w:rsidRPr="00C666E3">
        <w:rPr>
          <w:lang w:val="en-GB"/>
        </w:rPr>
        <w:t xml:space="preserve"> expenditure, we see it as an investment. </w:t>
      </w:r>
    </w:p>
    <w:p w14:paraId="6CA8ECD7" w14:textId="77777777" w:rsidR="00C67D8C" w:rsidRPr="00077C08" w:rsidRDefault="00C67D8C" w:rsidP="00C67D8C">
      <w:pPr>
        <w:pStyle w:val="BodyTextMain"/>
        <w:rPr>
          <w:sz w:val="18"/>
          <w:szCs w:val="18"/>
          <w:lang w:val="en-GB"/>
        </w:rPr>
      </w:pPr>
    </w:p>
    <w:p w14:paraId="2792F1FD" w14:textId="03828FBD" w:rsidR="00C67D8C" w:rsidRPr="00C666E3" w:rsidRDefault="00C67D8C" w:rsidP="00C67D8C">
      <w:pPr>
        <w:pStyle w:val="BodyTextMain"/>
        <w:rPr>
          <w:lang w:val="en-GB"/>
        </w:rPr>
      </w:pPr>
      <w:r w:rsidRPr="00C666E3">
        <w:rPr>
          <w:lang w:val="en-GB"/>
        </w:rPr>
        <w:t xml:space="preserve">The LCBO was long </w:t>
      </w:r>
      <w:r>
        <w:rPr>
          <w:lang w:val="en-GB"/>
        </w:rPr>
        <w:t>accustom</w:t>
      </w:r>
      <w:r w:rsidRPr="00C666E3">
        <w:rPr>
          <w:lang w:val="en-GB"/>
        </w:rPr>
        <w:t>ed to promoting people from within</w:t>
      </w:r>
      <w:r>
        <w:rPr>
          <w:lang w:val="en-GB"/>
        </w:rPr>
        <w:t>;</w:t>
      </w:r>
      <w:r w:rsidRPr="00C666E3">
        <w:rPr>
          <w:lang w:val="en-GB"/>
        </w:rPr>
        <w:t xml:space="preserve"> </w:t>
      </w:r>
      <w:r>
        <w:rPr>
          <w:lang w:val="en-GB"/>
        </w:rPr>
        <w:t>however</w:t>
      </w:r>
      <w:r w:rsidRPr="00C666E3">
        <w:rPr>
          <w:lang w:val="en-GB"/>
        </w:rPr>
        <w:t xml:space="preserve">, of late, it had been making lateral recruitments at senior levels. The most recent hires included the </w:t>
      </w:r>
      <w:r>
        <w:rPr>
          <w:lang w:val="en-GB"/>
        </w:rPr>
        <w:t>s</w:t>
      </w:r>
      <w:r w:rsidRPr="00C666E3">
        <w:rPr>
          <w:lang w:val="en-GB"/>
        </w:rPr>
        <w:t xml:space="preserve">enior </w:t>
      </w:r>
      <w:r>
        <w:rPr>
          <w:lang w:val="en-GB"/>
        </w:rPr>
        <w:t>v</w:t>
      </w:r>
      <w:r w:rsidRPr="00C666E3">
        <w:rPr>
          <w:lang w:val="en-GB"/>
        </w:rPr>
        <w:t>ice</w:t>
      </w:r>
      <w:r>
        <w:rPr>
          <w:lang w:val="en-GB"/>
        </w:rPr>
        <w:t>-p</w:t>
      </w:r>
      <w:r w:rsidRPr="00C666E3">
        <w:rPr>
          <w:lang w:val="en-GB"/>
        </w:rPr>
        <w:t>resident (I</w:t>
      </w:r>
      <w:r>
        <w:rPr>
          <w:lang w:val="en-GB"/>
        </w:rPr>
        <w:t xml:space="preserve">nformation </w:t>
      </w:r>
      <w:r w:rsidRPr="00C666E3">
        <w:rPr>
          <w:lang w:val="en-GB"/>
        </w:rPr>
        <w:t>T</w:t>
      </w:r>
      <w:r>
        <w:rPr>
          <w:lang w:val="en-GB"/>
        </w:rPr>
        <w:t>echnology</w:t>
      </w:r>
      <w:r w:rsidR="005301E3">
        <w:rPr>
          <w:lang w:val="en-GB"/>
        </w:rPr>
        <w:t xml:space="preserve"> [IT]</w:t>
      </w:r>
      <w:r w:rsidRPr="00C666E3">
        <w:rPr>
          <w:lang w:val="en-GB"/>
        </w:rPr>
        <w:t xml:space="preserve">) and </w:t>
      </w:r>
      <w:r>
        <w:rPr>
          <w:lang w:val="en-GB"/>
        </w:rPr>
        <w:t>c</w:t>
      </w:r>
      <w:r w:rsidRPr="00C666E3">
        <w:rPr>
          <w:lang w:val="en-GB"/>
        </w:rPr>
        <w:t xml:space="preserve">hief </w:t>
      </w:r>
      <w:r>
        <w:rPr>
          <w:lang w:val="en-GB"/>
        </w:rPr>
        <w:t>i</w:t>
      </w:r>
      <w:r w:rsidRPr="00C666E3">
        <w:rPr>
          <w:lang w:val="en-GB"/>
        </w:rPr>
        <w:t xml:space="preserve">nformation </w:t>
      </w:r>
      <w:r>
        <w:rPr>
          <w:lang w:val="en-GB"/>
        </w:rPr>
        <w:t>o</w:t>
      </w:r>
      <w:r w:rsidRPr="00C666E3">
        <w:rPr>
          <w:lang w:val="en-GB"/>
        </w:rPr>
        <w:t xml:space="preserve">fficer, and </w:t>
      </w:r>
      <w:r>
        <w:rPr>
          <w:lang w:val="en-GB"/>
        </w:rPr>
        <w:t>the s</w:t>
      </w:r>
      <w:r w:rsidRPr="00C666E3">
        <w:rPr>
          <w:lang w:val="en-GB"/>
        </w:rPr>
        <w:t xml:space="preserve">enior </w:t>
      </w:r>
      <w:r>
        <w:rPr>
          <w:lang w:val="en-GB"/>
        </w:rPr>
        <w:t>v</w:t>
      </w:r>
      <w:r w:rsidRPr="00C666E3">
        <w:rPr>
          <w:lang w:val="en-GB"/>
        </w:rPr>
        <w:t>ice</w:t>
      </w:r>
      <w:r>
        <w:rPr>
          <w:lang w:val="en-GB"/>
        </w:rPr>
        <w:t>-p</w:t>
      </w:r>
      <w:r w:rsidRPr="00C666E3">
        <w:rPr>
          <w:lang w:val="en-GB"/>
        </w:rPr>
        <w:t xml:space="preserve">resident of Supply Chain &amp; Wholesale. </w:t>
      </w:r>
    </w:p>
    <w:p w14:paraId="4B5A3061" w14:textId="77777777" w:rsidR="00C67D8C" w:rsidRPr="00077C08" w:rsidRDefault="00C67D8C" w:rsidP="00C67D8C">
      <w:pPr>
        <w:pStyle w:val="BodyTextMain"/>
        <w:rPr>
          <w:sz w:val="18"/>
          <w:szCs w:val="18"/>
          <w:lang w:val="en-GB"/>
        </w:rPr>
      </w:pPr>
    </w:p>
    <w:p w14:paraId="5DFEDF4A" w14:textId="0874DDC0" w:rsidR="00C67D8C" w:rsidRPr="00C666E3" w:rsidRDefault="00C67D8C" w:rsidP="00C67D8C">
      <w:pPr>
        <w:pStyle w:val="BodyTextMain"/>
        <w:rPr>
          <w:lang w:val="en-GB"/>
        </w:rPr>
      </w:pPr>
      <w:r w:rsidRPr="00C666E3">
        <w:rPr>
          <w:lang w:val="en-GB"/>
        </w:rPr>
        <w:t>In January 2016, the LCBO started planning for an initiative called “Customer First</w:t>
      </w:r>
      <w:r>
        <w:rPr>
          <w:lang w:val="en-GB"/>
        </w:rPr>
        <w:t>,</w:t>
      </w:r>
      <w:r w:rsidRPr="00C666E3">
        <w:rPr>
          <w:lang w:val="en-GB"/>
        </w:rPr>
        <w:t xml:space="preserve">” </w:t>
      </w:r>
      <w:r>
        <w:rPr>
          <w:lang w:val="en-GB"/>
        </w:rPr>
        <w:t xml:space="preserve">which was </w:t>
      </w:r>
      <w:r w:rsidRPr="00C666E3">
        <w:rPr>
          <w:lang w:val="en-GB"/>
        </w:rPr>
        <w:t xml:space="preserve">a strategic response to the need for change triggered by the Asset Review Council. In Phase 1, </w:t>
      </w:r>
      <w:r w:rsidR="005301E3">
        <w:rPr>
          <w:lang w:val="en-GB"/>
        </w:rPr>
        <w:t>the initiative</w:t>
      </w:r>
      <w:r w:rsidRPr="00C666E3">
        <w:rPr>
          <w:lang w:val="en-GB"/>
        </w:rPr>
        <w:t xml:space="preserve"> was targeted at CSRs</w:t>
      </w:r>
      <w:r>
        <w:rPr>
          <w:lang w:val="en-GB"/>
        </w:rPr>
        <w:t>—</w:t>
      </w:r>
      <w:r w:rsidRPr="00C666E3">
        <w:rPr>
          <w:lang w:val="en-GB"/>
        </w:rPr>
        <w:t>the company’s front</w:t>
      </w:r>
      <w:r w:rsidR="005301E3">
        <w:rPr>
          <w:lang w:val="en-GB"/>
        </w:rPr>
        <w:t>-</w:t>
      </w:r>
      <w:r w:rsidRPr="00C666E3">
        <w:rPr>
          <w:lang w:val="en-GB"/>
        </w:rPr>
        <w:t>line employees</w:t>
      </w:r>
      <w:r>
        <w:rPr>
          <w:lang w:val="en-GB"/>
        </w:rPr>
        <w:t>—</w:t>
      </w:r>
      <w:r w:rsidRPr="00C666E3">
        <w:rPr>
          <w:lang w:val="en-GB"/>
        </w:rPr>
        <w:t xml:space="preserve">and extended, in Phase 2, to the workforce company-wide. Developed internally by a team of eight trainers working in retail operations at the head office, the training was a day-long capsule aimed at making the recipients customer-centric so that they </w:t>
      </w:r>
      <w:r>
        <w:rPr>
          <w:lang w:val="en-GB"/>
        </w:rPr>
        <w:t xml:space="preserve">could better </w:t>
      </w:r>
      <w:r w:rsidRPr="00C666E3">
        <w:rPr>
          <w:lang w:val="en-GB"/>
        </w:rPr>
        <w:t>serve the needs of customer</w:t>
      </w:r>
      <w:r>
        <w:rPr>
          <w:lang w:val="en-GB"/>
        </w:rPr>
        <w:t>s</w:t>
      </w:r>
      <w:r w:rsidRPr="00C666E3">
        <w:rPr>
          <w:lang w:val="en-GB"/>
        </w:rPr>
        <w:t xml:space="preserve">. The learnings were experiential. The training included segments </w:t>
      </w:r>
      <w:r>
        <w:rPr>
          <w:lang w:val="en-GB"/>
        </w:rPr>
        <w:t>such as</w:t>
      </w:r>
      <w:r w:rsidRPr="00C666E3">
        <w:rPr>
          <w:lang w:val="en-GB"/>
        </w:rPr>
        <w:t xml:space="preserve"> greeting a walk-in customer, treating them as though the CSR was personally hosting them at the store, doing so graciously, engaging the</w:t>
      </w:r>
      <w:r w:rsidR="005301E3">
        <w:rPr>
          <w:lang w:val="en-GB"/>
        </w:rPr>
        <w:t xml:space="preserve"> customer</w:t>
      </w:r>
      <w:r w:rsidRPr="00C666E3">
        <w:rPr>
          <w:lang w:val="en-GB"/>
        </w:rPr>
        <w:t xml:space="preserve"> in quality social interaction, anticipating their requirements, and suggesting alternatives in matching products to their specific needs.</w:t>
      </w:r>
    </w:p>
    <w:p w14:paraId="15C902DC" w14:textId="77777777" w:rsidR="00C67D8C" w:rsidRPr="00077C08" w:rsidRDefault="00C67D8C" w:rsidP="00C67D8C">
      <w:pPr>
        <w:pStyle w:val="BodyTextMain"/>
        <w:rPr>
          <w:sz w:val="18"/>
          <w:szCs w:val="18"/>
          <w:lang w:val="en-GB"/>
        </w:rPr>
      </w:pPr>
    </w:p>
    <w:p w14:paraId="6934CF2C" w14:textId="3DA2AB16" w:rsidR="00C67D8C" w:rsidRPr="00077C08" w:rsidRDefault="00C67D8C" w:rsidP="003811BD">
      <w:pPr>
        <w:pStyle w:val="BodyTextMain"/>
        <w:rPr>
          <w:spacing w:val="-2"/>
          <w:kern w:val="22"/>
          <w:lang w:val="en-GB"/>
        </w:rPr>
      </w:pPr>
      <w:proofErr w:type="spellStart"/>
      <w:r w:rsidRPr="00C666E3">
        <w:rPr>
          <w:lang w:val="en-GB"/>
        </w:rPr>
        <w:t>Rafik</w:t>
      </w:r>
      <w:proofErr w:type="spellEnd"/>
      <w:r w:rsidRPr="00C666E3">
        <w:rPr>
          <w:lang w:val="en-GB"/>
        </w:rPr>
        <w:t xml:space="preserve"> </w:t>
      </w:r>
      <w:proofErr w:type="spellStart"/>
      <w:r w:rsidRPr="00C666E3">
        <w:rPr>
          <w:lang w:val="en-GB"/>
        </w:rPr>
        <w:t>Louli</w:t>
      </w:r>
      <w:proofErr w:type="spellEnd"/>
      <w:r w:rsidRPr="00C666E3">
        <w:rPr>
          <w:lang w:val="en-GB"/>
        </w:rPr>
        <w:t xml:space="preserve">, </w:t>
      </w:r>
      <w:r>
        <w:rPr>
          <w:lang w:val="en-GB"/>
        </w:rPr>
        <w:t>v</w:t>
      </w:r>
      <w:r w:rsidRPr="00C666E3">
        <w:rPr>
          <w:lang w:val="en-GB"/>
        </w:rPr>
        <w:t>ice</w:t>
      </w:r>
      <w:r>
        <w:rPr>
          <w:lang w:val="en-GB"/>
        </w:rPr>
        <w:t>-p</w:t>
      </w:r>
      <w:r w:rsidRPr="00C666E3">
        <w:rPr>
          <w:lang w:val="en-GB"/>
        </w:rPr>
        <w:t>resident, Retail Operations</w:t>
      </w:r>
      <w:r w:rsidR="005301E3">
        <w:rPr>
          <w:lang w:val="en-GB"/>
        </w:rPr>
        <w:t>, said, “</w:t>
      </w:r>
      <w:r w:rsidRPr="00077C08">
        <w:rPr>
          <w:spacing w:val="-2"/>
          <w:kern w:val="22"/>
          <w:lang w:val="en-GB"/>
        </w:rPr>
        <w:t>Customer First is ultimately meant to up our game and ensure that customers make the trip to the LCBO. Customers will remain loyal to the LCBO if we can offer them a different and superior experience, one that is led by our knowledgeable, dedicated and friendly front-line retail employees.</w:t>
      </w:r>
      <w:r w:rsidR="005301E3">
        <w:rPr>
          <w:spacing w:val="-2"/>
          <w:kern w:val="22"/>
          <w:lang w:val="en-GB"/>
        </w:rPr>
        <w:t>”</w:t>
      </w:r>
      <w:r w:rsidRPr="00077C08">
        <w:rPr>
          <w:spacing w:val="-2"/>
          <w:kern w:val="22"/>
          <w:lang w:val="en-GB"/>
        </w:rPr>
        <w:t xml:space="preserve"> </w:t>
      </w:r>
    </w:p>
    <w:p w14:paraId="29FCA846" w14:textId="77777777" w:rsidR="00C67D8C" w:rsidRPr="00077C08" w:rsidRDefault="00C67D8C" w:rsidP="00C67D8C">
      <w:pPr>
        <w:pStyle w:val="BodyTextMain"/>
        <w:rPr>
          <w:sz w:val="18"/>
          <w:szCs w:val="18"/>
          <w:lang w:val="en-GB"/>
        </w:rPr>
      </w:pPr>
    </w:p>
    <w:p w14:paraId="5CD03E60" w14:textId="248A36D2" w:rsidR="00C67D8C" w:rsidRPr="00C666E3" w:rsidRDefault="00C67D8C" w:rsidP="00C67D8C">
      <w:pPr>
        <w:pStyle w:val="BodyTextMain"/>
        <w:rPr>
          <w:lang w:val="en-GB"/>
        </w:rPr>
      </w:pPr>
      <w:r w:rsidRPr="00C666E3">
        <w:rPr>
          <w:lang w:val="en-GB"/>
        </w:rPr>
        <w:t xml:space="preserve">An important piece of Customer First was product knowledge, particularly on the part of CSRs. </w:t>
      </w:r>
      <w:r w:rsidR="005301E3">
        <w:rPr>
          <w:lang w:val="en-GB"/>
        </w:rPr>
        <w:t>This</w:t>
      </w:r>
      <w:r w:rsidRPr="00C666E3">
        <w:rPr>
          <w:lang w:val="en-GB"/>
        </w:rPr>
        <w:t xml:space="preserve"> was a traditional advantage that the company would now be trying to leverage to the hilt in the new competitive scenario. For a grocery store, beverage alcohol was one of many products on its shelves. For the LCBO, it had extreme focus. A grocery store would not scale up its service around beverage alcohol to the level of an LCBO store. </w:t>
      </w:r>
    </w:p>
    <w:p w14:paraId="3BF5C483" w14:textId="77777777" w:rsidR="00C67D8C" w:rsidRPr="00077C08" w:rsidRDefault="00C67D8C" w:rsidP="00C67D8C">
      <w:pPr>
        <w:pStyle w:val="BodyTextMain"/>
        <w:rPr>
          <w:sz w:val="18"/>
          <w:szCs w:val="18"/>
          <w:lang w:val="en-GB"/>
        </w:rPr>
      </w:pPr>
    </w:p>
    <w:p w14:paraId="5E80B50C" w14:textId="2BC1742A" w:rsidR="00C67D8C" w:rsidRDefault="00C67D8C" w:rsidP="00C67D8C">
      <w:pPr>
        <w:pStyle w:val="BodyTextMain"/>
        <w:rPr>
          <w:iCs/>
          <w:lang w:val="en-GB"/>
        </w:rPr>
      </w:pPr>
      <w:r w:rsidRPr="00C666E3">
        <w:rPr>
          <w:spacing w:val="-4"/>
          <w:kern w:val="22"/>
          <w:lang w:val="en-GB"/>
        </w:rPr>
        <w:t xml:space="preserve">Previously, the LCBO would </w:t>
      </w:r>
      <w:r w:rsidR="005301E3">
        <w:rPr>
          <w:spacing w:val="-4"/>
          <w:kern w:val="22"/>
          <w:lang w:val="en-GB"/>
        </w:rPr>
        <w:t xml:space="preserve">have gone </w:t>
      </w:r>
      <w:r w:rsidRPr="00C666E3">
        <w:rPr>
          <w:spacing w:val="-4"/>
          <w:kern w:val="22"/>
          <w:lang w:val="en-GB"/>
        </w:rPr>
        <w:t xml:space="preserve">only so far in </w:t>
      </w:r>
      <w:r>
        <w:rPr>
          <w:spacing w:val="-4"/>
          <w:kern w:val="22"/>
          <w:lang w:val="en-GB"/>
        </w:rPr>
        <w:t xml:space="preserve">investing in </w:t>
      </w:r>
      <w:r w:rsidRPr="00C666E3">
        <w:rPr>
          <w:spacing w:val="-4"/>
          <w:kern w:val="22"/>
          <w:lang w:val="en-GB"/>
        </w:rPr>
        <w:t>innovative projects</w:t>
      </w:r>
      <w:r>
        <w:rPr>
          <w:spacing w:val="-4"/>
          <w:kern w:val="22"/>
          <w:lang w:val="en-GB"/>
        </w:rPr>
        <w:t>,</w:t>
      </w:r>
      <w:r w:rsidRPr="00C666E3">
        <w:rPr>
          <w:spacing w:val="-4"/>
          <w:kern w:val="22"/>
          <w:lang w:val="en-GB"/>
        </w:rPr>
        <w:t xml:space="preserve"> in consideration of the dividend returned to the provincial government. </w:t>
      </w:r>
      <w:r w:rsidRPr="00C666E3">
        <w:rPr>
          <w:iCs/>
          <w:spacing w:val="-4"/>
          <w:kern w:val="22"/>
          <w:lang w:val="en-GB"/>
        </w:rPr>
        <w:t xml:space="preserve">But whenever it </w:t>
      </w:r>
      <w:r w:rsidR="005301E3">
        <w:rPr>
          <w:iCs/>
          <w:spacing w:val="-4"/>
          <w:kern w:val="22"/>
          <w:lang w:val="en-GB"/>
        </w:rPr>
        <w:t>had</w:t>
      </w:r>
      <w:r w:rsidRPr="00C666E3">
        <w:rPr>
          <w:iCs/>
          <w:spacing w:val="-4"/>
          <w:kern w:val="22"/>
          <w:lang w:val="en-GB"/>
        </w:rPr>
        <w:t xml:space="preserve">, the payoff had been substantial. </w:t>
      </w:r>
      <w:r>
        <w:rPr>
          <w:iCs/>
          <w:lang w:val="en-GB"/>
        </w:rPr>
        <w:t>One</w:t>
      </w:r>
      <w:r w:rsidRPr="00C666E3">
        <w:rPr>
          <w:iCs/>
          <w:lang w:val="en-GB"/>
        </w:rPr>
        <w:t xml:space="preserve"> example was the planogram </w:t>
      </w:r>
      <w:r>
        <w:rPr>
          <w:iCs/>
          <w:lang w:val="en-GB"/>
        </w:rPr>
        <w:t>the LCBO</w:t>
      </w:r>
      <w:r w:rsidRPr="00C666E3">
        <w:rPr>
          <w:iCs/>
          <w:lang w:val="en-GB"/>
        </w:rPr>
        <w:t xml:space="preserve"> developed in 2014. Led by </w:t>
      </w:r>
      <w:proofErr w:type="spellStart"/>
      <w:r w:rsidRPr="00C666E3">
        <w:rPr>
          <w:iCs/>
          <w:lang w:val="en-GB"/>
        </w:rPr>
        <w:t>Soleas</w:t>
      </w:r>
      <w:proofErr w:type="spellEnd"/>
      <w:r w:rsidRPr="00C666E3">
        <w:rPr>
          <w:iCs/>
          <w:lang w:val="en-GB"/>
        </w:rPr>
        <w:t xml:space="preserve"> at the company’s largest retail service cent</w:t>
      </w:r>
      <w:r>
        <w:rPr>
          <w:iCs/>
          <w:lang w:val="en-GB"/>
        </w:rPr>
        <w:t>re</w:t>
      </w:r>
      <w:r w:rsidRPr="00C666E3">
        <w:rPr>
          <w:iCs/>
          <w:lang w:val="en-GB"/>
        </w:rPr>
        <w:t xml:space="preserve"> </w:t>
      </w:r>
      <w:r>
        <w:rPr>
          <w:iCs/>
          <w:lang w:val="en-GB"/>
        </w:rPr>
        <w:t>in</w:t>
      </w:r>
      <w:r w:rsidRPr="00C666E3">
        <w:rPr>
          <w:iCs/>
          <w:lang w:val="en-GB"/>
        </w:rPr>
        <w:t xml:space="preserve"> Durham when he was heading the supply chain, </w:t>
      </w:r>
      <w:r>
        <w:rPr>
          <w:iCs/>
          <w:lang w:val="en-GB"/>
        </w:rPr>
        <w:t>the LCBO</w:t>
      </w:r>
      <w:r w:rsidRPr="00C666E3">
        <w:rPr>
          <w:iCs/>
          <w:lang w:val="en-GB"/>
        </w:rPr>
        <w:t xml:space="preserve"> had automated the movement of crates </w:t>
      </w:r>
      <w:r>
        <w:rPr>
          <w:iCs/>
          <w:lang w:val="en-GB"/>
        </w:rPr>
        <w:t>(</w:t>
      </w:r>
      <w:r w:rsidRPr="00C666E3">
        <w:rPr>
          <w:iCs/>
          <w:lang w:val="en-GB"/>
        </w:rPr>
        <w:t xml:space="preserve">numbering 50 million per </w:t>
      </w:r>
      <w:r w:rsidR="005301E3">
        <w:rPr>
          <w:iCs/>
          <w:lang w:val="en-GB"/>
        </w:rPr>
        <w:t>year</w:t>
      </w:r>
      <w:r>
        <w:rPr>
          <w:iCs/>
          <w:lang w:val="en-GB"/>
        </w:rPr>
        <w:t>)</w:t>
      </w:r>
      <w:r w:rsidRPr="00C666E3">
        <w:rPr>
          <w:iCs/>
          <w:lang w:val="en-GB"/>
        </w:rPr>
        <w:t>, replacing the manual component</w:t>
      </w:r>
      <w:r>
        <w:rPr>
          <w:iCs/>
          <w:lang w:val="en-GB"/>
        </w:rPr>
        <w:t>,</w:t>
      </w:r>
      <w:r w:rsidRPr="00C666E3">
        <w:rPr>
          <w:iCs/>
          <w:lang w:val="en-GB"/>
        </w:rPr>
        <w:t xml:space="preserve"> which had </w:t>
      </w:r>
      <w:r w:rsidR="005301E3">
        <w:rPr>
          <w:iCs/>
          <w:lang w:val="en-GB"/>
        </w:rPr>
        <w:t xml:space="preserve">the </w:t>
      </w:r>
      <w:r w:rsidRPr="00C666E3">
        <w:rPr>
          <w:iCs/>
          <w:lang w:val="en-GB"/>
        </w:rPr>
        <w:t xml:space="preserve">potential for injury to operators. The innovation had improved operational efficiency and helped store managers deal better with new listings and product assortments. In a typical case of “smart” use of capital, the investment of $7.8 million was not only recovered in less than two years but </w:t>
      </w:r>
      <w:r w:rsidR="005301E3">
        <w:rPr>
          <w:iCs/>
          <w:lang w:val="en-GB"/>
        </w:rPr>
        <w:t>also</w:t>
      </w:r>
      <w:r w:rsidRPr="00C666E3">
        <w:rPr>
          <w:iCs/>
          <w:lang w:val="en-GB"/>
        </w:rPr>
        <w:t xml:space="preserve"> delivering annual savings of $5.1 million. </w:t>
      </w:r>
      <w:r>
        <w:rPr>
          <w:iCs/>
          <w:lang w:val="en-GB"/>
        </w:rPr>
        <w:t>I</w:t>
      </w:r>
      <w:r w:rsidRPr="00C666E3">
        <w:rPr>
          <w:iCs/>
          <w:lang w:val="en-GB"/>
        </w:rPr>
        <w:t>n 2015</w:t>
      </w:r>
      <w:r>
        <w:rPr>
          <w:iCs/>
          <w:lang w:val="en-GB"/>
        </w:rPr>
        <w:t>,</w:t>
      </w:r>
      <w:r w:rsidRPr="00C666E3">
        <w:rPr>
          <w:iCs/>
          <w:lang w:val="en-GB"/>
        </w:rPr>
        <w:t xml:space="preserve"> </w:t>
      </w:r>
      <w:r>
        <w:rPr>
          <w:iCs/>
          <w:lang w:val="en-GB"/>
        </w:rPr>
        <w:t>t</w:t>
      </w:r>
      <w:r w:rsidRPr="00C666E3">
        <w:rPr>
          <w:iCs/>
          <w:lang w:val="en-GB"/>
        </w:rPr>
        <w:t xml:space="preserve">he LCBO </w:t>
      </w:r>
      <w:r>
        <w:rPr>
          <w:iCs/>
          <w:lang w:val="en-GB"/>
        </w:rPr>
        <w:t xml:space="preserve">competed against companies such as FedEx and U.S. Marine Corps to receive </w:t>
      </w:r>
      <w:r w:rsidRPr="00C666E3">
        <w:rPr>
          <w:iCs/>
          <w:lang w:val="en-GB"/>
        </w:rPr>
        <w:t>a global supply chain award for its algorithm</w:t>
      </w:r>
      <w:r>
        <w:rPr>
          <w:iCs/>
          <w:lang w:val="en-GB"/>
        </w:rPr>
        <w:t>,</w:t>
      </w:r>
      <w:r w:rsidRPr="00C666E3">
        <w:rPr>
          <w:iCs/>
          <w:lang w:val="en-GB"/>
        </w:rPr>
        <w:t xml:space="preserve"> which </w:t>
      </w:r>
      <w:r>
        <w:rPr>
          <w:iCs/>
          <w:lang w:val="en-GB"/>
        </w:rPr>
        <w:t xml:space="preserve">had </w:t>
      </w:r>
      <w:r w:rsidRPr="00C666E3">
        <w:rPr>
          <w:iCs/>
          <w:lang w:val="en-GB"/>
        </w:rPr>
        <w:t>been awarded a patent.</w:t>
      </w:r>
    </w:p>
    <w:p w14:paraId="0AAE76F0" w14:textId="77777777" w:rsidR="00077C08" w:rsidRPr="00077C08" w:rsidRDefault="00077C08" w:rsidP="00C67D8C">
      <w:pPr>
        <w:pStyle w:val="BodyTextMain"/>
        <w:rPr>
          <w:iCs/>
          <w:sz w:val="18"/>
          <w:szCs w:val="18"/>
          <w:lang w:val="en-GB"/>
        </w:rPr>
      </w:pPr>
    </w:p>
    <w:p w14:paraId="6215860A" w14:textId="0044EA31" w:rsidR="00C67D8C" w:rsidRPr="00C666E3" w:rsidRDefault="00C67D8C" w:rsidP="00C67D8C">
      <w:pPr>
        <w:pStyle w:val="BodyTextMain"/>
        <w:rPr>
          <w:lang w:val="en-GB"/>
        </w:rPr>
      </w:pPr>
      <w:r w:rsidRPr="00C666E3">
        <w:rPr>
          <w:lang w:val="en-GB"/>
        </w:rPr>
        <w:t xml:space="preserve">In April 2016, </w:t>
      </w:r>
      <w:r>
        <w:rPr>
          <w:lang w:val="en-GB"/>
        </w:rPr>
        <w:t xml:space="preserve">the </w:t>
      </w:r>
      <w:r w:rsidRPr="00C666E3">
        <w:rPr>
          <w:lang w:val="en-GB"/>
        </w:rPr>
        <w:t>LCBO announced that it was ready to launch its e</w:t>
      </w:r>
      <w:r>
        <w:rPr>
          <w:lang w:val="en-GB"/>
        </w:rPr>
        <w:t>-c</w:t>
      </w:r>
      <w:r w:rsidRPr="00C666E3">
        <w:rPr>
          <w:lang w:val="en-GB"/>
        </w:rPr>
        <w:t>ommerce activity</w:t>
      </w:r>
      <w:r>
        <w:rPr>
          <w:lang w:val="en-GB"/>
        </w:rPr>
        <w:t>,</w:t>
      </w:r>
      <w:r w:rsidRPr="00C666E3">
        <w:rPr>
          <w:lang w:val="en-GB"/>
        </w:rPr>
        <w:t xml:space="preserve"> effective July of that year. A customer could browse for wines, spirits</w:t>
      </w:r>
      <w:r>
        <w:rPr>
          <w:lang w:val="en-GB"/>
        </w:rPr>
        <w:t>,</w:t>
      </w:r>
      <w:r w:rsidRPr="00C666E3">
        <w:rPr>
          <w:lang w:val="en-GB"/>
        </w:rPr>
        <w:t xml:space="preserve"> and beers online</w:t>
      </w:r>
      <w:r>
        <w:rPr>
          <w:lang w:val="en-GB"/>
        </w:rPr>
        <w:t>;</w:t>
      </w:r>
      <w:r w:rsidRPr="00C666E3">
        <w:rPr>
          <w:lang w:val="en-GB"/>
        </w:rPr>
        <w:t xml:space="preserve"> place </w:t>
      </w:r>
      <w:r>
        <w:rPr>
          <w:lang w:val="en-GB"/>
        </w:rPr>
        <w:t xml:space="preserve">an </w:t>
      </w:r>
      <w:r w:rsidRPr="00C666E3">
        <w:rPr>
          <w:lang w:val="en-GB"/>
        </w:rPr>
        <w:t>order</w:t>
      </w:r>
      <w:r>
        <w:rPr>
          <w:lang w:val="en-GB"/>
        </w:rPr>
        <w:t>;</w:t>
      </w:r>
      <w:r w:rsidRPr="00C666E3">
        <w:rPr>
          <w:lang w:val="en-GB"/>
        </w:rPr>
        <w:t xml:space="preserve"> and have the products </w:t>
      </w:r>
      <w:r>
        <w:rPr>
          <w:lang w:val="en-GB"/>
        </w:rPr>
        <w:t xml:space="preserve">either </w:t>
      </w:r>
      <w:r w:rsidRPr="00C666E3">
        <w:rPr>
          <w:lang w:val="en-GB"/>
        </w:rPr>
        <w:t xml:space="preserve">home-delivered for a fee of $12 or </w:t>
      </w:r>
      <w:r>
        <w:rPr>
          <w:lang w:val="en-GB"/>
        </w:rPr>
        <w:t xml:space="preserve">delivered </w:t>
      </w:r>
      <w:r w:rsidRPr="00C666E3">
        <w:rPr>
          <w:lang w:val="en-GB"/>
        </w:rPr>
        <w:t>to the nearest LCBO location for free. The company had taken the partnership route to develop the site from ground zero</w:t>
      </w:r>
      <w:r>
        <w:rPr>
          <w:lang w:val="en-GB"/>
        </w:rPr>
        <w:t>—</w:t>
      </w:r>
      <w:r w:rsidRPr="00C666E3">
        <w:rPr>
          <w:lang w:val="en-GB"/>
        </w:rPr>
        <w:t xml:space="preserve">with IBM for the basic platform and hosting infrastructure; </w:t>
      </w:r>
      <w:proofErr w:type="spellStart"/>
      <w:r w:rsidRPr="00C666E3">
        <w:rPr>
          <w:lang w:val="en-GB"/>
        </w:rPr>
        <w:t>Tangentia</w:t>
      </w:r>
      <w:proofErr w:type="spellEnd"/>
      <w:r w:rsidRPr="00C666E3">
        <w:rPr>
          <w:lang w:val="en-GB"/>
        </w:rPr>
        <w:t xml:space="preserve"> Inc</w:t>
      </w:r>
      <w:r>
        <w:rPr>
          <w:lang w:val="en-GB"/>
        </w:rPr>
        <w:t>.</w:t>
      </w:r>
      <w:r w:rsidRPr="00C666E3">
        <w:rPr>
          <w:lang w:val="en-GB"/>
        </w:rPr>
        <w:t xml:space="preserve">, a Canadian IT services firm, for its implementation; </w:t>
      </w:r>
      <w:proofErr w:type="spellStart"/>
      <w:r w:rsidRPr="00C666E3">
        <w:rPr>
          <w:lang w:val="en-GB"/>
        </w:rPr>
        <w:t>Razorfish</w:t>
      </w:r>
      <w:proofErr w:type="spellEnd"/>
      <w:r w:rsidRPr="00C666E3">
        <w:rPr>
          <w:lang w:val="en-GB"/>
        </w:rPr>
        <w:t xml:space="preserve">, a digital marketing agency, for design; </w:t>
      </w:r>
      <w:proofErr w:type="spellStart"/>
      <w:r w:rsidRPr="00C666E3">
        <w:rPr>
          <w:lang w:val="en-GB"/>
        </w:rPr>
        <w:t>Beanstream</w:t>
      </w:r>
      <w:proofErr w:type="spellEnd"/>
      <w:r w:rsidRPr="00C666E3">
        <w:rPr>
          <w:lang w:val="en-GB"/>
        </w:rPr>
        <w:t>, a Canadian payments company, for transaction management services; Texas POS for point-of-sale</w:t>
      </w:r>
      <w:r>
        <w:rPr>
          <w:lang w:val="en-GB"/>
        </w:rPr>
        <w:t xml:space="preserve"> transactions</w:t>
      </w:r>
      <w:r w:rsidRPr="00C666E3">
        <w:rPr>
          <w:lang w:val="en-GB"/>
        </w:rPr>
        <w:t xml:space="preserve">; Canada Post for home delivery; </w:t>
      </w:r>
      <w:r w:rsidRPr="00C666E3">
        <w:rPr>
          <w:lang w:val="en-GB"/>
        </w:rPr>
        <w:lastRenderedPageBreak/>
        <w:t xml:space="preserve">Teradata for big data management; Adobe Analytics and </w:t>
      </w:r>
      <w:proofErr w:type="spellStart"/>
      <w:r w:rsidRPr="00C666E3">
        <w:rPr>
          <w:lang w:val="en-GB"/>
        </w:rPr>
        <w:t>Microstrategy</w:t>
      </w:r>
      <w:proofErr w:type="spellEnd"/>
      <w:r w:rsidRPr="00C666E3">
        <w:rPr>
          <w:lang w:val="en-GB"/>
        </w:rPr>
        <w:t xml:space="preserve"> for content management; and </w:t>
      </w:r>
      <w:proofErr w:type="spellStart"/>
      <w:r w:rsidRPr="00C666E3">
        <w:rPr>
          <w:lang w:val="en-GB"/>
        </w:rPr>
        <w:t>Telus</w:t>
      </w:r>
      <w:proofErr w:type="spellEnd"/>
      <w:r w:rsidRPr="00C666E3">
        <w:rPr>
          <w:lang w:val="en-GB"/>
        </w:rPr>
        <w:t xml:space="preserve"> Corp</w:t>
      </w:r>
      <w:r w:rsidR="005301E3">
        <w:rPr>
          <w:lang w:val="en-GB"/>
        </w:rPr>
        <w:t>oration</w:t>
      </w:r>
      <w:r w:rsidRPr="00C666E3">
        <w:rPr>
          <w:lang w:val="en-GB"/>
        </w:rPr>
        <w:t xml:space="preserve"> for </w:t>
      </w:r>
      <w:r>
        <w:rPr>
          <w:lang w:val="en-GB"/>
        </w:rPr>
        <w:t>customer relationship management</w:t>
      </w:r>
      <w:r w:rsidRPr="00C666E3">
        <w:rPr>
          <w:lang w:val="en-GB"/>
        </w:rPr>
        <w:t>.</w:t>
      </w:r>
    </w:p>
    <w:p w14:paraId="6EC417F4" w14:textId="77777777" w:rsidR="00C67D8C" w:rsidRPr="00077C08" w:rsidRDefault="00C67D8C" w:rsidP="00C67D8C">
      <w:pPr>
        <w:pStyle w:val="BodyTextMain"/>
        <w:rPr>
          <w:sz w:val="18"/>
          <w:szCs w:val="18"/>
          <w:lang w:val="en-GB"/>
        </w:rPr>
      </w:pPr>
    </w:p>
    <w:p w14:paraId="73D7E22D" w14:textId="2EB487F0" w:rsidR="00C67D8C" w:rsidRPr="00C666E3" w:rsidRDefault="00C67D8C" w:rsidP="00C67D8C">
      <w:pPr>
        <w:pStyle w:val="BodyTextMain"/>
        <w:rPr>
          <w:lang w:val="en-GB"/>
        </w:rPr>
      </w:pPr>
      <w:r w:rsidRPr="00C666E3">
        <w:rPr>
          <w:lang w:val="en-GB"/>
        </w:rPr>
        <w:t xml:space="preserve">Michael Eubanks, </w:t>
      </w:r>
      <w:r>
        <w:rPr>
          <w:lang w:val="en-GB"/>
        </w:rPr>
        <w:t>s</w:t>
      </w:r>
      <w:r w:rsidRPr="00C666E3">
        <w:rPr>
          <w:lang w:val="en-GB"/>
        </w:rPr>
        <w:t xml:space="preserve">enior </w:t>
      </w:r>
      <w:r>
        <w:rPr>
          <w:lang w:val="en-GB"/>
        </w:rPr>
        <w:t>v</w:t>
      </w:r>
      <w:r w:rsidRPr="00C666E3">
        <w:rPr>
          <w:lang w:val="en-GB"/>
        </w:rPr>
        <w:t>ice</w:t>
      </w:r>
      <w:r>
        <w:rPr>
          <w:lang w:val="en-GB"/>
        </w:rPr>
        <w:t>-p</w:t>
      </w:r>
      <w:r w:rsidRPr="00C666E3">
        <w:rPr>
          <w:lang w:val="en-GB"/>
        </w:rPr>
        <w:t>resident</w:t>
      </w:r>
      <w:r w:rsidR="005301E3">
        <w:rPr>
          <w:lang w:val="en-GB"/>
        </w:rPr>
        <w:t xml:space="preserve"> of</w:t>
      </w:r>
      <w:r w:rsidRPr="00C666E3">
        <w:rPr>
          <w:lang w:val="en-GB"/>
        </w:rPr>
        <w:t xml:space="preserve"> IT and </w:t>
      </w:r>
      <w:r>
        <w:rPr>
          <w:lang w:val="en-GB"/>
        </w:rPr>
        <w:t>chief information officer</w:t>
      </w:r>
      <w:r w:rsidR="005301E3">
        <w:rPr>
          <w:lang w:val="en-GB"/>
        </w:rPr>
        <w:t>, recalled</w:t>
      </w:r>
      <w:r w:rsidRPr="00C666E3">
        <w:rPr>
          <w:lang w:val="en-GB"/>
        </w:rPr>
        <w:t>:</w:t>
      </w:r>
    </w:p>
    <w:p w14:paraId="3C0CBFF9" w14:textId="77777777" w:rsidR="00C67D8C" w:rsidRPr="00077C08" w:rsidRDefault="00C67D8C" w:rsidP="00C67D8C">
      <w:pPr>
        <w:pStyle w:val="BodyTextMain"/>
        <w:rPr>
          <w:sz w:val="18"/>
          <w:szCs w:val="18"/>
          <w:lang w:val="en-GB"/>
        </w:rPr>
      </w:pPr>
    </w:p>
    <w:p w14:paraId="502D9563" w14:textId="77777777" w:rsidR="00C67D8C" w:rsidRPr="00C666E3" w:rsidRDefault="00C67D8C" w:rsidP="00C67D8C">
      <w:pPr>
        <w:pStyle w:val="BodyTextMain"/>
        <w:ind w:left="720"/>
        <w:rPr>
          <w:lang w:val="en-GB"/>
        </w:rPr>
      </w:pPr>
      <w:r w:rsidRPr="00C666E3">
        <w:rPr>
          <w:lang w:val="en-GB"/>
        </w:rPr>
        <w:t>It took a year to launch e</w:t>
      </w:r>
      <w:r>
        <w:rPr>
          <w:lang w:val="en-GB"/>
        </w:rPr>
        <w:t>-c</w:t>
      </w:r>
      <w:r w:rsidRPr="00C666E3">
        <w:rPr>
          <w:lang w:val="en-GB"/>
        </w:rPr>
        <w:t>ommerce. For a bricks</w:t>
      </w:r>
      <w:r>
        <w:rPr>
          <w:lang w:val="en-GB"/>
        </w:rPr>
        <w:t>-</w:t>
      </w:r>
      <w:r w:rsidRPr="00C666E3">
        <w:rPr>
          <w:lang w:val="en-GB"/>
        </w:rPr>
        <w:t>and</w:t>
      </w:r>
      <w:r>
        <w:rPr>
          <w:lang w:val="en-GB"/>
        </w:rPr>
        <w:t>-</w:t>
      </w:r>
      <w:r w:rsidRPr="00C666E3">
        <w:rPr>
          <w:lang w:val="en-GB"/>
        </w:rPr>
        <w:t xml:space="preserve">mortar enterprise, going digital from the ground up is transformational. I said to my team: “Let’s move away from the conventional waterfall method of software development where a new algorithm would not be deployed unless the preceding algorithm had been fully completed. Let’s use the agile method characterized by sprints, where each sprint would have well defined deliverables bound within specific timeframes.” Being agile helped us get ready for the launch ahead of an already aggressive schedule. </w:t>
      </w:r>
    </w:p>
    <w:p w14:paraId="7FC8E04F" w14:textId="77777777" w:rsidR="00C67D8C" w:rsidRPr="00077C08" w:rsidRDefault="00C67D8C" w:rsidP="00C67D8C">
      <w:pPr>
        <w:rPr>
          <w:sz w:val="18"/>
          <w:szCs w:val="18"/>
          <w:lang w:val="en-GB"/>
        </w:rPr>
      </w:pPr>
    </w:p>
    <w:p w14:paraId="585245BC" w14:textId="77777777" w:rsidR="00C67D8C" w:rsidRPr="00077C08" w:rsidRDefault="00C67D8C" w:rsidP="00C67D8C">
      <w:pPr>
        <w:rPr>
          <w:sz w:val="18"/>
          <w:szCs w:val="18"/>
          <w:lang w:val="en-GB"/>
        </w:rPr>
      </w:pPr>
    </w:p>
    <w:p w14:paraId="674A340E" w14:textId="77777777" w:rsidR="00C67D8C" w:rsidRPr="00C666E3" w:rsidRDefault="00C67D8C" w:rsidP="00C67D8C">
      <w:pPr>
        <w:pStyle w:val="Casehead1"/>
        <w:rPr>
          <w:lang w:val="en-GB"/>
        </w:rPr>
      </w:pPr>
      <w:r w:rsidRPr="00C666E3">
        <w:rPr>
          <w:lang w:val="en-GB"/>
        </w:rPr>
        <w:t xml:space="preserve">ISSUES FOR DISCUSSION ON THE WAY FORWARD </w:t>
      </w:r>
    </w:p>
    <w:p w14:paraId="24BBF978" w14:textId="77777777" w:rsidR="00C67D8C" w:rsidRPr="00077C08" w:rsidRDefault="00C67D8C" w:rsidP="00C67D8C">
      <w:pPr>
        <w:pStyle w:val="BodyTextMain"/>
        <w:rPr>
          <w:sz w:val="18"/>
          <w:szCs w:val="18"/>
          <w:lang w:val="en-GB"/>
        </w:rPr>
      </w:pPr>
    </w:p>
    <w:p w14:paraId="5A5E3826" w14:textId="5ECFD8CE" w:rsidR="00C67D8C" w:rsidRPr="00C666E3" w:rsidRDefault="00C67D8C" w:rsidP="00C67D8C">
      <w:pPr>
        <w:pStyle w:val="BodyTextMain"/>
        <w:rPr>
          <w:lang w:val="en-GB"/>
        </w:rPr>
      </w:pPr>
      <w:proofErr w:type="spellStart"/>
      <w:r w:rsidRPr="00C666E3">
        <w:rPr>
          <w:iCs/>
          <w:lang w:val="en-GB"/>
        </w:rPr>
        <w:t>Soleas</w:t>
      </w:r>
      <w:proofErr w:type="spellEnd"/>
      <w:r w:rsidRPr="00C666E3">
        <w:rPr>
          <w:lang w:val="en-GB"/>
        </w:rPr>
        <w:t xml:space="preserve"> had been talking to employees across the board, in addition to trade partners, about the need to change. He </w:t>
      </w:r>
      <w:r>
        <w:rPr>
          <w:lang w:val="en-GB"/>
        </w:rPr>
        <w:t>mentioned</w:t>
      </w:r>
      <w:r w:rsidRPr="00C666E3">
        <w:rPr>
          <w:lang w:val="en-GB"/>
        </w:rPr>
        <w:t xml:space="preserve"> examples of companies </w:t>
      </w:r>
      <w:r>
        <w:rPr>
          <w:lang w:val="en-GB"/>
        </w:rPr>
        <w:t>that had</w:t>
      </w:r>
      <w:r w:rsidRPr="00C666E3">
        <w:rPr>
          <w:lang w:val="en-GB"/>
        </w:rPr>
        <w:t xml:space="preserve"> survived tipping points because they changed and those that </w:t>
      </w:r>
      <w:r>
        <w:rPr>
          <w:lang w:val="en-GB"/>
        </w:rPr>
        <w:t xml:space="preserve">had </w:t>
      </w:r>
      <w:r w:rsidRPr="00C666E3">
        <w:rPr>
          <w:lang w:val="en-GB"/>
        </w:rPr>
        <w:t xml:space="preserve">faded away because they neither anticipated nor managed those tipping points. </w:t>
      </w:r>
      <w:r>
        <w:rPr>
          <w:lang w:val="en-GB"/>
        </w:rPr>
        <w:t xml:space="preserve">His classic examples were </w:t>
      </w:r>
      <w:r w:rsidRPr="00C666E3">
        <w:rPr>
          <w:lang w:val="en-GB"/>
        </w:rPr>
        <w:t>Fuji versus Kodak and Netflix versus Blockbuster. He also cit</w:t>
      </w:r>
      <w:r>
        <w:rPr>
          <w:lang w:val="en-GB"/>
        </w:rPr>
        <w:t>ed</w:t>
      </w:r>
      <w:r w:rsidRPr="00C666E3">
        <w:rPr>
          <w:lang w:val="en-GB"/>
        </w:rPr>
        <w:t xml:space="preserve"> Indigo, a Canadian retailer, as an example of a company </w:t>
      </w:r>
      <w:r>
        <w:rPr>
          <w:lang w:val="en-GB"/>
        </w:rPr>
        <w:t>that</w:t>
      </w:r>
      <w:r w:rsidRPr="00C666E3">
        <w:rPr>
          <w:lang w:val="en-GB"/>
        </w:rPr>
        <w:t xml:space="preserve"> had prospered because it </w:t>
      </w:r>
      <w:r>
        <w:rPr>
          <w:lang w:val="en-GB"/>
        </w:rPr>
        <w:t xml:space="preserve">had </w:t>
      </w:r>
      <w:r w:rsidRPr="00C666E3">
        <w:rPr>
          <w:lang w:val="en-GB"/>
        </w:rPr>
        <w:t xml:space="preserve">transformed itself from a bookstore </w:t>
      </w:r>
      <w:r w:rsidR="002C522A">
        <w:rPr>
          <w:lang w:val="en-GB"/>
        </w:rPr>
        <w:t>in</w:t>
      </w:r>
      <w:r w:rsidRPr="00C666E3">
        <w:rPr>
          <w:lang w:val="en-GB"/>
        </w:rPr>
        <w:t xml:space="preserve">to a cultural department store by adding affiliated products. </w:t>
      </w:r>
    </w:p>
    <w:p w14:paraId="6B9CF58D" w14:textId="77777777" w:rsidR="00C67D8C" w:rsidRPr="00077C08" w:rsidRDefault="00C67D8C" w:rsidP="00C67D8C">
      <w:pPr>
        <w:pStyle w:val="BodyTextMain"/>
        <w:rPr>
          <w:b/>
          <w:bCs/>
          <w:sz w:val="18"/>
          <w:szCs w:val="18"/>
          <w:lang w:val="en-GB"/>
        </w:rPr>
      </w:pPr>
    </w:p>
    <w:p w14:paraId="7F8503B3" w14:textId="77777777" w:rsidR="00C67D8C" w:rsidRPr="00C666E3" w:rsidRDefault="00C67D8C" w:rsidP="00C67D8C">
      <w:pPr>
        <w:pStyle w:val="BodyTextMain"/>
        <w:rPr>
          <w:bCs/>
          <w:lang w:val="en-GB"/>
        </w:rPr>
      </w:pPr>
      <w:r w:rsidRPr="00C666E3">
        <w:rPr>
          <w:bCs/>
          <w:lang w:val="en-GB"/>
        </w:rPr>
        <w:t>The CEO highlight</w:t>
      </w:r>
      <w:r>
        <w:rPr>
          <w:bCs/>
          <w:lang w:val="en-GB"/>
        </w:rPr>
        <w:t>ed</w:t>
      </w:r>
      <w:r w:rsidRPr="00C666E3">
        <w:rPr>
          <w:bCs/>
          <w:lang w:val="en-GB"/>
        </w:rPr>
        <w:t xml:space="preserve"> such examples because he was convinced that the major barrier to change at the LCBO was not the </w:t>
      </w:r>
      <w:r>
        <w:rPr>
          <w:bCs/>
          <w:lang w:val="en-GB"/>
        </w:rPr>
        <w:t xml:space="preserve">employees’ </w:t>
      </w:r>
      <w:r w:rsidRPr="00C666E3">
        <w:rPr>
          <w:bCs/>
          <w:lang w:val="en-GB"/>
        </w:rPr>
        <w:t xml:space="preserve">lack of willingness to change but </w:t>
      </w:r>
      <w:r>
        <w:rPr>
          <w:bCs/>
          <w:lang w:val="en-GB"/>
        </w:rPr>
        <w:t xml:space="preserve">the </w:t>
      </w:r>
      <w:r w:rsidRPr="00C666E3">
        <w:rPr>
          <w:bCs/>
          <w:lang w:val="en-GB"/>
        </w:rPr>
        <w:t>lack of understanding of the road</w:t>
      </w:r>
      <w:r>
        <w:rPr>
          <w:bCs/>
          <w:lang w:val="en-GB"/>
        </w:rPr>
        <w:t xml:space="preserve"> </w:t>
      </w:r>
      <w:r w:rsidRPr="00C666E3">
        <w:rPr>
          <w:bCs/>
          <w:lang w:val="en-GB"/>
        </w:rPr>
        <w:t xml:space="preserve">map for change. </w:t>
      </w:r>
      <w:r>
        <w:rPr>
          <w:bCs/>
          <w:lang w:val="en-GB"/>
        </w:rPr>
        <w:t>His priority was e</w:t>
      </w:r>
      <w:r w:rsidRPr="00C666E3">
        <w:rPr>
          <w:bCs/>
          <w:lang w:val="en-GB"/>
        </w:rPr>
        <w:t>ducating employees about the ways to change. The road map he envisaged comprised three interlinked paths</w:t>
      </w:r>
      <w:r>
        <w:rPr>
          <w:bCs/>
          <w:lang w:val="en-GB"/>
        </w:rPr>
        <w:t>:</w:t>
      </w:r>
      <w:r w:rsidRPr="00C666E3">
        <w:rPr>
          <w:bCs/>
          <w:lang w:val="en-GB"/>
        </w:rPr>
        <w:t xml:space="preserve"> redefining the LCBO’s core capabilities, leveraging technology</w:t>
      </w:r>
      <w:r>
        <w:rPr>
          <w:bCs/>
          <w:lang w:val="en-GB"/>
        </w:rPr>
        <w:t>,</w:t>
      </w:r>
      <w:r w:rsidRPr="00C666E3">
        <w:rPr>
          <w:bCs/>
          <w:lang w:val="en-GB"/>
        </w:rPr>
        <w:t xml:space="preserve"> and becoming innovative. </w:t>
      </w:r>
      <w:r>
        <w:rPr>
          <w:bCs/>
          <w:lang w:val="en-GB"/>
        </w:rPr>
        <w:t>However, h</w:t>
      </w:r>
      <w:r w:rsidRPr="00C666E3">
        <w:rPr>
          <w:bCs/>
          <w:lang w:val="en-GB"/>
        </w:rPr>
        <w:t>e fac</w:t>
      </w:r>
      <w:r>
        <w:rPr>
          <w:bCs/>
          <w:lang w:val="en-GB"/>
        </w:rPr>
        <w:t>ed</w:t>
      </w:r>
      <w:r w:rsidRPr="00C666E3">
        <w:rPr>
          <w:bCs/>
          <w:lang w:val="en-GB"/>
        </w:rPr>
        <w:t xml:space="preserve"> dilemmas with each of them.</w:t>
      </w:r>
    </w:p>
    <w:p w14:paraId="2CEBF65F" w14:textId="77777777" w:rsidR="00C67D8C" w:rsidRPr="00077C08" w:rsidRDefault="00C67D8C" w:rsidP="00C67D8C">
      <w:pPr>
        <w:pStyle w:val="BodyTextMain"/>
        <w:rPr>
          <w:bCs/>
          <w:sz w:val="18"/>
          <w:szCs w:val="18"/>
          <w:lang w:val="en-GB"/>
        </w:rPr>
      </w:pPr>
    </w:p>
    <w:p w14:paraId="7357563A" w14:textId="77777777" w:rsidR="00C67D8C" w:rsidRPr="00077C08" w:rsidRDefault="00C67D8C" w:rsidP="00C67D8C">
      <w:pPr>
        <w:pStyle w:val="BodyTextMain"/>
        <w:rPr>
          <w:bCs/>
          <w:sz w:val="18"/>
          <w:szCs w:val="18"/>
          <w:lang w:val="en-GB"/>
        </w:rPr>
      </w:pPr>
    </w:p>
    <w:p w14:paraId="7893E65A" w14:textId="77777777" w:rsidR="00C67D8C" w:rsidRDefault="00C67D8C" w:rsidP="00C67D8C">
      <w:pPr>
        <w:pStyle w:val="Casehead2"/>
        <w:rPr>
          <w:lang w:val="en-GB"/>
        </w:rPr>
      </w:pPr>
      <w:r w:rsidRPr="00C666E3">
        <w:rPr>
          <w:lang w:val="en-GB"/>
        </w:rPr>
        <w:t xml:space="preserve">Redefining </w:t>
      </w:r>
      <w:r>
        <w:rPr>
          <w:lang w:val="en-GB"/>
        </w:rPr>
        <w:t>C</w:t>
      </w:r>
      <w:r w:rsidRPr="00C666E3">
        <w:rPr>
          <w:lang w:val="en-GB"/>
        </w:rPr>
        <w:t xml:space="preserve">ore </w:t>
      </w:r>
      <w:r>
        <w:rPr>
          <w:lang w:val="en-GB"/>
        </w:rPr>
        <w:t>C</w:t>
      </w:r>
      <w:r w:rsidRPr="00C666E3">
        <w:rPr>
          <w:lang w:val="en-GB"/>
        </w:rPr>
        <w:t>apabilities</w:t>
      </w:r>
    </w:p>
    <w:p w14:paraId="5CF9117D" w14:textId="77777777" w:rsidR="00C67D8C" w:rsidRPr="00077C08" w:rsidRDefault="00C67D8C" w:rsidP="00C67D8C">
      <w:pPr>
        <w:pStyle w:val="BodyTextMain"/>
        <w:rPr>
          <w:bCs/>
          <w:sz w:val="18"/>
          <w:szCs w:val="18"/>
          <w:lang w:val="en-GB"/>
        </w:rPr>
      </w:pPr>
    </w:p>
    <w:p w14:paraId="5A20DFEB" w14:textId="34158705" w:rsidR="00C67D8C" w:rsidRPr="00C666E3" w:rsidRDefault="00C67D8C" w:rsidP="00C67D8C">
      <w:pPr>
        <w:pStyle w:val="BodyTextMain"/>
        <w:rPr>
          <w:lang w:val="en-GB"/>
        </w:rPr>
      </w:pPr>
      <w:r w:rsidRPr="00C666E3">
        <w:rPr>
          <w:bCs/>
          <w:lang w:val="en-GB"/>
        </w:rPr>
        <w:t xml:space="preserve">The objectives of the Asset Review Council in positioning the LCBO as a wholesaler were twofold: on the supply side, </w:t>
      </w:r>
      <w:r w:rsidR="002C522A">
        <w:rPr>
          <w:bCs/>
          <w:lang w:val="en-GB"/>
        </w:rPr>
        <w:t xml:space="preserve">protect </w:t>
      </w:r>
      <w:r w:rsidRPr="00C666E3">
        <w:rPr>
          <w:bCs/>
          <w:lang w:val="en-GB"/>
        </w:rPr>
        <w:t>producers from direct negotiations with the grocers</w:t>
      </w:r>
      <w:r>
        <w:rPr>
          <w:bCs/>
          <w:lang w:val="en-GB"/>
        </w:rPr>
        <w:t>; and</w:t>
      </w:r>
      <w:r w:rsidRPr="00C666E3">
        <w:rPr>
          <w:bCs/>
          <w:lang w:val="en-GB"/>
        </w:rPr>
        <w:t xml:space="preserve"> on the demand side, </w:t>
      </w:r>
      <w:r>
        <w:rPr>
          <w:bCs/>
          <w:lang w:val="en-GB"/>
        </w:rPr>
        <w:t xml:space="preserve">protect </w:t>
      </w:r>
      <w:r w:rsidRPr="00C666E3">
        <w:rPr>
          <w:bCs/>
          <w:lang w:val="en-GB"/>
        </w:rPr>
        <w:t xml:space="preserve">consumers with an additional low-cost channel for beverage alcohol. </w:t>
      </w:r>
      <w:r>
        <w:rPr>
          <w:bCs/>
          <w:lang w:val="en-GB"/>
        </w:rPr>
        <w:t xml:space="preserve">The </w:t>
      </w:r>
      <w:r w:rsidRPr="00C666E3">
        <w:rPr>
          <w:lang w:val="en-GB"/>
        </w:rPr>
        <w:t>LCBO’s core competence was, however, in retailing. The company was organized for the business</w:t>
      </w:r>
      <w:r>
        <w:rPr>
          <w:lang w:val="en-GB"/>
        </w:rPr>
        <w:t>-</w:t>
      </w:r>
      <w:r w:rsidRPr="00C666E3">
        <w:rPr>
          <w:lang w:val="en-GB"/>
        </w:rPr>
        <w:t>to</w:t>
      </w:r>
      <w:r>
        <w:rPr>
          <w:lang w:val="en-GB"/>
        </w:rPr>
        <w:t>-</w:t>
      </w:r>
      <w:r w:rsidRPr="00C666E3">
        <w:rPr>
          <w:lang w:val="en-GB"/>
        </w:rPr>
        <w:t>consumer (B2C) market. Its business</w:t>
      </w:r>
      <w:r>
        <w:rPr>
          <w:lang w:val="en-GB"/>
        </w:rPr>
        <w:t>-</w:t>
      </w:r>
      <w:r w:rsidRPr="00C666E3">
        <w:rPr>
          <w:lang w:val="en-GB"/>
        </w:rPr>
        <w:t>to</w:t>
      </w:r>
      <w:r>
        <w:rPr>
          <w:lang w:val="en-GB"/>
        </w:rPr>
        <w:t>-</w:t>
      </w:r>
      <w:r w:rsidRPr="00C666E3">
        <w:rPr>
          <w:lang w:val="en-GB"/>
        </w:rPr>
        <w:t xml:space="preserve">business (B2B) transactions were limited to restaurant chains and </w:t>
      </w:r>
      <w:r>
        <w:rPr>
          <w:lang w:val="en-GB"/>
        </w:rPr>
        <w:t>T</w:t>
      </w:r>
      <w:r w:rsidRPr="00C666E3">
        <w:rPr>
          <w:lang w:val="en-GB"/>
        </w:rPr>
        <w:t>he Beer Store, but were an integral part of its marketing channel rather than a stand</w:t>
      </w:r>
      <w:r>
        <w:rPr>
          <w:lang w:val="en-GB"/>
        </w:rPr>
        <w:t>-</w:t>
      </w:r>
      <w:r w:rsidRPr="00C666E3">
        <w:rPr>
          <w:lang w:val="en-GB"/>
        </w:rPr>
        <w:t xml:space="preserve">alone channel. With grocery stores as its new customers, the LCBO </w:t>
      </w:r>
      <w:r>
        <w:rPr>
          <w:lang w:val="en-GB"/>
        </w:rPr>
        <w:t>needed</w:t>
      </w:r>
      <w:r w:rsidRPr="00C666E3">
        <w:rPr>
          <w:lang w:val="en-GB"/>
        </w:rPr>
        <w:t xml:space="preserve"> to gear up for a new wholesale channel. It </w:t>
      </w:r>
      <w:r>
        <w:rPr>
          <w:lang w:val="en-GB"/>
        </w:rPr>
        <w:t>needed</w:t>
      </w:r>
      <w:r w:rsidRPr="00C666E3">
        <w:rPr>
          <w:lang w:val="en-GB"/>
        </w:rPr>
        <w:t xml:space="preserve"> to </w:t>
      </w:r>
      <w:r>
        <w:rPr>
          <w:lang w:val="en-GB"/>
        </w:rPr>
        <w:t>pursue</w:t>
      </w:r>
      <w:r w:rsidRPr="00C666E3">
        <w:rPr>
          <w:lang w:val="en-GB"/>
        </w:rPr>
        <w:t xml:space="preserve"> a hybrid of retailing (involving consumers) and wholesaling (involving intermediaries). The move would be contrary to the prevailing trend </w:t>
      </w:r>
      <w:r>
        <w:rPr>
          <w:lang w:val="en-GB"/>
        </w:rPr>
        <w:t xml:space="preserve">in many industries </w:t>
      </w:r>
      <w:r w:rsidRPr="00C666E3">
        <w:rPr>
          <w:lang w:val="en-GB"/>
        </w:rPr>
        <w:t xml:space="preserve">of disintermediation, </w:t>
      </w:r>
      <w:r>
        <w:rPr>
          <w:lang w:val="en-GB"/>
        </w:rPr>
        <w:t xml:space="preserve">which </w:t>
      </w:r>
      <w:r w:rsidRPr="00C666E3">
        <w:rPr>
          <w:lang w:val="en-GB"/>
        </w:rPr>
        <w:t xml:space="preserve">aimed at reducing delivery </w:t>
      </w:r>
      <w:r>
        <w:rPr>
          <w:lang w:val="en-GB"/>
        </w:rPr>
        <w:t xml:space="preserve">costs </w:t>
      </w:r>
      <w:r w:rsidRPr="00C666E3">
        <w:rPr>
          <w:lang w:val="en-GB"/>
        </w:rPr>
        <w:t>by reaching consumers directly.</w:t>
      </w:r>
    </w:p>
    <w:p w14:paraId="3A3B2FB6" w14:textId="77777777" w:rsidR="00C67D8C" w:rsidRPr="00077C08" w:rsidRDefault="00C67D8C" w:rsidP="00C67D8C">
      <w:pPr>
        <w:pStyle w:val="BodyTextMain"/>
        <w:rPr>
          <w:sz w:val="18"/>
          <w:szCs w:val="18"/>
          <w:lang w:val="en-GB"/>
        </w:rPr>
      </w:pPr>
    </w:p>
    <w:p w14:paraId="0BA21DD4" w14:textId="77777777" w:rsidR="00C67D8C" w:rsidRPr="00C666E3" w:rsidRDefault="00C67D8C" w:rsidP="00C67D8C">
      <w:pPr>
        <w:pStyle w:val="BodyTextMain"/>
        <w:rPr>
          <w:lang w:val="en-GB"/>
        </w:rPr>
      </w:pPr>
      <w:r w:rsidRPr="00C666E3">
        <w:rPr>
          <w:lang w:val="en-GB"/>
        </w:rPr>
        <w:t xml:space="preserve">While </w:t>
      </w:r>
      <w:r>
        <w:rPr>
          <w:lang w:val="en-GB"/>
        </w:rPr>
        <w:t xml:space="preserve">the </w:t>
      </w:r>
      <w:r w:rsidRPr="00C666E3">
        <w:rPr>
          <w:lang w:val="en-GB"/>
        </w:rPr>
        <w:t xml:space="preserve">sales of individual LCBO stores located near grocery stores were at risk, the company’s consolidated revenue was not expected to fall since sales through the grocery channel would still accrue to the LCBO. </w:t>
      </w:r>
      <w:r>
        <w:rPr>
          <w:lang w:val="en-GB"/>
        </w:rPr>
        <w:t>Over the next five years, a</w:t>
      </w:r>
      <w:r w:rsidRPr="00C666E3">
        <w:rPr>
          <w:lang w:val="en-GB"/>
        </w:rPr>
        <w:t>n estimated $1 billion in revenue was expected to move from the company’s retail stores to grocery chains</w:t>
      </w:r>
      <w:r>
        <w:rPr>
          <w:lang w:val="en-GB"/>
        </w:rPr>
        <w:t>;</w:t>
      </w:r>
      <w:r w:rsidRPr="00C666E3">
        <w:rPr>
          <w:lang w:val="en-GB"/>
        </w:rPr>
        <w:t xml:space="preserve"> however, </w:t>
      </w:r>
      <w:r>
        <w:rPr>
          <w:lang w:val="en-GB"/>
        </w:rPr>
        <w:t xml:space="preserve">the </w:t>
      </w:r>
      <w:r w:rsidRPr="00C666E3">
        <w:rPr>
          <w:lang w:val="en-GB"/>
        </w:rPr>
        <w:t xml:space="preserve">LCBO </w:t>
      </w:r>
      <w:r>
        <w:rPr>
          <w:lang w:val="en-GB"/>
        </w:rPr>
        <w:t xml:space="preserve">would experience decreased margins </w:t>
      </w:r>
      <w:r w:rsidRPr="00C666E3">
        <w:rPr>
          <w:lang w:val="en-GB"/>
        </w:rPr>
        <w:t xml:space="preserve">because </w:t>
      </w:r>
      <w:r>
        <w:rPr>
          <w:lang w:val="en-GB"/>
        </w:rPr>
        <w:t>it would need</w:t>
      </w:r>
      <w:r w:rsidRPr="00C666E3">
        <w:rPr>
          <w:lang w:val="en-GB"/>
        </w:rPr>
        <w:t xml:space="preserve"> to share its margin</w:t>
      </w:r>
      <w:r>
        <w:rPr>
          <w:lang w:val="en-GB"/>
        </w:rPr>
        <w:t>s</w:t>
      </w:r>
      <w:r w:rsidRPr="00C666E3">
        <w:rPr>
          <w:lang w:val="en-GB"/>
        </w:rPr>
        <w:t xml:space="preserve"> with the </w:t>
      </w:r>
      <w:r>
        <w:rPr>
          <w:lang w:val="en-GB"/>
        </w:rPr>
        <w:t xml:space="preserve">grocery </w:t>
      </w:r>
      <w:r w:rsidRPr="00C666E3">
        <w:rPr>
          <w:lang w:val="en-GB"/>
        </w:rPr>
        <w:t>retailer</w:t>
      </w:r>
      <w:r>
        <w:rPr>
          <w:lang w:val="en-GB"/>
        </w:rPr>
        <w:t>s</w:t>
      </w:r>
      <w:r w:rsidRPr="00C666E3">
        <w:rPr>
          <w:lang w:val="en-GB"/>
        </w:rPr>
        <w:t>.</w:t>
      </w:r>
    </w:p>
    <w:p w14:paraId="655F1725" w14:textId="77777777" w:rsidR="00C67D8C" w:rsidRPr="00077C08" w:rsidRDefault="00C67D8C" w:rsidP="00C67D8C">
      <w:pPr>
        <w:pStyle w:val="BodyTextMain"/>
        <w:rPr>
          <w:sz w:val="18"/>
          <w:szCs w:val="18"/>
          <w:lang w:val="en-GB"/>
        </w:rPr>
      </w:pPr>
    </w:p>
    <w:p w14:paraId="0C07CB13" w14:textId="3016EE04" w:rsidR="00C67D8C" w:rsidRPr="00C666E3" w:rsidRDefault="00C67D8C" w:rsidP="00C67D8C">
      <w:pPr>
        <w:pStyle w:val="BodyTextMain"/>
        <w:rPr>
          <w:lang w:val="en-GB"/>
        </w:rPr>
      </w:pPr>
      <w:r w:rsidRPr="00C666E3">
        <w:rPr>
          <w:lang w:val="en-GB"/>
        </w:rPr>
        <w:t xml:space="preserve">Grocery wholesaling represented a new business opportunity and </w:t>
      </w:r>
      <w:r>
        <w:rPr>
          <w:lang w:val="en-GB"/>
        </w:rPr>
        <w:t xml:space="preserve">a </w:t>
      </w:r>
      <w:r w:rsidRPr="00C666E3">
        <w:rPr>
          <w:lang w:val="en-GB"/>
        </w:rPr>
        <w:t xml:space="preserve">new customer base for the LCBO. </w:t>
      </w:r>
      <w:proofErr w:type="spellStart"/>
      <w:r w:rsidRPr="00C666E3">
        <w:rPr>
          <w:lang w:val="en-GB"/>
        </w:rPr>
        <w:t>Soleas</w:t>
      </w:r>
      <w:proofErr w:type="spellEnd"/>
      <w:r w:rsidRPr="00C666E3">
        <w:rPr>
          <w:lang w:val="en-GB"/>
        </w:rPr>
        <w:t xml:space="preserve"> was bringing </w:t>
      </w:r>
      <w:r w:rsidR="007F77B3">
        <w:rPr>
          <w:lang w:val="en-GB"/>
        </w:rPr>
        <w:t>aboard</w:t>
      </w:r>
      <w:r w:rsidRPr="00C666E3">
        <w:rPr>
          <w:lang w:val="en-GB"/>
        </w:rPr>
        <w:t xml:space="preserve"> a new executive </w:t>
      </w:r>
      <w:r>
        <w:rPr>
          <w:lang w:val="en-GB"/>
        </w:rPr>
        <w:t>who had</w:t>
      </w:r>
      <w:r w:rsidRPr="00C666E3">
        <w:rPr>
          <w:lang w:val="en-GB"/>
        </w:rPr>
        <w:t xml:space="preserve"> a mandate to build the wholesale channel on a solid foundation. </w:t>
      </w:r>
      <w:proofErr w:type="spellStart"/>
      <w:r w:rsidRPr="00C666E3">
        <w:rPr>
          <w:lang w:val="en-GB"/>
        </w:rPr>
        <w:t>Mandesh</w:t>
      </w:r>
      <w:proofErr w:type="spellEnd"/>
      <w:r w:rsidRPr="00C666E3">
        <w:rPr>
          <w:lang w:val="en-GB"/>
        </w:rPr>
        <w:t xml:space="preserve"> </w:t>
      </w:r>
      <w:proofErr w:type="spellStart"/>
      <w:r w:rsidRPr="00C666E3">
        <w:rPr>
          <w:lang w:val="en-GB"/>
        </w:rPr>
        <w:t>Dosanjh</w:t>
      </w:r>
      <w:proofErr w:type="spellEnd"/>
      <w:r w:rsidRPr="00C666E3">
        <w:rPr>
          <w:lang w:val="en-GB"/>
        </w:rPr>
        <w:t xml:space="preserve"> was to join </w:t>
      </w:r>
      <w:r>
        <w:rPr>
          <w:lang w:val="en-GB"/>
        </w:rPr>
        <w:t xml:space="preserve">the </w:t>
      </w:r>
      <w:r w:rsidRPr="00C666E3">
        <w:rPr>
          <w:lang w:val="en-GB"/>
        </w:rPr>
        <w:t xml:space="preserve">LCBO in November 2016 as </w:t>
      </w:r>
      <w:r>
        <w:rPr>
          <w:lang w:val="en-GB"/>
        </w:rPr>
        <w:t>s</w:t>
      </w:r>
      <w:r w:rsidRPr="00C666E3">
        <w:rPr>
          <w:lang w:val="en-GB"/>
        </w:rPr>
        <w:t xml:space="preserve">enior </w:t>
      </w:r>
      <w:r>
        <w:rPr>
          <w:lang w:val="en-GB"/>
        </w:rPr>
        <w:t>v</w:t>
      </w:r>
      <w:r w:rsidRPr="00C666E3">
        <w:rPr>
          <w:lang w:val="en-GB"/>
        </w:rPr>
        <w:t>ice</w:t>
      </w:r>
      <w:r>
        <w:rPr>
          <w:lang w:val="en-GB"/>
        </w:rPr>
        <w:t>-p</w:t>
      </w:r>
      <w:r w:rsidRPr="00C666E3">
        <w:rPr>
          <w:lang w:val="en-GB"/>
        </w:rPr>
        <w:t xml:space="preserve">resident, Supply Chain &amp; Wholesale. Having worked for </w:t>
      </w:r>
      <w:r>
        <w:rPr>
          <w:lang w:val="en-GB"/>
        </w:rPr>
        <w:t xml:space="preserve">more than </w:t>
      </w:r>
      <w:r w:rsidRPr="00C666E3">
        <w:rPr>
          <w:lang w:val="en-GB"/>
        </w:rPr>
        <w:t xml:space="preserve">a decade and half with retailers </w:t>
      </w:r>
      <w:r>
        <w:rPr>
          <w:lang w:val="en-GB"/>
        </w:rPr>
        <w:t>such as</w:t>
      </w:r>
      <w:r w:rsidRPr="00C666E3">
        <w:rPr>
          <w:lang w:val="en-GB"/>
        </w:rPr>
        <w:t xml:space="preserve"> </w:t>
      </w:r>
      <w:proofErr w:type="spellStart"/>
      <w:r w:rsidRPr="00C666E3">
        <w:rPr>
          <w:lang w:val="en-GB"/>
        </w:rPr>
        <w:t>Loblaw</w:t>
      </w:r>
      <w:r>
        <w:rPr>
          <w:lang w:val="en-GB"/>
        </w:rPr>
        <w:t>s</w:t>
      </w:r>
      <w:proofErr w:type="spellEnd"/>
      <w:r w:rsidRPr="00C666E3">
        <w:rPr>
          <w:lang w:val="en-GB"/>
        </w:rPr>
        <w:t xml:space="preserve">, </w:t>
      </w:r>
      <w:r>
        <w:rPr>
          <w:lang w:val="en-GB"/>
        </w:rPr>
        <w:t xml:space="preserve">it was </w:t>
      </w:r>
      <w:r>
        <w:rPr>
          <w:lang w:val="en-GB"/>
        </w:rPr>
        <w:lastRenderedPageBreak/>
        <w:t xml:space="preserve">hoped that </w:t>
      </w:r>
      <w:proofErr w:type="spellStart"/>
      <w:r w:rsidR="0035511B">
        <w:rPr>
          <w:lang w:val="en-GB"/>
        </w:rPr>
        <w:t>Dosanjh</w:t>
      </w:r>
      <w:proofErr w:type="spellEnd"/>
      <w:r w:rsidRPr="00C666E3">
        <w:rPr>
          <w:lang w:val="en-GB"/>
        </w:rPr>
        <w:t xml:space="preserve"> </w:t>
      </w:r>
      <w:r>
        <w:rPr>
          <w:lang w:val="en-GB"/>
        </w:rPr>
        <w:t>would</w:t>
      </w:r>
      <w:r w:rsidRPr="00C666E3">
        <w:rPr>
          <w:lang w:val="en-GB"/>
        </w:rPr>
        <w:t xml:space="preserve"> bring a fresh perspective to managing the grocery channel for the LCBO. He was to take a new team, with new systems and new processes, to the next level.</w:t>
      </w:r>
    </w:p>
    <w:p w14:paraId="22064935" w14:textId="77777777" w:rsidR="00C67D8C" w:rsidRPr="00077C08" w:rsidRDefault="00C67D8C" w:rsidP="00C67D8C">
      <w:pPr>
        <w:pStyle w:val="BodyTextMain"/>
        <w:rPr>
          <w:sz w:val="18"/>
          <w:szCs w:val="18"/>
          <w:lang w:val="en-GB"/>
        </w:rPr>
      </w:pPr>
    </w:p>
    <w:p w14:paraId="66333DA9" w14:textId="6F2BF272" w:rsidR="00C67D8C" w:rsidRPr="00C666E3" w:rsidRDefault="00C67D8C" w:rsidP="00C67D8C">
      <w:pPr>
        <w:pStyle w:val="BodyTextMain"/>
        <w:rPr>
          <w:lang w:val="en-GB"/>
        </w:rPr>
      </w:pPr>
      <w:r w:rsidRPr="00C666E3">
        <w:rPr>
          <w:lang w:val="en-GB"/>
        </w:rPr>
        <w:t xml:space="preserve">Said </w:t>
      </w:r>
      <w:proofErr w:type="spellStart"/>
      <w:r w:rsidRPr="00C666E3">
        <w:rPr>
          <w:lang w:val="en-GB"/>
        </w:rPr>
        <w:t>Dosanjh</w:t>
      </w:r>
      <w:proofErr w:type="spellEnd"/>
      <w:r w:rsidRPr="00C666E3">
        <w:rPr>
          <w:lang w:val="en-GB"/>
        </w:rPr>
        <w:t>:</w:t>
      </w:r>
    </w:p>
    <w:p w14:paraId="56D15A34" w14:textId="77777777" w:rsidR="00C67D8C" w:rsidRPr="00077C08" w:rsidRDefault="00C67D8C" w:rsidP="00C67D8C">
      <w:pPr>
        <w:pStyle w:val="BodyTextMain"/>
        <w:rPr>
          <w:sz w:val="18"/>
          <w:szCs w:val="18"/>
          <w:lang w:val="en-GB"/>
        </w:rPr>
      </w:pPr>
    </w:p>
    <w:p w14:paraId="387E669D" w14:textId="385FDCFC" w:rsidR="00C67D8C" w:rsidRPr="00C666E3" w:rsidRDefault="00C67D8C" w:rsidP="00C67D8C">
      <w:pPr>
        <w:pStyle w:val="BodyTextMain"/>
        <w:ind w:left="720"/>
        <w:rPr>
          <w:lang w:val="en-GB"/>
        </w:rPr>
      </w:pPr>
      <w:r w:rsidRPr="00C666E3">
        <w:rPr>
          <w:lang w:val="en-GB"/>
        </w:rPr>
        <w:t xml:space="preserve">My priority is to develop strategic relationships with individual grocers. The LCBO will be one among many vendors for a grocery chain. Grocers determine assortments, merchandising, and promotion. Vendors do not. Of course, with beverage alcohol products, the control rests with the Alcohol and Gaming Commission of Ontario </w:t>
      </w:r>
      <w:r>
        <w:rPr>
          <w:lang w:val="en-GB"/>
        </w:rPr>
        <w:t>[</w:t>
      </w:r>
      <w:r w:rsidRPr="00C666E3">
        <w:rPr>
          <w:lang w:val="en-GB"/>
        </w:rPr>
        <w:t>AGCO</w:t>
      </w:r>
      <w:r>
        <w:rPr>
          <w:lang w:val="en-GB"/>
        </w:rPr>
        <w:t>]</w:t>
      </w:r>
      <w:r w:rsidR="0035511B">
        <w:rPr>
          <w:lang w:val="en-GB"/>
        </w:rPr>
        <w:t>,</w:t>
      </w:r>
      <w:r w:rsidRPr="00C666E3">
        <w:rPr>
          <w:lang w:val="en-GB"/>
        </w:rPr>
        <w:t xml:space="preserve"> which is the regulatory body. Grocers will have to adapt to the new dynamic in retailing a regulated product.</w:t>
      </w:r>
    </w:p>
    <w:p w14:paraId="64337A30" w14:textId="77777777" w:rsidR="00C67D8C" w:rsidRPr="00077C08" w:rsidRDefault="00C67D8C" w:rsidP="00C67D8C">
      <w:pPr>
        <w:pStyle w:val="BodyTextMain"/>
        <w:rPr>
          <w:sz w:val="18"/>
          <w:szCs w:val="18"/>
          <w:lang w:val="en-GB"/>
        </w:rPr>
      </w:pPr>
    </w:p>
    <w:p w14:paraId="25E36585" w14:textId="0B3253CC" w:rsidR="00C67D8C" w:rsidRPr="00C666E3" w:rsidRDefault="00C67D8C" w:rsidP="00C67D8C">
      <w:pPr>
        <w:pStyle w:val="BodyTextMain"/>
        <w:rPr>
          <w:lang w:val="en-GB"/>
        </w:rPr>
      </w:pPr>
      <w:r w:rsidRPr="00C666E3">
        <w:rPr>
          <w:lang w:val="en-GB"/>
        </w:rPr>
        <w:t xml:space="preserve">There was also the matter of age. Only employees 18 </w:t>
      </w:r>
      <w:r>
        <w:rPr>
          <w:lang w:val="en-GB"/>
        </w:rPr>
        <w:t xml:space="preserve">years of age and older </w:t>
      </w:r>
      <w:r w:rsidRPr="00C666E3">
        <w:rPr>
          <w:lang w:val="en-GB"/>
        </w:rPr>
        <w:t xml:space="preserve">were allowed by law to handle beverage alcohol products. Many grocery retailers were hiring students </w:t>
      </w:r>
      <w:r w:rsidR="0035511B">
        <w:rPr>
          <w:lang w:val="en-GB"/>
        </w:rPr>
        <w:t>aged</w:t>
      </w:r>
      <w:r w:rsidRPr="00C666E3">
        <w:rPr>
          <w:lang w:val="en-GB"/>
        </w:rPr>
        <w:t xml:space="preserve"> 16 or 17 to manage checkout counters. In addition, the store ambiance varied. In a grocery store, the service was impersonal and had no bells and whistles. The LCBO had CSRs who were well versed with its products, provided personal service to customers</w:t>
      </w:r>
      <w:r w:rsidR="0035511B">
        <w:rPr>
          <w:lang w:val="en-GB"/>
        </w:rPr>
        <w:t>,</w:t>
      </w:r>
      <w:r w:rsidRPr="00C666E3">
        <w:rPr>
          <w:lang w:val="en-GB"/>
        </w:rPr>
        <w:t xml:space="preserve"> and </w:t>
      </w:r>
      <w:r w:rsidR="0035511B">
        <w:rPr>
          <w:lang w:val="en-GB"/>
        </w:rPr>
        <w:t xml:space="preserve">were </w:t>
      </w:r>
      <w:r w:rsidRPr="00C666E3">
        <w:rPr>
          <w:lang w:val="en-GB"/>
        </w:rPr>
        <w:t xml:space="preserve">highly trained in responsible retailing practices. </w:t>
      </w:r>
    </w:p>
    <w:p w14:paraId="1FBA703E" w14:textId="77777777" w:rsidR="00C67D8C" w:rsidRPr="00077C08" w:rsidRDefault="00C67D8C" w:rsidP="00C67D8C">
      <w:pPr>
        <w:pStyle w:val="BodyTextMain"/>
        <w:rPr>
          <w:bCs/>
          <w:sz w:val="18"/>
          <w:szCs w:val="18"/>
          <w:lang w:val="en-GB"/>
        </w:rPr>
      </w:pPr>
    </w:p>
    <w:p w14:paraId="4E70B498" w14:textId="77777777" w:rsidR="00C67D8C" w:rsidRPr="00077C08" w:rsidRDefault="00C67D8C" w:rsidP="00C67D8C">
      <w:pPr>
        <w:pStyle w:val="BodyTextMain"/>
        <w:rPr>
          <w:bCs/>
          <w:sz w:val="18"/>
          <w:szCs w:val="18"/>
          <w:lang w:val="en-GB"/>
        </w:rPr>
      </w:pPr>
    </w:p>
    <w:p w14:paraId="54CCFC4A" w14:textId="77777777" w:rsidR="00C67D8C" w:rsidRDefault="00C67D8C" w:rsidP="00C67D8C">
      <w:pPr>
        <w:pStyle w:val="Casehead2"/>
        <w:rPr>
          <w:lang w:val="en-GB"/>
        </w:rPr>
      </w:pPr>
      <w:r w:rsidRPr="00C666E3">
        <w:rPr>
          <w:lang w:val="en-GB"/>
        </w:rPr>
        <w:t xml:space="preserve">Leveraging </w:t>
      </w:r>
      <w:r>
        <w:rPr>
          <w:lang w:val="en-GB"/>
        </w:rPr>
        <w:t>T</w:t>
      </w:r>
      <w:r w:rsidRPr="00C666E3">
        <w:rPr>
          <w:lang w:val="en-GB"/>
        </w:rPr>
        <w:t xml:space="preserve">echnology </w:t>
      </w:r>
    </w:p>
    <w:p w14:paraId="56F79140" w14:textId="77777777" w:rsidR="00C67D8C" w:rsidRPr="00077C08" w:rsidRDefault="00C67D8C" w:rsidP="00C67D8C">
      <w:pPr>
        <w:pStyle w:val="BodyTextMain"/>
        <w:rPr>
          <w:bCs/>
          <w:sz w:val="18"/>
          <w:szCs w:val="18"/>
          <w:lang w:val="en-GB"/>
        </w:rPr>
      </w:pPr>
    </w:p>
    <w:p w14:paraId="728C3371" w14:textId="7AB5E7A4" w:rsidR="00C67D8C" w:rsidRPr="00C666E3" w:rsidRDefault="00C67D8C" w:rsidP="00C67D8C">
      <w:pPr>
        <w:pStyle w:val="BodyTextMain"/>
        <w:rPr>
          <w:lang w:val="en-GB"/>
        </w:rPr>
      </w:pPr>
      <w:r w:rsidRPr="00C666E3">
        <w:rPr>
          <w:lang w:val="en-GB"/>
        </w:rPr>
        <w:t xml:space="preserve">Eubanks had signed up with the LCBO in 2014 with a mandate to support the company’s digital transformation. He had seen </w:t>
      </w:r>
      <w:r w:rsidR="005301E3">
        <w:rPr>
          <w:lang w:val="en-GB"/>
        </w:rPr>
        <w:t>chief information officers</w:t>
      </w:r>
      <w:r w:rsidRPr="00C666E3">
        <w:rPr>
          <w:lang w:val="en-GB"/>
        </w:rPr>
        <w:t xml:space="preserve"> in general struggling to be perceived by their CEOs as business partners rather than service providers. They were also battling with their </w:t>
      </w:r>
      <w:r>
        <w:rPr>
          <w:lang w:val="en-GB"/>
        </w:rPr>
        <w:t>chief financial officer</w:t>
      </w:r>
      <w:r w:rsidRPr="00C666E3">
        <w:rPr>
          <w:lang w:val="en-GB"/>
        </w:rPr>
        <w:t xml:space="preserve">s for budgets. He was struck by how his peers </w:t>
      </w:r>
      <w:r w:rsidR="0035511B">
        <w:rPr>
          <w:lang w:val="en-GB"/>
        </w:rPr>
        <w:t>on</w:t>
      </w:r>
      <w:r w:rsidRPr="00C666E3">
        <w:rPr>
          <w:lang w:val="en-GB"/>
        </w:rPr>
        <w:t xml:space="preserve"> the executive committee at the LCBO were supportive of technology. The company’s board and even the shareholder</w:t>
      </w:r>
      <w:r w:rsidR="00D33D03">
        <w:rPr>
          <w:lang w:val="en-GB"/>
        </w:rPr>
        <w:t>—</w:t>
      </w:r>
      <w:r w:rsidRPr="00C666E3">
        <w:rPr>
          <w:lang w:val="en-GB"/>
        </w:rPr>
        <w:t>the provincial government</w:t>
      </w:r>
      <w:r w:rsidR="00D33D03">
        <w:rPr>
          <w:lang w:val="en-GB"/>
        </w:rPr>
        <w:t>—</w:t>
      </w:r>
      <w:r w:rsidRPr="00C666E3">
        <w:rPr>
          <w:lang w:val="en-GB"/>
        </w:rPr>
        <w:t xml:space="preserve">believed that going digital was the way forward for the LCBO. The Asset Review Council had in fact suggested that </w:t>
      </w:r>
      <w:r>
        <w:rPr>
          <w:lang w:val="en-GB"/>
        </w:rPr>
        <w:t xml:space="preserve">the </w:t>
      </w:r>
      <w:r w:rsidRPr="00C666E3">
        <w:rPr>
          <w:lang w:val="en-GB"/>
        </w:rPr>
        <w:t>LCBO should deploy e</w:t>
      </w:r>
      <w:r>
        <w:rPr>
          <w:lang w:val="en-GB"/>
        </w:rPr>
        <w:t>-c</w:t>
      </w:r>
      <w:r w:rsidRPr="00C666E3">
        <w:rPr>
          <w:lang w:val="en-GB"/>
        </w:rPr>
        <w:t>ommerce to improve customer service and choice.</w:t>
      </w:r>
    </w:p>
    <w:p w14:paraId="079E652C" w14:textId="77777777" w:rsidR="00C67D8C" w:rsidRPr="00077C08" w:rsidRDefault="00C67D8C" w:rsidP="00C67D8C">
      <w:pPr>
        <w:pStyle w:val="BodyTextMain"/>
        <w:rPr>
          <w:bCs/>
          <w:sz w:val="18"/>
          <w:szCs w:val="18"/>
          <w:lang w:val="en-GB"/>
        </w:rPr>
      </w:pPr>
    </w:p>
    <w:p w14:paraId="629C0AD8" w14:textId="77777777" w:rsidR="00C67D8C" w:rsidRPr="00C666E3" w:rsidRDefault="00C67D8C" w:rsidP="00C67D8C">
      <w:pPr>
        <w:pStyle w:val="BodyTextMain"/>
        <w:rPr>
          <w:bCs/>
          <w:lang w:val="en-GB"/>
        </w:rPr>
      </w:pPr>
      <w:r>
        <w:rPr>
          <w:bCs/>
          <w:lang w:val="en-GB"/>
        </w:rPr>
        <w:t>A</w:t>
      </w:r>
      <w:r w:rsidRPr="00C666E3">
        <w:rPr>
          <w:bCs/>
          <w:lang w:val="en-GB"/>
        </w:rPr>
        <w:t xml:space="preserve">s Eubanks saw </w:t>
      </w:r>
      <w:r>
        <w:rPr>
          <w:bCs/>
          <w:lang w:val="en-GB"/>
        </w:rPr>
        <w:t>it,</w:t>
      </w:r>
      <w:r w:rsidRPr="00C666E3">
        <w:rPr>
          <w:bCs/>
          <w:lang w:val="en-GB"/>
        </w:rPr>
        <w:t xml:space="preserve"> </w:t>
      </w:r>
      <w:r>
        <w:rPr>
          <w:bCs/>
          <w:lang w:val="en-GB"/>
        </w:rPr>
        <w:t>t</w:t>
      </w:r>
      <w:r w:rsidRPr="00C666E3">
        <w:rPr>
          <w:bCs/>
          <w:lang w:val="en-GB"/>
        </w:rPr>
        <w:t xml:space="preserve">echnology deployment would have three objectives: </w:t>
      </w:r>
      <w:r>
        <w:rPr>
          <w:bCs/>
          <w:lang w:val="en-GB"/>
        </w:rPr>
        <w:t xml:space="preserve">to </w:t>
      </w:r>
      <w:r w:rsidRPr="00C666E3">
        <w:rPr>
          <w:bCs/>
          <w:lang w:val="en-GB"/>
        </w:rPr>
        <w:t xml:space="preserve">empower staff, </w:t>
      </w:r>
      <w:r>
        <w:rPr>
          <w:bCs/>
          <w:lang w:val="en-GB"/>
        </w:rPr>
        <w:t xml:space="preserve">to </w:t>
      </w:r>
      <w:r w:rsidRPr="00C666E3">
        <w:rPr>
          <w:bCs/>
          <w:lang w:val="en-GB"/>
        </w:rPr>
        <w:t>engage with customers</w:t>
      </w:r>
      <w:r>
        <w:rPr>
          <w:bCs/>
          <w:lang w:val="en-GB"/>
        </w:rPr>
        <w:t>,</w:t>
      </w:r>
      <w:r w:rsidRPr="00C666E3">
        <w:rPr>
          <w:bCs/>
          <w:lang w:val="en-GB"/>
        </w:rPr>
        <w:t xml:space="preserve"> and </w:t>
      </w:r>
      <w:r>
        <w:rPr>
          <w:bCs/>
          <w:lang w:val="en-GB"/>
        </w:rPr>
        <w:t xml:space="preserve">to </w:t>
      </w:r>
      <w:r w:rsidRPr="00C666E3">
        <w:rPr>
          <w:bCs/>
          <w:lang w:val="en-GB"/>
        </w:rPr>
        <w:t>enable efficiencies. He fac</w:t>
      </w:r>
      <w:r>
        <w:rPr>
          <w:bCs/>
          <w:lang w:val="en-GB"/>
        </w:rPr>
        <w:t xml:space="preserve">ed </w:t>
      </w:r>
      <w:r w:rsidRPr="00C666E3">
        <w:rPr>
          <w:bCs/>
          <w:lang w:val="en-GB"/>
        </w:rPr>
        <w:t>dilemmas with each</w:t>
      </w:r>
      <w:r>
        <w:rPr>
          <w:bCs/>
          <w:lang w:val="en-GB"/>
        </w:rPr>
        <w:t xml:space="preserve"> objective</w:t>
      </w:r>
      <w:r w:rsidRPr="00C666E3">
        <w:rPr>
          <w:bCs/>
          <w:lang w:val="en-GB"/>
        </w:rPr>
        <w:t>.</w:t>
      </w:r>
    </w:p>
    <w:p w14:paraId="1758F3B6" w14:textId="77777777" w:rsidR="00C67D8C" w:rsidRPr="00077C08" w:rsidRDefault="00C67D8C" w:rsidP="00C67D8C">
      <w:pPr>
        <w:pStyle w:val="BodyTextMain"/>
        <w:rPr>
          <w:bCs/>
          <w:sz w:val="18"/>
          <w:szCs w:val="18"/>
          <w:lang w:val="en-GB"/>
        </w:rPr>
      </w:pPr>
    </w:p>
    <w:p w14:paraId="4A8A4E87" w14:textId="716BE931" w:rsidR="00C67D8C" w:rsidRPr="00C666E3" w:rsidRDefault="00C67D8C" w:rsidP="00C67D8C">
      <w:pPr>
        <w:pStyle w:val="BodyTextMain"/>
        <w:rPr>
          <w:bCs/>
          <w:lang w:val="en-GB"/>
        </w:rPr>
      </w:pPr>
      <w:r>
        <w:rPr>
          <w:bCs/>
          <w:lang w:val="en-GB"/>
        </w:rPr>
        <w:t xml:space="preserve">For example, </w:t>
      </w:r>
      <w:r w:rsidR="00D33D03">
        <w:rPr>
          <w:bCs/>
          <w:lang w:val="en-GB"/>
        </w:rPr>
        <w:t>t</w:t>
      </w:r>
      <w:r w:rsidRPr="00C666E3">
        <w:rPr>
          <w:bCs/>
          <w:lang w:val="en-GB"/>
        </w:rPr>
        <w:t xml:space="preserve">he company’s data warehouse was built around the conventional retail model of products and product assortments. The move toward customer centricity had required it </w:t>
      </w:r>
      <w:r w:rsidR="00C74FDB">
        <w:rPr>
          <w:bCs/>
          <w:lang w:val="en-GB"/>
        </w:rPr>
        <w:t>to</w:t>
      </w:r>
      <w:r w:rsidRPr="00C666E3">
        <w:rPr>
          <w:bCs/>
          <w:lang w:val="en-GB"/>
        </w:rPr>
        <w:t xml:space="preserve"> be rebuilt around individual customers. Doing so required the use of big data</w:t>
      </w:r>
      <w:r>
        <w:rPr>
          <w:bCs/>
          <w:lang w:val="en-GB"/>
        </w:rPr>
        <w:t>,</w:t>
      </w:r>
      <w:r w:rsidRPr="00C666E3">
        <w:rPr>
          <w:bCs/>
          <w:lang w:val="en-GB"/>
        </w:rPr>
        <w:t xml:space="preserve"> which meant that the LCBO </w:t>
      </w:r>
      <w:r>
        <w:rPr>
          <w:bCs/>
          <w:lang w:val="en-GB"/>
        </w:rPr>
        <w:t>needed</w:t>
      </w:r>
      <w:r w:rsidRPr="00C666E3">
        <w:rPr>
          <w:bCs/>
          <w:lang w:val="en-GB"/>
        </w:rPr>
        <w:t xml:space="preserve"> to access data </w:t>
      </w:r>
      <w:r>
        <w:rPr>
          <w:bCs/>
          <w:lang w:val="en-GB"/>
        </w:rPr>
        <w:t xml:space="preserve">from </w:t>
      </w:r>
      <w:r w:rsidRPr="00C666E3">
        <w:rPr>
          <w:bCs/>
          <w:lang w:val="en-GB"/>
        </w:rPr>
        <w:t xml:space="preserve">not only structured sources (such as database tables) but </w:t>
      </w:r>
      <w:r>
        <w:rPr>
          <w:bCs/>
          <w:lang w:val="en-GB"/>
        </w:rPr>
        <w:t xml:space="preserve">also </w:t>
      </w:r>
      <w:r w:rsidRPr="00C666E3">
        <w:rPr>
          <w:bCs/>
          <w:lang w:val="en-GB"/>
        </w:rPr>
        <w:t xml:space="preserve">unstructured sources (such as mobile phones, social networks, sensors, video archives, radio-frequency identification [RFID] chips, and </w:t>
      </w:r>
      <w:r>
        <w:rPr>
          <w:bCs/>
          <w:lang w:val="en-GB"/>
        </w:rPr>
        <w:t>G</w:t>
      </w:r>
      <w:r w:rsidRPr="00C666E3">
        <w:rPr>
          <w:bCs/>
          <w:lang w:val="en-GB"/>
        </w:rPr>
        <w:t xml:space="preserve">lobal </w:t>
      </w:r>
      <w:r>
        <w:rPr>
          <w:bCs/>
          <w:lang w:val="en-GB"/>
        </w:rPr>
        <w:t>P</w:t>
      </w:r>
      <w:r w:rsidRPr="00C666E3">
        <w:rPr>
          <w:bCs/>
          <w:lang w:val="en-GB"/>
        </w:rPr>
        <w:t xml:space="preserve">ositioning </w:t>
      </w:r>
      <w:r>
        <w:rPr>
          <w:bCs/>
          <w:lang w:val="en-GB"/>
        </w:rPr>
        <w:t>S</w:t>
      </w:r>
      <w:r w:rsidRPr="00C666E3">
        <w:rPr>
          <w:bCs/>
          <w:lang w:val="en-GB"/>
        </w:rPr>
        <w:t>ystems). It was detail</w:t>
      </w:r>
      <w:r>
        <w:rPr>
          <w:bCs/>
          <w:lang w:val="en-GB"/>
        </w:rPr>
        <w:t>-</w:t>
      </w:r>
      <w:r w:rsidRPr="00C666E3">
        <w:rPr>
          <w:bCs/>
          <w:lang w:val="en-GB"/>
        </w:rPr>
        <w:t>oriented.</w:t>
      </w:r>
    </w:p>
    <w:p w14:paraId="36F380D6" w14:textId="77777777" w:rsidR="00C67D8C" w:rsidRPr="00077C08" w:rsidRDefault="00C67D8C" w:rsidP="00077C08">
      <w:pPr>
        <w:pStyle w:val="BodyTextMain"/>
        <w:rPr>
          <w:sz w:val="18"/>
          <w:szCs w:val="18"/>
        </w:rPr>
      </w:pPr>
    </w:p>
    <w:p w14:paraId="36A26BE2" w14:textId="53DE0385" w:rsidR="00C67D8C" w:rsidRPr="00C666E3" w:rsidRDefault="00C67D8C" w:rsidP="00077C08">
      <w:pPr>
        <w:pStyle w:val="BodyTextMain"/>
        <w:keepNext/>
        <w:rPr>
          <w:bCs/>
          <w:lang w:val="en-GB"/>
        </w:rPr>
      </w:pPr>
      <w:r w:rsidRPr="00C666E3">
        <w:rPr>
          <w:bCs/>
          <w:lang w:val="en-GB"/>
        </w:rPr>
        <w:t>Eubanks</w:t>
      </w:r>
      <w:r w:rsidR="00C74FDB">
        <w:rPr>
          <w:bCs/>
          <w:lang w:val="en-GB"/>
        </w:rPr>
        <w:t xml:space="preserve"> explained</w:t>
      </w:r>
      <w:r w:rsidRPr="00C666E3">
        <w:rPr>
          <w:bCs/>
          <w:lang w:val="en-GB"/>
        </w:rPr>
        <w:t>:</w:t>
      </w:r>
    </w:p>
    <w:p w14:paraId="10118449" w14:textId="77777777" w:rsidR="00C67D8C" w:rsidRPr="00077C08" w:rsidRDefault="00C67D8C" w:rsidP="00077C08">
      <w:pPr>
        <w:pStyle w:val="BodyTextMain"/>
        <w:keepNext/>
        <w:rPr>
          <w:sz w:val="18"/>
          <w:szCs w:val="18"/>
        </w:rPr>
      </w:pPr>
    </w:p>
    <w:p w14:paraId="0B0CAD6E" w14:textId="77777777" w:rsidR="00C67D8C" w:rsidRPr="00C666E3" w:rsidRDefault="00C67D8C" w:rsidP="00C67D8C">
      <w:pPr>
        <w:pStyle w:val="BodyTextMain"/>
        <w:ind w:left="720"/>
        <w:rPr>
          <w:lang w:val="en-GB"/>
        </w:rPr>
      </w:pPr>
      <w:r w:rsidRPr="00C666E3">
        <w:rPr>
          <w:lang w:val="en-GB"/>
        </w:rPr>
        <w:t>Let’s say that our retail division wants IT to personalize data for John Smith, a regular customer. I should first be able to identify John Smith in a consistent way from across many touch points in my database. Consistency makes consolidation of his interactions with LCBO actionable. If John Smith</w:t>
      </w:r>
      <w:r>
        <w:rPr>
          <w:lang w:val="en-GB"/>
        </w:rPr>
        <w:t>’</w:t>
      </w:r>
      <w:r w:rsidRPr="00C666E3">
        <w:rPr>
          <w:lang w:val="en-GB"/>
        </w:rPr>
        <w:t>s record varies in his interactions, say J Smith or Smith John or John S, I lose all dissimilar interactions completely. I potentially miss his engagement with me. If my data has no integrity, as we call it, it is not relevant to me. We are only talking of structured data. Look at unstructured data</w:t>
      </w:r>
      <w:r>
        <w:rPr>
          <w:lang w:val="en-GB"/>
        </w:rPr>
        <w:t>—</w:t>
      </w:r>
      <w:r w:rsidRPr="00C666E3">
        <w:rPr>
          <w:lang w:val="en-GB"/>
        </w:rPr>
        <w:t xml:space="preserve">the social media, the </w:t>
      </w:r>
      <w:proofErr w:type="gramStart"/>
      <w:r w:rsidRPr="00C666E3">
        <w:rPr>
          <w:lang w:val="en-GB"/>
        </w:rPr>
        <w:t>blogs</w:t>
      </w:r>
      <w:r>
        <w:rPr>
          <w:lang w:val="en-GB"/>
        </w:rPr>
        <w:t>. . . .</w:t>
      </w:r>
      <w:proofErr w:type="gramEnd"/>
      <w:r w:rsidRPr="00C666E3">
        <w:rPr>
          <w:lang w:val="en-GB"/>
        </w:rPr>
        <w:t xml:space="preserve"> The propensity for inconsistency is huge. It is a major issue we are facing in deploying technology to improve customer engagement.</w:t>
      </w:r>
    </w:p>
    <w:p w14:paraId="0065FE53" w14:textId="77777777" w:rsidR="00C67D8C" w:rsidRPr="00C666E3" w:rsidRDefault="00C67D8C" w:rsidP="00C67D8C">
      <w:pPr>
        <w:pStyle w:val="BodyTextMain"/>
        <w:rPr>
          <w:sz w:val="18"/>
          <w:szCs w:val="18"/>
          <w:lang w:val="en-GB"/>
        </w:rPr>
      </w:pPr>
    </w:p>
    <w:p w14:paraId="63DA73D1" w14:textId="74D5CF07" w:rsidR="00C67D8C" w:rsidRPr="00C666E3" w:rsidRDefault="00C67D8C" w:rsidP="00C67D8C">
      <w:pPr>
        <w:pStyle w:val="BodyTextMain"/>
        <w:rPr>
          <w:lang w:val="en-GB"/>
        </w:rPr>
      </w:pPr>
      <w:r w:rsidRPr="00C666E3">
        <w:rPr>
          <w:lang w:val="en-GB"/>
        </w:rPr>
        <w:t>The launch of e</w:t>
      </w:r>
      <w:r>
        <w:rPr>
          <w:lang w:val="en-GB"/>
        </w:rPr>
        <w:t>-c</w:t>
      </w:r>
      <w:r w:rsidRPr="00C666E3">
        <w:rPr>
          <w:lang w:val="en-GB"/>
        </w:rPr>
        <w:t>ommerce created opportunities for efficiency improvements in the company’s call cent</w:t>
      </w:r>
      <w:r>
        <w:rPr>
          <w:lang w:val="en-GB"/>
        </w:rPr>
        <w:t>re</w:t>
      </w:r>
      <w:r w:rsidRPr="00C666E3">
        <w:rPr>
          <w:lang w:val="en-GB"/>
        </w:rPr>
        <w:t xml:space="preserve"> operations. </w:t>
      </w:r>
      <w:r>
        <w:rPr>
          <w:lang w:val="en-GB"/>
        </w:rPr>
        <w:t>One</w:t>
      </w:r>
      <w:r w:rsidRPr="00C666E3">
        <w:rPr>
          <w:lang w:val="en-GB"/>
        </w:rPr>
        <w:t xml:space="preserve"> example was call resolution, an important metric in call cent</w:t>
      </w:r>
      <w:r>
        <w:rPr>
          <w:lang w:val="en-GB"/>
        </w:rPr>
        <w:t>re</w:t>
      </w:r>
      <w:r w:rsidRPr="00C666E3">
        <w:rPr>
          <w:lang w:val="en-GB"/>
        </w:rPr>
        <w:t xml:space="preserve"> operations. Prior to mid-</w:t>
      </w:r>
      <w:r w:rsidRPr="00C666E3">
        <w:rPr>
          <w:lang w:val="en-GB"/>
        </w:rPr>
        <w:lastRenderedPageBreak/>
        <w:t xml:space="preserve">2016, customers were </w:t>
      </w:r>
      <w:r>
        <w:rPr>
          <w:lang w:val="en-GB"/>
        </w:rPr>
        <w:t>content</w:t>
      </w:r>
      <w:r w:rsidRPr="00C666E3">
        <w:rPr>
          <w:lang w:val="en-GB"/>
        </w:rPr>
        <w:t xml:space="preserve"> with any issues being resolved by the end of the day or even the next day or sometimes two days</w:t>
      </w:r>
      <w:r w:rsidR="00C74FDB">
        <w:rPr>
          <w:lang w:val="en-GB"/>
        </w:rPr>
        <w:t>,</w:t>
      </w:r>
      <w:r w:rsidRPr="00C666E3">
        <w:rPr>
          <w:lang w:val="en-GB"/>
        </w:rPr>
        <w:t xml:space="preserve"> because the call cent</w:t>
      </w:r>
      <w:r>
        <w:rPr>
          <w:lang w:val="en-GB"/>
        </w:rPr>
        <w:t>re</w:t>
      </w:r>
      <w:r w:rsidRPr="00C666E3">
        <w:rPr>
          <w:lang w:val="en-GB"/>
        </w:rPr>
        <w:t xml:space="preserve"> worked only </w:t>
      </w:r>
      <w:r>
        <w:rPr>
          <w:lang w:val="en-GB"/>
        </w:rPr>
        <w:t xml:space="preserve">from </w:t>
      </w:r>
      <w:r w:rsidRPr="00C666E3">
        <w:rPr>
          <w:lang w:val="en-GB"/>
        </w:rPr>
        <w:t>9</w:t>
      </w:r>
      <w:r w:rsidR="00C74FDB">
        <w:rPr>
          <w:lang w:val="en-GB"/>
        </w:rPr>
        <w:t>:00</w:t>
      </w:r>
      <w:r w:rsidRPr="00C666E3">
        <w:rPr>
          <w:lang w:val="en-GB"/>
        </w:rPr>
        <w:t xml:space="preserve"> a</w:t>
      </w:r>
      <w:r>
        <w:rPr>
          <w:lang w:val="en-GB"/>
        </w:rPr>
        <w:t>.</w:t>
      </w:r>
      <w:r w:rsidRPr="00C666E3">
        <w:rPr>
          <w:lang w:val="en-GB"/>
        </w:rPr>
        <w:t>m</w:t>
      </w:r>
      <w:r>
        <w:rPr>
          <w:lang w:val="en-GB"/>
        </w:rPr>
        <w:t>.</w:t>
      </w:r>
      <w:r w:rsidRPr="00C666E3">
        <w:rPr>
          <w:lang w:val="en-GB"/>
        </w:rPr>
        <w:t xml:space="preserve"> </w:t>
      </w:r>
      <w:r>
        <w:rPr>
          <w:lang w:val="en-GB"/>
        </w:rPr>
        <w:t>to</w:t>
      </w:r>
      <w:r w:rsidRPr="00C666E3">
        <w:rPr>
          <w:lang w:val="en-GB"/>
        </w:rPr>
        <w:t xml:space="preserve"> 5</w:t>
      </w:r>
      <w:r w:rsidR="00C74FDB">
        <w:rPr>
          <w:lang w:val="en-GB"/>
        </w:rPr>
        <w:t>:00</w:t>
      </w:r>
      <w:r>
        <w:rPr>
          <w:lang w:val="en-GB"/>
        </w:rPr>
        <w:t xml:space="preserve"> </w:t>
      </w:r>
      <w:r w:rsidRPr="00C666E3">
        <w:rPr>
          <w:lang w:val="en-GB"/>
        </w:rPr>
        <w:t>p</w:t>
      </w:r>
      <w:r>
        <w:rPr>
          <w:lang w:val="en-GB"/>
        </w:rPr>
        <w:t>.</w:t>
      </w:r>
      <w:r w:rsidRPr="00C666E3">
        <w:rPr>
          <w:lang w:val="en-GB"/>
        </w:rPr>
        <w:t>m. With 24/7 operations of e</w:t>
      </w:r>
      <w:r>
        <w:rPr>
          <w:lang w:val="en-GB"/>
        </w:rPr>
        <w:t>-c</w:t>
      </w:r>
      <w:r w:rsidRPr="00C666E3">
        <w:rPr>
          <w:lang w:val="en-GB"/>
        </w:rPr>
        <w:t xml:space="preserve">ommerce, </w:t>
      </w:r>
      <w:r>
        <w:rPr>
          <w:lang w:val="en-GB"/>
        </w:rPr>
        <w:t>customer</w:t>
      </w:r>
      <w:r w:rsidRPr="00C666E3">
        <w:rPr>
          <w:lang w:val="en-GB"/>
        </w:rPr>
        <w:t xml:space="preserve"> expectations had changed. The company </w:t>
      </w:r>
      <w:r>
        <w:rPr>
          <w:lang w:val="en-GB"/>
        </w:rPr>
        <w:t>needed</w:t>
      </w:r>
      <w:r w:rsidRPr="00C666E3">
        <w:rPr>
          <w:lang w:val="en-GB"/>
        </w:rPr>
        <w:t xml:space="preserve"> to gear up for much faster resolution, often </w:t>
      </w:r>
      <w:r>
        <w:rPr>
          <w:lang w:val="en-GB"/>
        </w:rPr>
        <w:t xml:space="preserve">in </w:t>
      </w:r>
      <w:r w:rsidRPr="00C666E3">
        <w:rPr>
          <w:lang w:val="en-GB"/>
        </w:rPr>
        <w:t xml:space="preserve">real time. The launch, per se, was a change driver for </w:t>
      </w:r>
      <w:r>
        <w:rPr>
          <w:lang w:val="en-GB"/>
        </w:rPr>
        <w:t xml:space="preserve">the </w:t>
      </w:r>
      <w:r w:rsidRPr="00C666E3">
        <w:rPr>
          <w:lang w:val="en-GB"/>
        </w:rPr>
        <w:t>LCBO.</w:t>
      </w:r>
    </w:p>
    <w:p w14:paraId="4E9A0593" w14:textId="77777777" w:rsidR="00C67D8C" w:rsidRPr="00C666E3" w:rsidRDefault="00C67D8C" w:rsidP="00C67D8C">
      <w:pPr>
        <w:pStyle w:val="BodyTextMain"/>
        <w:rPr>
          <w:sz w:val="18"/>
          <w:szCs w:val="18"/>
          <w:lang w:val="en-GB"/>
        </w:rPr>
      </w:pPr>
    </w:p>
    <w:p w14:paraId="05D4A8CE" w14:textId="2F8476C4" w:rsidR="00C67D8C" w:rsidRPr="00C666E3" w:rsidRDefault="00C67D8C" w:rsidP="00C67D8C">
      <w:pPr>
        <w:pStyle w:val="BodyTextMain"/>
        <w:rPr>
          <w:lang w:val="en-GB"/>
        </w:rPr>
      </w:pPr>
      <w:proofErr w:type="spellStart"/>
      <w:r w:rsidRPr="00C666E3">
        <w:rPr>
          <w:lang w:val="en-GB"/>
        </w:rPr>
        <w:t>Soleas</w:t>
      </w:r>
      <w:proofErr w:type="spellEnd"/>
      <w:r w:rsidRPr="00C666E3">
        <w:rPr>
          <w:lang w:val="en-GB"/>
        </w:rPr>
        <w:t xml:space="preserve"> was expecting e-commerce to generate $1 billion in revenues within </w:t>
      </w:r>
      <w:r>
        <w:rPr>
          <w:lang w:val="en-GB"/>
        </w:rPr>
        <w:t>five to seven</w:t>
      </w:r>
      <w:r w:rsidRPr="00C666E3">
        <w:rPr>
          <w:lang w:val="en-GB"/>
        </w:rPr>
        <w:t xml:space="preserve"> years. The target could be reached only by bringing </w:t>
      </w:r>
      <w:r w:rsidR="00C74FDB">
        <w:rPr>
          <w:lang w:val="en-GB"/>
        </w:rPr>
        <w:t xml:space="preserve">in </w:t>
      </w:r>
      <w:r w:rsidRPr="00C666E3">
        <w:rPr>
          <w:lang w:val="en-GB"/>
        </w:rPr>
        <w:t>fresh ideas and new skills in terms of creating apps and algorithms around customer centricity</w:t>
      </w:r>
      <w:r>
        <w:rPr>
          <w:lang w:val="en-GB"/>
        </w:rPr>
        <w:t>, which would also benefit</w:t>
      </w:r>
      <w:r w:rsidRPr="00C666E3">
        <w:rPr>
          <w:lang w:val="en-GB"/>
        </w:rPr>
        <w:t xml:space="preserve"> e</w:t>
      </w:r>
      <w:r>
        <w:rPr>
          <w:lang w:val="en-GB"/>
        </w:rPr>
        <w:t>-c</w:t>
      </w:r>
      <w:r w:rsidRPr="00C666E3">
        <w:rPr>
          <w:lang w:val="en-GB"/>
        </w:rPr>
        <w:t>ommerce. Eubanks finalized a project known as LCBO</w:t>
      </w:r>
      <w:r>
        <w:rPr>
          <w:lang w:val="en-GB"/>
        </w:rPr>
        <w:t xml:space="preserve"> </w:t>
      </w:r>
      <w:r w:rsidRPr="00C666E3">
        <w:rPr>
          <w:lang w:val="en-GB"/>
        </w:rPr>
        <w:t xml:space="preserve">Next, involving the set-up an off-site innovation hub at </w:t>
      </w:r>
      <w:proofErr w:type="spellStart"/>
      <w:r w:rsidRPr="00C666E3">
        <w:rPr>
          <w:lang w:val="en-GB"/>
        </w:rPr>
        <w:t>Communitech</w:t>
      </w:r>
      <w:proofErr w:type="spellEnd"/>
      <w:r w:rsidRPr="00C666E3">
        <w:rPr>
          <w:lang w:val="en-GB"/>
        </w:rPr>
        <w:t>, a Waterloo-based technology hub. Among the ideas being developed and tested for potential use at the hub were a virtual assistant on customers’ smartphones to help guide selection</w:t>
      </w:r>
      <w:r>
        <w:rPr>
          <w:lang w:val="en-GB"/>
        </w:rPr>
        <w:t>s</w:t>
      </w:r>
      <w:r w:rsidRPr="00C666E3">
        <w:rPr>
          <w:lang w:val="en-GB"/>
        </w:rPr>
        <w:t xml:space="preserve"> at a store if all the floor staff were busy with other customers; a smartphone app with voice-recognition technology; and a beacon </w:t>
      </w:r>
      <w:r>
        <w:rPr>
          <w:lang w:val="en-GB"/>
        </w:rPr>
        <w:t>(similar to</w:t>
      </w:r>
      <w:r w:rsidRPr="00C666E3">
        <w:rPr>
          <w:lang w:val="en-GB"/>
        </w:rPr>
        <w:t xml:space="preserve"> a taxi rooftop light</w:t>
      </w:r>
      <w:r>
        <w:rPr>
          <w:lang w:val="en-GB"/>
        </w:rPr>
        <w:t>)</w:t>
      </w:r>
      <w:r w:rsidRPr="00C666E3">
        <w:rPr>
          <w:lang w:val="en-GB"/>
        </w:rPr>
        <w:t xml:space="preserve"> on </w:t>
      </w:r>
      <w:r w:rsidR="00BF3825">
        <w:rPr>
          <w:lang w:val="en-GB"/>
        </w:rPr>
        <w:t xml:space="preserve">CSRs’ </w:t>
      </w:r>
      <w:r w:rsidRPr="00C666E3">
        <w:rPr>
          <w:lang w:val="en-GB"/>
        </w:rPr>
        <w:t>name</w:t>
      </w:r>
      <w:r w:rsidR="00BF3825">
        <w:rPr>
          <w:lang w:val="en-GB"/>
        </w:rPr>
        <w:t xml:space="preserve"> </w:t>
      </w:r>
      <w:r w:rsidRPr="00C666E3">
        <w:rPr>
          <w:lang w:val="en-GB"/>
        </w:rPr>
        <w:t>tags for easy identification in a large store.</w:t>
      </w:r>
    </w:p>
    <w:p w14:paraId="4A5C967D" w14:textId="77777777" w:rsidR="00C67D8C" w:rsidRPr="00077C08" w:rsidRDefault="00C67D8C" w:rsidP="00C67D8C">
      <w:pPr>
        <w:pStyle w:val="BodyTextMain"/>
        <w:rPr>
          <w:sz w:val="18"/>
          <w:szCs w:val="18"/>
          <w:lang w:val="en-GB"/>
        </w:rPr>
      </w:pPr>
    </w:p>
    <w:p w14:paraId="5D062754" w14:textId="77777777" w:rsidR="00C67D8C" w:rsidRPr="00077C08" w:rsidRDefault="00C67D8C" w:rsidP="00C67D8C">
      <w:pPr>
        <w:pStyle w:val="BodyTextMain"/>
        <w:rPr>
          <w:sz w:val="18"/>
          <w:szCs w:val="18"/>
          <w:lang w:val="en-GB"/>
        </w:rPr>
      </w:pPr>
    </w:p>
    <w:p w14:paraId="501FAD43" w14:textId="77777777" w:rsidR="00C67D8C" w:rsidRDefault="00C67D8C" w:rsidP="00C67D8C">
      <w:pPr>
        <w:pStyle w:val="Casehead2"/>
        <w:rPr>
          <w:lang w:val="en-GB"/>
        </w:rPr>
      </w:pPr>
      <w:r w:rsidRPr="00C666E3">
        <w:rPr>
          <w:lang w:val="en-GB"/>
        </w:rPr>
        <w:t xml:space="preserve">Becoming </w:t>
      </w:r>
      <w:r>
        <w:rPr>
          <w:lang w:val="en-GB"/>
        </w:rPr>
        <w:t>I</w:t>
      </w:r>
      <w:r w:rsidRPr="00C666E3">
        <w:rPr>
          <w:lang w:val="en-GB"/>
        </w:rPr>
        <w:t xml:space="preserve">nnovative </w:t>
      </w:r>
      <w:bookmarkStart w:id="3" w:name="_Hlk513450143"/>
    </w:p>
    <w:p w14:paraId="6A46C4D2" w14:textId="77777777" w:rsidR="00C67D8C" w:rsidRPr="00077C08" w:rsidRDefault="00C67D8C" w:rsidP="00C67D8C">
      <w:pPr>
        <w:pStyle w:val="BodyTextMain"/>
        <w:rPr>
          <w:sz w:val="18"/>
          <w:szCs w:val="18"/>
          <w:lang w:val="en-GB"/>
        </w:rPr>
      </w:pPr>
    </w:p>
    <w:p w14:paraId="37F99231" w14:textId="77777777" w:rsidR="00C67D8C" w:rsidRPr="00C666E3" w:rsidRDefault="00C67D8C" w:rsidP="00C67D8C">
      <w:pPr>
        <w:pStyle w:val="BodyTextMain"/>
        <w:rPr>
          <w:lang w:val="en-GB"/>
        </w:rPr>
      </w:pPr>
      <w:r>
        <w:rPr>
          <w:lang w:val="en-GB"/>
        </w:rPr>
        <w:t>The</w:t>
      </w:r>
      <w:r w:rsidRPr="00C666E3">
        <w:rPr>
          <w:lang w:val="en-GB"/>
        </w:rPr>
        <w:t xml:space="preserve"> LCBO </w:t>
      </w:r>
      <w:r>
        <w:rPr>
          <w:lang w:val="en-GB"/>
        </w:rPr>
        <w:t>needed</w:t>
      </w:r>
      <w:r w:rsidRPr="00C666E3">
        <w:rPr>
          <w:lang w:val="en-GB"/>
        </w:rPr>
        <w:t xml:space="preserve"> to address </w:t>
      </w:r>
      <w:r>
        <w:rPr>
          <w:lang w:val="en-GB"/>
        </w:rPr>
        <w:t xml:space="preserve">two issue </w:t>
      </w:r>
      <w:r w:rsidRPr="00C666E3">
        <w:rPr>
          <w:lang w:val="en-GB"/>
        </w:rPr>
        <w:t>in becoming innovative.</w:t>
      </w:r>
    </w:p>
    <w:p w14:paraId="7C6A3CD6" w14:textId="77777777" w:rsidR="00C67D8C" w:rsidRPr="00C666E3" w:rsidRDefault="00C67D8C" w:rsidP="00C67D8C">
      <w:pPr>
        <w:pStyle w:val="BodyTextMain"/>
        <w:rPr>
          <w:sz w:val="18"/>
          <w:szCs w:val="18"/>
          <w:lang w:val="en-GB"/>
        </w:rPr>
      </w:pPr>
    </w:p>
    <w:p w14:paraId="12ACD22F" w14:textId="77777777" w:rsidR="00C67D8C" w:rsidRPr="00C666E3" w:rsidRDefault="00C67D8C" w:rsidP="00C67D8C">
      <w:pPr>
        <w:pStyle w:val="BodyTextMain"/>
        <w:rPr>
          <w:lang w:val="en-GB"/>
        </w:rPr>
      </w:pPr>
      <w:r w:rsidRPr="00C666E3">
        <w:rPr>
          <w:lang w:val="en-GB"/>
        </w:rPr>
        <w:t xml:space="preserve">First, it </w:t>
      </w:r>
      <w:r>
        <w:rPr>
          <w:lang w:val="en-GB"/>
        </w:rPr>
        <w:t>needed</w:t>
      </w:r>
      <w:r w:rsidRPr="00C666E3">
        <w:rPr>
          <w:lang w:val="en-GB"/>
        </w:rPr>
        <w:t xml:space="preserve"> to find innovative ways of staying relevant to its customers. The emerging competition </w:t>
      </w:r>
      <w:r>
        <w:rPr>
          <w:lang w:val="en-GB"/>
        </w:rPr>
        <w:t>ushered</w:t>
      </w:r>
      <w:r w:rsidRPr="00C666E3">
        <w:rPr>
          <w:lang w:val="en-GB"/>
        </w:rPr>
        <w:t xml:space="preserve"> in the risk </w:t>
      </w:r>
      <w:r>
        <w:rPr>
          <w:lang w:val="en-GB"/>
        </w:rPr>
        <w:t>of</w:t>
      </w:r>
      <w:r w:rsidRPr="00C666E3">
        <w:rPr>
          <w:lang w:val="en-GB"/>
        </w:rPr>
        <w:t xml:space="preserve"> the LCBO becoming less relevant to customers. Grocers had honed their skills </w:t>
      </w:r>
      <w:r>
        <w:rPr>
          <w:lang w:val="en-GB"/>
        </w:rPr>
        <w:t>in terms</w:t>
      </w:r>
      <w:r w:rsidRPr="00C666E3">
        <w:rPr>
          <w:lang w:val="en-GB"/>
        </w:rPr>
        <w:t xml:space="preserve"> staying relevant to their customers in four ways</w:t>
      </w:r>
      <w:r>
        <w:rPr>
          <w:lang w:val="en-GB"/>
        </w:rPr>
        <w:t>:</w:t>
      </w:r>
      <w:r w:rsidRPr="00C666E3">
        <w:rPr>
          <w:lang w:val="en-GB"/>
        </w:rPr>
        <w:t xml:space="preserve"> deploying digital analytics to understand their customer pool, customizing their offers to the needs of individual customers, reaching customers through multiple channels, and regularly repositioning their brands to </w:t>
      </w:r>
      <w:r>
        <w:rPr>
          <w:lang w:val="en-GB"/>
        </w:rPr>
        <w:t xml:space="preserve">better </w:t>
      </w:r>
      <w:r w:rsidRPr="00C666E3">
        <w:rPr>
          <w:lang w:val="en-GB"/>
        </w:rPr>
        <w:t xml:space="preserve">align them with customer expectations. </w:t>
      </w:r>
    </w:p>
    <w:p w14:paraId="0B08130B" w14:textId="77777777" w:rsidR="00C67D8C" w:rsidRPr="00C666E3" w:rsidRDefault="00C67D8C" w:rsidP="00C67D8C">
      <w:pPr>
        <w:pStyle w:val="BodyTextMain"/>
        <w:rPr>
          <w:sz w:val="18"/>
          <w:szCs w:val="18"/>
          <w:lang w:val="en-GB"/>
        </w:rPr>
      </w:pPr>
    </w:p>
    <w:p w14:paraId="4FCF48CA" w14:textId="559CABE3" w:rsidR="00C67D8C" w:rsidRPr="00C666E3" w:rsidRDefault="00C67D8C" w:rsidP="00C67D8C">
      <w:pPr>
        <w:pStyle w:val="BodyTextMain"/>
        <w:rPr>
          <w:lang w:val="en-GB"/>
        </w:rPr>
      </w:pPr>
      <w:r w:rsidRPr="00C666E3">
        <w:rPr>
          <w:lang w:val="en-GB"/>
        </w:rPr>
        <w:t xml:space="preserve">Second, </w:t>
      </w:r>
      <w:bookmarkEnd w:id="3"/>
      <w:r w:rsidRPr="00C666E3">
        <w:rPr>
          <w:lang w:val="en-GB"/>
        </w:rPr>
        <w:t xml:space="preserve">innovation projects at </w:t>
      </w:r>
      <w:r>
        <w:rPr>
          <w:lang w:val="en-GB"/>
        </w:rPr>
        <w:t xml:space="preserve">the </w:t>
      </w:r>
      <w:r w:rsidRPr="00C666E3">
        <w:rPr>
          <w:lang w:val="en-GB"/>
        </w:rPr>
        <w:t xml:space="preserve">LCBO </w:t>
      </w:r>
      <w:r>
        <w:rPr>
          <w:lang w:val="en-GB"/>
        </w:rPr>
        <w:t>had thus far been</w:t>
      </w:r>
      <w:r w:rsidRPr="00C666E3">
        <w:rPr>
          <w:lang w:val="en-GB"/>
        </w:rPr>
        <w:t xml:space="preserve"> IT-centric. It was necessary to take innovation organization-wide</w:t>
      </w:r>
      <w:r>
        <w:rPr>
          <w:lang w:val="en-GB"/>
        </w:rPr>
        <w:t>, which</w:t>
      </w:r>
      <w:r w:rsidRPr="00C666E3">
        <w:rPr>
          <w:lang w:val="en-GB"/>
        </w:rPr>
        <w:t xml:space="preserve"> meant creating conditions in which employees would not only come up with innovative ideas but </w:t>
      </w:r>
      <w:r>
        <w:rPr>
          <w:lang w:val="en-GB"/>
        </w:rPr>
        <w:t xml:space="preserve">also </w:t>
      </w:r>
      <w:r w:rsidRPr="00C666E3">
        <w:rPr>
          <w:lang w:val="en-GB"/>
        </w:rPr>
        <w:t>believe the</w:t>
      </w:r>
      <w:r>
        <w:rPr>
          <w:lang w:val="en-GB"/>
        </w:rPr>
        <w:t>ir</w:t>
      </w:r>
      <w:r w:rsidRPr="00C666E3">
        <w:rPr>
          <w:lang w:val="en-GB"/>
        </w:rPr>
        <w:t xml:space="preserve"> ideas would be valued. Innovations were needed in </w:t>
      </w:r>
      <w:r>
        <w:rPr>
          <w:lang w:val="en-GB"/>
        </w:rPr>
        <w:t xml:space="preserve">such </w:t>
      </w:r>
      <w:r w:rsidRPr="00C666E3">
        <w:rPr>
          <w:lang w:val="en-GB"/>
        </w:rPr>
        <w:t xml:space="preserve">areas </w:t>
      </w:r>
      <w:r>
        <w:rPr>
          <w:lang w:val="en-GB"/>
        </w:rPr>
        <w:t>as</w:t>
      </w:r>
      <w:r w:rsidRPr="00C666E3">
        <w:rPr>
          <w:lang w:val="en-GB"/>
        </w:rPr>
        <w:t xml:space="preserve"> developing alternative store formats (</w:t>
      </w:r>
      <w:r>
        <w:rPr>
          <w:lang w:val="en-GB"/>
        </w:rPr>
        <w:t>e.g.,</w:t>
      </w:r>
      <w:r w:rsidRPr="00C666E3">
        <w:rPr>
          <w:lang w:val="en-GB"/>
        </w:rPr>
        <w:t xml:space="preserve"> specialty boutiques for craft beers)</w:t>
      </w:r>
      <w:r>
        <w:rPr>
          <w:lang w:val="en-GB"/>
        </w:rPr>
        <w:t>,</w:t>
      </w:r>
      <w:r w:rsidRPr="00C666E3">
        <w:rPr>
          <w:lang w:val="en-GB"/>
        </w:rPr>
        <w:t xml:space="preserve"> securing productivity improvements</w:t>
      </w:r>
      <w:r>
        <w:rPr>
          <w:lang w:val="en-GB"/>
        </w:rPr>
        <w:t>,</w:t>
      </w:r>
      <w:r w:rsidRPr="00C666E3">
        <w:rPr>
          <w:lang w:val="en-GB"/>
        </w:rPr>
        <w:t xml:space="preserve"> and management accounting and reporting. </w:t>
      </w:r>
    </w:p>
    <w:p w14:paraId="5E284546" w14:textId="77777777" w:rsidR="00C67D8C" w:rsidRPr="00C666E3" w:rsidRDefault="00C67D8C" w:rsidP="00C67D8C">
      <w:pPr>
        <w:pStyle w:val="BodyTextMain"/>
        <w:rPr>
          <w:sz w:val="18"/>
          <w:szCs w:val="18"/>
          <w:lang w:val="en-GB"/>
        </w:rPr>
      </w:pPr>
    </w:p>
    <w:p w14:paraId="49F66ABE" w14:textId="77777777" w:rsidR="00C67D8C" w:rsidRPr="00C666E3" w:rsidRDefault="00C67D8C" w:rsidP="00C67D8C">
      <w:pPr>
        <w:pStyle w:val="BodyTextMain"/>
        <w:rPr>
          <w:lang w:val="en-GB"/>
        </w:rPr>
      </w:pPr>
      <w:r w:rsidRPr="00C666E3">
        <w:rPr>
          <w:lang w:val="en-GB"/>
        </w:rPr>
        <w:t xml:space="preserve">The company </w:t>
      </w:r>
      <w:r>
        <w:rPr>
          <w:lang w:val="en-GB"/>
        </w:rPr>
        <w:t>was</w:t>
      </w:r>
      <w:r w:rsidRPr="00C666E3">
        <w:rPr>
          <w:lang w:val="en-GB"/>
        </w:rPr>
        <w:t xml:space="preserve"> recruiting a new </w:t>
      </w:r>
      <w:r>
        <w:rPr>
          <w:lang w:val="en-GB"/>
        </w:rPr>
        <w:t>h</w:t>
      </w:r>
      <w:r w:rsidRPr="00C666E3">
        <w:rPr>
          <w:lang w:val="en-GB"/>
        </w:rPr>
        <w:t>ead of Strategy &amp;</w:t>
      </w:r>
      <w:r>
        <w:rPr>
          <w:lang w:val="en-GB"/>
        </w:rPr>
        <w:t xml:space="preserve"> </w:t>
      </w:r>
      <w:r w:rsidRPr="00C666E3">
        <w:rPr>
          <w:lang w:val="en-GB"/>
        </w:rPr>
        <w:t>Innovation, which signal</w:t>
      </w:r>
      <w:r>
        <w:rPr>
          <w:lang w:val="en-GB"/>
        </w:rPr>
        <w:t>led</w:t>
      </w:r>
      <w:r w:rsidRPr="00C666E3">
        <w:rPr>
          <w:lang w:val="en-GB"/>
        </w:rPr>
        <w:t xml:space="preserve"> that innovation </w:t>
      </w:r>
      <w:r>
        <w:rPr>
          <w:lang w:val="en-GB"/>
        </w:rPr>
        <w:t>was both</w:t>
      </w:r>
      <w:r w:rsidRPr="00C666E3">
        <w:rPr>
          <w:lang w:val="en-GB"/>
        </w:rPr>
        <w:t xml:space="preserve"> an integral part of strategy development and ha</w:t>
      </w:r>
      <w:r>
        <w:rPr>
          <w:lang w:val="en-GB"/>
        </w:rPr>
        <w:t>d</w:t>
      </w:r>
      <w:r w:rsidRPr="00C666E3">
        <w:rPr>
          <w:lang w:val="en-GB"/>
        </w:rPr>
        <w:t xml:space="preserve"> top-level support.</w:t>
      </w:r>
    </w:p>
    <w:p w14:paraId="0D69CC79" w14:textId="77777777" w:rsidR="00C67D8C" w:rsidRPr="00C666E3" w:rsidRDefault="00C67D8C" w:rsidP="00C67D8C">
      <w:pPr>
        <w:pStyle w:val="BodyTextMain"/>
        <w:rPr>
          <w:sz w:val="18"/>
          <w:szCs w:val="18"/>
          <w:lang w:val="en-GB"/>
        </w:rPr>
      </w:pPr>
    </w:p>
    <w:p w14:paraId="2ED60271" w14:textId="77777777" w:rsidR="00C67D8C" w:rsidRPr="00C666E3" w:rsidRDefault="00C67D8C" w:rsidP="00C67D8C">
      <w:pPr>
        <w:pStyle w:val="BodyTextMain"/>
        <w:rPr>
          <w:lang w:val="en-GB"/>
        </w:rPr>
      </w:pPr>
      <w:r w:rsidRPr="00C666E3">
        <w:rPr>
          <w:lang w:val="en-GB"/>
        </w:rPr>
        <w:t>Said Ford:</w:t>
      </w:r>
    </w:p>
    <w:p w14:paraId="632883A3" w14:textId="77777777" w:rsidR="00C67D8C" w:rsidRPr="00C666E3" w:rsidRDefault="00C67D8C" w:rsidP="00C67D8C">
      <w:pPr>
        <w:pStyle w:val="BodyTextMain"/>
        <w:rPr>
          <w:sz w:val="18"/>
          <w:szCs w:val="18"/>
          <w:lang w:val="en-GB"/>
        </w:rPr>
      </w:pPr>
    </w:p>
    <w:p w14:paraId="244EF535" w14:textId="767B0A0A" w:rsidR="00C67D8C" w:rsidRPr="00077C08" w:rsidRDefault="00C67D8C" w:rsidP="00C67D8C">
      <w:pPr>
        <w:pStyle w:val="BodyTextMain"/>
        <w:ind w:left="720"/>
        <w:rPr>
          <w:spacing w:val="-2"/>
          <w:kern w:val="22"/>
          <w:lang w:val="en-GB"/>
        </w:rPr>
      </w:pPr>
      <w:r w:rsidRPr="00077C08">
        <w:rPr>
          <w:spacing w:val="-2"/>
          <w:kern w:val="22"/>
          <w:lang w:val="en-GB"/>
        </w:rPr>
        <w:t xml:space="preserve">It is in democratizing innovation that the role of HR [human resources] kicks in. HR needs to help make sure that our senior executive team, comprising </w:t>
      </w:r>
      <w:r w:rsidR="00D57745">
        <w:rPr>
          <w:spacing w:val="-2"/>
          <w:kern w:val="22"/>
          <w:lang w:val="en-GB"/>
        </w:rPr>
        <w:t>. . .</w:t>
      </w:r>
      <w:r w:rsidRPr="00077C08">
        <w:rPr>
          <w:spacing w:val="-2"/>
          <w:kern w:val="22"/>
          <w:lang w:val="en-GB"/>
        </w:rPr>
        <w:t xml:space="preserve"> the CEO and his core leadership team, is aligned on innovation as strategy. Alignment at the top on the value that it places on innovation has a demonstrative effect. The cascade follows. We also need to make sure everyone looks at innovation as an unequivocal and not necessarily explicit part of job description. This is where culture becomes crucial. We need to establish an organizational culture where innovation is valued and rewarded. </w:t>
      </w:r>
    </w:p>
    <w:p w14:paraId="0421C8CD" w14:textId="77777777" w:rsidR="00C67D8C" w:rsidRPr="00077C08" w:rsidRDefault="00C67D8C" w:rsidP="00C67D8C">
      <w:pPr>
        <w:pStyle w:val="BodyTextMain"/>
        <w:ind w:left="720"/>
        <w:rPr>
          <w:sz w:val="18"/>
          <w:szCs w:val="18"/>
          <w:lang w:val="en-GB"/>
        </w:rPr>
      </w:pPr>
    </w:p>
    <w:p w14:paraId="1F210C15" w14:textId="77777777" w:rsidR="00C67D8C" w:rsidRDefault="00C67D8C" w:rsidP="00077C08">
      <w:pPr>
        <w:pStyle w:val="BodyTextMain"/>
        <w:rPr>
          <w:lang w:val="en-GB"/>
        </w:rPr>
      </w:pPr>
      <w:r w:rsidRPr="00C666E3">
        <w:rPr>
          <w:lang w:val="en-GB"/>
        </w:rPr>
        <w:t xml:space="preserve">The arrival of grocery chains </w:t>
      </w:r>
      <w:r>
        <w:rPr>
          <w:lang w:val="en-GB"/>
        </w:rPr>
        <w:t xml:space="preserve">in the beverage alcohol market </w:t>
      </w:r>
      <w:r w:rsidRPr="00C666E3">
        <w:rPr>
          <w:lang w:val="en-GB"/>
        </w:rPr>
        <w:t xml:space="preserve">was an opportunity for the LCBO to strengthen its leadership position in the beverage alcohol industry. </w:t>
      </w:r>
      <w:proofErr w:type="spellStart"/>
      <w:r w:rsidRPr="00C666E3">
        <w:rPr>
          <w:lang w:val="en-GB"/>
        </w:rPr>
        <w:t>Soleas</w:t>
      </w:r>
      <w:proofErr w:type="spellEnd"/>
      <w:r w:rsidRPr="00C666E3">
        <w:rPr>
          <w:lang w:val="en-GB"/>
        </w:rPr>
        <w:t xml:space="preserve"> and his team were working on the road map.</w:t>
      </w:r>
      <w:r>
        <w:rPr>
          <w:lang w:val="en-GB"/>
        </w:rPr>
        <w:br w:type="page"/>
      </w:r>
    </w:p>
    <w:p w14:paraId="51D95087" w14:textId="77777777" w:rsidR="00C67D8C" w:rsidRPr="00C666E3" w:rsidRDefault="00C67D8C" w:rsidP="00C67D8C">
      <w:pPr>
        <w:pStyle w:val="ExhibitHeading"/>
        <w:rPr>
          <w:lang w:val="en-GB"/>
        </w:rPr>
      </w:pPr>
      <w:r w:rsidRPr="00C666E3">
        <w:rPr>
          <w:lang w:val="en-GB"/>
        </w:rPr>
        <w:lastRenderedPageBreak/>
        <w:t>Exhibit 1: NUMBER OF OUTLETS SELLING ALCOHOLIC BEVERAGES IN ONTARIO</w:t>
      </w:r>
      <w:r>
        <w:rPr>
          <w:lang w:val="en-GB"/>
        </w:rPr>
        <w:t>, 2012–2016</w:t>
      </w:r>
    </w:p>
    <w:p w14:paraId="18F32F26" w14:textId="77777777" w:rsidR="00C67D8C" w:rsidRPr="00C666E3" w:rsidRDefault="00C67D8C" w:rsidP="00C67D8C">
      <w:pPr>
        <w:pStyle w:val="ExhibitText"/>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990"/>
        <w:gridCol w:w="900"/>
        <w:gridCol w:w="900"/>
        <w:gridCol w:w="900"/>
        <w:gridCol w:w="900"/>
      </w:tblGrid>
      <w:tr w:rsidR="00C67D8C" w:rsidRPr="00C666E3" w14:paraId="3CA77C69" w14:textId="77777777" w:rsidTr="00833FF4">
        <w:trPr>
          <w:jc w:val="center"/>
        </w:trPr>
        <w:tc>
          <w:tcPr>
            <w:tcW w:w="3060" w:type="dxa"/>
            <w:shd w:val="clear" w:color="auto" w:fill="auto"/>
            <w:vAlign w:val="center"/>
          </w:tcPr>
          <w:p w14:paraId="4464920E" w14:textId="77777777" w:rsidR="00C67D8C" w:rsidRPr="00C666E3" w:rsidRDefault="00C67D8C" w:rsidP="00833FF4">
            <w:pPr>
              <w:pStyle w:val="ExhibitText"/>
              <w:jc w:val="center"/>
              <w:rPr>
                <w:b/>
                <w:lang w:val="en-GB"/>
              </w:rPr>
            </w:pPr>
            <w:r w:rsidRPr="00C666E3">
              <w:rPr>
                <w:b/>
                <w:lang w:val="en-GB"/>
              </w:rPr>
              <w:t xml:space="preserve">Year </w:t>
            </w:r>
            <w:r>
              <w:rPr>
                <w:b/>
                <w:lang w:val="en-GB"/>
              </w:rPr>
              <w:t>E</w:t>
            </w:r>
            <w:r w:rsidRPr="00C666E3">
              <w:rPr>
                <w:b/>
                <w:lang w:val="en-GB"/>
              </w:rPr>
              <w:t>nding March</w:t>
            </w:r>
          </w:p>
        </w:tc>
        <w:tc>
          <w:tcPr>
            <w:tcW w:w="990" w:type="dxa"/>
            <w:shd w:val="clear" w:color="auto" w:fill="auto"/>
            <w:vAlign w:val="center"/>
          </w:tcPr>
          <w:p w14:paraId="61440757" w14:textId="77777777" w:rsidR="00C67D8C" w:rsidRPr="00C666E3" w:rsidRDefault="00C67D8C" w:rsidP="00833FF4">
            <w:pPr>
              <w:pStyle w:val="ExhibitText"/>
              <w:jc w:val="center"/>
              <w:rPr>
                <w:b/>
                <w:lang w:val="en-GB"/>
              </w:rPr>
            </w:pPr>
            <w:r w:rsidRPr="00C666E3">
              <w:rPr>
                <w:b/>
                <w:lang w:val="en-GB"/>
              </w:rPr>
              <w:t>2012</w:t>
            </w:r>
          </w:p>
        </w:tc>
        <w:tc>
          <w:tcPr>
            <w:tcW w:w="900" w:type="dxa"/>
            <w:shd w:val="clear" w:color="auto" w:fill="auto"/>
            <w:vAlign w:val="center"/>
          </w:tcPr>
          <w:p w14:paraId="09DA6FCC" w14:textId="77777777" w:rsidR="00C67D8C" w:rsidRPr="00C666E3" w:rsidRDefault="00C67D8C" w:rsidP="00833FF4">
            <w:pPr>
              <w:pStyle w:val="ExhibitText"/>
              <w:jc w:val="center"/>
              <w:rPr>
                <w:b/>
                <w:lang w:val="en-GB"/>
              </w:rPr>
            </w:pPr>
            <w:r w:rsidRPr="00C666E3">
              <w:rPr>
                <w:b/>
                <w:lang w:val="en-GB"/>
              </w:rPr>
              <w:t>2013</w:t>
            </w:r>
          </w:p>
        </w:tc>
        <w:tc>
          <w:tcPr>
            <w:tcW w:w="900" w:type="dxa"/>
            <w:shd w:val="clear" w:color="auto" w:fill="auto"/>
            <w:vAlign w:val="center"/>
          </w:tcPr>
          <w:p w14:paraId="1BFF9AC3" w14:textId="77777777" w:rsidR="00C67D8C" w:rsidRPr="00C666E3" w:rsidRDefault="00C67D8C" w:rsidP="00833FF4">
            <w:pPr>
              <w:pStyle w:val="ExhibitText"/>
              <w:jc w:val="center"/>
              <w:rPr>
                <w:b/>
                <w:lang w:val="en-GB"/>
              </w:rPr>
            </w:pPr>
            <w:r w:rsidRPr="00C666E3">
              <w:rPr>
                <w:b/>
                <w:lang w:val="en-GB"/>
              </w:rPr>
              <w:t>2014</w:t>
            </w:r>
          </w:p>
        </w:tc>
        <w:tc>
          <w:tcPr>
            <w:tcW w:w="900" w:type="dxa"/>
            <w:shd w:val="clear" w:color="auto" w:fill="auto"/>
            <w:vAlign w:val="center"/>
          </w:tcPr>
          <w:p w14:paraId="37E0E06A" w14:textId="77777777" w:rsidR="00C67D8C" w:rsidRPr="00C666E3" w:rsidRDefault="00C67D8C" w:rsidP="00833FF4">
            <w:pPr>
              <w:pStyle w:val="ExhibitText"/>
              <w:jc w:val="center"/>
              <w:rPr>
                <w:b/>
                <w:lang w:val="en-GB"/>
              </w:rPr>
            </w:pPr>
            <w:r w:rsidRPr="00C666E3">
              <w:rPr>
                <w:b/>
                <w:lang w:val="en-GB"/>
              </w:rPr>
              <w:t>2015</w:t>
            </w:r>
          </w:p>
        </w:tc>
        <w:tc>
          <w:tcPr>
            <w:tcW w:w="900" w:type="dxa"/>
            <w:shd w:val="clear" w:color="auto" w:fill="auto"/>
            <w:vAlign w:val="center"/>
          </w:tcPr>
          <w:p w14:paraId="490E177A" w14:textId="77777777" w:rsidR="00C67D8C" w:rsidRPr="00C666E3" w:rsidRDefault="00C67D8C" w:rsidP="00833FF4">
            <w:pPr>
              <w:pStyle w:val="ExhibitText"/>
              <w:jc w:val="center"/>
              <w:rPr>
                <w:b/>
                <w:lang w:val="en-GB"/>
              </w:rPr>
            </w:pPr>
            <w:r w:rsidRPr="00C666E3">
              <w:rPr>
                <w:b/>
                <w:lang w:val="en-GB"/>
              </w:rPr>
              <w:t>2016</w:t>
            </w:r>
          </w:p>
        </w:tc>
      </w:tr>
      <w:tr w:rsidR="00C67D8C" w:rsidRPr="00C666E3" w14:paraId="01BF91A4" w14:textId="77777777" w:rsidTr="00833FF4">
        <w:trPr>
          <w:jc w:val="center"/>
        </w:trPr>
        <w:tc>
          <w:tcPr>
            <w:tcW w:w="3060" w:type="dxa"/>
            <w:shd w:val="clear" w:color="auto" w:fill="auto"/>
          </w:tcPr>
          <w:p w14:paraId="005CA0DD" w14:textId="77777777" w:rsidR="00C67D8C" w:rsidRPr="00C666E3" w:rsidRDefault="00C67D8C" w:rsidP="00833FF4">
            <w:pPr>
              <w:pStyle w:val="ExhibitText"/>
              <w:rPr>
                <w:lang w:val="en-GB"/>
              </w:rPr>
            </w:pPr>
            <w:r w:rsidRPr="00C666E3">
              <w:rPr>
                <w:lang w:val="en-GB"/>
              </w:rPr>
              <w:t>LCBO</w:t>
            </w:r>
          </w:p>
          <w:p w14:paraId="7C93F428" w14:textId="77777777" w:rsidR="00C67D8C" w:rsidRPr="00C666E3" w:rsidRDefault="00C67D8C" w:rsidP="00833FF4">
            <w:pPr>
              <w:pStyle w:val="ExhibitText"/>
              <w:rPr>
                <w:lang w:val="en-GB"/>
              </w:rPr>
            </w:pPr>
            <w:r w:rsidRPr="00C666E3">
              <w:rPr>
                <w:lang w:val="en-GB"/>
              </w:rPr>
              <w:t>LCBO Agency</w:t>
            </w:r>
          </w:p>
          <w:p w14:paraId="530A9360" w14:textId="77777777" w:rsidR="00C67D8C" w:rsidRPr="00C666E3" w:rsidRDefault="00C67D8C" w:rsidP="00833FF4">
            <w:pPr>
              <w:pStyle w:val="ExhibitText"/>
              <w:rPr>
                <w:lang w:val="en-GB"/>
              </w:rPr>
            </w:pPr>
            <w:r w:rsidRPr="00C666E3">
              <w:rPr>
                <w:lang w:val="en-GB"/>
              </w:rPr>
              <w:t>Grocers</w:t>
            </w:r>
          </w:p>
          <w:p w14:paraId="57C4A0DE" w14:textId="07CCFE2B" w:rsidR="00C67D8C" w:rsidRPr="00C666E3" w:rsidRDefault="00C67D8C" w:rsidP="00833FF4">
            <w:pPr>
              <w:pStyle w:val="ExhibitText"/>
              <w:rPr>
                <w:lang w:val="en-GB"/>
              </w:rPr>
            </w:pPr>
            <w:r w:rsidRPr="00C666E3">
              <w:rPr>
                <w:lang w:val="en-GB"/>
              </w:rPr>
              <w:t xml:space="preserve">Winery </w:t>
            </w:r>
            <w:r w:rsidR="00D57745">
              <w:rPr>
                <w:lang w:val="en-GB"/>
              </w:rPr>
              <w:t>R</w:t>
            </w:r>
            <w:r w:rsidRPr="00C666E3">
              <w:rPr>
                <w:lang w:val="en-GB"/>
              </w:rPr>
              <w:t>etail</w:t>
            </w:r>
            <w:r w:rsidR="00E23249">
              <w:rPr>
                <w:lang w:val="en-GB"/>
              </w:rPr>
              <w:t xml:space="preserve"> Stores</w:t>
            </w:r>
          </w:p>
          <w:p w14:paraId="2D5C3A11" w14:textId="675C5687" w:rsidR="00C67D8C" w:rsidRPr="00C666E3" w:rsidRDefault="00D57745" w:rsidP="00833FF4">
            <w:pPr>
              <w:pStyle w:val="ExhibitText"/>
              <w:rPr>
                <w:lang w:val="en-GB"/>
              </w:rPr>
            </w:pPr>
            <w:r>
              <w:rPr>
                <w:lang w:val="en-GB"/>
              </w:rPr>
              <w:t xml:space="preserve">The </w:t>
            </w:r>
            <w:r w:rsidR="00C67D8C" w:rsidRPr="00C666E3">
              <w:rPr>
                <w:lang w:val="en-GB"/>
              </w:rPr>
              <w:t>Bee</w:t>
            </w:r>
            <w:r>
              <w:rPr>
                <w:lang w:val="en-GB"/>
              </w:rPr>
              <w:t>r</w:t>
            </w:r>
            <w:r w:rsidR="00C67D8C" w:rsidRPr="00C666E3">
              <w:rPr>
                <w:lang w:val="en-GB"/>
              </w:rPr>
              <w:t xml:space="preserve"> Store</w:t>
            </w:r>
          </w:p>
          <w:p w14:paraId="462C7AB6" w14:textId="77777777" w:rsidR="00C67D8C" w:rsidRPr="00C666E3" w:rsidRDefault="00C67D8C" w:rsidP="00833FF4">
            <w:pPr>
              <w:pStyle w:val="ExhibitText"/>
              <w:rPr>
                <w:lang w:val="en-GB"/>
              </w:rPr>
            </w:pPr>
            <w:r w:rsidRPr="00C666E3">
              <w:rPr>
                <w:lang w:val="en-GB"/>
              </w:rPr>
              <w:t>On-site Brewery Retail</w:t>
            </w:r>
          </w:p>
          <w:p w14:paraId="336C7E78" w14:textId="77777777" w:rsidR="00C67D8C" w:rsidRPr="00C666E3" w:rsidRDefault="00C67D8C" w:rsidP="00833FF4">
            <w:pPr>
              <w:pStyle w:val="ExhibitText"/>
              <w:rPr>
                <w:lang w:val="en-GB"/>
              </w:rPr>
            </w:pPr>
            <w:r w:rsidRPr="00C666E3">
              <w:rPr>
                <w:lang w:val="en-GB"/>
              </w:rPr>
              <w:t>On-site Distillery Retail</w:t>
            </w:r>
          </w:p>
          <w:p w14:paraId="643CA014" w14:textId="6C2A2C4F" w:rsidR="00C67D8C" w:rsidRPr="00C666E3" w:rsidRDefault="00C67D8C" w:rsidP="00833FF4">
            <w:pPr>
              <w:pStyle w:val="ExhibitText"/>
              <w:rPr>
                <w:lang w:val="en-GB"/>
              </w:rPr>
            </w:pPr>
            <w:r w:rsidRPr="00C666E3">
              <w:rPr>
                <w:lang w:val="en-GB"/>
              </w:rPr>
              <w:t>Duty Free</w:t>
            </w:r>
            <w:r w:rsidR="00D57745">
              <w:rPr>
                <w:lang w:val="en-GB"/>
              </w:rPr>
              <w:t>—</w:t>
            </w:r>
            <w:r w:rsidRPr="00C666E3">
              <w:rPr>
                <w:lang w:val="en-GB"/>
              </w:rPr>
              <w:t xml:space="preserve">Land Border Points </w:t>
            </w:r>
          </w:p>
          <w:p w14:paraId="04D5FAFB" w14:textId="66EF5BFA" w:rsidR="00C67D8C" w:rsidRPr="00C666E3" w:rsidRDefault="00C67D8C" w:rsidP="00D57745">
            <w:pPr>
              <w:pStyle w:val="ExhibitText"/>
              <w:rPr>
                <w:lang w:val="en-GB"/>
              </w:rPr>
            </w:pPr>
            <w:r w:rsidRPr="00C666E3">
              <w:rPr>
                <w:lang w:val="en-GB"/>
              </w:rPr>
              <w:t>Duty Free</w:t>
            </w:r>
            <w:r w:rsidR="00D57745">
              <w:rPr>
                <w:lang w:val="en-GB"/>
              </w:rPr>
              <w:t>—</w:t>
            </w:r>
            <w:r w:rsidRPr="00C666E3">
              <w:rPr>
                <w:lang w:val="en-GB"/>
              </w:rPr>
              <w:t>Airports</w:t>
            </w:r>
          </w:p>
        </w:tc>
        <w:tc>
          <w:tcPr>
            <w:tcW w:w="990" w:type="dxa"/>
            <w:shd w:val="clear" w:color="auto" w:fill="auto"/>
            <w:vAlign w:val="center"/>
          </w:tcPr>
          <w:p w14:paraId="200A2F40" w14:textId="77777777" w:rsidR="00C67D8C" w:rsidRPr="00C666E3" w:rsidRDefault="00C67D8C" w:rsidP="00833FF4">
            <w:pPr>
              <w:pStyle w:val="ExhibitText"/>
              <w:jc w:val="right"/>
              <w:rPr>
                <w:lang w:val="en-GB"/>
              </w:rPr>
            </w:pPr>
            <w:r w:rsidRPr="00C666E3">
              <w:rPr>
                <w:lang w:val="en-GB"/>
              </w:rPr>
              <w:t>623</w:t>
            </w:r>
          </w:p>
          <w:p w14:paraId="41C36957" w14:textId="77777777" w:rsidR="00C67D8C" w:rsidRPr="00C666E3" w:rsidRDefault="00C67D8C" w:rsidP="00833FF4">
            <w:pPr>
              <w:pStyle w:val="ExhibitText"/>
              <w:jc w:val="right"/>
              <w:rPr>
                <w:lang w:val="en-GB"/>
              </w:rPr>
            </w:pPr>
            <w:r w:rsidRPr="00C666E3">
              <w:rPr>
                <w:lang w:val="en-GB"/>
              </w:rPr>
              <w:t>214</w:t>
            </w:r>
          </w:p>
          <w:p w14:paraId="00AD0633" w14:textId="07A8867A" w:rsidR="00C67D8C" w:rsidRPr="00C666E3" w:rsidRDefault="00D553DD" w:rsidP="00833FF4">
            <w:pPr>
              <w:pStyle w:val="ExhibitText"/>
              <w:jc w:val="right"/>
              <w:rPr>
                <w:lang w:val="en-GB"/>
              </w:rPr>
            </w:pPr>
            <w:r>
              <w:rPr>
                <w:lang w:val="en-GB"/>
              </w:rPr>
              <w:t>-</w:t>
            </w:r>
          </w:p>
          <w:p w14:paraId="08D392F8" w14:textId="77777777" w:rsidR="00C67D8C" w:rsidRPr="00C666E3" w:rsidRDefault="00C67D8C" w:rsidP="00833FF4">
            <w:pPr>
              <w:pStyle w:val="ExhibitText"/>
              <w:jc w:val="right"/>
              <w:rPr>
                <w:lang w:val="en-GB"/>
              </w:rPr>
            </w:pPr>
            <w:r w:rsidRPr="00C666E3">
              <w:rPr>
                <w:lang w:val="en-GB"/>
              </w:rPr>
              <w:t>472</w:t>
            </w:r>
          </w:p>
          <w:p w14:paraId="37B9EFAA" w14:textId="77777777" w:rsidR="00C67D8C" w:rsidRPr="00C666E3" w:rsidRDefault="00C67D8C" w:rsidP="00833FF4">
            <w:pPr>
              <w:pStyle w:val="ExhibitText"/>
              <w:jc w:val="right"/>
              <w:rPr>
                <w:lang w:val="en-GB"/>
              </w:rPr>
            </w:pPr>
            <w:r w:rsidRPr="00C666E3">
              <w:rPr>
                <w:lang w:val="en-GB"/>
              </w:rPr>
              <w:t>442</w:t>
            </w:r>
          </w:p>
          <w:p w14:paraId="732C1B3E" w14:textId="77777777" w:rsidR="00C67D8C" w:rsidRPr="00C666E3" w:rsidRDefault="00C67D8C" w:rsidP="00833FF4">
            <w:pPr>
              <w:pStyle w:val="ExhibitText"/>
              <w:jc w:val="right"/>
              <w:rPr>
                <w:lang w:val="en-GB"/>
              </w:rPr>
            </w:pPr>
            <w:r w:rsidRPr="00C666E3">
              <w:rPr>
                <w:lang w:val="en-GB"/>
              </w:rPr>
              <w:t>45</w:t>
            </w:r>
          </w:p>
          <w:p w14:paraId="7E1E10CE" w14:textId="77777777" w:rsidR="00C67D8C" w:rsidRPr="00C666E3" w:rsidRDefault="00C67D8C" w:rsidP="00833FF4">
            <w:pPr>
              <w:pStyle w:val="ExhibitText"/>
              <w:jc w:val="right"/>
              <w:rPr>
                <w:lang w:val="en-GB"/>
              </w:rPr>
            </w:pPr>
            <w:r w:rsidRPr="00C666E3">
              <w:rPr>
                <w:lang w:val="en-GB"/>
              </w:rPr>
              <w:t>5</w:t>
            </w:r>
          </w:p>
          <w:p w14:paraId="6277B5A1" w14:textId="77777777" w:rsidR="00C67D8C" w:rsidRPr="00C666E3" w:rsidRDefault="00C67D8C" w:rsidP="00833FF4">
            <w:pPr>
              <w:pStyle w:val="ExhibitText"/>
              <w:jc w:val="right"/>
              <w:rPr>
                <w:lang w:val="en-GB"/>
              </w:rPr>
            </w:pPr>
            <w:r w:rsidRPr="00C666E3">
              <w:rPr>
                <w:lang w:val="en-GB"/>
              </w:rPr>
              <w:t>10</w:t>
            </w:r>
          </w:p>
          <w:p w14:paraId="257FD900" w14:textId="77777777" w:rsidR="00C67D8C" w:rsidRPr="00C666E3" w:rsidRDefault="00C67D8C" w:rsidP="00833FF4">
            <w:pPr>
              <w:pStyle w:val="ExhibitText"/>
              <w:jc w:val="right"/>
              <w:rPr>
                <w:lang w:val="en-GB"/>
              </w:rPr>
            </w:pPr>
            <w:r w:rsidRPr="00C666E3">
              <w:rPr>
                <w:lang w:val="en-GB"/>
              </w:rPr>
              <w:t>4</w:t>
            </w:r>
          </w:p>
        </w:tc>
        <w:tc>
          <w:tcPr>
            <w:tcW w:w="900" w:type="dxa"/>
            <w:shd w:val="clear" w:color="auto" w:fill="auto"/>
            <w:vAlign w:val="center"/>
          </w:tcPr>
          <w:p w14:paraId="34B4A3FA" w14:textId="77777777" w:rsidR="00C67D8C" w:rsidRPr="00C666E3" w:rsidRDefault="00C67D8C" w:rsidP="00833FF4">
            <w:pPr>
              <w:pStyle w:val="ExhibitText"/>
              <w:jc w:val="right"/>
              <w:rPr>
                <w:lang w:val="en-GB"/>
              </w:rPr>
            </w:pPr>
            <w:r w:rsidRPr="00C666E3">
              <w:rPr>
                <w:lang w:val="en-GB"/>
              </w:rPr>
              <w:t>634</w:t>
            </w:r>
          </w:p>
          <w:p w14:paraId="11037288" w14:textId="77777777" w:rsidR="00C67D8C" w:rsidRPr="00C666E3" w:rsidRDefault="00C67D8C" w:rsidP="00833FF4">
            <w:pPr>
              <w:pStyle w:val="ExhibitText"/>
              <w:jc w:val="right"/>
              <w:rPr>
                <w:lang w:val="en-GB"/>
              </w:rPr>
            </w:pPr>
            <w:r w:rsidRPr="00C666E3">
              <w:rPr>
                <w:lang w:val="en-GB"/>
              </w:rPr>
              <w:t>219</w:t>
            </w:r>
          </w:p>
          <w:p w14:paraId="4C4D9489" w14:textId="673BA513" w:rsidR="00C67D8C" w:rsidRPr="00C666E3" w:rsidRDefault="00D553DD" w:rsidP="00833FF4">
            <w:pPr>
              <w:pStyle w:val="ExhibitText"/>
              <w:jc w:val="right"/>
              <w:rPr>
                <w:lang w:val="en-GB"/>
              </w:rPr>
            </w:pPr>
            <w:r>
              <w:rPr>
                <w:lang w:val="en-GB"/>
              </w:rPr>
              <w:t>-</w:t>
            </w:r>
          </w:p>
          <w:p w14:paraId="57483066" w14:textId="77777777" w:rsidR="00C67D8C" w:rsidRPr="00C666E3" w:rsidRDefault="00C67D8C" w:rsidP="00833FF4">
            <w:pPr>
              <w:pStyle w:val="ExhibitText"/>
              <w:jc w:val="right"/>
              <w:rPr>
                <w:lang w:val="en-GB"/>
              </w:rPr>
            </w:pPr>
            <w:r w:rsidRPr="00C666E3">
              <w:rPr>
                <w:lang w:val="en-GB"/>
              </w:rPr>
              <w:t>479</w:t>
            </w:r>
          </w:p>
          <w:p w14:paraId="077590B9" w14:textId="77777777" w:rsidR="00C67D8C" w:rsidRPr="00C666E3" w:rsidRDefault="00C67D8C" w:rsidP="00833FF4">
            <w:pPr>
              <w:pStyle w:val="ExhibitText"/>
              <w:jc w:val="right"/>
              <w:rPr>
                <w:lang w:val="en-GB"/>
              </w:rPr>
            </w:pPr>
            <w:r w:rsidRPr="00C666E3">
              <w:rPr>
                <w:lang w:val="en-GB"/>
              </w:rPr>
              <w:t>446</w:t>
            </w:r>
          </w:p>
          <w:p w14:paraId="443DD09D" w14:textId="77777777" w:rsidR="00C67D8C" w:rsidRPr="00C666E3" w:rsidRDefault="00C67D8C" w:rsidP="00833FF4">
            <w:pPr>
              <w:pStyle w:val="ExhibitText"/>
              <w:jc w:val="right"/>
              <w:rPr>
                <w:lang w:val="en-GB"/>
              </w:rPr>
            </w:pPr>
            <w:r w:rsidRPr="00C666E3">
              <w:rPr>
                <w:lang w:val="en-GB"/>
              </w:rPr>
              <w:t>52</w:t>
            </w:r>
          </w:p>
          <w:p w14:paraId="1278F4D9" w14:textId="77777777" w:rsidR="00C67D8C" w:rsidRPr="00C666E3" w:rsidRDefault="00C67D8C" w:rsidP="00833FF4">
            <w:pPr>
              <w:pStyle w:val="ExhibitText"/>
              <w:jc w:val="right"/>
              <w:rPr>
                <w:lang w:val="en-GB"/>
              </w:rPr>
            </w:pPr>
            <w:r w:rsidRPr="00C666E3">
              <w:rPr>
                <w:lang w:val="en-GB"/>
              </w:rPr>
              <w:t>7</w:t>
            </w:r>
          </w:p>
          <w:p w14:paraId="4555EC31" w14:textId="77777777" w:rsidR="00C67D8C" w:rsidRPr="00C666E3" w:rsidRDefault="00C67D8C" w:rsidP="00833FF4">
            <w:pPr>
              <w:pStyle w:val="ExhibitText"/>
              <w:jc w:val="right"/>
              <w:rPr>
                <w:lang w:val="en-GB"/>
              </w:rPr>
            </w:pPr>
            <w:r w:rsidRPr="00C666E3">
              <w:rPr>
                <w:lang w:val="en-GB"/>
              </w:rPr>
              <w:t>10</w:t>
            </w:r>
          </w:p>
          <w:p w14:paraId="0C52F8F5" w14:textId="77777777" w:rsidR="00C67D8C" w:rsidRPr="00C666E3" w:rsidRDefault="00C67D8C" w:rsidP="00833FF4">
            <w:pPr>
              <w:pStyle w:val="ExhibitText"/>
              <w:jc w:val="right"/>
              <w:rPr>
                <w:lang w:val="en-GB"/>
              </w:rPr>
            </w:pPr>
            <w:r w:rsidRPr="00C666E3">
              <w:rPr>
                <w:lang w:val="en-GB"/>
              </w:rPr>
              <w:t>4</w:t>
            </w:r>
          </w:p>
        </w:tc>
        <w:tc>
          <w:tcPr>
            <w:tcW w:w="900" w:type="dxa"/>
            <w:shd w:val="clear" w:color="auto" w:fill="auto"/>
            <w:vAlign w:val="center"/>
          </w:tcPr>
          <w:p w14:paraId="66258AB8" w14:textId="77777777" w:rsidR="00C67D8C" w:rsidRPr="00C666E3" w:rsidRDefault="00C67D8C" w:rsidP="00833FF4">
            <w:pPr>
              <w:pStyle w:val="ExhibitText"/>
              <w:jc w:val="right"/>
              <w:rPr>
                <w:lang w:val="en-GB"/>
              </w:rPr>
            </w:pPr>
            <w:r w:rsidRPr="00C666E3">
              <w:rPr>
                <w:lang w:val="en-GB"/>
              </w:rPr>
              <w:t>639</w:t>
            </w:r>
          </w:p>
          <w:p w14:paraId="4947AC21" w14:textId="77777777" w:rsidR="00C67D8C" w:rsidRPr="00C666E3" w:rsidRDefault="00C67D8C" w:rsidP="00833FF4">
            <w:pPr>
              <w:pStyle w:val="ExhibitText"/>
              <w:jc w:val="right"/>
              <w:rPr>
                <w:lang w:val="en-GB"/>
              </w:rPr>
            </w:pPr>
            <w:r w:rsidRPr="00C666E3">
              <w:rPr>
                <w:lang w:val="en-GB"/>
              </w:rPr>
              <w:t>217</w:t>
            </w:r>
          </w:p>
          <w:p w14:paraId="5DA34E6B" w14:textId="7638B0ED" w:rsidR="00C67D8C" w:rsidRPr="00C666E3" w:rsidRDefault="00D553DD" w:rsidP="00833FF4">
            <w:pPr>
              <w:pStyle w:val="ExhibitText"/>
              <w:jc w:val="right"/>
              <w:rPr>
                <w:lang w:val="en-GB"/>
              </w:rPr>
            </w:pPr>
            <w:r>
              <w:rPr>
                <w:lang w:val="en-GB"/>
              </w:rPr>
              <w:t>-</w:t>
            </w:r>
          </w:p>
          <w:p w14:paraId="5D04564E" w14:textId="77777777" w:rsidR="00C67D8C" w:rsidRPr="00C666E3" w:rsidRDefault="00C67D8C" w:rsidP="00833FF4">
            <w:pPr>
              <w:pStyle w:val="ExhibitText"/>
              <w:jc w:val="right"/>
              <w:rPr>
                <w:lang w:val="en-GB"/>
              </w:rPr>
            </w:pPr>
            <w:r w:rsidRPr="00C666E3">
              <w:rPr>
                <w:lang w:val="en-GB"/>
              </w:rPr>
              <w:t>491</w:t>
            </w:r>
          </w:p>
          <w:p w14:paraId="0A6FDCB5" w14:textId="77777777" w:rsidR="00C67D8C" w:rsidRPr="00C666E3" w:rsidRDefault="00C67D8C" w:rsidP="00833FF4">
            <w:pPr>
              <w:pStyle w:val="ExhibitText"/>
              <w:jc w:val="right"/>
              <w:rPr>
                <w:lang w:val="en-GB"/>
              </w:rPr>
            </w:pPr>
            <w:r w:rsidRPr="00C666E3">
              <w:rPr>
                <w:lang w:val="en-GB"/>
              </w:rPr>
              <w:t>447</w:t>
            </w:r>
          </w:p>
          <w:p w14:paraId="0072D497" w14:textId="77777777" w:rsidR="00C67D8C" w:rsidRPr="00C666E3" w:rsidRDefault="00C67D8C" w:rsidP="00833FF4">
            <w:pPr>
              <w:pStyle w:val="ExhibitText"/>
              <w:jc w:val="right"/>
              <w:rPr>
                <w:lang w:val="en-GB"/>
              </w:rPr>
            </w:pPr>
            <w:r w:rsidRPr="00C666E3">
              <w:rPr>
                <w:lang w:val="en-GB"/>
              </w:rPr>
              <w:t>73</w:t>
            </w:r>
          </w:p>
          <w:p w14:paraId="5052473F" w14:textId="77777777" w:rsidR="00C67D8C" w:rsidRPr="00C666E3" w:rsidRDefault="00C67D8C" w:rsidP="00833FF4">
            <w:pPr>
              <w:pStyle w:val="ExhibitText"/>
              <w:jc w:val="right"/>
              <w:rPr>
                <w:lang w:val="en-GB"/>
              </w:rPr>
            </w:pPr>
            <w:r w:rsidRPr="00C666E3">
              <w:rPr>
                <w:lang w:val="en-GB"/>
              </w:rPr>
              <w:t>12</w:t>
            </w:r>
          </w:p>
          <w:p w14:paraId="7F842409" w14:textId="77777777" w:rsidR="00C67D8C" w:rsidRPr="00C666E3" w:rsidRDefault="00C67D8C" w:rsidP="00833FF4">
            <w:pPr>
              <w:pStyle w:val="ExhibitText"/>
              <w:jc w:val="right"/>
              <w:rPr>
                <w:lang w:val="en-GB"/>
              </w:rPr>
            </w:pPr>
            <w:r w:rsidRPr="00C666E3">
              <w:rPr>
                <w:lang w:val="en-GB"/>
              </w:rPr>
              <w:t>10</w:t>
            </w:r>
          </w:p>
          <w:p w14:paraId="0B676502" w14:textId="77777777" w:rsidR="00C67D8C" w:rsidRPr="00C666E3" w:rsidRDefault="00C67D8C" w:rsidP="00833FF4">
            <w:pPr>
              <w:pStyle w:val="ExhibitText"/>
              <w:jc w:val="right"/>
              <w:rPr>
                <w:lang w:val="en-GB"/>
              </w:rPr>
            </w:pPr>
            <w:r w:rsidRPr="00C666E3">
              <w:rPr>
                <w:lang w:val="en-GB"/>
              </w:rPr>
              <w:t>5</w:t>
            </w:r>
          </w:p>
        </w:tc>
        <w:tc>
          <w:tcPr>
            <w:tcW w:w="900" w:type="dxa"/>
            <w:shd w:val="clear" w:color="auto" w:fill="auto"/>
            <w:vAlign w:val="center"/>
          </w:tcPr>
          <w:p w14:paraId="189ABB65" w14:textId="77777777" w:rsidR="00C67D8C" w:rsidRPr="00C666E3" w:rsidRDefault="00C67D8C" w:rsidP="00833FF4">
            <w:pPr>
              <w:pStyle w:val="ExhibitText"/>
              <w:jc w:val="right"/>
              <w:rPr>
                <w:lang w:val="en-GB"/>
              </w:rPr>
            </w:pPr>
            <w:r w:rsidRPr="00C666E3">
              <w:rPr>
                <w:lang w:val="en-GB"/>
              </w:rPr>
              <w:t>651</w:t>
            </w:r>
          </w:p>
          <w:p w14:paraId="0313D7FA" w14:textId="77777777" w:rsidR="00C67D8C" w:rsidRPr="00C666E3" w:rsidRDefault="00C67D8C" w:rsidP="00833FF4">
            <w:pPr>
              <w:pStyle w:val="ExhibitText"/>
              <w:jc w:val="right"/>
              <w:rPr>
                <w:lang w:val="en-GB"/>
              </w:rPr>
            </w:pPr>
            <w:r w:rsidRPr="00C666E3">
              <w:rPr>
                <w:lang w:val="en-GB"/>
              </w:rPr>
              <w:t>212</w:t>
            </w:r>
          </w:p>
          <w:p w14:paraId="2B5153D5" w14:textId="77E86AEE" w:rsidR="00C67D8C" w:rsidRPr="00C666E3" w:rsidRDefault="00D553DD" w:rsidP="00833FF4">
            <w:pPr>
              <w:pStyle w:val="ExhibitText"/>
              <w:jc w:val="right"/>
              <w:rPr>
                <w:lang w:val="en-GB"/>
              </w:rPr>
            </w:pPr>
            <w:r>
              <w:rPr>
                <w:lang w:val="en-GB"/>
              </w:rPr>
              <w:t>-</w:t>
            </w:r>
          </w:p>
          <w:p w14:paraId="6A09ED31" w14:textId="77777777" w:rsidR="00C67D8C" w:rsidRPr="00C666E3" w:rsidRDefault="00C67D8C" w:rsidP="00833FF4">
            <w:pPr>
              <w:pStyle w:val="ExhibitText"/>
              <w:jc w:val="right"/>
              <w:rPr>
                <w:lang w:val="en-GB"/>
              </w:rPr>
            </w:pPr>
            <w:r w:rsidRPr="00C666E3">
              <w:rPr>
                <w:lang w:val="en-GB"/>
              </w:rPr>
              <w:t>504</w:t>
            </w:r>
          </w:p>
          <w:p w14:paraId="19DD6757" w14:textId="77777777" w:rsidR="00C67D8C" w:rsidRPr="00C666E3" w:rsidRDefault="00C67D8C" w:rsidP="00833FF4">
            <w:pPr>
              <w:pStyle w:val="ExhibitText"/>
              <w:jc w:val="right"/>
              <w:rPr>
                <w:lang w:val="en-GB"/>
              </w:rPr>
            </w:pPr>
            <w:r w:rsidRPr="00C666E3">
              <w:rPr>
                <w:lang w:val="en-GB"/>
              </w:rPr>
              <w:t>450</w:t>
            </w:r>
          </w:p>
          <w:p w14:paraId="5DD235B7" w14:textId="77777777" w:rsidR="00C67D8C" w:rsidRPr="00C666E3" w:rsidRDefault="00C67D8C" w:rsidP="00833FF4">
            <w:pPr>
              <w:pStyle w:val="ExhibitText"/>
              <w:jc w:val="right"/>
              <w:rPr>
                <w:lang w:val="en-GB"/>
              </w:rPr>
            </w:pPr>
            <w:r w:rsidRPr="00C666E3">
              <w:rPr>
                <w:lang w:val="en-GB"/>
              </w:rPr>
              <w:t>113</w:t>
            </w:r>
          </w:p>
          <w:p w14:paraId="6463A7C3" w14:textId="77777777" w:rsidR="00C67D8C" w:rsidRPr="00C666E3" w:rsidRDefault="00C67D8C" w:rsidP="00833FF4">
            <w:pPr>
              <w:pStyle w:val="ExhibitText"/>
              <w:jc w:val="right"/>
              <w:rPr>
                <w:lang w:val="en-GB"/>
              </w:rPr>
            </w:pPr>
            <w:r w:rsidRPr="00C666E3">
              <w:rPr>
                <w:lang w:val="en-GB"/>
              </w:rPr>
              <w:t>14</w:t>
            </w:r>
          </w:p>
          <w:p w14:paraId="5E27CE76" w14:textId="77777777" w:rsidR="00C67D8C" w:rsidRPr="00C666E3" w:rsidRDefault="00C67D8C" w:rsidP="00833FF4">
            <w:pPr>
              <w:pStyle w:val="ExhibitText"/>
              <w:jc w:val="right"/>
              <w:rPr>
                <w:lang w:val="en-GB"/>
              </w:rPr>
            </w:pPr>
            <w:r w:rsidRPr="00C666E3">
              <w:rPr>
                <w:lang w:val="en-GB"/>
              </w:rPr>
              <w:t>10</w:t>
            </w:r>
          </w:p>
          <w:p w14:paraId="382870EA" w14:textId="77777777" w:rsidR="00C67D8C" w:rsidRPr="00C666E3" w:rsidRDefault="00C67D8C" w:rsidP="00833FF4">
            <w:pPr>
              <w:pStyle w:val="ExhibitText"/>
              <w:jc w:val="right"/>
              <w:rPr>
                <w:lang w:val="en-GB"/>
              </w:rPr>
            </w:pPr>
            <w:r w:rsidRPr="00C666E3">
              <w:rPr>
                <w:lang w:val="en-GB"/>
              </w:rPr>
              <w:t>5</w:t>
            </w:r>
          </w:p>
        </w:tc>
        <w:tc>
          <w:tcPr>
            <w:tcW w:w="900" w:type="dxa"/>
            <w:shd w:val="clear" w:color="auto" w:fill="auto"/>
            <w:vAlign w:val="center"/>
          </w:tcPr>
          <w:p w14:paraId="02809801" w14:textId="77777777" w:rsidR="00C67D8C" w:rsidRPr="00C666E3" w:rsidRDefault="00C67D8C" w:rsidP="00833FF4">
            <w:pPr>
              <w:pStyle w:val="ExhibitText"/>
              <w:jc w:val="right"/>
              <w:rPr>
                <w:lang w:val="en-GB"/>
              </w:rPr>
            </w:pPr>
            <w:r w:rsidRPr="00C666E3">
              <w:rPr>
                <w:lang w:val="en-GB"/>
              </w:rPr>
              <w:t>654</w:t>
            </w:r>
          </w:p>
          <w:p w14:paraId="1A540D6C" w14:textId="77777777" w:rsidR="00C67D8C" w:rsidRPr="00C666E3" w:rsidRDefault="00C67D8C" w:rsidP="00833FF4">
            <w:pPr>
              <w:pStyle w:val="ExhibitText"/>
              <w:jc w:val="right"/>
              <w:rPr>
                <w:lang w:val="en-GB"/>
              </w:rPr>
            </w:pPr>
            <w:r w:rsidRPr="00C666E3">
              <w:rPr>
                <w:lang w:val="en-GB"/>
              </w:rPr>
              <w:t>212</w:t>
            </w:r>
          </w:p>
          <w:p w14:paraId="25939E69" w14:textId="77777777" w:rsidR="00C67D8C" w:rsidRPr="00C666E3" w:rsidRDefault="00C67D8C" w:rsidP="00833FF4">
            <w:pPr>
              <w:pStyle w:val="ExhibitText"/>
              <w:jc w:val="right"/>
              <w:rPr>
                <w:lang w:val="en-GB"/>
              </w:rPr>
            </w:pPr>
            <w:r w:rsidRPr="00C666E3">
              <w:rPr>
                <w:lang w:val="en-GB"/>
              </w:rPr>
              <w:t>60</w:t>
            </w:r>
          </w:p>
          <w:p w14:paraId="2B30F923" w14:textId="77777777" w:rsidR="00C67D8C" w:rsidRPr="00C666E3" w:rsidRDefault="00C67D8C" w:rsidP="00833FF4">
            <w:pPr>
              <w:pStyle w:val="ExhibitText"/>
              <w:jc w:val="right"/>
              <w:rPr>
                <w:lang w:val="en-GB"/>
              </w:rPr>
            </w:pPr>
            <w:r w:rsidRPr="00C666E3">
              <w:rPr>
                <w:lang w:val="en-GB"/>
              </w:rPr>
              <w:t>507</w:t>
            </w:r>
          </w:p>
          <w:p w14:paraId="10D28923" w14:textId="77777777" w:rsidR="00C67D8C" w:rsidRPr="00C666E3" w:rsidRDefault="00C67D8C" w:rsidP="00833FF4">
            <w:pPr>
              <w:pStyle w:val="ExhibitText"/>
              <w:jc w:val="right"/>
              <w:rPr>
                <w:lang w:val="en-GB"/>
              </w:rPr>
            </w:pPr>
            <w:r w:rsidRPr="00C666E3">
              <w:rPr>
                <w:lang w:val="en-GB"/>
              </w:rPr>
              <w:t>451</w:t>
            </w:r>
          </w:p>
          <w:p w14:paraId="77E3B9E3" w14:textId="77777777" w:rsidR="00C67D8C" w:rsidRPr="00C666E3" w:rsidRDefault="00C67D8C" w:rsidP="00833FF4">
            <w:pPr>
              <w:pStyle w:val="ExhibitText"/>
              <w:jc w:val="right"/>
              <w:rPr>
                <w:lang w:val="en-GB"/>
              </w:rPr>
            </w:pPr>
            <w:r w:rsidRPr="00C666E3">
              <w:rPr>
                <w:lang w:val="en-GB"/>
              </w:rPr>
              <w:t>150</w:t>
            </w:r>
          </w:p>
          <w:p w14:paraId="765F1FD0" w14:textId="77777777" w:rsidR="00C67D8C" w:rsidRPr="00C666E3" w:rsidRDefault="00C67D8C" w:rsidP="00833FF4">
            <w:pPr>
              <w:pStyle w:val="ExhibitText"/>
              <w:jc w:val="right"/>
              <w:rPr>
                <w:lang w:val="en-GB"/>
              </w:rPr>
            </w:pPr>
            <w:r w:rsidRPr="00C666E3">
              <w:rPr>
                <w:lang w:val="en-GB"/>
              </w:rPr>
              <w:t>18</w:t>
            </w:r>
          </w:p>
          <w:p w14:paraId="3A547390" w14:textId="77777777" w:rsidR="00C67D8C" w:rsidRPr="00C666E3" w:rsidRDefault="00C67D8C" w:rsidP="00833FF4">
            <w:pPr>
              <w:pStyle w:val="ExhibitText"/>
              <w:jc w:val="right"/>
              <w:rPr>
                <w:lang w:val="en-GB"/>
              </w:rPr>
            </w:pPr>
            <w:r w:rsidRPr="00C666E3">
              <w:rPr>
                <w:lang w:val="en-GB"/>
              </w:rPr>
              <w:t>10</w:t>
            </w:r>
          </w:p>
          <w:p w14:paraId="54E21EAC" w14:textId="77777777" w:rsidR="00C67D8C" w:rsidRPr="00C666E3" w:rsidRDefault="00C67D8C" w:rsidP="00833FF4">
            <w:pPr>
              <w:pStyle w:val="ExhibitText"/>
              <w:jc w:val="right"/>
              <w:rPr>
                <w:lang w:val="en-GB"/>
              </w:rPr>
            </w:pPr>
            <w:r w:rsidRPr="00C666E3">
              <w:rPr>
                <w:lang w:val="en-GB"/>
              </w:rPr>
              <w:t>5</w:t>
            </w:r>
          </w:p>
        </w:tc>
      </w:tr>
      <w:tr w:rsidR="00C67D8C" w:rsidRPr="00C666E3" w14:paraId="4D53B55D" w14:textId="77777777" w:rsidTr="00833FF4">
        <w:trPr>
          <w:jc w:val="center"/>
        </w:trPr>
        <w:tc>
          <w:tcPr>
            <w:tcW w:w="3060" w:type="dxa"/>
            <w:shd w:val="clear" w:color="auto" w:fill="auto"/>
          </w:tcPr>
          <w:p w14:paraId="2D42FC4C" w14:textId="77777777" w:rsidR="00C67D8C" w:rsidRPr="00C666E3" w:rsidRDefault="00C67D8C" w:rsidP="00833FF4">
            <w:pPr>
              <w:pStyle w:val="ExhibitText"/>
              <w:rPr>
                <w:lang w:val="en-GB"/>
              </w:rPr>
            </w:pPr>
            <w:r w:rsidRPr="00C666E3">
              <w:rPr>
                <w:lang w:val="en-GB"/>
              </w:rPr>
              <w:t>Total</w:t>
            </w:r>
          </w:p>
        </w:tc>
        <w:tc>
          <w:tcPr>
            <w:tcW w:w="990" w:type="dxa"/>
            <w:shd w:val="clear" w:color="auto" w:fill="auto"/>
            <w:vAlign w:val="center"/>
          </w:tcPr>
          <w:p w14:paraId="7DD5C088" w14:textId="77777777" w:rsidR="00C67D8C" w:rsidRPr="00C666E3" w:rsidRDefault="00C67D8C" w:rsidP="00833FF4">
            <w:pPr>
              <w:pStyle w:val="ExhibitText"/>
              <w:jc w:val="right"/>
              <w:rPr>
                <w:lang w:val="en-GB"/>
              </w:rPr>
            </w:pPr>
            <w:r w:rsidRPr="00C666E3">
              <w:rPr>
                <w:lang w:val="en-GB"/>
              </w:rPr>
              <w:t>1,815</w:t>
            </w:r>
          </w:p>
        </w:tc>
        <w:tc>
          <w:tcPr>
            <w:tcW w:w="900" w:type="dxa"/>
            <w:shd w:val="clear" w:color="auto" w:fill="auto"/>
            <w:vAlign w:val="center"/>
          </w:tcPr>
          <w:p w14:paraId="0C4818D8" w14:textId="77777777" w:rsidR="00C67D8C" w:rsidRPr="00C666E3" w:rsidRDefault="00C67D8C" w:rsidP="00833FF4">
            <w:pPr>
              <w:pStyle w:val="ExhibitText"/>
              <w:jc w:val="right"/>
              <w:rPr>
                <w:lang w:val="en-GB"/>
              </w:rPr>
            </w:pPr>
            <w:r w:rsidRPr="00C666E3">
              <w:rPr>
                <w:lang w:val="en-GB"/>
              </w:rPr>
              <w:t>1,851</w:t>
            </w:r>
          </w:p>
        </w:tc>
        <w:tc>
          <w:tcPr>
            <w:tcW w:w="900" w:type="dxa"/>
            <w:shd w:val="clear" w:color="auto" w:fill="auto"/>
            <w:vAlign w:val="center"/>
          </w:tcPr>
          <w:p w14:paraId="44EDDEA0" w14:textId="77777777" w:rsidR="00C67D8C" w:rsidRPr="00C666E3" w:rsidRDefault="00C67D8C" w:rsidP="00833FF4">
            <w:pPr>
              <w:pStyle w:val="ExhibitText"/>
              <w:jc w:val="right"/>
              <w:rPr>
                <w:lang w:val="en-GB"/>
              </w:rPr>
            </w:pPr>
            <w:r w:rsidRPr="00C666E3">
              <w:rPr>
                <w:lang w:val="en-GB"/>
              </w:rPr>
              <w:t>1,894</w:t>
            </w:r>
          </w:p>
        </w:tc>
        <w:tc>
          <w:tcPr>
            <w:tcW w:w="900" w:type="dxa"/>
            <w:shd w:val="clear" w:color="auto" w:fill="auto"/>
            <w:vAlign w:val="center"/>
          </w:tcPr>
          <w:p w14:paraId="748276E4" w14:textId="77777777" w:rsidR="00C67D8C" w:rsidRPr="00C666E3" w:rsidRDefault="00C67D8C" w:rsidP="00833FF4">
            <w:pPr>
              <w:pStyle w:val="ExhibitText"/>
              <w:jc w:val="right"/>
              <w:rPr>
                <w:lang w:val="en-GB"/>
              </w:rPr>
            </w:pPr>
            <w:r w:rsidRPr="00C666E3">
              <w:rPr>
                <w:lang w:val="en-GB"/>
              </w:rPr>
              <w:t>1,959</w:t>
            </w:r>
          </w:p>
        </w:tc>
        <w:tc>
          <w:tcPr>
            <w:tcW w:w="900" w:type="dxa"/>
            <w:shd w:val="clear" w:color="auto" w:fill="auto"/>
            <w:vAlign w:val="center"/>
          </w:tcPr>
          <w:p w14:paraId="4C17EFB4" w14:textId="77777777" w:rsidR="00C67D8C" w:rsidRPr="00C666E3" w:rsidRDefault="00C67D8C" w:rsidP="00833FF4">
            <w:pPr>
              <w:pStyle w:val="ExhibitText"/>
              <w:jc w:val="right"/>
              <w:rPr>
                <w:lang w:val="en-GB"/>
              </w:rPr>
            </w:pPr>
            <w:r w:rsidRPr="00C666E3">
              <w:rPr>
                <w:lang w:val="en-GB"/>
              </w:rPr>
              <w:t>2,067</w:t>
            </w:r>
          </w:p>
        </w:tc>
      </w:tr>
    </w:tbl>
    <w:p w14:paraId="1F619CFC" w14:textId="77777777" w:rsidR="00C67D8C" w:rsidRPr="00C666E3" w:rsidRDefault="00C67D8C" w:rsidP="00C67D8C">
      <w:pPr>
        <w:pStyle w:val="ExhibitText"/>
        <w:rPr>
          <w:lang w:val="en-GB"/>
        </w:rPr>
      </w:pPr>
    </w:p>
    <w:p w14:paraId="7ED02E1C" w14:textId="77777777" w:rsidR="00C67D8C" w:rsidRDefault="00C67D8C" w:rsidP="00C67D8C">
      <w:pPr>
        <w:pStyle w:val="Footnote"/>
        <w:rPr>
          <w:lang w:val="en-GB"/>
        </w:rPr>
      </w:pPr>
      <w:r>
        <w:rPr>
          <w:lang w:val="en-GB"/>
        </w:rPr>
        <w:t>Note: LCBO = Liquor Control Board of Ontario</w:t>
      </w:r>
    </w:p>
    <w:p w14:paraId="1385DBB7" w14:textId="77777777" w:rsidR="00C67D8C" w:rsidRPr="00C666E3" w:rsidRDefault="00C67D8C" w:rsidP="00C67D8C">
      <w:pPr>
        <w:pStyle w:val="Footnote"/>
        <w:rPr>
          <w:lang w:val="en-GB"/>
        </w:rPr>
      </w:pPr>
      <w:r w:rsidRPr="00C666E3">
        <w:rPr>
          <w:lang w:val="en-GB"/>
        </w:rPr>
        <w:t>Source: Company files.</w:t>
      </w:r>
    </w:p>
    <w:p w14:paraId="114AB28E" w14:textId="77777777" w:rsidR="00C67D8C" w:rsidRPr="00C666E3" w:rsidRDefault="00C67D8C" w:rsidP="00C67D8C">
      <w:pPr>
        <w:pStyle w:val="ExhibitText"/>
        <w:rPr>
          <w:lang w:val="en-GB"/>
        </w:rPr>
      </w:pPr>
    </w:p>
    <w:p w14:paraId="79B0B877" w14:textId="77777777" w:rsidR="00C67D8C" w:rsidRPr="00C666E3" w:rsidRDefault="00C67D8C" w:rsidP="00C67D8C">
      <w:pPr>
        <w:pStyle w:val="ExhibitText"/>
        <w:rPr>
          <w:lang w:val="en-GB"/>
        </w:rPr>
      </w:pPr>
    </w:p>
    <w:p w14:paraId="0BA1A6FE" w14:textId="77777777" w:rsidR="00C67D8C" w:rsidRPr="00C666E3" w:rsidRDefault="00C67D8C" w:rsidP="00C67D8C">
      <w:pPr>
        <w:pStyle w:val="ExhibitHeading"/>
        <w:rPr>
          <w:lang w:val="en-GB"/>
        </w:rPr>
      </w:pPr>
      <w:r w:rsidRPr="00C666E3">
        <w:rPr>
          <w:lang w:val="en-GB"/>
        </w:rPr>
        <w:t xml:space="preserve">Exhibit 2: </w:t>
      </w:r>
      <w:r>
        <w:rPr>
          <w:lang w:val="en-GB"/>
        </w:rPr>
        <w:t xml:space="preserve">Ontario’s Beverage alcohol </w:t>
      </w:r>
      <w:r w:rsidRPr="00C666E3">
        <w:rPr>
          <w:lang w:val="en-GB"/>
        </w:rPr>
        <w:t>MARKET SHARES BY VOLUMES SOLD</w:t>
      </w:r>
      <w:r>
        <w:rPr>
          <w:lang w:val="en-GB"/>
        </w:rPr>
        <w:t>, 2012–2016</w:t>
      </w:r>
    </w:p>
    <w:p w14:paraId="53901831" w14:textId="77777777" w:rsidR="00C67D8C" w:rsidRPr="00C666E3" w:rsidRDefault="00C67D8C" w:rsidP="00C67D8C">
      <w:pPr>
        <w:pStyle w:val="ExhibitText"/>
        <w:rPr>
          <w:lang w:val="en-GB"/>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990"/>
        <w:gridCol w:w="900"/>
        <w:gridCol w:w="900"/>
        <w:gridCol w:w="900"/>
        <w:gridCol w:w="990"/>
      </w:tblGrid>
      <w:tr w:rsidR="00C67D8C" w:rsidRPr="00C666E3" w14:paraId="017FF98C" w14:textId="77777777" w:rsidTr="00833FF4">
        <w:tc>
          <w:tcPr>
            <w:tcW w:w="3060" w:type="dxa"/>
            <w:shd w:val="clear" w:color="auto" w:fill="auto"/>
            <w:vAlign w:val="center"/>
          </w:tcPr>
          <w:p w14:paraId="59FCF94C" w14:textId="77777777" w:rsidR="00C67D8C" w:rsidRPr="00C666E3" w:rsidRDefault="00C67D8C" w:rsidP="00833FF4">
            <w:pPr>
              <w:pStyle w:val="ExhibitText"/>
              <w:jc w:val="center"/>
              <w:rPr>
                <w:b/>
                <w:lang w:val="en-GB"/>
              </w:rPr>
            </w:pPr>
            <w:r w:rsidRPr="00C666E3">
              <w:rPr>
                <w:b/>
                <w:lang w:val="en-GB"/>
              </w:rPr>
              <w:t xml:space="preserve">Year </w:t>
            </w:r>
            <w:r>
              <w:rPr>
                <w:b/>
                <w:lang w:val="en-GB"/>
              </w:rPr>
              <w:t>E</w:t>
            </w:r>
            <w:r w:rsidRPr="00C666E3">
              <w:rPr>
                <w:b/>
                <w:lang w:val="en-GB"/>
              </w:rPr>
              <w:t>nding March (in %)</w:t>
            </w:r>
          </w:p>
        </w:tc>
        <w:tc>
          <w:tcPr>
            <w:tcW w:w="990" w:type="dxa"/>
            <w:shd w:val="clear" w:color="auto" w:fill="auto"/>
            <w:vAlign w:val="center"/>
          </w:tcPr>
          <w:p w14:paraId="58F4CF38" w14:textId="77777777" w:rsidR="00C67D8C" w:rsidRPr="00C666E3" w:rsidRDefault="00C67D8C" w:rsidP="00833FF4">
            <w:pPr>
              <w:pStyle w:val="ExhibitText"/>
              <w:jc w:val="center"/>
              <w:rPr>
                <w:b/>
                <w:lang w:val="en-GB"/>
              </w:rPr>
            </w:pPr>
            <w:r w:rsidRPr="00C666E3">
              <w:rPr>
                <w:b/>
                <w:lang w:val="en-GB"/>
              </w:rPr>
              <w:t>2012</w:t>
            </w:r>
          </w:p>
        </w:tc>
        <w:tc>
          <w:tcPr>
            <w:tcW w:w="900" w:type="dxa"/>
            <w:shd w:val="clear" w:color="auto" w:fill="auto"/>
            <w:vAlign w:val="center"/>
          </w:tcPr>
          <w:p w14:paraId="42BE85CA" w14:textId="77777777" w:rsidR="00C67D8C" w:rsidRPr="00C666E3" w:rsidRDefault="00C67D8C" w:rsidP="00833FF4">
            <w:pPr>
              <w:pStyle w:val="ExhibitText"/>
              <w:jc w:val="center"/>
              <w:rPr>
                <w:b/>
                <w:lang w:val="en-GB"/>
              </w:rPr>
            </w:pPr>
            <w:r w:rsidRPr="00C666E3">
              <w:rPr>
                <w:b/>
                <w:lang w:val="en-GB"/>
              </w:rPr>
              <w:t>2013</w:t>
            </w:r>
          </w:p>
        </w:tc>
        <w:tc>
          <w:tcPr>
            <w:tcW w:w="900" w:type="dxa"/>
            <w:shd w:val="clear" w:color="auto" w:fill="auto"/>
            <w:vAlign w:val="center"/>
          </w:tcPr>
          <w:p w14:paraId="221F662F" w14:textId="77777777" w:rsidR="00C67D8C" w:rsidRPr="00C666E3" w:rsidRDefault="00C67D8C" w:rsidP="00833FF4">
            <w:pPr>
              <w:pStyle w:val="ExhibitText"/>
              <w:jc w:val="center"/>
              <w:rPr>
                <w:b/>
                <w:lang w:val="en-GB"/>
              </w:rPr>
            </w:pPr>
            <w:r w:rsidRPr="00C666E3">
              <w:rPr>
                <w:b/>
                <w:lang w:val="en-GB"/>
              </w:rPr>
              <w:t>2014</w:t>
            </w:r>
          </w:p>
        </w:tc>
        <w:tc>
          <w:tcPr>
            <w:tcW w:w="900" w:type="dxa"/>
            <w:shd w:val="clear" w:color="auto" w:fill="auto"/>
            <w:vAlign w:val="center"/>
          </w:tcPr>
          <w:p w14:paraId="299FDDB6" w14:textId="77777777" w:rsidR="00C67D8C" w:rsidRPr="00C666E3" w:rsidRDefault="00C67D8C" w:rsidP="00833FF4">
            <w:pPr>
              <w:pStyle w:val="ExhibitText"/>
              <w:jc w:val="center"/>
              <w:rPr>
                <w:b/>
                <w:lang w:val="en-GB"/>
              </w:rPr>
            </w:pPr>
            <w:r w:rsidRPr="00C666E3">
              <w:rPr>
                <w:b/>
                <w:lang w:val="en-GB"/>
              </w:rPr>
              <w:t>2015</w:t>
            </w:r>
          </w:p>
        </w:tc>
        <w:tc>
          <w:tcPr>
            <w:tcW w:w="990" w:type="dxa"/>
            <w:shd w:val="clear" w:color="auto" w:fill="auto"/>
            <w:vAlign w:val="center"/>
          </w:tcPr>
          <w:p w14:paraId="75095147" w14:textId="77777777" w:rsidR="00C67D8C" w:rsidRPr="00C666E3" w:rsidRDefault="00C67D8C" w:rsidP="00833FF4">
            <w:pPr>
              <w:pStyle w:val="ExhibitText"/>
              <w:jc w:val="center"/>
              <w:rPr>
                <w:b/>
                <w:lang w:val="en-GB"/>
              </w:rPr>
            </w:pPr>
            <w:r w:rsidRPr="00C666E3">
              <w:rPr>
                <w:b/>
                <w:lang w:val="en-GB"/>
              </w:rPr>
              <w:t>2016</w:t>
            </w:r>
          </w:p>
        </w:tc>
      </w:tr>
      <w:tr w:rsidR="00C67D8C" w:rsidRPr="00C666E3" w14:paraId="7CC7C256" w14:textId="77777777" w:rsidTr="00833FF4">
        <w:tc>
          <w:tcPr>
            <w:tcW w:w="3060" w:type="dxa"/>
            <w:shd w:val="clear" w:color="auto" w:fill="auto"/>
            <w:vAlign w:val="center"/>
          </w:tcPr>
          <w:p w14:paraId="259520F0" w14:textId="77777777" w:rsidR="00C67D8C" w:rsidRPr="00C666E3" w:rsidRDefault="00C67D8C" w:rsidP="00833FF4">
            <w:pPr>
              <w:pStyle w:val="ExhibitText"/>
              <w:jc w:val="left"/>
              <w:rPr>
                <w:lang w:val="en-GB"/>
              </w:rPr>
            </w:pPr>
            <w:r>
              <w:rPr>
                <w:lang w:val="en-GB"/>
              </w:rPr>
              <w:t xml:space="preserve">The </w:t>
            </w:r>
            <w:r w:rsidRPr="00C666E3">
              <w:rPr>
                <w:lang w:val="en-GB"/>
              </w:rPr>
              <w:t>Beer Store</w:t>
            </w:r>
          </w:p>
          <w:p w14:paraId="651D700D" w14:textId="77777777" w:rsidR="00C67D8C" w:rsidRPr="00C666E3" w:rsidRDefault="00C67D8C" w:rsidP="00833FF4">
            <w:pPr>
              <w:pStyle w:val="ExhibitText"/>
              <w:jc w:val="left"/>
              <w:rPr>
                <w:lang w:val="en-GB"/>
              </w:rPr>
            </w:pPr>
            <w:r w:rsidRPr="00C666E3">
              <w:rPr>
                <w:lang w:val="en-GB"/>
              </w:rPr>
              <w:t>LCBO</w:t>
            </w:r>
          </w:p>
          <w:p w14:paraId="35609866" w14:textId="5E3F7D9A" w:rsidR="00C67D8C" w:rsidRPr="00C666E3" w:rsidRDefault="00C67D8C" w:rsidP="00833FF4">
            <w:pPr>
              <w:pStyle w:val="ExhibitText"/>
              <w:jc w:val="left"/>
              <w:rPr>
                <w:lang w:val="en-GB"/>
              </w:rPr>
            </w:pPr>
            <w:r w:rsidRPr="00C666E3">
              <w:rPr>
                <w:lang w:val="en-GB"/>
              </w:rPr>
              <w:t>Other Legal</w:t>
            </w:r>
            <w:r w:rsidR="00E23249">
              <w:rPr>
                <w:lang w:val="en-GB"/>
              </w:rPr>
              <w:t xml:space="preserve"> </w:t>
            </w:r>
            <w:r w:rsidR="007F77B3">
              <w:rPr>
                <w:lang w:val="en-GB"/>
              </w:rPr>
              <w:t>R</w:t>
            </w:r>
            <w:r w:rsidR="00E23249">
              <w:rPr>
                <w:lang w:val="en-GB"/>
              </w:rPr>
              <w:t>etailers</w:t>
            </w:r>
          </w:p>
          <w:p w14:paraId="55C351FA" w14:textId="44C26FCF" w:rsidR="00C67D8C" w:rsidRPr="00C666E3" w:rsidRDefault="00C67D8C" w:rsidP="00833FF4">
            <w:pPr>
              <w:pStyle w:val="ExhibitText"/>
              <w:jc w:val="left"/>
              <w:rPr>
                <w:lang w:val="en-GB"/>
              </w:rPr>
            </w:pPr>
            <w:r w:rsidRPr="00C666E3">
              <w:rPr>
                <w:lang w:val="en-GB"/>
              </w:rPr>
              <w:t>Illegal</w:t>
            </w:r>
            <w:r w:rsidR="00E23249">
              <w:rPr>
                <w:lang w:val="en-GB"/>
              </w:rPr>
              <w:t xml:space="preserve"> </w:t>
            </w:r>
            <w:r w:rsidR="007F77B3">
              <w:rPr>
                <w:lang w:val="en-GB"/>
              </w:rPr>
              <w:t>S</w:t>
            </w:r>
            <w:r w:rsidR="00E23249">
              <w:rPr>
                <w:lang w:val="en-GB"/>
              </w:rPr>
              <w:t>tores</w:t>
            </w:r>
          </w:p>
          <w:p w14:paraId="412CC441" w14:textId="0BEB2E90" w:rsidR="00C67D8C" w:rsidRPr="00C666E3" w:rsidRDefault="007F77B3" w:rsidP="00833FF4">
            <w:pPr>
              <w:pStyle w:val="ExhibitText"/>
              <w:jc w:val="left"/>
              <w:rPr>
                <w:lang w:val="en-GB"/>
              </w:rPr>
            </w:pPr>
            <w:r>
              <w:rPr>
                <w:lang w:val="en-GB"/>
              </w:rPr>
              <w:t>Ontario Winery Retail</w:t>
            </w:r>
          </w:p>
          <w:p w14:paraId="6D71C2AF" w14:textId="77777777" w:rsidR="00C67D8C" w:rsidRPr="00C666E3" w:rsidRDefault="00C67D8C" w:rsidP="00833FF4">
            <w:pPr>
              <w:pStyle w:val="ExhibitText"/>
              <w:jc w:val="left"/>
              <w:rPr>
                <w:lang w:val="en-GB"/>
              </w:rPr>
            </w:pPr>
            <w:r w:rsidRPr="00C666E3">
              <w:rPr>
                <w:lang w:val="en-GB"/>
              </w:rPr>
              <w:t>Grocers</w:t>
            </w:r>
          </w:p>
        </w:tc>
        <w:tc>
          <w:tcPr>
            <w:tcW w:w="990" w:type="dxa"/>
            <w:shd w:val="clear" w:color="auto" w:fill="auto"/>
            <w:vAlign w:val="center"/>
          </w:tcPr>
          <w:p w14:paraId="4046A1F2" w14:textId="77777777" w:rsidR="00C67D8C" w:rsidRPr="00C666E3" w:rsidRDefault="00C67D8C" w:rsidP="00833FF4">
            <w:pPr>
              <w:pStyle w:val="ExhibitText"/>
              <w:jc w:val="right"/>
              <w:rPr>
                <w:lang w:val="en-GB"/>
              </w:rPr>
            </w:pPr>
            <w:r w:rsidRPr="00C666E3">
              <w:rPr>
                <w:lang w:val="en-GB"/>
              </w:rPr>
              <w:t>53.9</w:t>
            </w:r>
          </w:p>
          <w:p w14:paraId="70BF89D1" w14:textId="77777777" w:rsidR="00C67D8C" w:rsidRPr="00C666E3" w:rsidRDefault="00C67D8C" w:rsidP="00833FF4">
            <w:pPr>
              <w:pStyle w:val="ExhibitText"/>
              <w:jc w:val="right"/>
              <w:rPr>
                <w:lang w:val="en-GB"/>
              </w:rPr>
            </w:pPr>
            <w:r w:rsidRPr="00C666E3">
              <w:rPr>
                <w:lang w:val="en-GB"/>
              </w:rPr>
              <w:t>34.7</w:t>
            </w:r>
          </w:p>
          <w:p w14:paraId="7F170D02" w14:textId="77777777" w:rsidR="00C67D8C" w:rsidRPr="00C666E3" w:rsidRDefault="00C67D8C" w:rsidP="00833FF4">
            <w:pPr>
              <w:pStyle w:val="ExhibitText"/>
              <w:jc w:val="right"/>
              <w:rPr>
                <w:lang w:val="en-GB"/>
              </w:rPr>
            </w:pPr>
            <w:r w:rsidRPr="00C666E3">
              <w:rPr>
                <w:lang w:val="en-GB"/>
              </w:rPr>
              <w:t>6.2</w:t>
            </w:r>
          </w:p>
          <w:p w14:paraId="325B101F" w14:textId="77777777" w:rsidR="00C67D8C" w:rsidRPr="00C666E3" w:rsidRDefault="00C67D8C" w:rsidP="00833FF4">
            <w:pPr>
              <w:pStyle w:val="ExhibitText"/>
              <w:jc w:val="right"/>
              <w:rPr>
                <w:lang w:val="en-GB"/>
              </w:rPr>
            </w:pPr>
            <w:r w:rsidRPr="00C666E3">
              <w:rPr>
                <w:lang w:val="en-GB"/>
              </w:rPr>
              <w:t>3.5</w:t>
            </w:r>
          </w:p>
          <w:p w14:paraId="6A863B9E" w14:textId="77777777" w:rsidR="00C67D8C" w:rsidRPr="00C666E3" w:rsidRDefault="00C67D8C" w:rsidP="00833FF4">
            <w:pPr>
              <w:pStyle w:val="ExhibitText"/>
              <w:jc w:val="right"/>
              <w:rPr>
                <w:lang w:val="en-GB"/>
              </w:rPr>
            </w:pPr>
            <w:r w:rsidRPr="00C666E3">
              <w:rPr>
                <w:lang w:val="en-GB"/>
              </w:rPr>
              <w:t>1.7</w:t>
            </w:r>
          </w:p>
          <w:p w14:paraId="3AAA0BBE" w14:textId="2A5B2FF6" w:rsidR="00C67D8C" w:rsidRPr="00C666E3" w:rsidRDefault="00D553DD" w:rsidP="00833FF4">
            <w:pPr>
              <w:pStyle w:val="ExhibitText"/>
              <w:jc w:val="right"/>
              <w:rPr>
                <w:lang w:val="en-GB"/>
              </w:rPr>
            </w:pPr>
            <w:r>
              <w:rPr>
                <w:lang w:val="en-GB"/>
              </w:rPr>
              <w:t>-</w:t>
            </w:r>
          </w:p>
        </w:tc>
        <w:tc>
          <w:tcPr>
            <w:tcW w:w="900" w:type="dxa"/>
            <w:shd w:val="clear" w:color="auto" w:fill="auto"/>
            <w:vAlign w:val="center"/>
          </w:tcPr>
          <w:p w14:paraId="28914EB8" w14:textId="77777777" w:rsidR="00C67D8C" w:rsidRPr="00C666E3" w:rsidRDefault="00C67D8C" w:rsidP="00833FF4">
            <w:pPr>
              <w:pStyle w:val="ExhibitText"/>
              <w:jc w:val="right"/>
              <w:rPr>
                <w:lang w:val="en-GB"/>
              </w:rPr>
            </w:pPr>
            <w:r w:rsidRPr="00C666E3">
              <w:rPr>
                <w:lang w:val="en-GB"/>
              </w:rPr>
              <w:t>52.9</w:t>
            </w:r>
          </w:p>
          <w:p w14:paraId="6985A263" w14:textId="77777777" w:rsidR="00C67D8C" w:rsidRPr="00C666E3" w:rsidRDefault="00C67D8C" w:rsidP="00833FF4">
            <w:pPr>
              <w:pStyle w:val="ExhibitText"/>
              <w:jc w:val="right"/>
              <w:rPr>
                <w:lang w:val="en-GB"/>
              </w:rPr>
            </w:pPr>
            <w:r w:rsidRPr="00C666E3">
              <w:rPr>
                <w:lang w:val="en-GB"/>
              </w:rPr>
              <w:t>35.7</w:t>
            </w:r>
          </w:p>
          <w:p w14:paraId="46B39CFC" w14:textId="77777777" w:rsidR="00C67D8C" w:rsidRPr="00C666E3" w:rsidRDefault="00C67D8C" w:rsidP="00833FF4">
            <w:pPr>
              <w:pStyle w:val="ExhibitText"/>
              <w:jc w:val="right"/>
              <w:rPr>
                <w:lang w:val="en-GB"/>
              </w:rPr>
            </w:pPr>
            <w:r w:rsidRPr="00C666E3">
              <w:rPr>
                <w:lang w:val="en-GB"/>
              </w:rPr>
              <w:t>5.9</w:t>
            </w:r>
          </w:p>
          <w:p w14:paraId="739A5466" w14:textId="77777777" w:rsidR="00C67D8C" w:rsidRPr="00C666E3" w:rsidRDefault="00C67D8C" w:rsidP="00833FF4">
            <w:pPr>
              <w:pStyle w:val="ExhibitText"/>
              <w:jc w:val="right"/>
              <w:rPr>
                <w:lang w:val="en-GB"/>
              </w:rPr>
            </w:pPr>
            <w:r w:rsidRPr="00C666E3">
              <w:rPr>
                <w:lang w:val="en-GB"/>
              </w:rPr>
              <w:t>3.6</w:t>
            </w:r>
          </w:p>
          <w:p w14:paraId="02A4B9A1" w14:textId="77777777" w:rsidR="00C67D8C" w:rsidRPr="00C666E3" w:rsidRDefault="00C67D8C" w:rsidP="00833FF4">
            <w:pPr>
              <w:pStyle w:val="ExhibitText"/>
              <w:jc w:val="right"/>
              <w:rPr>
                <w:lang w:val="en-GB"/>
              </w:rPr>
            </w:pPr>
            <w:r w:rsidRPr="00C666E3">
              <w:rPr>
                <w:lang w:val="en-GB"/>
              </w:rPr>
              <w:t>1.9</w:t>
            </w:r>
          </w:p>
          <w:p w14:paraId="0472109C" w14:textId="074BC1D1" w:rsidR="00C67D8C" w:rsidRPr="00C666E3" w:rsidRDefault="00D553DD" w:rsidP="00833FF4">
            <w:pPr>
              <w:pStyle w:val="ExhibitText"/>
              <w:jc w:val="right"/>
              <w:rPr>
                <w:lang w:val="en-GB"/>
              </w:rPr>
            </w:pPr>
            <w:r>
              <w:rPr>
                <w:lang w:val="en-GB"/>
              </w:rPr>
              <w:t>-</w:t>
            </w:r>
          </w:p>
        </w:tc>
        <w:tc>
          <w:tcPr>
            <w:tcW w:w="900" w:type="dxa"/>
            <w:shd w:val="clear" w:color="auto" w:fill="auto"/>
            <w:vAlign w:val="center"/>
          </w:tcPr>
          <w:p w14:paraId="26F3F037" w14:textId="77777777" w:rsidR="00C67D8C" w:rsidRPr="00C666E3" w:rsidRDefault="00C67D8C" w:rsidP="00833FF4">
            <w:pPr>
              <w:pStyle w:val="ExhibitText"/>
              <w:jc w:val="right"/>
              <w:rPr>
                <w:lang w:val="en-GB"/>
              </w:rPr>
            </w:pPr>
            <w:r w:rsidRPr="00C666E3">
              <w:rPr>
                <w:lang w:val="en-GB"/>
              </w:rPr>
              <w:t>51.4</w:t>
            </w:r>
          </w:p>
          <w:p w14:paraId="775339A5" w14:textId="77777777" w:rsidR="00C67D8C" w:rsidRPr="00C666E3" w:rsidRDefault="00C67D8C" w:rsidP="00833FF4">
            <w:pPr>
              <w:pStyle w:val="ExhibitText"/>
              <w:jc w:val="right"/>
              <w:rPr>
                <w:lang w:val="en-GB"/>
              </w:rPr>
            </w:pPr>
            <w:r w:rsidRPr="00C666E3">
              <w:rPr>
                <w:lang w:val="en-GB"/>
              </w:rPr>
              <w:t>36.3</w:t>
            </w:r>
          </w:p>
          <w:p w14:paraId="4ED7716E" w14:textId="77777777" w:rsidR="00C67D8C" w:rsidRPr="00C666E3" w:rsidRDefault="00C67D8C" w:rsidP="00833FF4">
            <w:pPr>
              <w:pStyle w:val="ExhibitText"/>
              <w:jc w:val="right"/>
              <w:rPr>
                <w:lang w:val="en-GB"/>
              </w:rPr>
            </w:pPr>
            <w:r w:rsidRPr="00C666E3">
              <w:rPr>
                <w:lang w:val="en-GB"/>
              </w:rPr>
              <w:t>6.3</w:t>
            </w:r>
          </w:p>
          <w:p w14:paraId="3A275C35" w14:textId="77777777" w:rsidR="00C67D8C" w:rsidRPr="00C666E3" w:rsidRDefault="00C67D8C" w:rsidP="00833FF4">
            <w:pPr>
              <w:pStyle w:val="ExhibitText"/>
              <w:jc w:val="right"/>
              <w:rPr>
                <w:lang w:val="en-GB"/>
              </w:rPr>
            </w:pPr>
            <w:r w:rsidRPr="00C666E3">
              <w:rPr>
                <w:lang w:val="en-GB"/>
              </w:rPr>
              <w:t>4.0</w:t>
            </w:r>
          </w:p>
          <w:p w14:paraId="13092F87" w14:textId="77777777" w:rsidR="00C67D8C" w:rsidRPr="00C666E3" w:rsidRDefault="00C67D8C" w:rsidP="00833FF4">
            <w:pPr>
              <w:pStyle w:val="ExhibitText"/>
              <w:jc w:val="right"/>
              <w:rPr>
                <w:lang w:val="en-GB"/>
              </w:rPr>
            </w:pPr>
            <w:r w:rsidRPr="00C666E3">
              <w:rPr>
                <w:lang w:val="en-GB"/>
              </w:rPr>
              <w:t>2.0</w:t>
            </w:r>
          </w:p>
          <w:p w14:paraId="62711273" w14:textId="0057336A" w:rsidR="00C67D8C" w:rsidRPr="00C666E3" w:rsidRDefault="00D553DD" w:rsidP="00833FF4">
            <w:pPr>
              <w:pStyle w:val="ExhibitText"/>
              <w:jc w:val="right"/>
              <w:rPr>
                <w:lang w:val="en-GB"/>
              </w:rPr>
            </w:pPr>
            <w:r>
              <w:rPr>
                <w:lang w:val="en-GB"/>
              </w:rPr>
              <w:t>-</w:t>
            </w:r>
          </w:p>
        </w:tc>
        <w:tc>
          <w:tcPr>
            <w:tcW w:w="900" w:type="dxa"/>
            <w:shd w:val="clear" w:color="auto" w:fill="auto"/>
            <w:vAlign w:val="center"/>
          </w:tcPr>
          <w:p w14:paraId="26DDBFC3" w14:textId="77777777" w:rsidR="00C67D8C" w:rsidRPr="00C666E3" w:rsidRDefault="00C67D8C" w:rsidP="00833FF4">
            <w:pPr>
              <w:pStyle w:val="ExhibitText"/>
              <w:jc w:val="right"/>
              <w:rPr>
                <w:lang w:val="en-GB"/>
              </w:rPr>
            </w:pPr>
            <w:r w:rsidRPr="00C666E3">
              <w:rPr>
                <w:lang w:val="en-GB"/>
              </w:rPr>
              <w:t>50.3</w:t>
            </w:r>
          </w:p>
          <w:p w14:paraId="24126A97" w14:textId="77777777" w:rsidR="00C67D8C" w:rsidRPr="00C666E3" w:rsidRDefault="00C67D8C" w:rsidP="00833FF4">
            <w:pPr>
              <w:pStyle w:val="ExhibitText"/>
              <w:jc w:val="right"/>
              <w:rPr>
                <w:lang w:val="en-GB"/>
              </w:rPr>
            </w:pPr>
            <w:r w:rsidRPr="00C666E3">
              <w:rPr>
                <w:lang w:val="en-GB"/>
              </w:rPr>
              <w:t>37.7</w:t>
            </w:r>
          </w:p>
          <w:p w14:paraId="718FF905" w14:textId="77777777" w:rsidR="00C67D8C" w:rsidRPr="00C666E3" w:rsidRDefault="00C67D8C" w:rsidP="00833FF4">
            <w:pPr>
              <w:pStyle w:val="ExhibitText"/>
              <w:jc w:val="right"/>
              <w:rPr>
                <w:lang w:val="en-GB"/>
              </w:rPr>
            </w:pPr>
            <w:r w:rsidRPr="00C666E3">
              <w:rPr>
                <w:lang w:val="en-GB"/>
              </w:rPr>
              <w:t>5.8</w:t>
            </w:r>
          </w:p>
          <w:p w14:paraId="3B5130AC" w14:textId="77777777" w:rsidR="00C67D8C" w:rsidRPr="00C666E3" w:rsidRDefault="00C67D8C" w:rsidP="00833FF4">
            <w:pPr>
              <w:pStyle w:val="ExhibitText"/>
              <w:jc w:val="right"/>
              <w:rPr>
                <w:lang w:val="en-GB"/>
              </w:rPr>
            </w:pPr>
            <w:r w:rsidRPr="00C666E3">
              <w:rPr>
                <w:lang w:val="en-GB"/>
              </w:rPr>
              <w:t>4.2</w:t>
            </w:r>
          </w:p>
          <w:p w14:paraId="34C51A11" w14:textId="77777777" w:rsidR="00C67D8C" w:rsidRPr="00C666E3" w:rsidRDefault="00C67D8C" w:rsidP="00833FF4">
            <w:pPr>
              <w:pStyle w:val="ExhibitText"/>
              <w:jc w:val="right"/>
              <w:rPr>
                <w:lang w:val="en-GB"/>
              </w:rPr>
            </w:pPr>
            <w:r w:rsidRPr="00C666E3">
              <w:rPr>
                <w:lang w:val="en-GB"/>
              </w:rPr>
              <w:t>2.0</w:t>
            </w:r>
          </w:p>
          <w:p w14:paraId="0885C104" w14:textId="2C5C1DBC" w:rsidR="00C67D8C" w:rsidRPr="00C666E3" w:rsidRDefault="00D553DD" w:rsidP="00833FF4">
            <w:pPr>
              <w:pStyle w:val="ExhibitText"/>
              <w:jc w:val="right"/>
              <w:rPr>
                <w:lang w:val="en-GB"/>
              </w:rPr>
            </w:pPr>
            <w:r>
              <w:rPr>
                <w:lang w:val="en-GB"/>
              </w:rPr>
              <w:t>-</w:t>
            </w:r>
          </w:p>
        </w:tc>
        <w:tc>
          <w:tcPr>
            <w:tcW w:w="990" w:type="dxa"/>
            <w:shd w:val="clear" w:color="auto" w:fill="auto"/>
            <w:vAlign w:val="center"/>
          </w:tcPr>
          <w:p w14:paraId="0E4A6AD5" w14:textId="77777777" w:rsidR="00C67D8C" w:rsidRPr="00C666E3" w:rsidRDefault="00C67D8C" w:rsidP="00833FF4">
            <w:pPr>
              <w:pStyle w:val="ExhibitText"/>
              <w:jc w:val="right"/>
              <w:rPr>
                <w:lang w:val="en-GB"/>
              </w:rPr>
            </w:pPr>
            <w:r w:rsidRPr="00C666E3">
              <w:rPr>
                <w:lang w:val="en-GB"/>
              </w:rPr>
              <w:t>48.8</w:t>
            </w:r>
          </w:p>
          <w:p w14:paraId="57F11F94" w14:textId="77777777" w:rsidR="00C67D8C" w:rsidRPr="00C666E3" w:rsidRDefault="00C67D8C" w:rsidP="00833FF4">
            <w:pPr>
              <w:pStyle w:val="ExhibitText"/>
              <w:jc w:val="right"/>
              <w:rPr>
                <w:lang w:val="en-GB"/>
              </w:rPr>
            </w:pPr>
            <w:r w:rsidRPr="00C666E3">
              <w:rPr>
                <w:lang w:val="en-GB"/>
              </w:rPr>
              <w:t>38.2</w:t>
            </w:r>
          </w:p>
          <w:p w14:paraId="5855656E" w14:textId="77777777" w:rsidR="00C67D8C" w:rsidRPr="00C666E3" w:rsidRDefault="00C67D8C" w:rsidP="00833FF4">
            <w:pPr>
              <w:pStyle w:val="ExhibitText"/>
              <w:jc w:val="right"/>
              <w:rPr>
                <w:lang w:val="en-GB"/>
              </w:rPr>
            </w:pPr>
            <w:r w:rsidRPr="00C666E3">
              <w:rPr>
                <w:lang w:val="en-GB"/>
              </w:rPr>
              <w:t>6.7</w:t>
            </w:r>
          </w:p>
          <w:p w14:paraId="5F20FFAE" w14:textId="77777777" w:rsidR="00C67D8C" w:rsidRPr="00C666E3" w:rsidRDefault="00C67D8C" w:rsidP="00833FF4">
            <w:pPr>
              <w:pStyle w:val="ExhibitText"/>
              <w:jc w:val="right"/>
              <w:rPr>
                <w:lang w:val="en-GB"/>
              </w:rPr>
            </w:pPr>
            <w:r w:rsidRPr="00C666E3">
              <w:rPr>
                <w:lang w:val="en-GB"/>
              </w:rPr>
              <w:t>4.1</w:t>
            </w:r>
          </w:p>
          <w:p w14:paraId="0FFDA46F" w14:textId="77777777" w:rsidR="00C67D8C" w:rsidRPr="00C666E3" w:rsidRDefault="00C67D8C" w:rsidP="00833FF4">
            <w:pPr>
              <w:pStyle w:val="ExhibitText"/>
              <w:jc w:val="right"/>
              <w:rPr>
                <w:lang w:val="en-GB"/>
              </w:rPr>
            </w:pPr>
            <w:r w:rsidRPr="00C666E3">
              <w:rPr>
                <w:lang w:val="en-GB"/>
              </w:rPr>
              <w:t>2.1</w:t>
            </w:r>
          </w:p>
          <w:p w14:paraId="1099F139" w14:textId="77777777" w:rsidR="00C67D8C" w:rsidRPr="00C666E3" w:rsidRDefault="00C67D8C" w:rsidP="00833FF4">
            <w:pPr>
              <w:pStyle w:val="ExhibitText"/>
              <w:jc w:val="right"/>
              <w:rPr>
                <w:lang w:val="en-GB"/>
              </w:rPr>
            </w:pPr>
            <w:r w:rsidRPr="00C666E3">
              <w:rPr>
                <w:lang w:val="en-GB"/>
              </w:rPr>
              <w:t>0.1</w:t>
            </w:r>
          </w:p>
        </w:tc>
      </w:tr>
      <w:tr w:rsidR="00C67D8C" w:rsidRPr="00C666E3" w14:paraId="49E644BE" w14:textId="77777777" w:rsidTr="00833FF4">
        <w:tc>
          <w:tcPr>
            <w:tcW w:w="3060" w:type="dxa"/>
            <w:shd w:val="clear" w:color="auto" w:fill="auto"/>
            <w:vAlign w:val="center"/>
          </w:tcPr>
          <w:p w14:paraId="16776B02" w14:textId="77777777" w:rsidR="00C67D8C" w:rsidRPr="00C666E3" w:rsidRDefault="00C67D8C" w:rsidP="00833FF4">
            <w:pPr>
              <w:pStyle w:val="ExhibitText"/>
              <w:jc w:val="left"/>
              <w:rPr>
                <w:lang w:val="en-GB"/>
              </w:rPr>
            </w:pPr>
            <w:r w:rsidRPr="00C666E3">
              <w:rPr>
                <w:lang w:val="en-GB"/>
              </w:rPr>
              <w:t>Total</w:t>
            </w:r>
          </w:p>
        </w:tc>
        <w:tc>
          <w:tcPr>
            <w:tcW w:w="990" w:type="dxa"/>
            <w:shd w:val="clear" w:color="auto" w:fill="auto"/>
            <w:vAlign w:val="center"/>
          </w:tcPr>
          <w:p w14:paraId="7E50F8AD" w14:textId="77777777" w:rsidR="00C67D8C" w:rsidRPr="00C666E3" w:rsidRDefault="00C67D8C" w:rsidP="00833FF4">
            <w:pPr>
              <w:pStyle w:val="ExhibitText"/>
              <w:jc w:val="right"/>
              <w:rPr>
                <w:lang w:val="en-GB"/>
              </w:rPr>
            </w:pPr>
            <w:r w:rsidRPr="00C666E3">
              <w:rPr>
                <w:lang w:val="en-GB"/>
              </w:rPr>
              <w:t>100.0</w:t>
            </w:r>
          </w:p>
        </w:tc>
        <w:tc>
          <w:tcPr>
            <w:tcW w:w="900" w:type="dxa"/>
            <w:shd w:val="clear" w:color="auto" w:fill="auto"/>
            <w:vAlign w:val="center"/>
          </w:tcPr>
          <w:p w14:paraId="0360F399" w14:textId="77777777" w:rsidR="00C67D8C" w:rsidRPr="00C666E3" w:rsidRDefault="00C67D8C" w:rsidP="00833FF4">
            <w:pPr>
              <w:pStyle w:val="ExhibitText"/>
              <w:jc w:val="right"/>
              <w:rPr>
                <w:lang w:val="en-GB"/>
              </w:rPr>
            </w:pPr>
            <w:r w:rsidRPr="00C666E3">
              <w:rPr>
                <w:lang w:val="en-GB"/>
              </w:rPr>
              <w:t>100.0</w:t>
            </w:r>
          </w:p>
        </w:tc>
        <w:tc>
          <w:tcPr>
            <w:tcW w:w="900" w:type="dxa"/>
            <w:shd w:val="clear" w:color="auto" w:fill="auto"/>
            <w:vAlign w:val="center"/>
          </w:tcPr>
          <w:p w14:paraId="396DD3AE" w14:textId="77777777" w:rsidR="00C67D8C" w:rsidRPr="00C666E3" w:rsidRDefault="00C67D8C" w:rsidP="00833FF4">
            <w:pPr>
              <w:pStyle w:val="ExhibitText"/>
              <w:jc w:val="right"/>
              <w:rPr>
                <w:lang w:val="en-GB"/>
              </w:rPr>
            </w:pPr>
            <w:r w:rsidRPr="00C666E3">
              <w:rPr>
                <w:lang w:val="en-GB"/>
              </w:rPr>
              <w:t>100.0</w:t>
            </w:r>
          </w:p>
        </w:tc>
        <w:tc>
          <w:tcPr>
            <w:tcW w:w="900" w:type="dxa"/>
            <w:shd w:val="clear" w:color="auto" w:fill="auto"/>
            <w:vAlign w:val="center"/>
          </w:tcPr>
          <w:p w14:paraId="455E7C4C" w14:textId="77777777" w:rsidR="00C67D8C" w:rsidRPr="00C666E3" w:rsidRDefault="00C67D8C" w:rsidP="00833FF4">
            <w:pPr>
              <w:pStyle w:val="ExhibitText"/>
              <w:jc w:val="right"/>
              <w:rPr>
                <w:lang w:val="en-GB"/>
              </w:rPr>
            </w:pPr>
            <w:r w:rsidRPr="00C666E3">
              <w:rPr>
                <w:lang w:val="en-GB"/>
              </w:rPr>
              <w:t>100.0</w:t>
            </w:r>
          </w:p>
        </w:tc>
        <w:tc>
          <w:tcPr>
            <w:tcW w:w="990" w:type="dxa"/>
            <w:shd w:val="clear" w:color="auto" w:fill="auto"/>
            <w:vAlign w:val="center"/>
          </w:tcPr>
          <w:p w14:paraId="54D35164" w14:textId="77777777" w:rsidR="00C67D8C" w:rsidRPr="00C666E3" w:rsidRDefault="00C67D8C" w:rsidP="00833FF4">
            <w:pPr>
              <w:pStyle w:val="ExhibitText"/>
              <w:jc w:val="right"/>
              <w:rPr>
                <w:lang w:val="en-GB"/>
              </w:rPr>
            </w:pPr>
            <w:r w:rsidRPr="00C666E3">
              <w:rPr>
                <w:lang w:val="en-GB"/>
              </w:rPr>
              <w:t>100.0</w:t>
            </w:r>
          </w:p>
        </w:tc>
      </w:tr>
    </w:tbl>
    <w:p w14:paraId="21E7F794" w14:textId="77777777" w:rsidR="00C67D8C" w:rsidRPr="00C666E3" w:rsidRDefault="00C67D8C" w:rsidP="00C67D8C">
      <w:pPr>
        <w:pStyle w:val="ExhibitText"/>
        <w:rPr>
          <w:lang w:val="en-GB"/>
        </w:rPr>
      </w:pPr>
    </w:p>
    <w:p w14:paraId="5B11B857" w14:textId="77777777" w:rsidR="00C67D8C" w:rsidRDefault="00C67D8C" w:rsidP="00C67D8C">
      <w:pPr>
        <w:pStyle w:val="Footnote"/>
        <w:rPr>
          <w:lang w:val="en-GB"/>
        </w:rPr>
      </w:pPr>
      <w:r>
        <w:rPr>
          <w:lang w:val="en-GB"/>
        </w:rPr>
        <w:t>Note: LCBO = Liquor Control Board of Ontario</w:t>
      </w:r>
    </w:p>
    <w:p w14:paraId="51D9B7B3" w14:textId="77777777" w:rsidR="00C67D8C" w:rsidRPr="00C666E3" w:rsidRDefault="00C67D8C" w:rsidP="00C67D8C">
      <w:pPr>
        <w:pStyle w:val="Footnote"/>
        <w:rPr>
          <w:lang w:val="en-GB"/>
        </w:rPr>
      </w:pPr>
      <w:r w:rsidRPr="00C666E3">
        <w:rPr>
          <w:lang w:val="en-GB"/>
        </w:rPr>
        <w:t>Source: Company files.</w:t>
      </w:r>
    </w:p>
    <w:p w14:paraId="28691C8E" w14:textId="77777777" w:rsidR="00C67D8C" w:rsidRPr="00C666E3" w:rsidRDefault="00C67D8C" w:rsidP="00C67D8C">
      <w:pPr>
        <w:pStyle w:val="ExhibitText"/>
        <w:rPr>
          <w:lang w:val="en-GB"/>
        </w:rPr>
      </w:pPr>
    </w:p>
    <w:p w14:paraId="637934D9" w14:textId="77777777" w:rsidR="00C67D8C" w:rsidRPr="00C666E3" w:rsidRDefault="00C67D8C" w:rsidP="00C67D8C">
      <w:pPr>
        <w:pStyle w:val="ExhibitText"/>
        <w:rPr>
          <w:lang w:val="en-GB"/>
        </w:rPr>
      </w:pPr>
    </w:p>
    <w:p w14:paraId="3BED4AB0" w14:textId="77777777" w:rsidR="00C67D8C" w:rsidRPr="00C666E3" w:rsidRDefault="00C67D8C" w:rsidP="00C67D8C">
      <w:pPr>
        <w:pStyle w:val="ExhibitHeading"/>
        <w:rPr>
          <w:lang w:val="en-GB"/>
        </w:rPr>
      </w:pPr>
      <w:r w:rsidRPr="00C666E3">
        <w:rPr>
          <w:lang w:val="en-GB"/>
        </w:rPr>
        <w:t>Exhibit 3: L</w:t>
      </w:r>
      <w:r>
        <w:rPr>
          <w:lang w:val="en-GB"/>
        </w:rPr>
        <w:t xml:space="preserve">iquor </w:t>
      </w:r>
      <w:r w:rsidRPr="00C666E3">
        <w:rPr>
          <w:lang w:val="en-GB"/>
        </w:rPr>
        <w:t>C</w:t>
      </w:r>
      <w:r>
        <w:rPr>
          <w:lang w:val="en-GB"/>
        </w:rPr>
        <w:t xml:space="preserve">ontrol </w:t>
      </w:r>
      <w:r w:rsidRPr="00C666E3">
        <w:rPr>
          <w:lang w:val="en-GB"/>
        </w:rPr>
        <w:t>B</w:t>
      </w:r>
      <w:r>
        <w:rPr>
          <w:lang w:val="en-GB"/>
        </w:rPr>
        <w:t xml:space="preserve">oard of </w:t>
      </w:r>
      <w:r w:rsidRPr="00C666E3">
        <w:rPr>
          <w:lang w:val="en-GB"/>
        </w:rPr>
        <w:t>O</w:t>
      </w:r>
      <w:r>
        <w:rPr>
          <w:lang w:val="en-GB"/>
        </w:rPr>
        <w:t>ntario’s</w:t>
      </w:r>
      <w:r w:rsidRPr="00C666E3">
        <w:rPr>
          <w:lang w:val="en-GB"/>
        </w:rPr>
        <w:t xml:space="preserve"> INCOME STATEMENT</w:t>
      </w:r>
      <w:r>
        <w:rPr>
          <w:lang w:val="en-GB"/>
        </w:rPr>
        <w:t>, 2012–2016</w:t>
      </w:r>
    </w:p>
    <w:p w14:paraId="19572452" w14:textId="77777777" w:rsidR="00C67D8C" w:rsidRPr="00C666E3" w:rsidRDefault="00C67D8C" w:rsidP="00C67D8C">
      <w:pPr>
        <w:pStyle w:val="ExhibitText"/>
        <w:rPr>
          <w:lang w:val="en-GB"/>
        </w:rPr>
      </w:pPr>
    </w:p>
    <w:tbl>
      <w:tblPr>
        <w:tblW w:w="774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990"/>
        <w:gridCol w:w="900"/>
        <w:gridCol w:w="900"/>
        <w:gridCol w:w="900"/>
        <w:gridCol w:w="990"/>
      </w:tblGrid>
      <w:tr w:rsidR="00C67D8C" w:rsidRPr="00C666E3" w14:paraId="77D35966" w14:textId="77777777" w:rsidTr="00833FF4">
        <w:tc>
          <w:tcPr>
            <w:tcW w:w="3060" w:type="dxa"/>
            <w:shd w:val="clear" w:color="auto" w:fill="auto"/>
          </w:tcPr>
          <w:p w14:paraId="3F192439" w14:textId="77777777" w:rsidR="00C67D8C" w:rsidRDefault="00C67D8C" w:rsidP="00833FF4">
            <w:pPr>
              <w:pStyle w:val="ExhibitText"/>
              <w:jc w:val="center"/>
              <w:rPr>
                <w:b/>
                <w:lang w:val="en-GB"/>
              </w:rPr>
            </w:pPr>
            <w:r w:rsidRPr="00C666E3">
              <w:rPr>
                <w:b/>
                <w:lang w:val="en-GB"/>
              </w:rPr>
              <w:t xml:space="preserve">Year </w:t>
            </w:r>
            <w:r>
              <w:rPr>
                <w:b/>
                <w:lang w:val="en-GB"/>
              </w:rPr>
              <w:t>E</w:t>
            </w:r>
            <w:r w:rsidRPr="00C666E3">
              <w:rPr>
                <w:b/>
                <w:lang w:val="en-GB"/>
              </w:rPr>
              <w:t>nding March</w:t>
            </w:r>
          </w:p>
          <w:p w14:paraId="428F6EA8" w14:textId="06518C08" w:rsidR="00C67D8C" w:rsidRPr="00C666E3" w:rsidRDefault="00C67D8C" w:rsidP="00D57745">
            <w:pPr>
              <w:pStyle w:val="ExhibitText"/>
              <w:jc w:val="center"/>
              <w:rPr>
                <w:b/>
                <w:lang w:val="en-GB"/>
              </w:rPr>
            </w:pPr>
            <w:r w:rsidRPr="00C666E3">
              <w:rPr>
                <w:b/>
                <w:lang w:val="en-GB"/>
              </w:rPr>
              <w:t>(</w:t>
            </w:r>
            <w:r>
              <w:rPr>
                <w:b/>
                <w:lang w:val="en-GB"/>
              </w:rPr>
              <w:t>in CA$</w:t>
            </w:r>
            <w:r w:rsidR="00D57745">
              <w:rPr>
                <w:b/>
                <w:lang w:val="en-GB"/>
              </w:rPr>
              <w:t xml:space="preserve"> millions</w:t>
            </w:r>
            <w:r w:rsidRPr="00C666E3">
              <w:rPr>
                <w:b/>
                <w:lang w:val="en-GB"/>
              </w:rPr>
              <w:t>)</w:t>
            </w:r>
          </w:p>
        </w:tc>
        <w:tc>
          <w:tcPr>
            <w:tcW w:w="990" w:type="dxa"/>
            <w:vAlign w:val="center"/>
          </w:tcPr>
          <w:p w14:paraId="1394F59B" w14:textId="77777777" w:rsidR="00C67D8C" w:rsidRPr="00C666E3" w:rsidRDefault="00C67D8C" w:rsidP="00833FF4">
            <w:pPr>
              <w:pStyle w:val="ExhibitText"/>
              <w:jc w:val="center"/>
              <w:rPr>
                <w:b/>
                <w:lang w:val="en-GB"/>
              </w:rPr>
            </w:pPr>
            <w:r w:rsidRPr="00C666E3">
              <w:rPr>
                <w:b/>
                <w:lang w:val="en-GB"/>
              </w:rPr>
              <w:t>2012</w:t>
            </w:r>
          </w:p>
        </w:tc>
        <w:tc>
          <w:tcPr>
            <w:tcW w:w="900" w:type="dxa"/>
            <w:vAlign w:val="center"/>
          </w:tcPr>
          <w:p w14:paraId="549EF53A" w14:textId="77777777" w:rsidR="00C67D8C" w:rsidRPr="00C666E3" w:rsidRDefault="00C67D8C" w:rsidP="00833FF4">
            <w:pPr>
              <w:pStyle w:val="ExhibitText"/>
              <w:jc w:val="center"/>
              <w:rPr>
                <w:b/>
                <w:lang w:val="en-GB"/>
              </w:rPr>
            </w:pPr>
            <w:r w:rsidRPr="00C666E3">
              <w:rPr>
                <w:b/>
                <w:lang w:val="en-GB"/>
              </w:rPr>
              <w:t>2013</w:t>
            </w:r>
          </w:p>
        </w:tc>
        <w:tc>
          <w:tcPr>
            <w:tcW w:w="900" w:type="dxa"/>
            <w:vAlign w:val="center"/>
          </w:tcPr>
          <w:p w14:paraId="71329B91" w14:textId="77777777" w:rsidR="00C67D8C" w:rsidRPr="00C666E3" w:rsidRDefault="00C67D8C" w:rsidP="00833FF4">
            <w:pPr>
              <w:pStyle w:val="ExhibitText"/>
              <w:jc w:val="center"/>
              <w:rPr>
                <w:b/>
                <w:lang w:val="en-GB"/>
              </w:rPr>
            </w:pPr>
            <w:r w:rsidRPr="00C666E3">
              <w:rPr>
                <w:b/>
                <w:lang w:val="en-GB"/>
              </w:rPr>
              <w:t>2014</w:t>
            </w:r>
          </w:p>
        </w:tc>
        <w:tc>
          <w:tcPr>
            <w:tcW w:w="900" w:type="dxa"/>
            <w:vAlign w:val="center"/>
          </w:tcPr>
          <w:p w14:paraId="3D87004A" w14:textId="77777777" w:rsidR="00C67D8C" w:rsidRPr="00C666E3" w:rsidRDefault="00C67D8C" w:rsidP="00833FF4">
            <w:pPr>
              <w:pStyle w:val="ExhibitText"/>
              <w:jc w:val="center"/>
              <w:rPr>
                <w:b/>
                <w:lang w:val="en-GB"/>
              </w:rPr>
            </w:pPr>
            <w:r w:rsidRPr="00C666E3">
              <w:rPr>
                <w:b/>
                <w:lang w:val="en-GB"/>
              </w:rPr>
              <w:t>2015</w:t>
            </w:r>
          </w:p>
        </w:tc>
        <w:tc>
          <w:tcPr>
            <w:tcW w:w="990" w:type="dxa"/>
            <w:shd w:val="clear" w:color="auto" w:fill="auto"/>
            <w:vAlign w:val="center"/>
          </w:tcPr>
          <w:p w14:paraId="7F22DF09" w14:textId="77777777" w:rsidR="00C67D8C" w:rsidRPr="00C666E3" w:rsidRDefault="00C67D8C" w:rsidP="00833FF4">
            <w:pPr>
              <w:pStyle w:val="ExhibitText"/>
              <w:jc w:val="center"/>
              <w:rPr>
                <w:b/>
                <w:lang w:val="en-GB"/>
              </w:rPr>
            </w:pPr>
            <w:r w:rsidRPr="00C666E3">
              <w:rPr>
                <w:b/>
                <w:lang w:val="en-GB"/>
              </w:rPr>
              <w:t>2016</w:t>
            </w:r>
          </w:p>
        </w:tc>
      </w:tr>
      <w:tr w:rsidR="00C67D8C" w:rsidRPr="00C666E3" w14:paraId="4CEAAF4E" w14:textId="77777777" w:rsidTr="00833FF4">
        <w:tc>
          <w:tcPr>
            <w:tcW w:w="3060" w:type="dxa"/>
            <w:shd w:val="clear" w:color="auto" w:fill="auto"/>
            <w:vAlign w:val="center"/>
          </w:tcPr>
          <w:p w14:paraId="02198516" w14:textId="77777777" w:rsidR="00C67D8C" w:rsidRPr="00C666E3" w:rsidRDefault="00C67D8C" w:rsidP="00833FF4">
            <w:pPr>
              <w:pStyle w:val="ExhibitText"/>
              <w:jc w:val="left"/>
              <w:rPr>
                <w:lang w:val="en-GB"/>
              </w:rPr>
            </w:pPr>
            <w:r w:rsidRPr="00C666E3">
              <w:rPr>
                <w:lang w:val="en-GB"/>
              </w:rPr>
              <w:t>Revenue</w:t>
            </w:r>
          </w:p>
          <w:p w14:paraId="2813472E" w14:textId="77777777" w:rsidR="00C67D8C" w:rsidRPr="00C666E3" w:rsidRDefault="00C67D8C" w:rsidP="00833FF4">
            <w:pPr>
              <w:pStyle w:val="ExhibitText"/>
              <w:jc w:val="left"/>
              <w:rPr>
                <w:lang w:val="en-GB"/>
              </w:rPr>
            </w:pPr>
            <w:r w:rsidRPr="00C666E3">
              <w:rPr>
                <w:lang w:val="en-GB"/>
              </w:rPr>
              <w:t>Less: Cost of Sales</w:t>
            </w:r>
          </w:p>
        </w:tc>
        <w:tc>
          <w:tcPr>
            <w:tcW w:w="990" w:type="dxa"/>
            <w:vAlign w:val="center"/>
          </w:tcPr>
          <w:p w14:paraId="069E6D4F" w14:textId="77777777" w:rsidR="00C67D8C" w:rsidRPr="00C666E3" w:rsidRDefault="00C67D8C" w:rsidP="00833FF4">
            <w:pPr>
              <w:pStyle w:val="ExhibitText"/>
              <w:jc w:val="right"/>
              <w:rPr>
                <w:lang w:val="en-GB"/>
              </w:rPr>
            </w:pPr>
            <w:r w:rsidRPr="00C666E3">
              <w:rPr>
                <w:lang w:val="en-GB"/>
              </w:rPr>
              <w:t>4,711</w:t>
            </w:r>
          </w:p>
          <w:p w14:paraId="06D41FA8" w14:textId="77777777" w:rsidR="00C67D8C" w:rsidRPr="00C666E3" w:rsidRDefault="00C67D8C" w:rsidP="00833FF4">
            <w:pPr>
              <w:pStyle w:val="ExhibitText"/>
              <w:jc w:val="right"/>
              <w:rPr>
                <w:lang w:val="en-GB"/>
              </w:rPr>
            </w:pPr>
            <w:r w:rsidRPr="00C666E3">
              <w:rPr>
                <w:lang w:val="en-GB"/>
              </w:rPr>
              <w:t>2,347</w:t>
            </w:r>
          </w:p>
        </w:tc>
        <w:tc>
          <w:tcPr>
            <w:tcW w:w="900" w:type="dxa"/>
            <w:vAlign w:val="center"/>
          </w:tcPr>
          <w:p w14:paraId="12CF2D1A" w14:textId="77777777" w:rsidR="00C67D8C" w:rsidRPr="00C666E3" w:rsidRDefault="00C67D8C" w:rsidP="00833FF4">
            <w:pPr>
              <w:pStyle w:val="ExhibitText"/>
              <w:jc w:val="right"/>
              <w:rPr>
                <w:lang w:val="en-GB"/>
              </w:rPr>
            </w:pPr>
            <w:r w:rsidRPr="00C666E3">
              <w:rPr>
                <w:lang w:val="en-GB"/>
              </w:rPr>
              <w:t>4,893</w:t>
            </w:r>
          </w:p>
          <w:p w14:paraId="3101F359" w14:textId="77777777" w:rsidR="00C67D8C" w:rsidRPr="00C666E3" w:rsidRDefault="00C67D8C" w:rsidP="00833FF4">
            <w:pPr>
              <w:pStyle w:val="ExhibitText"/>
              <w:jc w:val="right"/>
              <w:rPr>
                <w:lang w:val="en-GB"/>
              </w:rPr>
            </w:pPr>
            <w:r w:rsidRPr="00C666E3">
              <w:rPr>
                <w:lang w:val="en-GB"/>
              </w:rPr>
              <w:t>2,434</w:t>
            </w:r>
          </w:p>
        </w:tc>
        <w:tc>
          <w:tcPr>
            <w:tcW w:w="900" w:type="dxa"/>
            <w:vAlign w:val="center"/>
          </w:tcPr>
          <w:p w14:paraId="32E159F3" w14:textId="77777777" w:rsidR="00C67D8C" w:rsidRPr="00C666E3" w:rsidRDefault="00C67D8C" w:rsidP="00833FF4">
            <w:pPr>
              <w:pStyle w:val="ExhibitText"/>
              <w:jc w:val="right"/>
              <w:rPr>
                <w:lang w:val="en-GB"/>
              </w:rPr>
            </w:pPr>
            <w:r w:rsidRPr="00C666E3">
              <w:rPr>
                <w:lang w:val="en-GB"/>
              </w:rPr>
              <w:t>4,999</w:t>
            </w:r>
          </w:p>
          <w:p w14:paraId="0A449719" w14:textId="77777777" w:rsidR="00C67D8C" w:rsidRPr="00C666E3" w:rsidRDefault="00C67D8C" w:rsidP="00833FF4">
            <w:pPr>
              <w:pStyle w:val="ExhibitText"/>
              <w:jc w:val="right"/>
              <w:rPr>
                <w:lang w:val="en-GB"/>
              </w:rPr>
            </w:pPr>
            <w:r w:rsidRPr="00C666E3">
              <w:rPr>
                <w:lang w:val="en-GB"/>
              </w:rPr>
              <w:t>2,491</w:t>
            </w:r>
          </w:p>
        </w:tc>
        <w:tc>
          <w:tcPr>
            <w:tcW w:w="900" w:type="dxa"/>
            <w:vAlign w:val="center"/>
          </w:tcPr>
          <w:p w14:paraId="04654911" w14:textId="77777777" w:rsidR="00C67D8C" w:rsidRPr="00C666E3" w:rsidRDefault="00C67D8C" w:rsidP="00833FF4">
            <w:pPr>
              <w:pStyle w:val="ExhibitText"/>
              <w:jc w:val="right"/>
              <w:rPr>
                <w:lang w:val="en-GB"/>
              </w:rPr>
            </w:pPr>
            <w:r w:rsidRPr="00C666E3">
              <w:rPr>
                <w:lang w:val="en-GB"/>
              </w:rPr>
              <w:t>5,216</w:t>
            </w:r>
          </w:p>
          <w:p w14:paraId="3CB0C062" w14:textId="77777777" w:rsidR="00C67D8C" w:rsidRPr="00C666E3" w:rsidRDefault="00C67D8C" w:rsidP="00833FF4">
            <w:pPr>
              <w:pStyle w:val="ExhibitText"/>
              <w:jc w:val="right"/>
              <w:rPr>
                <w:lang w:val="en-GB"/>
              </w:rPr>
            </w:pPr>
            <w:r w:rsidRPr="00C666E3">
              <w:rPr>
                <w:lang w:val="en-GB"/>
              </w:rPr>
              <w:t>2,590</w:t>
            </w:r>
          </w:p>
        </w:tc>
        <w:tc>
          <w:tcPr>
            <w:tcW w:w="990" w:type="dxa"/>
            <w:shd w:val="clear" w:color="auto" w:fill="auto"/>
            <w:vAlign w:val="center"/>
          </w:tcPr>
          <w:p w14:paraId="63D133B6" w14:textId="77777777" w:rsidR="00C67D8C" w:rsidRPr="00C666E3" w:rsidRDefault="00C67D8C" w:rsidP="00833FF4">
            <w:pPr>
              <w:pStyle w:val="ExhibitText"/>
              <w:jc w:val="right"/>
              <w:rPr>
                <w:lang w:val="en-GB"/>
              </w:rPr>
            </w:pPr>
            <w:r w:rsidRPr="00C666E3">
              <w:rPr>
                <w:lang w:val="en-GB"/>
              </w:rPr>
              <w:t>5,572</w:t>
            </w:r>
          </w:p>
          <w:p w14:paraId="6BB9AB3A" w14:textId="77777777" w:rsidR="00C67D8C" w:rsidRPr="00C666E3" w:rsidRDefault="00C67D8C" w:rsidP="00833FF4">
            <w:pPr>
              <w:pStyle w:val="ExhibitText"/>
              <w:jc w:val="right"/>
              <w:rPr>
                <w:lang w:val="en-GB"/>
              </w:rPr>
            </w:pPr>
            <w:r w:rsidRPr="00C666E3">
              <w:rPr>
                <w:lang w:val="en-GB"/>
              </w:rPr>
              <w:t>2,785</w:t>
            </w:r>
          </w:p>
        </w:tc>
      </w:tr>
      <w:tr w:rsidR="00C67D8C" w:rsidRPr="00C666E3" w14:paraId="2473FC98" w14:textId="77777777" w:rsidTr="00833FF4">
        <w:trPr>
          <w:trHeight w:val="710"/>
        </w:trPr>
        <w:tc>
          <w:tcPr>
            <w:tcW w:w="3060" w:type="dxa"/>
            <w:shd w:val="clear" w:color="auto" w:fill="auto"/>
            <w:vAlign w:val="center"/>
          </w:tcPr>
          <w:p w14:paraId="62541814" w14:textId="77777777" w:rsidR="00C67D8C" w:rsidRPr="00C666E3" w:rsidRDefault="00C67D8C" w:rsidP="00833FF4">
            <w:pPr>
              <w:pStyle w:val="ExhibitText"/>
              <w:jc w:val="left"/>
              <w:rPr>
                <w:lang w:val="en-GB"/>
              </w:rPr>
            </w:pPr>
            <w:r w:rsidRPr="00C666E3">
              <w:rPr>
                <w:lang w:val="en-GB"/>
              </w:rPr>
              <w:t>Gross Margin</w:t>
            </w:r>
          </w:p>
          <w:p w14:paraId="4F2CA1D0" w14:textId="77777777" w:rsidR="00C67D8C" w:rsidRPr="00C666E3" w:rsidRDefault="00C67D8C" w:rsidP="00833FF4">
            <w:pPr>
              <w:pStyle w:val="ExhibitText"/>
              <w:jc w:val="left"/>
              <w:rPr>
                <w:lang w:val="en-GB"/>
              </w:rPr>
            </w:pPr>
            <w:r w:rsidRPr="00C666E3">
              <w:rPr>
                <w:lang w:val="en-GB"/>
              </w:rPr>
              <w:t>Add: Other Income</w:t>
            </w:r>
          </w:p>
          <w:p w14:paraId="7E488DA3" w14:textId="0175B5B9" w:rsidR="00C67D8C" w:rsidRDefault="00C67D8C" w:rsidP="00833FF4">
            <w:pPr>
              <w:pStyle w:val="ExhibitText"/>
              <w:jc w:val="left"/>
              <w:rPr>
                <w:lang w:val="en-GB"/>
              </w:rPr>
            </w:pPr>
            <w:r w:rsidRPr="00C666E3">
              <w:rPr>
                <w:lang w:val="en-GB"/>
              </w:rPr>
              <w:t>Less: Selling</w:t>
            </w:r>
            <w:r>
              <w:rPr>
                <w:lang w:val="en-GB"/>
              </w:rPr>
              <w:t xml:space="preserve"> and</w:t>
            </w:r>
            <w:r w:rsidRPr="00C666E3">
              <w:rPr>
                <w:lang w:val="en-GB"/>
              </w:rPr>
              <w:t xml:space="preserve"> </w:t>
            </w:r>
            <w:r w:rsidR="00D57745">
              <w:rPr>
                <w:lang w:val="en-GB"/>
              </w:rPr>
              <w:t>G</w:t>
            </w:r>
            <w:r w:rsidRPr="00C666E3">
              <w:rPr>
                <w:lang w:val="en-GB"/>
              </w:rPr>
              <w:t xml:space="preserve">eneral </w:t>
            </w:r>
          </w:p>
          <w:p w14:paraId="406EA7B1" w14:textId="77777777" w:rsidR="00C67D8C" w:rsidRPr="00C666E3" w:rsidRDefault="00C67D8C" w:rsidP="00833FF4">
            <w:pPr>
              <w:pStyle w:val="ExhibitText"/>
              <w:jc w:val="left"/>
              <w:rPr>
                <w:lang w:val="en-GB"/>
              </w:rPr>
            </w:pPr>
            <w:r w:rsidRPr="00C666E3">
              <w:rPr>
                <w:lang w:val="en-GB"/>
              </w:rPr>
              <w:t>Income from Operations</w:t>
            </w:r>
          </w:p>
          <w:p w14:paraId="70240657" w14:textId="77777777" w:rsidR="00C67D8C" w:rsidRPr="00C666E3" w:rsidRDefault="00C67D8C" w:rsidP="00833FF4">
            <w:pPr>
              <w:pStyle w:val="ExhibitText"/>
              <w:jc w:val="left"/>
              <w:rPr>
                <w:lang w:val="en-GB"/>
              </w:rPr>
            </w:pPr>
            <w:r w:rsidRPr="00C666E3">
              <w:rPr>
                <w:lang w:val="en-GB"/>
              </w:rPr>
              <w:t>Add: Finance Income</w:t>
            </w:r>
          </w:p>
          <w:p w14:paraId="31143E07" w14:textId="1BC93122" w:rsidR="00C67D8C" w:rsidRPr="00C666E3" w:rsidRDefault="00C67D8C" w:rsidP="00D57745">
            <w:pPr>
              <w:pStyle w:val="ExhibitText"/>
              <w:jc w:val="left"/>
              <w:rPr>
                <w:lang w:val="en-GB"/>
              </w:rPr>
            </w:pPr>
            <w:r w:rsidRPr="00C666E3">
              <w:rPr>
                <w:lang w:val="en-GB"/>
              </w:rPr>
              <w:t xml:space="preserve">Less: Finance </w:t>
            </w:r>
            <w:r w:rsidR="00D57745">
              <w:rPr>
                <w:lang w:val="en-GB"/>
              </w:rPr>
              <w:t>C</w:t>
            </w:r>
            <w:r w:rsidRPr="00C666E3">
              <w:rPr>
                <w:lang w:val="en-GB"/>
              </w:rPr>
              <w:t>osts</w:t>
            </w:r>
          </w:p>
        </w:tc>
        <w:tc>
          <w:tcPr>
            <w:tcW w:w="990" w:type="dxa"/>
            <w:vAlign w:val="center"/>
          </w:tcPr>
          <w:p w14:paraId="709C6749" w14:textId="77777777" w:rsidR="00C67D8C" w:rsidRPr="00C666E3" w:rsidRDefault="00C67D8C" w:rsidP="00833FF4">
            <w:pPr>
              <w:pStyle w:val="ExhibitText"/>
              <w:jc w:val="right"/>
              <w:rPr>
                <w:lang w:val="en-GB"/>
              </w:rPr>
            </w:pPr>
            <w:r w:rsidRPr="00C666E3">
              <w:rPr>
                <w:lang w:val="en-GB"/>
              </w:rPr>
              <w:t>2,364</w:t>
            </w:r>
          </w:p>
          <w:p w14:paraId="3B334611" w14:textId="77777777" w:rsidR="00C67D8C" w:rsidRPr="00C666E3" w:rsidRDefault="00C67D8C" w:rsidP="00833FF4">
            <w:pPr>
              <w:pStyle w:val="ExhibitText"/>
              <w:jc w:val="right"/>
              <w:rPr>
                <w:lang w:val="en-GB"/>
              </w:rPr>
            </w:pPr>
            <w:r w:rsidRPr="00C666E3">
              <w:rPr>
                <w:lang w:val="en-GB"/>
              </w:rPr>
              <w:t>37</w:t>
            </w:r>
          </w:p>
          <w:p w14:paraId="3913DF68" w14:textId="77777777" w:rsidR="00C67D8C" w:rsidRPr="00C666E3" w:rsidRDefault="00C67D8C" w:rsidP="00833FF4">
            <w:pPr>
              <w:pStyle w:val="ExhibitText"/>
              <w:jc w:val="right"/>
              <w:rPr>
                <w:lang w:val="en-GB"/>
              </w:rPr>
            </w:pPr>
            <w:r w:rsidRPr="00C666E3">
              <w:rPr>
                <w:lang w:val="en-GB"/>
              </w:rPr>
              <w:t>741</w:t>
            </w:r>
          </w:p>
          <w:p w14:paraId="4A6E5B78" w14:textId="77777777" w:rsidR="00C67D8C" w:rsidRPr="00C666E3" w:rsidRDefault="00C67D8C" w:rsidP="00833FF4">
            <w:pPr>
              <w:pStyle w:val="ExhibitText"/>
              <w:jc w:val="right"/>
              <w:rPr>
                <w:lang w:val="en-GB"/>
              </w:rPr>
            </w:pPr>
            <w:r w:rsidRPr="00C666E3">
              <w:rPr>
                <w:lang w:val="en-GB"/>
              </w:rPr>
              <w:t>1,661</w:t>
            </w:r>
          </w:p>
          <w:p w14:paraId="06B7D766" w14:textId="77777777" w:rsidR="00C67D8C" w:rsidRPr="00C666E3" w:rsidRDefault="00C67D8C" w:rsidP="00833FF4">
            <w:pPr>
              <w:pStyle w:val="ExhibitText"/>
              <w:jc w:val="right"/>
              <w:rPr>
                <w:lang w:val="en-GB"/>
              </w:rPr>
            </w:pPr>
            <w:r w:rsidRPr="00C666E3">
              <w:rPr>
                <w:lang w:val="en-GB"/>
              </w:rPr>
              <w:t>2</w:t>
            </w:r>
          </w:p>
          <w:p w14:paraId="55CF1E7F" w14:textId="77777777" w:rsidR="00C67D8C" w:rsidRPr="00C666E3" w:rsidRDefault="00C67D8C" w:rsidP="00833FF4">
            <w:pPr>
              <w:pStyle w:val="ExhibitText"/>
              <w:jc w:val="right"/>
              <w:rPr>
                <w:lang w:val="en-GB"/>
              </w:rPr>
            </w:pPr>
            <w:r w:rsidRPr="00C666E3">
              <w:rPr>
                <w:lang w:val="en-GB"/>
              </w:rPr>
              <w:t>4</w:t>
            </w:r>
          </w:p>
        </w:tc>
        <w:tc>
          <w:tcPr>
            <w:tcW w:w="900" w:type="dxa"/>
            <w:vAlign w:val="center"/>
          </w:tcPr>
          <w:p w14:paraId="05D1E20E" w14:textId="77777777" w:rsidR="00C67D8C" w:rsidRPr="00C666E3" w:rsidRDefault="00C67D8C" w:rsidP="00833FF4">
            <w:pPr>
              <w:pStyle w:val="ExhibitText"/>
              <w:jc w:val="right"/>
              <w:rPr>
                <w:lang w:val="en-GB"/>
              </w:rPr>
            </w:pPr>
            <w:r w:rsidRPr="00C666E3">
              <w:rPr>
                <w:lang w:val="en-GB"/>
              </w:rPr>
              <w:t>2,459</w:t>
            </w:r>
          </w:p>
          <w:p w14:paraId="5FD9E67C" w14:textId="77777777" w:rsidR="00C67D8C" w:rsidRPr="00C666E3" w:rsidRDefault="00C67D8C" w:rsidP="00833FF4">
            <w:pPr>
              <w:pStyle w:val="ExhibitText"/>
              <w:jc w:val="right"/>
              <w:rPr>
                <w:lang w:val="en-GB"/>
              </w:rPr>
            </w:pPr>
            <w:r w:rsidRPr="00C666E3">
              <w:rPr>
                <w:lang w:val="en-GB"/>
              </w:rPr>
              <w:t>33</w:t>
            </w:r>
          </w:p>
          <w:p w14:paraId="456C141D" w14:textId="77777777" w:rsidR="00C67D8C" w:rsidRPr="00C666E3" w:rsidRDefault="00C67D8C" w:rsidP="00833FF4">
            <w:pPr>
              <w:pStyle w:val="ExhibitText"/>
              <w:jc w:val="right"/>
              <w:rPr>
                <w:lang w:val="en-GB"/>
              </w:rPr>
            </w:pPr>
            <w:r w:rsidRPr="00C666E3">
              <w:rPr>
                <w:lang w:val="en-GB"/>
              </w:rPr>
              <w:t>780</w:t>
            </w:r>
          </w:p>
          <w:p w14:paraId="5E4C7A0B" w14:textId="77777777" w:rsidR="00C67D8C" w:rsidRPr="00C666E3" w:rsidRDefault="00C67D8C" w:rsidP="00833FF4">
            <w:pPr>
              <w:pStyle w:val="ExhibitText"/>
              <w:jc w:val="right"/>
              <w:rPr>
                <w:lang w:val="en-GB"/>
              </w:rPr>
            </w:pPr>
            <w:r w:rsidRPr="00C666E3">
              <w:rPr>
                <w:lang w:val="en-GB"/>
              </w:rPr>
              <w:t>1,71</w:t>
            </w:r>
            <w:r>
              <w:rPr>
                <w:lang w:val="en-GB"/>
              </w:rPr>
              <w:t>2</w:t>
            </w:r>
          </w:p>
          <w:p w14:paraId="36F2EC36" w14:textId="77777777" w:rsidR="00C67D8C" w:rsidRPr="00C666E3" w:rsidRDefault="00C67D8C" w:rsidP="00833FF4">
            <w:pPr>
              <w:pStyle w:val="ExhibitText"/>
              <w:jc w:val="right"/>
              <w:rPr>
                <w:lang w:val="en-GB"/>
              </w:rPr>
            </w:pPr>
            <w:r w:rsidRPr="00C666E3">
              <w:rPr>
                <w:lang w:val="en-GB"/>
              </w:rPr>
              <w:t>1</w:t>
            </w:r>
          </w:p>
          <w:p w14:paraId="205CA2E5" w14:textId="77777777" w:rsidR="00C67D8C" w:rsidRPr="00C666E3" w:rsidRDefault="00C67D8C" w:rsidP="00833FF4">
            <w:pPr>
              <w:pStyle w:val="ExhibitText"/>
              <w:jc w:val="right"/>
              <w:rPr>
                <w:lang w:val="en-GB"/>
              </w:rPr>
            </w:pPr>
            <w:r w:rsidRPr="00C666E3">
              <w:rPr>
                <w:lang w:val="en-GB"/>
              </w:rPr>
              <w:t>4</w:t>
            </w:r>
          </w:p>
        </w:tc>
        <w:tc>
          <w:tcPr>
            <w:tcW w:w="900" w:type="dxa"/>
            <w:vAlign w:val="center"/>
          </w:tcPr>
          <w:p w14:paraId="1CE1E56A" w14:textId="77777777" w:rsidR="00C67D8C" w:rsidRPr="00C666E3" w:rsidRDefault="00C67D8C" w:rsidP="00833FF4">
            <w:pPr>
              <w:pStyle w:val="ExhibitText"/>
              <w:jc w:val="right"/>
              <w:rPr>
                <w:lang w:val="en-GB"/>
              </w:rPr>
            </w:pPr>
            <w:r w:rsidRPr="00C666E3">
              <w:rPr>
                <w:lang w:val="en-GB"/>
              </w:rPr>
              <w:t>2,507</w:t>
            </w:r>
          </w:p>
          <w:p w14:paraId="212ACC28" w14:textId="77777777" w:rsidR="00C67D8C" w:rsidRPr="00C666E3" w:rsidRDefault="00C67D8C" w:rsidP="00833FF4">
            <w:pPr>
              <w:pStyle w:val="ExhibitText"/>
              <w:jc w:val="right"/>
              <w:rPr>
                <w:lang w:val="en-GB"/>
              </w:rPr>
            </w:pPr>
            <w:r w:rsidRPr="00C666E3">
              <w:rPr>
                <w:lang w:val="en-GB"/>
              </w:rPr>
              <w:t>56</w:t>
            </w:r>
          </w:p>
          <w:p w14:paraId="01E6DA4D" w14:textId="77777777" w:rsidR="00C67D8C" w:rsidRPr="00C666E3" w:rsidRDefault="00C67D8C" w:rsidP="00833FF4">
            <w:pPr>
              <w:pStyle w:val="ExhibitText"/>
              <w:jc w:val="right"/>
              <w:rPr>
                <w:lang w:val="en-GB"/>
              </w:rPr>
            </w:pPr>
            <w:r w:rsidRPr="00C666E3">
              <w:rPr>
                <w:lang w:val="en-GB"/>
              </w:rPr>
              <w:t>816</w:t>
            </w:r>
          </w:p>
          <w:p w14:paraId="10515F31" w14:textId="77777777" w:rsidR="00C67D8C" w:rsidRPr="00C666E3" w:rsidRDefault="00C67D8C" w:rsidP="00833FF4">
            <w:pPr>
              <w:pStyle w:val="ExhibitText"/>
              <w:jc w:val="right"/>
              <w:rPr>
                <w:lang w:val="en-GB"/>
              </w:rPr>
            </w:pPr>
            <w:r w:rsidRPr="00C666E3">
              <w:rPr>
                <w:lang w:val="en-GB"/>
              </w:rPr>
              <w:t>1,747</w:t>
            </w:r>
          </w:p>
          <w:p w14:paraId="1CBD9C85" w14:textId="77777777" w:rsidR="00C67D8C" w:rsidRPr="00C666E3" w:rsidRDefault="00C67D8C" w:rsidP="00833FF4">
            <w:pPr>
              <w:pStyle w:val="ExhibitText"/>
              <w:jc w:val="right"/>
              <w:rPr>
                <w:lang w:val="en-GB"/>
              </w:rPr>
            </w:pPr>
            <w:r w:rsidRPr="00C666E3">
              <w:rPr>
                <w:lang w:val="en-GB"/>
              </w:rPr>
              <w:t>1</w:t>
            </w:r>
          </w:p>
          <w:p w14:paraId="312A49E6" w14:textId="77777777" w:rsidR="00C67D8C" w:rsidRPr="00C666E3" w:rsidRDefault="00C67D8C" w:rsidP="00833FF4">
            <w:pPr>
              <w:pStyle w:val="ExhibitText"/>
              <w:jc w:val="right"/>
              <w:rPr>
                <w:lang w:val="en-GB"/>
              </w:rPr>
            </w:pPr>
            <w:r w:rsidRPr="00C666E3">
              <w:rPr>
                <w:lang w:val="en-GB"/>
              </w:rPr>
              <w:t>5</w:t>
            </w:r>
          </w:p>
        </w:tc>
        <w:tc>
          <w:tcPr>
            <w:tcW w:w="900" w:type="dxa"/>
            <w:vAlign w:val="center"/>
          </w:tcPr>
          <w:p w14:paraId="3E61BD25" w14:textId="77777777" w:rsidR="00C67D8C" w:rsidRPr="00C666E3" w:rsidRDefault="00C67D8C" w:rsidP="00833FF4">
            <w:pPr>
              <w:pStyle w:val="ExhibitText"/>
              <w:jc w:val="right"/>
              <w:rPr>
                <w:lang w:val="en-GB"/>
              </w:rPr>
            </w:pPr>
            <w:r w:rsidRPr="00C666E3">
              <w:rPr>
                <w:lang w:val="en-GB"/>
              </w:rPr>
              <w:t>2,626</w:t>
            </w:r>
          </w:p>
          <w:p w14:paraId="46A1FDF2" w14:textId="77777777" w:rsidR="00C67D8C" w:rsidRPr="00C666E3" w:rsidRDefault="00C67D8C" w:rsidP="00833FF4">
            <w:pPr>
              <w:pStyle w:val="ExhibitText"/>
              <w:jc w:val="right"/>
              <w:rPr>
                <w:lang w:val="en-GB"/>
              </w:rPr>
            </w:pPr>
            <w:r w:rsidRPr="00C666E3">
              <w:rPr>
                <w:lang w:val="en-GB"/>
              </w:rPr>
              <w:t>31</w:t>
            </w:r>
          </w:p>
          <w:p w14:paraId="4F980E05" w14:textId="77777777" w:rsidR="00C67D8C" w:rsidRPr="00C666E3" w:rsidRDefault="00C67D8C" w:rsidP="00833FF4">
            <w:pPr>
              <w:pStyle w:val="ExhibitText"/>
              <w:jc w:val="right"/>
              <w:rPr>
                <w:lang w:val="en-GB"/>
              </w:rPr>
            </w:pPr>
            <w:r w:rsidRPr="00C666E3">
              <w:rPr>
                <w:lang w:val="en-GB"/>
              </w:rPr>
              <w:t>835</w:t>
            </w:r>
          </w:p>
          <w:p w14:paraId="175EBF3E" w14:textId="77777777" w:rsidR="00C67D8C" w:rsidRPr="00C666E3" w:rsidRDefault="00C67D8C" w:rsidP="00833FF4">
            <w:pPr>
              <w:pStyle w:val="ExhibitText"/>
              <w:jc w:val="right"/>
              <w:rPr>
                <w:lang w:val="en-GB"/>
              </w:rPr>
            </w:pPr>
            <w:r w:rsidRPr="00C666E3">
              <w:rPr>
                <w:lang w:val="en-GB"/>
              </w:rPr>
              <w:t>1,822</w:t>
            </w:r>
          </w:p>
          <w:p w14:paraId="28DB76CE" w14:textId="77777777" w:rsidR="00C67D8C" w:rsidRPr="00C666E3" w:rsidRDefault="00C67D8C" w:rsidP="00833FF4">
            <w:pPr>
              <w:pStyle w:val="ExhibitText"/>
              <w:jc w:val="right"/>
              <w:rPr>
                <w:lang w:val="en-GB"/>
              </w:rPr>
            </w:pPr>
            <w:r w:rsidRPr="00C666E3">
              <w:rPr>
                <w:lang w:val="en-GB"/>
              </w:rPr>
              <w:t>2</w:t>
            </w:r>
          </w:p>
          <w:p w14:paraId="0669890B" w14:textId="77777777" w:rsidR="00C67D8C" w:rsidRPr="00C666E3" w:rsidRDefault="00C67D8C" w:rsidP="00833FF4">
            <w:pPr>
              <w:pStyle w:val="ExhibitText"/>
              <w:jc w:val="right"/>
              <w:rPr>
                <w:lang w:val="en-GB"/>
              </w:rPr>
            </w:pPr>
            <w:r w:rsidRPr="00C666E3">
              <w:rPr>
                <w:lang w:val="en-GB"/>
              </w:rPr>
              <w:t>5</w:t>
            </w:r>
          </w:p>
        </w:tc>
        <w:tc>
          <w:tcPr>
            <w:tcW w:w="990" w:type="dxa"/>
            <w:shd w:val="clear" w:color="auto" w:fill="auto"/>
            <w:vAlign w:val="center"/>
          </w:tcPr>
          <w:p w14:paraId="19BB140F" w14:textId="77777777" w:rsidR="00C67D8C" w:rsidRPr="00C666E3" w:rsidRDefault="00C67D8C" w:rsidP="00833FF4">
            <w:pPr>
              <w:pStyle w:val="ExhibitText"/>
              <w:jc w:val="right"/>
              <w:rPr>
                <w:lang w:val="en-GB"/>
              </w:rPr>
            </w:pPr>
            <w:r w:rsidRPr="00C666E3">
              <w:rPr>
                <w:lang w:val="en-GB"/>
              </w:rPr>
              <w:t>2,787</w:t>
            </w:r>
          </w:p>
          <w:p w14:paraId="38FD4B9B" w14:textId="77777777" w:rsidR="00C67D8C" w:rsidRPr="00C666E3" w:rsidRDefault="00C67D8C" w:rsidP="00833FF4">
            <w:pPr>
              <w:pStyle w:val="ExhibitText"/>
              <w:jc w:val="right"/>
              <w:rPr>
                <w:lang w:val="en-GB"/>
              </w:rPr>
            </w:pPr>
            <w:r w:rsidRPr="00C666E3">
              <w:rPr>
                <w:lang w:val="en-GB"/>
              </w:rPr>
              <w:t>54</w:t>
            </w:r>
          </w:p>
          <w:p w14:paraId="684A5013" w14:textId="77777777" w:rsidR="00C67D8C" w:rsidRPr="00C666E3" w:rsidRDefault="00C67D8C" w:rsidP="00833FF4">
            <w:pPr>
              <w:pStyle w:val="ExhibitText"/>
              <w:jc w:val="right"/>
              <w:rPr>
                <w:lang w:val="en-GB"/>
              </w:rPr>
            </w:pPr>
            <w:r w:rsidRPr="00C666E3">
              <w:rPr>
                <w:lang w:val="en-GB"/>
              </w:rPr>
              <w:t>870</w:t>
            </w:r>
          </w:p>
          <w:p w14:paraId="05EECFC8" w14:textId="77777777" w:rsidR="00C67D8C" w:rsidRPr="00C666E3" w:rsidRDefault="00C67D8C" w:rsidP="00833FF4">
            <w:pPr>
              <w:pStyle w:val="ExhibitText"/>
              <w:jc w:val="right"/>
              <w:rPr>
                <w:lang w:val="en-GB"/>
              </w:rPr>
            </w:pPr>
            <w:r w:rsidRPr="00C666E3">
              <w:rPr>
                <w:lang w:val="en-GB"/>
              </w:rPr>
              <w:t>1,970</w:t>
            </w:r>
          </w:p>
          <w:p w14:paraId="35A5EE32" w14:textId="77777777" w:rsidR="00C67D8C" w:rsidRPr="00C666E3" w:rsidRDefault="00C67D8C" w:rsidP="00833FF4">
            <w:pPr>
              <w:pStyle w:val="ExhibitText"/>
              <w:jc w:val="right"/>
              <w:rPr>
                <w:lang w:val="en-GB"/>
              </w:rPr>
            </w:pPr>
            <w:r w:rsidRPr="00C666E3">
              <w:rPr>
                <w:lang w:val="en-GB"/>
              </w:rPr>
              <w:t>1</w:t>
            </w:r>
          </w:p>
          <w:p w14:paraId="39AFB308" w14:textId="77777777" w:rsidR="00C67D8C" w:rsidRPr="00C666E3" w:rsidRDefault="00C67D8C" w:rsidP="00833FF4">
            <w:pPr>
              <w:pStyle w:val="ExhibitText"/>
              <w:jc w:val="right"/>
              <w:rPr>
                <w:lang w:val="en-GB"/>
              </w:rPr>
            </w:pPr>
            <w:r w:rsidRPr="00C666E3">
              <w:rPr>
                <w:lang w:val="en-GB"/>
              </w:rPr>
              <w:t>4</w:t>
            </w:r>
          </w:p>
        </w:tc>
      </w:tr>
      <w:tr w:rsidR="00C67D8C" w:rsidRPr="00C666E3" w14:paraId="32D96A29" w14:textId="77777777" w:rsidTr="00833FF4">
        <w:trPr>
          <w:trHeight w:val="271"/>
        </w:trPr>
        <w:tc>
          <w:tcPr>
            <w:tcW w:w="3060" w:type="dxa"/>
            <w:shd w:val="clear" w:color="auto" w:fill="auto"/>
            <w:vAlign w:val="center"/>
          </w:tcPr>
          <w:p w14:paraId="10AE2006" w14:textId="77777777" w:rsidR="00C67D8C" w:rsidRPr="00C666E3" w:rsidRDefault="00C67D8C" w:rsidP="00833FF4">
            <w:pPr>
              <w:pStyle w:val="ExhibitText"/>
              <w:jc w:val="left"/>
              <w:rPr>
                <w:lang w:val="en-GB"/>
              </w:rPr>
            </w:pPr>
            <w:r w:rsidRPr="00C666E3">
              <w:rPr>
                <w:lang w:val="en-GB"/>
              </w:rPr>
              <w:t>Net Income</w:t>
            </w:r>
          </w:p>
        </w:tc>
        <w:tc>
          <w:tcPr>
            <w:tcW w:w="990" w:type="dxa"/>
            <w:vAlign w:val="center"/>
          </w:tcPr>
          <w:p w14:paraId="030F40A1" w14:textId="77777777" w:rsidR="00C67D8C" w:rsidRPr="00C666E3" w:rsidRDefault="00C67D8C" w:rsidP="00833FF4">
            <w:pPr>
              <w:pStyle w:val="ExhibitText"/>
              <w:jc w:val="right"/>
              <w:rPr>
                <w:lang w:val="en-GB"/>
              </w:rPr>
            </w:pPr>
            <w:r w:rsidRPr="00C666E3">
              <w:rPr>
                <w:lang w:val="en-GB"/>
              </w:rPr>
              <w:t>1,658</w:t>
            </w:r>
          </w:p>
        </w:tc>
        <w:tc>
          <w:tcPr>
            <w:tcW w:w="900" w:type="dxa"/>
            <w:vAlign w:val="center"/>
          </w:tcPr>
          <w:p w14:paraId="7B2F07AC" w14:textId="77777777" w:rsidR="00C67D8C" w:rsidRPr="00C666E3" w:rsidRDefault="00C67D8C" w:rsidP="00833FF4">
            <w:pPr>
              <w:pStyle w:val="ExhibitText"/>
              <w:jc w:val="right"/>
              <w:rPr>
                <w:lang w:val="en-GB"/>
              </w:rPr>
            </w:pPr>
            <w:r w:rsidRPr="00C666E3">
              <w:rPr>
                <w:lang w:val="en-GB"/>
              </w:rPr>
              <w:t>1,7</w:t>
            </w:r>
            <w:r>
              <w:rPr>
                <w:lang w:val="en-GB"/>
              </w:rPr>
              <w:t>09</w:t>
            </w:r>
          </w:p>
        </w:tc>
        <w:tc>
          <w:tcPr>
            <w:tcW w:w="900" w:type="dxa"/>
            <w:vAlign w:val="center"/>
          </w:tcPr>
          <w:p w14:paraId="5646519D" w14:textId="77777777" w:rsidR="00C67D8C" w:rsidRPr="00C666E3" w:rsidRDefault="00C67D8C" w:rsidP="00833FF4">
            <w:pPr>
              <w:pStyle w:val="ExhibitText"/>
              <w:jc w:val="right"/>
              <w:rPr>
                <w:lang w:val="en-GB"/>
              </w:rPr>
            </w:pPr>
            <w:r w:rsidRPr="00C666E3">
              <w:rPr>
                <w:lang w:val="en-GB"/>
              </w:rPr>
              <w:t>1,745</w:t>
            </w:r>
          </w:p>
        </w:tc>
        <w:tc>
          <w:tcPr>
            <w:tcW w:w="900" w:type="dxa"/>
            <w:vAlign w:val="center"/>
          </w:tcPr>
          <w:p w14:paraId="62B5D5D1" w14:textId="77777777" w:rsidR="00C67D8C" w:rsidRPr="00C666E3" w:rsidRDefault="00C67D8C" w:rsidP="00833FF4">
            <w:pPr>
              <w:pStyle w:val="ExhibitText"/>
              <w:jc w:val="right"/>
              <w:rPr>
                <w:lang w:val="en-GB"/>
              </w:rPr>
            </w:pPr>
            <w:r w:rsidRPr="00C666E3">
              <w:rPr>
                <w:lang w:val="en-GB"/>
              </w:rPr>
              <w:t>1,818</w:t>
            </w:r>
          </w:p>
        </w:tc>
        <w:tc>
          <w:tcPr>
            <w:tcW w:w="990" w:type="dxa"/>
            <w:shd w:val="clear" w:color="auto" w:fill="auto"/>
            <w:vAlign w:val="center"/>
          </w:tcPr>
          <w:p w14:paraId="74D88E56" w14:textId="77777777" w:rsidR="00C67D8C" w:rsidRPr="00C666E3" w:rsidRDefault="00C67D8C" w:rsidP="00833FF4">
            <w:pPr>
              <w:pStyle w:val="ExhibitText"/>
              <w:jc w:val="right"/>
              <w:rPr>
                <w:lang w:val="en-GB"/>
              </w:rPr>
            </w:pPr>
            <w:r w:rsidRPr="00C666E3">
              <w:rPr>
                <w:lang w:val="en-GB"/>
              </w:rPr>
              <w:t>1,968</w:t>
            </w:r>
          </w:p>
        </w:tc>
      </w:tr>
    </w:tbl>
    <w:p w14:paraId="59CA768B" w14:textId="77777777" w:rsidR="00C67D8C" w:rsidRPr="00C666E3" w:rsidRDefault="00C67D8C" w:rsidP="00C67D8C">
      <w:pPr>
        <w:pStyle w:val="ExhibitText"/>
        <w:rPr>
          <w:lang w:val="en-GB"/>
        </w:rPr>
      </w:pPr>
    </w:p>
    <w:p w14:paraId="47328F8F" w14:textId="77777777" w:rsidR="00C67D8C" w:rsidRPr="00C666E3" w:rsidRDefault="00C67D8C" w:rsidP="00C67D8C">
      <w:pPr>
        <w:pStyle w:val="Footnote"/>
        <w:rPr>
          <w:lang w:val="en-GB"/>
        </w:rPr>
      </w:pPr>
      <w:r w:rsidRPr="00C666E3">
        <w:rPr>
          <w:lang w:val="en-GB"/>
        </w:rPr>
        <w:t>Source: Company files.</w:t>
      </w:r>
    </w:p>
    <w:p w14:paraId="79BA2B5A" w14:textId="77777777" w:rsidR="00C67D8C" w:rsidRPr="00C666E3" w:rsidRDefault="00C67D8C" w:rsidP="00C67D8C">
      <w:pPr>
        <w:pStyle w:val="ExhibitText"/>
        <w:rPr>
          <w:lang w:val="en-GB"/>
        </w:rPr>
      </w:pPr>
    </w:p>
    <w:p w14:paraId="761E03B1" w14:textId="77777777" w:rsidR="00C67D8C" w:rsidRPr="00C666E3" w:rsidRDefault="00C67D8C" w:rsidP="00C67D8C">
      <w:pPr>
        <w:pStyle w:val="ExhibitHeading"/>
        <w:rPr>
          <w:lang w:val="en-GB"/>
        </w:rPr>
      </w:pPr>
      <w:r w:rsidRPr="00C666E3">
        <w:rPr>
          <w:lang w:val="en-GB"/>
        </w:rPr>
        <w:br w:type="page"/>
      </w:r>
      <w:r w:rsidRPr="00C666E3">
        <w:rPr>
          <w:lang w:val="en-GB"/>
        </w:rPr>
        <w:lastRenderedPageBreak/>
        <w:t>Exhibit 4: L</w:t>
      </w:r>
      <w:r>
        <w:rPr>
          <w:lang w:val="en-GB"/>
        </w:rPr>
        <w:t xml:space="preserve">iquor </w:t>
      </w:r>
      <w:r w:rsidRPr="00C666E3">
        <w:rPr>
          <w:lang w:val="en-GB"/>
        </w:rPr>
        <w:t>C</w:t>
      </w:r>
      <w:r>
        <w:rPr>
          <w:lang w:val="en-GB"/>
        </w:rPr>
        <w:t xml:space="preserve">ontrol </w:t>
      </w:r>
      <w:r w:rsidRPr="00C666E3">
        <w:rPr>
          <w:lang w:val="en-GB"/>
        </w:rPr>
        <w:t>B</w:t>
      </w:r>
      <w:r>
        <w:rPr>
          <w:lang w:val="en-GB"/>
        </w:rPr>
        <w:t xml:space="preserve">oard of </w:t>
      </w:r>
      <w:r w:rsidRPr="00C666E3">
        <w:rPr>
          <w:lang w:val="en-GB"/>
        </w:rPr>
        <w:t>O</w:t>
      </w:r>
      <w:r>
        <w:rPr>
          <w:lang w:val="en-GB"/>
        </w:rPr>
        <w:t>ntario’s</w:t>
      </w:r>
      <w:r w:rsidRPr="00C666E3">
        <w:rPr>
          <w:lang w:val="en-GB"/>
        </w:rPr>
        <w:t xml:space="preserve"> REVENUE</w:t>
      </w:r>
      <w:r>
        <w:rPr>
          <w:lang w:val="en-GB"/>
        </w:rPr>
        <w:t xml:space="preserve"> </w:t>
      </w:r>
      <w:r w:rsidRPr="00C666E3">
        <w:rPr>
          <w:lang w:val="en-GB"/>
        </w:rPr>
        <w:t>BY CATEGORY</w:t>
      </w:r>
      <w:r>
        <w:rPr>
          <w:lang w:val="en-GB"/>
        </w:rPr>
        <w:t>, 2012–2016</w:t>
      </w:r>
    </w:p>
    <w:p w14:paraId="7880A1FF" w14:textId="77777777" w:rsidR="00C67D8C" w:rsidRPr="00C666E3" w:rsidRDefault="00C67D8C" w:rsidP="00C67D8C">
      <w:pPr>
        <w:pStyle w:val="ExhibitText"/>
        <w:rPr>
          <w:lang w:val="en-GB"/>
        </w:rPr>
      </w:pPr>
    </w:p>
    <w:tbl>
      <w:tblPr>
        <w:tblW w:w="774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990"/>
        <w:gridCol w:w="900"/>
        <w:gridCol w:w="900"/>
        <w:gridCol w:w="900"/>
        <w:gridCol w:w="990"/>
      </w:tblGrid>
      <w:tr w:rsidR="00C67D8C" w:rsidRPr="00C666E3" w14:paraId="60FC3668" w14:textId="77777777" w:rsidTr="00833FF4">
        <w:tc>
          <w:tcPr>
            <w:tcW w:w="3060" w:type="dxa"/>
            <w:shd w:val="clear" w:color="auto" w:fill="auto"/>
            <w:vAlign w:val="center"/>
          </w:tcPr>
          <w:p w14:paraId="79D3A7D9" w14:textId="77777777" w:rsidR="00C67D8C" w:rsidRDefault="00C67D8C" w:rsidP="00833FF4">
            <w:pPr>
              <w:pStyle w:val="ExhibitText"/>
              <w:jc w:val="center"/>
              <w:rPr>
                <w:b/>
                <w:lang w:val="en-GB"/>
              </w:rPr>
            </w:pPr>
            <w:r w:rsidRPr="00C666E3">
              <w:rPr>
                <w:b/>
                <w:lang w:val="en-GB"/>
              </w:rPr>
              <w:t xml:space="preserve">Year </w:t>
            </w:r>
            <w:r>
              <w:rPr>
                <w:b/>
                <w:lang w:val="en-GB"/>
              </w:rPr>
              <w:t>E</w:t>
            </w:r>
            <w:r w:rsidRPr="00C666E3">
              <w:rPr>
                <w:b/>
                <w:lang w:val="en-GB"/>
              </w:rPr>
              <w:t>nding March</w:t>
            </w:r>
          </w:p>
          <w:p w14:paraId="47DB258B" w14:textId="7EBBB0BF" w:rsidR="00C67D8C" w:rsidRPr="00C666E3" w:rsidRDefault="00C67D8C" w:rsidP="00D57745">
            <w:pPr>
              <w:pStyle w:val="ExhibitText"/>
              <w:jc w:val="center"/>
              <w:rPr>
                <w:b/>
                <w:lang w:val="en-GB"/>
              </w:rPr>
            </w:pPr>
            <w:r w:rsidRPr="00C666E3">
              <w:rPr>
                <w:b/>
                <w:lang w:val="en-GB"/>
              </w:rPr>
              <w:t>(</w:t>
            </w:r>
            <w:r>
              <w:rPr>
                <w:b/>
                <w:lang w:val="en-GB"/>
              </w:rPr>
              <w:t>in CA$</w:t>
            </w:r>
            <w:r w:rsidR="00D57745">
              <w:rPr>
                <w:b/>
                <w:lang w:val="en-GB"/>
              </w:rPr>
              <w:t xml:space="preserve"> millions</w:t>
            </w:r>
            <w:r w:rsidRPr="00C666E3">
              <w:rPr>
                <w:b/>
                <w:lang w:val="en-GB"/>
              </w:rPr>
              <w:t>)</w:t>
            </w:r>
          </w:p>
        </w:tc>
        <w:tc>
          <w:tcPr>
            <w:tcW w:w="990" w:type="dxa"/>
            <w:vAlign w:val="center"/>
          </w:tcPr>
          <w:p w14:paraId="3D3C2D1F" w14:textId="77777777" w:rsidR="00C67D8C" w:rsidRPr="00C666E3" w:rsidRDefault="00C67D8C" w:rsidP="00833FF4">
            <w:pPr>
              <w:pStyle w:val="ExhibitText"/>
              <w:jc w:val="center"/>
              <w:rPr>
                <w:b/>
                <w:lang w:val="en-GB"/>
              </w:rPr>
            </w:pPr>
            <w:r w:rsidRPr="00C666E3">
              <w:rPr>
                <w:b/>
                <w:lang w:val="en-GB"/>
              </w:rPr>
              <w:t>2012</w:t>
            </w:r>
          </w:p>
        </w:tc>
        <w:tc>
          <w:tcPr>
            <w:tcW w:w="900" w:type="dxa"/>
            <w:vAlign w:val="center"/>
          </w:tcPr>
          <w:p w14:paraId="489BE01E" w14:textId="77777777" w:rsidR="00C67D8C" w:rsidRPr="00C666E3" w:rsidRDefault="00C67D8C" w:rsidP="00833FF4">
            <w:pPr>
              <w:pStyle w:val="ExhibitText"/>
              <w:jc w:val="center"/>
              <w:rPr>
                <w:b/>
                <w:lang w:val="en-GB"/>
              </w:rPr>
            </w:pPr>
            <w:r w:rsidRPr="00C666E3">
              <w:rPr>
                <w:b/>
                <w:lang w:val="en-GB"/>
              </w:rPr>
              <w:t>2013</w:t>
            </w:r>
          </w:p>
        </w:tc>
        <w:tc>
          <w:tcPr>
            <w:tcW w:w="900" w:type="dxa"/>
            <w:vAlign w:val="center"/>
          </w:tcPr>
          <w:p w14:paraId="1EF1C148" w14:textId="77777777" w:rsidR="00C67D8C" w:rsidRPr="00C666E3" w:rsidRDefault="00C67D8C" w:rsidP="00833FF4">
            <w:pPr>
              <w:pStyle w:val="ExhibitText"/>
              <w:jc w:val="center"/>
              <w:rPr>
                <w:b/>
                <w:lang w:val="en-GB"/>
              </w:rPr>
            </w:pPr>
            <w:r w:rsidRPr="00C666E3">
              <w:rPr>
                <w:b/>
                <w:lang w:val="en-GB"/>
              </w:rPr>
              <w:t>2014</w:t>
            </w:r>
          </w:p>
        </w:tc>
        <w:tc>
          <w:tcPr>
            <w:tcW w:w="900" w:type="dxa"/>
            <w:vAlign w:val="center"/>
          </w:tcPr>
          <w:p w14:paraId="3B90AD97" w14:textId="77777777" w:rsidR="00C67D8C" w:rsidRPr="00C666E3" w:rsidRDefault="00C67D8C" w:rsidP="00833FF4">
            <w:pPr>
              <w:pStyle w:val="ExhibitText"/>
              <w:jc w:val="center"/>
              <w:rPr>
                <w:b/>
                <w:lang w:val="en-GB"/>
              </w:rPr>
            </w:pPr>
            <w:r w:rsidRPr="00C666E3">
              <w:rPr>
                <w:b/>
                <w:lang w:val="en-GB"/>
              </w:rPr>
              <w:t>2015</w:t>
            </w:r>
          </w:p>
        </w:tc>
        <w:tc>
          <w:tcPr>
            <w:tcW w:w="990" w:type="dxa"/>
            <w:shd w:val="clear" w:color="auto" w:fill="auto"/>
            <w:vAlign w:val="center"/>
          </w:tcPr>
          <w:p w14:paraId="386049CE" w14:textId="77777777" w:rsidR="00C67D8C" w:rsidRPr="00C666E3" w:rsidRDefault="00C67D8C" w:rsidP="00833FF4">
            <w:pPr>
              <w:pStyle w:val="ExhibitText"/>
              <w:jc w:val="center"/>
              <w:rPr>
                <w:b/>
                <w:lang w:val="en-GB"/>
              </w:rPr>
            </w:pPr>
            <w:r w:rsidRPr="00C666E3">
              <w:rPr>
                <w:b/>
                <w:lang w:val="en-GB"/>
              </w:rPr>
              <w:t>2016</w:t>
            </w:r>
          </w:p>
        </w:tc>
      </w:tr>
      <w:tr w:rsidR="00C67D8C" w:rsidRPr="00C666E3" w14:paraId="56E68E98" w14:textId="77777777" w:rsidTr="00833FF4">
        <w:tc>
          <w:tcPr>
            <w:tcW w:w="3060" w:type="dxa"/>
            <w:shd w:val="clear" w:color="auto" w:fill="auto"/>
          </w:tcPr>
          <w:p w14:paraId="46C01410" w14:textId="77777777" w:rsidR="00C67D8C" w:rsidRPr="00C666E3" w:rsidRDefault="00C67D8C" w:rsidP="00833FF4">
            <w:pPr>
              <w:pStyle w:val="ExhibitText"/>
              <w:rPr>
                <w:lang w:val="en-GB"/>
              </w:rPr>
            </w:pPr>
            <w:r w:rsidRPr="00C666E3">
              <w:rPr>
                <w:lang w:val="en-GB"/>
              </w:rPr>
              <w:t>Domestic Spirits</w:t>
            </w:r>
          </w:p>
          <w:p w14:paraId="51CE9350" w14:textId="77777777" w:rsidR="00C67D8C" w:rsidRPr="00C666E3" w:rsidRDefault="00C67D8C" w:rsidP="00833FF4">
            <w:pPr>
              <w:pStyle w:val="ExhibitText"/>
              <w:rPr>
                <w:lang w:val="en-GB"/>
              </w:rPr>
            </w:pPr>
            <w:r w:rsidRPr="00C666E3">
              <w:rPr>
                <w:lang w:val="en-GB"/>
              </w:rPr>
              <w:t>Imported Spirits</w:t>
            </w:r>
          </w:p>
        </w:tc>
        <w:tc>
          <w:tcPr>
            <w:tcW w:w="990" w:type="dxa"/>
            <w:vAlign w:val="center"/>
          </w:tcPr>
          <w:p w14:paraId="7CF6344F" w14:textId="77777777" w:rsidR="00C67D8C" w:rsidRPr="00C666E3" w:rsidRDefault="00C67D8C" w:rsidP="00833FF4">
            <w:pPr>
              <w:pStyle w:val="ExhibitText"/>
              <w:jc w:val="right"/>
              <w:rPr>
                <w:lang w:val="en-GB"/>
              </w:rPr>
            </w:pPr>
            <w:r w:rsidRPr="00C666E3">
              <w:rPr>
                <w:lang w:val="en-GB"/>
              </w:rPr>
              <w:t>921</w:t>
            </w:r>
          </w:p>
          <w:p w14:paraId="0C41A926" w14:textId="77777777" w:rsidR="00C67D8C" w:rsidRPr="00C666E3" w:rsidRDefault="00C67D8C" w:rsidP="00833FF4">
            <w:pPr>
              <w:pStyle w:val="ExhibitText"/>
              <w:jc w:val="right"/>
              <w:rPr>
                <w:lang w:val="en-GB"/>
              </w:rPr>
            </w:pPr>
            <w:r w:rsidRPr="00C666E3">
              <w:rPr>
                <w:lang w:val="en-GB"/>
              </w:rPr>
              <w:t>836</w:t>
            </w:r>
          </w:p>
        </w:tc>
        <w:tc>
          <w:tcPr>
            <w:tcW w:w="900" w:type="dxa"/>
            <w:vAlign w:val="center"/>
          </w:tcPr>
          <w:p w14:paraId="4E02C064" w14:textId="77777777" w:rsidR="00C67D8C" w:rsidRPr="00C666E3" w:rsidRDefault="00C67D8C" w:rsidP="00833FF4">
            <w:pPr>
              <w:pStyle w:val="ExhibitText"/>
              <w:jc w:val="right"/>
              <w:rPr>
                <w:lang w:val="en-GB"/>
              </w:rPr>
            </w:pPr>
            <w:r w:rsidRPr="00C666E3">
              <w:rPr>
                <w:lang w:val="en-GB"/>
              </w:rPr>
              <w:t>924</w:t>
            </w:r>
          </w:p>
          <w:p w14:paraId="5A9B8EE6" w14:textId="77777777" w:rsidR="00C67D8C" w:rsidRPr="00C666E3" w:rsidRDefault="00C67D8C" w:rsidP="00833FF4">
            <w:pPr>
              <w:pStyle w:val="ExhibitText"/>
              <w:jc w:val="right"/>
              <w:rPr>
                <w:lang w:val="en-GB"/>
              </w:rPr>
            </w:pPr>
            <w:r w:rsidRPr="00C666E3">
              <w:rPr>
                <w:lang w:val="en-GB"/>
              </w:rPr>
              <w:t>875</w:t>
            </w:r>
          </w:p>
        </w:tc>
        <w:tc>
          <w:tcPr>
            <w:tcW w:w="900" w:type="dxa"/>
            <w:vAlign w:val="center"/>
          </w:tcPr>
          <w:p w14:paraId="1CC5EDD7" w14:textId="77777777" w:rsidR="00C67D8C" w:rsidRPr="00C666E3" w:rsidRDefault="00C67D8C" w:rsidP="00833FF4">
            <w:pPr>
              <w:pStyle w:val="ExhibitText"/>
              <w:jc w:val="right"/>
              <w:rPr>
                <w:lang w:val="en-GB"/>
              </w:rPr>
            </w:pPr>
            <w:r w:rsidRPr="00C666E3">
              <w:rPr>
                <w:lang w:val="en-GB"/>
              </w:rPr>
              <w:t>910</w:t>
            </w:r>
          </w:p>
          <w:p w14:paraId="7042143D" w14:textId="77777777" w:rsidR="00C67D8C" w:rsidRPr="00C666E3" w:rsidRDefault="00C67D8C" w:rsidP="00833FF4">
            <w:pPr>
              <w:pStyle w:val="ExhibitText"/>
              <w:jc w:val="right"/>
              <w:rPr>
                <w:lang w:val="en-GB"/>
              </w:rPr>
            </w:pPr>
            <w:r w:rsidRPr="00C666E3">
              <w:rPr>
                <w:lang w:val="en-GB"/>
              </w:rPr>
              <w:t>911</w:t>
            </w:r>
          </w:p>
        </w:tc>
        <w:tc>
          <w:tcPr>
            <w:tcW w:w="900" w:type="dxa"/>
            <w:vAlign w:val="center"/>
          </w:tcPr>
          <w:p w14:paraId="320F5EC6" w14:textId="77777777" w:rsidR="00C67D8C" w:rsidRPr="00C666E3" w:rsidRDefault="00C67D8C" w:rsidP="00833FF4">
            <w:pPr>
              <w:pStyle w:val="ExhibitText"/>
              <w:jc w:val="right"/>
              <w:rPr>
                <w:lang w:val="en-GB"/>
              </w:rPr>
            </w:pPr>
            <w:r w:rsidRPr="00C666E3">
              <w:rPr>
                <w:lang w:val="en-GB"/>
              </w:rPr>
              <w:t>913</w:t>
            </w:r>
          </w:p>
          <w:p w14:paraId="12B39A17" w14:textId="77777777" w:rsidR="00C67D8C" w:rsidRPr="00C666E3" w:rsidRDefault="00C67D8C" w:rsidP="00833FF4">
            <w:pPr>
              <w:pStyle w:val="ExhibitText"/>
              <w:jc w:val="right"/>
              <w:rPr>
                <w:lang w:val="en-GB"/>
              </w:rPr>
            </w:pPr>
            <w:r w:rsidRPr="00C666E3">
              <w:rPr>
                <w:lang w:val="en-GB"/>
              </w:rPr>
              <w:t>956</w:t>
            </w:r>
          </w:p>
        </w:tc>
        <w:tc>
          <w:tcPr>
            <w:tcW w:w="990" w:type="dxa"/>
            <w:shd w:val="clear" w:color="auto" w:fill="auto"/>
            <w:vAlign w:val="center"/>
          </w:tcPr>
          <w:p w14:paraId="0F2B14C3" w14:textId="77777777" w:rsidR="00C67D8C" w:rsidRPr="00C666E3" w:rsidRDefault="00C67D8C" w:rsidP="00833FF4">
            <w:pPr>
              <w:pStyle w:val="ExhibitText"/>
              <w:jc w:val="right"/>
              <w:rPr>
                <w:lang w:val="en-GB"/>
              </w:rPr>
            </w:pPr>
            <w:r w:rsidRPr="00C666E3">
              <w:rPr>
                <w:lang w:val="en-GB"/>
              </w:rPr>
              <w:t>949</w:t>
            </w:r>
          </w:p>
          <w:p w14:paraId="02C83D5B" w14:textId="77777777" w:rsidR="00C67D8C" w:rsidRPr="00C666E3" w:rsidRDefault="00C67D8C" w:rsidP="00833FF4">
            <w:pPr>
              <w:pStyle w:val="ExhibitText"/>
              <w:jc w:val="right"/>
              <w:rPr>
                <w:lang w:val="en-GB"/>
              </w:rPr>
            </w:pPr>
            <w:r w:rsidRPr="00C666E3">
              <w:rPr>
                <w:lang w:val="en-GB"/>
              </w:rPr>
              <w:t>1,015</w:t>
            </w:r>
          </w:p>
        </w:tc>
      </w:tr>
      <w:tr w:rsidR="00C67D8C" w:rsidRPr="00C666E3" w14:paraId="13A4EC78" w14:textId="77777777" w:rsidTr="00833FF4">
        <w:tc>
          <w:tcPr>
            <w:tcW w:w="3060" w:type="dxa"/>
            <w:shd w:val="clear" w:color="auto" w:fill="auto"/>
          </w:tcPr>
          <w:p w14:paraId="65F94272" w14:textId="77777777" w:rsidR="00C67D8C" w:rsidRPr="00C666E3" w:rsidRDefault="00C67D8C" w:rsidP="00833FF4">
            <w:pPr>
              <w:pStyle w:val="ExhibitText"/>
              <w:rPr>
                <w:lang w:val="en-GB"/>
              </w:rPr>
            </w:pPr>
            <w:r w:rsidRPr="00C666E3">
              <w:rPr>
                <w:lang w:val="en-GB"/>
              </w:rPr>
              <w:t>Total Spirits</w:t>
            </w:r>
          </w:p>
        </w:tc>
        <w:tc>
          <w:tcPr>
            <w:tcW w:w="990" w:type="dxa"/>
            <w:vAlign w:val="center"/>
          </w:tcPr>
          <w:p w14:paraId="26770F78" w14:textId="77777777" w:rsidR="00C67D8C" w:rsidRPr="00C666E3" w:rsidRDefault="00C67D8C" w:rsidP="00833FF4">
            <w:pPr>
              <w:pStyle w:val="ExhibitText"/>
              <w:jc w:val="right"/>
              <w:rPr>
                <w:lang w:val="en-GB"/>
              </w:rPr>
            </w:pPr>
            <w:r w:rsidRPr="00C666E3">
              <w:rPr>
                <w:lang w:val="en-GB"/>
              </w:rPr>
              <w:t>1,757</w:t>
            </w:r>
          </w:p>
        </w:tc>
        <w:tc>
          <w:tcPr>
            <w:tcW w:w="900" w:type="dxa"/>
            <w:vAlign w:val="center"/>
          </w:tcPr>
          <w:p w14:paraId="40993254" w14:textId="77777777" w:rsidR="00C67D8C" w:rsidRPr="00C666E3" w:rsidRDefault="00C67D8C" w:rsidP="00833FF4">
            <w:pPr>
              <w:pStyle w:val="ExhibitText"/>
              <w:jc w:val="right"/>
              <w:rPr>
                <w:lang w:val="en-GB"/>
              </w:rPr>
            </w:pPr>
            <w:r w:rsidRPr="00C666E3">
              <w:rPr>
                <w:lang w:val="en-GB"/>
              </w:rPr>
              <w:t>1,799</w:t>
            </w:r>
          </w:p>
        </w:tc>
        <w:tc>
          <w:tcPr>
            <w:tcW w:w="900" w:type="dxa"/>
            <w:vAlign w:val="center"/>
          </w:tcPr>
          <w:p w14:paraId="502CA226" w14:textId="77777777" w:rsidR="00C67D8C" w:rsidRPr="00C666E3" w:rsidRDefault="00C67D8C" w:rsidP="00833FF4">
            <w:pPr>
              <w:pStyle w:val="ExhibitText"/>
              <w:jc w:val="right"/>
              <w:rPr>
                <w:lang w:val="en-GB"/>
              </w:rPr>
            </w:pPr>
            <w:r w:rsidRPr="00C666E3">
              <w:rPr>
                <w:lang w:val="en-GB"/>
              </w:rPr>
              <w:t>1,821</w:t>
            </w:r>
          </w:p>
        </w:tc>
        <w:tc>
          <w:tcPr>
            <w:tcW w:w="900" w:type="dxa"/>
            <w:vAlign w:val="center"/>
          </w:tcPr>
          <w:p w14:paraId="5B555947" w14:textId="77777777" w:rsidR="00C67D8C" w:rsidRPr="00C666E3" w:rsidRDefault="00C67D8C" w:rsidP="00833FF4">
            <w:pPr>
              <w:pStyle w:val="ExhibitText"/>
              <w:jc w:val="right"/>
              <w:rPr>
                <w:lang w:val="en-GB"/>
              </w:rPr>
            </w:pPr>
            <w:r w:rsidRPr="00C666E3">
              <w:rPr>
                <w:lang w:val="en-GB"/>
              </w:rPr>
              <w:t>1,869</w:t>
            </w:r>
          </w:p>
        </w:tc>
        <w:tc>
          <w:tcPr>
            <w:tcW w:w="990" w:type="dxa"/>
            <w:shd w:val="clear" w:color="auto" w:fill="auto"/>
            <w:vAlign w:val="center"/>
          </w:tcPr>
          <w:p w14:paraId="744EF1F3" w14:textId="77777777" w:rsidR="00C67D8C" w:rsidRPr="00C666E3" w:rsidRDefault="00C67D8C" w:rsidP="00833FF4">
            <w:pPr>
              <w:pStyle w:val="ExhibitText"/>
              <w:jc w:val="right"/>
              <w:rPr>
                <w:lang w:val="en-GB"/>
              </w:rPr>
            </w:pPr>
            <w:r w:rsidRPr="00C666E3">
              <w:rPr>
                <w:lang w:val="en-GB"/>
              </w:rPr>
              <w:t>1,963</w:t>
            </w:r>
          </w:p>
        </w:tc>
      </w:tr>
      <w:tr w:rsidR="00C67D8C" w:rsidRPr="00C666E3" w14:paraId="66388FFD" w14:textId="77777777" w:rsidTr="00833FF4">
        <w:trPr>
          <w:trHeight w:val="537"/>
        </w:trPr>
        <w:tc>
          <w:tcPr>
            <w:tcW w:w="3060" w:type="dxa"/>
            <w:shd w:val="clear" w:color="auto" w:fill="auto"/>
          </w:tcPr>
          <w:p w14:paraId="39106E5E" w14:textId="77777777" w:rsidR="00C67D8C" w:rsidRPr="00C666E3" w:rsidRDefault="00C67D8C" w:rsidP="00833FF4">
            <w:pPr>
              <w:pStyle w:val="ExhibitText"/>
              <w:rPr>
                <w:lang w:val="en-GB"/>
              </w:rPr>
            </w:pPr>
            <w:r w:rsidRPr="00C666E3">
              <w:rPr>
                <w:lang w:val="en-GB"/>
              </w:rPr>
              <w:t>Domestic Wine</w:t>
            </w:r>
          </w:p>
          <w:p w14:paraId="4666DD85" w14:textId="77777777" w:rsidR="00C67D8C" w:rsidRPr="00C666E3" w:rsidRDefault="00C67D8C" w:rsidP="00833FF4">
            <w:pPr>
              <w:pStyle w:val="ExhibitText"/>
              <w:rPr>
                <w:lang w:val="en-GB"/>
              </w:rPr>
            </w:pPr>
            <w:r w:rsidRPr="00C666E3">
              <w:rPr>
                <w:lang w:val="en-GB"/>
              </w:rPr>
              <w:t>Imported Wine</w:t>
            </w:r>
          </w:p>
        </w:tc>
        <w:tc>
          <w:tcPr>
            <w:tcW w:w="990" w:type="dxa"/>
            <w:vAlign w:val="center"/>
          </w:tcPr>
          <w:p w14:paraId="734D1B31" w14:textId="77777777" w:rsidR="00C67D8C" w:rsidRPr="00C666E3" w:rsidRDefault="00C67D8C" w:rsidP="00833FF4">
            <w:pPr>
              <w:pStyle w:val="ExhibitText"/>
              <w:jc w:val="right"/>
              <w:rPr>
                <w:lang w:val="en-GB"/>
              </w:rPr>
            </w:pPr>
            <w:r w:rsidRPr="00C666E3">
              <w:rPr>
                <w:lang w:val="en-GB"/>
              </w:rPr>
              <w:t>423</w:t>
            </w:r>
          </w:p>
          <w:p w14:paraId="70192BDF" w14:textId="77777777" w:rsidR="00C67D8C" w:rsidRPr="00C666E3" w:rsidRDefault="00C67D8C" w:rsidP="00833FF4">
            <w:pPr>
              <w:pStyle w:val="ExhibitText"/>
              <w:jc w:val="right"/>
              <w:rPr>
                <w:lang w:val="en-GB"/>
              </w:rPr>
            </w:pPr>
            <w:r w:rsidRPr="00C666E3">
              <w:rPr>
                <w:lang w:val="en-GB"/>
              </w:rPr>
              <w:t>1,379</w:t>
            </w:r>
          </w:p>
        </w:tc>
        <w:tc>
          <w:tcPr>
            <w:tcW w:w="900" w:type="dxa"/>
            <w:vAlign w:val="center"/>
          </w:tcPr>
          <w:p w14:paraId="10B4FAA2" w14:textId="77777777" w:rsidR="00C67D8C" w:rsidRPr="00C666E3" w:rsidRDefault="00C67D8C" w:rsidP="00833FF4">
            <w:pPr>
              <w:pStyle w:val="ExhibitText"/>
              <w:jc w:val="right"/>
              <w:rPr>
                <w:lang w:val="en-GB"/>
              </w:rPr>
            </w:pPr>
            <w:r w:rsidRPr="00C666E3">
              <w:rPr>
                <w:lang w:val="en-GB"/>
              </w:rPr>
              <w:t>447</w:t>
            </w:r>
          </w:p>
          <w:p w14:paraId="09FFCCA1" w14:textId="77777777" w:rsidR="00C67D8C" w:rsidRPr="00C666E3" w:rsidRDefault="00C67D8C" w:rsidP="00833FF4">
            <w:pPr>
              <w:pStyle w:val="ExhibitText"/>
              <w:jc w:val="right"/>
              <w:rPr>
                <w:lang w:val="en-GB"/>
              </w:rPr>
            </w:pPr>
            <w:r w:rsidRPr="00C666E3">
              <w:rPr>
                <w:lang w:val="en-GB"/>
              </w:rPr>
              <w:t>1,450</w:t>
            </w:r>
          </w:p>
        </w:tc>
        <w:tc>
          <w:tcPr>
            <w:tcW w:w="900" w:type="dxa"/>
            <w:vAlign w:val="center"/>
          </w:tcPr>
          <w:p w14:paraId="355A03AC" w14:textId="77777777" w:rsidR="00C67D8C" w:rsidRPr="00C666E3" w:rsidRDefault="00C67D8C" w:rsidP="00833FF4">
            <w:pPr>
              <w:pStyle w:val="ExhibitText"/>
              <w:jc w:val="right"/>
              <w:rPr>
                <w:lang w:val="en-GB"/>
              </w:rPr>
            </w:pPr>
            <w:r w:rsidRPr="00C666E3">
              <w:rPr>
                <w:lang w:val="en-GB"/>
              </w:rPr>
              <w:t>466</w:t>
            </w:r>
          </w:p>
          <w:p w14:paraId="594BA663" w14:textId="77777777" w:rsidR="00C67D8C" w:rsidRPr="00C666E3" w:rsidRDefault="00C67D8C" w:rsidP="00833FF4">
            <w:pPr>
              <w:pStyle w:val="ExhibitText"/>
              <w:jc w:val="right"/>
              <w:rPr>
                <w:lang w:val="en-GB"/>
              </w:rPr>
            </w:pPr>
            <w:r w:rsidRPr="00C666E3">
              <w:rPr>
                <w:lang w:val="en-GB"/>
              </w:rPr>
              <w:t>1,495</w:t>
            </w:r>
          </w:p>
        </w:tc>
        <w:tc>
          <w:tcPr>
            <w:tcW w:w="900" w:type="dxa"/>
            <w:vAlign w:val="center"/>
          </w:tcPr>
          <w:p w14:paraId="463B1A0D" w14:textId="77777777" w:rsidR="00C67D8C" w:rsidRPr="00C666E3" w:rsidRDefault="00C67D8C" w:rsidP="00833FF4">
            <w:pPr>
              <w:pStyle w:val="ExhibitText"/>
              <w:jc w:val="right"/>
              <w:rPr>
                <w:lang w:val="en-GB"/>
              </w:rPr>
            </w:pPr>
            <w:r w:rsidRPr="00C666E3">
              <w:rPr>
                <w:lang w:val="en-GB"/>
              </w:rPr>
              <w:t>505</w:t>
            </w:r>
          </w:p>
          <w:p w14:paraId="646348C0" w14:textId="77777777" w:rsidR="00C67D8C" w:rsidRPr="00C666E3" w:rsidRDefault="00C67D8C" w:rsidP="00833FF4">
            <w:pPr>
              <w:pStyle w:val="ExhibitText"/>
              <w:jc w:val="right"/>
              <w:rPr>
                <w:lang w:val="en-GB"/>
              </w:rPr>
            </w:pPr>
            <w:r w:rsidRPr="00C666E3">
              <w:rPr>
                <w:lang w:val="en-GB"/>
              </w:rPr>
              <w:t>1,566</w:t>
            </w:r>
          </w:p>
        </w:tc>
        <w:tc>
          <w:tcPr>
            <w:tcW w:w="990" w:type="dxa"/>
            <w:shd w:val="clear" w:color="auto" w:fill="auto"/>
            <w:vAlign w:val="center"/>
          </w:tcPr>
          <w:p w14:paraId="4FEADA65" w14:textId="77777777" w:rsidR="00C67D8C" w:rsidRPr="00C666E3" w:rsidRDefault="00C67D8C" w:rsidP="00833FF4">
            <w:pPr>
              <w:pStyle w:val="ExhibitText"/>
              <w:jc w:val="right"/>
              <w:rPr>
                <w:lang w:val="en-GB"/>
              </w:rPr>
            </w:pPr>
            <w:r w:rsidRPr="00C666E3">
              <w:rPr>
                <w:lang w:val="en-GB"/>
              </w:rPr>
              <w:t>553</w:t>
            </w:r>
          </w:p>
          <w:p w14:paraId="7FC93D10" w14:textId="77777777" w:rsidR="00C67D8C" w:rsidRPr="00C666E3" w:rsidRDefault="00C67D8C" w:rsidP="00833FF4">
            <w:pPr>
              <w:pStyle w:val="ExhibitText"/>
              <w:jc w:val="right"/>
              <w:rPr>
                <w:lang w:val="en-GB"/>
              </w:rPr>
            </w:pPr>
            <w:r w:rsidRPr="00C666E3">
              <w:rPr>
                <w:lang w:val="en-GB"/>
              </w:rPr>
              <w:t>1,641</w:t>
            </w:r>
          </w:p>
        </w:tc>
      </w:tr>
      <w:tr w:rsidR="00C67D8C" w:rsidRPr="00C666E3" w14:paraId="2684CCAF" w14:textId="77777777" w:rsidTr="00833FF4">
        <w:trPr>
          <w:trHeight w:val="271"/>
        </w:trPr>
        <w:tc>
          <w:tcPr>
            <w:tcW w:w="3060" w:type="dxa"/>
            <w:shd w:val="clear" w:color="auto" w:fill="auto"/>
          </w:tcPr>
          <w:p w14:paraId="22F8BC72" w14:textId="77777777" w:rsidR="00C67D8C" w:rsidRPr="00C666E3" w:rsidRDefault="00C67D8C" w:rsidP="00833FF4">
            <w:pPr>
              <w:pStyle w:val="ExhibitText"/>
              <w:rPr>
                <w:lang w:val="en-GB"/>
              </w:rPr>
            </w:pPr>
            <w:r w:rsidRPr="00C666E3">
              <w:rPr>
                <w:lang w:val="en-GB"/>
              </w:rPr>
              <w:t>Total Wine</w:t>
            </w:r>
          </w:p>
        </w:tc>
        <w:tc>
          <w:tcPr>
            <w:tcW w:w="990" w:type="dxa"/>
            <w:vAlign w:val="center"/>
          </w:tcPr>
          <w:p w14:paraId="3B622B98" w14:textId="77777777" w:rsidR="00C67D8C" w:rsidRPr="00C666E3" w:rsidRDefault="00C67D8C" w:rsidP="00833FF4">
            <w:pPr>
              <w:pStyle w:val="ExhibitText"/>
              <w:jc w:val="right"/>
              <w:rPr>
                <w:lang w:val="en-GB"/>
              </w:rPr>
            </w:pPr>
            <w:r w:rsidRPr="00C666E3">
              <w:rPr>
                <w:lang w:val="en-GB"/>
              </w:rPr>
              <w:t>1,802</w:t>
            </w:r>
          </w:p>
        </w:tc>
        <w:tc>
          <w:tcPr>
            <w:tcW w:w="900" w:type="dxa"/>
            <w:vAlign w:val="center"/>
          </w:tcPr>
          <w:p w14:paraId="402F3951" w14:textId="77777777" w:rsidR="00C67D8C" w:rsidRPr="00C666E3" w:rsidRDefault="00C67D8C" w:rsidP="00833FF4">
            <w:pPr>
              <w:pStyle w:val="ExhibitText"/>
              <w:jc w:val="right"/>
              <w:rPr>
                <w:lang w:val="en-GB"/>
              </w:rPr>
            </w:pPr>
            <w:r w:rsidRPr="00C666E3">
              <w:rPr>
                <w:lang w:val="en-GB"/>
              </w:rPr>
              <w:t>1,897</w:t>
            </w:r>
          </w:p>
        </w:tc>
        <w:tc>
          <w:tcPr>
            <w:tcW w:w="900" w:type="dxa"/>
            <w:vAlign w:val="center"/>
          </w:tcPr>
          <w:p w14:paraId="6EB69CC2" w14:textId="77777777" w:rsidR="00C67D8C" w:rsidRPr="00C666E3" w:rsidRDefault="00C67D8C" w:rsidP="00833FF4">
            <w:pPr>
              <w:pStyle w:val="ExhibitText"/>
              <w:jc w:val="right"/>
              <w:rPr>
                <w:lang w:val="en-GB"/>
              </w:rPr>
            </w:pPr>
            <w:r w:rsidRPr="00C666E3">
              <w:rPr>
                <w:lang w:val="en-GB"/>
              </w:rPr>
              <w:t>1,961</w:t>
            </w:r>
          </w:p>
        </w:tc>
        <w:tc>
          <w:tcPr>
            <w:tcW w:w="900" w:type="dxa"/>
            <w:vAlign w:val="center"/>
          </w:tcPr>
          <w:p w14:paraId="6EA8B17D" w14:textId="77777777" w:rsidR="00C67D8C" w:rsidRPr="00C666E3" w:rsidRDefault="00C67D8C" w:rsidP="00833FF4">
            <w:pPr>
              <w:pStyle w:val="ExhibitText"/>
              <w:jc w:val="right"/>
              <w:rPr>
                <w:lang w:val="en-GB"/>
              </w:rPr>
            </w:pPr>
            <w:r w:rsidRPr="00C666E3">
              <w:rPr>
                <w:lang w:val="en-GB"/>
              </w:rPr>
              <w:t>2,071</w:t>
            </w:r>
          </w:p>
        </w:tc>
        <w:tc>
          <w:tcPr>
            <w:tcW w:w="990" w:type="dxa"/>
            <w:shd w:val="clear" w:color="auto" w:fill="auto"/>
            <w:vAlign w:val="center"/>
          </w:tcPr>
          <w:p w14:paraId="58AE01B8" w14:textId="77777777" w:rsidR="00C67D8C" w:rsidRPr="00C666E3" w:rsidRDefault="00C67D8C" w:rsidP="00833FF4">
            <w:pPr>
              <w:pStyle w:val="ExhibitText"/>
              <w:jc w:val="right"/>
              <w:rPr>
                <w:lang w:val="en-GB"/>
              </w:rPr>
            </w:pPr>
            <w:r w:rsidRPr="00C666E3">
              <w:rPr>
                <w:lang w:val="en-GB"/>
              </w:rPr>
              <w:t>2,194</w:t>
            </w:r>
          </w:p>
        </w:tc>
      </w:tr>
      <w:tr w:rsidR="00C67D8C" w:rsidRPr="00C666E3" w14:paraId="7BAB6787" w14:textId="77777777" w:rsidTr="00833FF4">
        <w:trPr>
          <w:trHeight w:val="271"/>
        </w:trPr>
        <w:tc>
          <w:tcPr>
            <w:tcW w:w="3060" w:type="dxa"/>
            <w:shd w:val="clear" w:color="auto" w:fill="auto"/>
          </w:tcPr>
          <w:p w14:paraId="4FAD0B13" w14:textId="77777777" w:rsidR="00C67D8C" w:rsidRPr="00C666E3" w:rsidRDefault="00C67D8C" w:rsidP="00833FF4">
            <w:pPr>
              <w:pStyle w:val="ExhibitText"/>
              <w:rPr>
                <w:lang w:val="en-GB"/>
              </w:rPr>
            </w:pPr>
            <w:r w:rsidRPr="00C666E3">
              <w:rPr>
                <w:lang w:val="en-GB"/>
              </w:rPr>
              <w:t>Domestic Beer</w:t>
            </w:r>
          </w:p>
          <w:p w14:paraId="3C8EA5E7" w14:textId="77777777" w:rsidR="00C67D8C" w:rsidRPr="00C666E3" w:rsidRDefault="00C67D8C" w:rsidP="00833FF4">
            <w:pPr>
              <w:pStyle w:val="ExhibitText"/>
              <w:rPr>
                <w:lang w:val="en-GB"/>
              </w:rPr>
            </w:pPr>
            <w:r w:rsidRPr="00C666E3">
              <w:rPr>
                <w:lang w:val="en-GB"/>
              </w:rPr>
              <w:t>Imported Beer</w:t>
            </w:r>
          </w:p>
        </w:tc>
        <w:tc>
          <w:tcPr>
            <w:tcW w:w="990" w:type="dxa"/>
            <w:vAlign w:val="center"/>
          </w:tcPr>
          <w:p w14:paraId="477F6C21" w14:textId="77777777" w:rsidR="00C67D8C" w:rsidRPr="00C666E3" w:rsidRDefault="00C67D8C" w:rsidP="00833FF4">
            <w:pPr>
              <w:pStyle w:val="ExhibitText"/>
              <w:jc w:val="right"/>
              <w:rPr>
                <w:lang w:val="en-GB"/>
              </w:rPr>
            </w:pPr>
            <w:r w:rsidRPr="00C666E3">
              <w:rPr>
                <w:lang w:val="en-GB"/>
              </w:rPr>
              <w:t>411</w:t>
            </w:r>
          </w:p>
          <w:p w14:paraId="7E640653" w14:textId="77777777" w:rsidR="00C67D8C" w:rsidRPr="00C666E3" w:rsidRDefault="00C67D8C" w:rsidP="00833FF4">
            <w:pPr>
              <w:pStyle w:val="ExhibitText"/>
              <w:jc w:val="right"/>
              <w:rPr>
                <w:lang w:val="en-GB"/>
              </w:rPr>
            </w:pPr>
            <w:r w:rsidRPr="00C666E3">
              <w:rPr>
                <w:lang w:val="en-GB"/>
              </w:rPr>
              <w:t>570</w:t>
            </w:r>
          </w:p>
        </w:tc>
        <w:tc>
          <w:tcPr>
            <w:tcW w:w="900" w:type="dxa"/>
            <w:vAlign w:val="center"/>
          </w:tcPr>
          <w:p w14:paraId="5E53A446" w14:textId="77777777" w:rsidR="00C67D8C" w:rsidRPr="00C666E3" w:rsidRDefault="00C67D8C" w:rsidP="00833FF4">
            <w:pPr>
              <w:pStyle w:val="ExhibitText"/>
              <w:jc w:val="right"/>
              <w:rPr>
                <w:lang w:val="en-GB"/>
              </w:rPr>
            </w:pPr>
            <w:r w:rsidRPr="00C666E3">
              <w:rPr>
                <w:lang w:val="en-GB"/>
              </w:rPr>
              <w:t>430</w:t>
            </w:r>
          </w:p>
          <w:p w14:paraId="49D1F0AA" w14:textId="77777777" w:rsidR="00C67D8C" w:rsidRPr="00C666E3" w:rsidRDefault="00C67D8C" w:rsidP="00833FF4">
            <w:pPr>
              <w:pStyle w:val="ExhibitText"/>
              <w:jc w:val="right"/>
              <w:rPr>
                <w:lang w:val="en-GB"/>
              </w:rPr>
            </w:pPr>
            <w:r w:rsidRPr="00C666E3">
              <w:rPr>
                <w:lang w:val="en-GB"/>
              </w:rPr>
              <w:t>590</w:t>
            </w:r>
          </w:p>
        </w:tc>
        <w:tc>
          <w:tcPr>
            <w:tcW w:w="900" w:type="dxa"/>
            <w:vAlign w:val="center"/>
          </w:tcPr>
          <w:p w14:paraId="160A7E6E" w14:textId="77777777" w:rsidR="00C67D8C" w:rsidRPr="00C666E3" w:rsidRDefault="00C67D8C" w:rsidP="00833FF4">
            <w:pPr>
              <w:pStyle w:val="ExhibitText"/>
              <w:jc w:val="right"/>
              <w:rPr>
                <w:lang w:val="en-GB"/>
              </w:rPr>
            </w:pPr>
            <w:r w:rsidRPr="00C666E3">
              <w:rPr>
                <w:lang w:val="en-GB"/>
              </w:rPr>
              <w:t>443</w:t>
            </w:r>
          </w:p>
          <w:p w14:paraId="2BA0FF2E" w14:textId="77777777" w:rsidR="00C67D8C" w:rsidRPr="00C666E3" w:rsidRDefault="00C67D8C" w:rsidP="00833FF4">
            <w:pPr>
              <w:pStyle w:val="ExhibitText"/>
              <w:jc w:val="right"/>
              <w:rPr>
                <w:lang w:val="en-GB"/>
              </w:rPr>
            </w:pPr>
            <w:r w:rsidRPr="00C666E3">
              <w:rPr>
                <w:lang w:val="en-GB"/>
              </w:rPr>
              <w:t>596</w:t>
            </w:r>
          </w:p>
        </w:tc>
        <w:tc>
          <w:tcPr>
            <w:tcW w:w="900" w:type="dxa"/>
            <w:vAlign w:val="center"/>
          </w:tcPr>
          <w:p w14:paraId="5A6A4A8C" w14:textId="77777777" w:rsidR="00C67D8C" w:rsidRPr="00C666E3" w:rsidRDefault="00C67D8C" w:rsidP="00833FF4">
            <w:pPr>
              <w:pStyle w:val="ExhibitText"/>
              <w:jc w:val="right"/>
              <w:rPr>
                <w:lang w:val="en-GB"/>
              </w:rPr>
            </w:pPr>
            <w:r w:rsidRPr="00C666E3">
              <w:rPr>
                <w:lang w:val="en-GB"/>
              </w:rPr>
              <w:t>471</w:t>
            </w:r>
          </w:p>
          <w:p w14:paraId="3ABAB799" w14:textId="77777777" w:rsidR="00C67D8C" w:rsidRPr="00C666E3" w:rsidRDefault="00C67D8C" w:rsidP="00833FF4">
            <w:pPr>
              <w:pStyle w:val="ExhibitText"/>
              <w:jc w:val="right"/>
              <w:rPr>
                <w:lang w:val="en-GB"/>
              </w:rPr>
            </w:pPr>
            <w:r w:rsidRPr="00C666E3">
              <w:rPr>
                <w:lang w:val="en-GB"/>
              </w:rPr>
              <w:t>617</w:t>
            </w:r>
          </w:p>
        </w:tc>
        <w:tc>
          <w:tcPr>
            <w:tcW w:w="990" w:type="dxa"/>
            <w:shd w:val="clear" w:color="auto" w:fill="auto"/>
            <w:vAlign w:val="center"/>
          </w:tcPr>
          <w:p w14:paraId="28224126" w14:textId="77777777" w:rsidR="00C67D8C" w:rsidRPr="00C666E3" w:rsidRDefault="00C67D8C" w:rsidP="00833FF4">
            <w:pPr>
              <w:pStyle w:val="ExhibitText"/>
              <w:jc w:val="right"/>
              <w:rPr>
                <w:lang w:val="en-GB"/>
              </w:rPr>
            </w:pPr>
            <w:r w:rsidRPr="00C666E3">
              <w:rPr>
                <w:lang w:val="en-GB"/>
              </w:rPr>
              <w:t>518</w:t>
            </w:r>
          </w:p>
          <w:p w14:paraId="452A1D1B" w14:textId="77777777" w:rsidR="00C67D8C" w:rsidRPr="00C666E3" w:rsidRDefault="00C67D8C" w:rsidP="00833FF4">
            <w:pPr>
              <w:pStyle w:val="ExhibitText"/>
              <w:jc w:val="right"/>
              <w:rPr>
                <w:lang w:val="en-GB"/>
              </w:rPr>
            </w:pPr>
            <w:r w:rsidRPr="00C666E3">
              <w:rPr>
                <w:lang w:val="en-GB"/>
              </w:rPr>
              <w:t>682</w:t>
            </w:r>
          </w:p>
        </w:tc>
      </w:tr>
      <w:tr w:rsidR="00C67D8C" w:rsidRPr="00C666E3" w14:paraId="1FE83D63" w14:textId="77777777" w:rsidTr="00833FF4">
        <w:trPr>
          <w:trHeight w:val="271"/>
        </w:trPr>
        <w:tc>
          <w:tcPr>
            <w:tcW w:w="3060" w:type="dxa"/>
            <w:shd w:val="clear" w:color="auto" w:fill="auto"/>
          </w:tcPr>
          <w:p w14:paraId="79AF9442" w14:textId="77777777" w:rsidR="00C67D8C" w:rsidRPr="00C666E3" w:rsidRDefault="00C67D8C" w:rsidP="00833FF4">
            <w:pPr>
              <w:pStyle w:val="ExhibitText"/>
              <w:rPr>
                <w:lang w:val="en-GB"/>
              </w:rPr>
            </w:pPr>
            <w:r w:rsidRPr="00C666E3">
              <w:rPr>
                <w:lang w:val="en-GB"/>
              </w:rPr>
              <w:t>Total Beer</w:t>
            </w:r>
          </w:p>
        </w:tc>
        <w:tc>
          <w:tcPr>
            <w:tcW w:w="990" w:type="dxa"/>
            <w:vAlign w:val="center"/>
          </w:tcPr>
          <w:p w14:paraId="5FD7AFAC" w14:textId="77777777" w:rsidR="00C67D8C" w:rsidRPr="00C666E3" w:rsidRDefault="00C67D8C" w:rsidP="00833FF4">
            <w:pPr>
              <w:pStyle w:val="ExhibitText"/>
              <w:jc w:val="right"/>
              <w:rPr>
                <w:lang w:val="en-GB"/>
              </w:rPr>
            </w:pPr>
            <w:r w:rsidRPr="00C666E3">
              <w:rPr>
                <w:lang w:val="en-GB"/>
              </w:rPr>
              <w:t>981</w:t>
            </w:r>
          </w:p>
        </w:tc>
        <w:tc>
          <w:tcPr>
            <w:tcW w:w="900" w:type="dxa"/>
            <w:vAlign w:val="center"/>
          </w:tcPr>
          <w:p w14:paraId="707B3186" w14:textId="77777777" w:rsidR="00C67D8C" w:rsidRPr="00C666E3" w:rsidRDefault="00C67D8C" w:rsidP="00833FF4">
            <w:pPr>
              <w:pStyle w:val="ExhibitText"/>
              <w:jc w:val="right"/>
              <w:rPr>
                <w:lang w:val="en-GB"/>
              </w:rPr>
            </w:pPr>
            <w:r w:rsidRPr="00C666E3">
              <w:rPr>
                <w:lang w:val="en-GB"/>
              </w:rPr>
              <w:t>1</w:t>
            </w:r>
            <w:r>
              <w:rPr>
                <w:lang w:val="en-GB"/>
              </w:rPr>
              <w:t>,</w:t>
            </w:r>
            <w:r w:rsidRPr="00C666E3">
              <w:rPr>
                <w:lang w:val="en-GB"/>
              </w:rPr>
              <w:t>020</w:t>
            </w:r>
          </w:p>
        </w:tc>
        <w:tc>
          <w:tcPr>
            <w:tcW w:w="900" w:type="dxa"/>
            <w:vAlign w:val="center"/>
          </w:tcPr>
          <w:p w14:paraId="4127CBEE" w14:textId="77777777" w:rsidR="00C67D8C" w:rsidRPr="00C666E3" w:rsidRDefault="00C67D8C" w:rsidP="00833FF4">
            <w:pPr>
              <w:pStyle w:val="ExhibitText"/>
              <w:jc w:val="right"/>
              <w:rPr>
                <w:lang w:val="en-GB"/>
              </w:rPr>
            </w:pPr>
            <w:r w:rsidRPr="00C666E3">
              <w:rPr>
                <w:lang w:val="en-GB"/>
              </w:rPr>
              <w:t>1,039</w:t>
            </w:r>
          </w:p>
        </w:tc>
        <w:tc>
          <w:tcPr>
            <w:tcW w:w="900" w:type="dxa"/>
            <w:vAlign w:val="center"/>
          </w:tcPr>
          <w:p w14:paraId="2EC732D1" w14:textId="77777777" w:rsidR="00C67D8C" w:rsidRPr="00C666E3" w:rsidRDefault="00C67D8C" w:rsidP="00833FF4">
            <w:pPr>
              <w:pStyle w:val="ExhibitText"/>
              <w:jc w:val="right"/>
              <w:rPr>
                <w:lang w:val="en-GB"/>
              </w:rPr>
            </w:pPr>
            <w:r w:rsidRPr="00C666E3">
              <w:rPr>
                <w:lang w:val="en-GB"/>
              </w:rPr>
              <w:t>1,088</w:t>
            </w:r>
          </w:p>
        </w:tc>
        <w:tc>
          <w:tcPr>
            <w:tcW w:w="990" w:type="dxa"/>
            <w:shd w:val="clear" w:color="auto" w:fill="auto"/>
            <w:vAlign w:val="center"/>
          </w:tcPr>
          <w:p w14:paraId="2AF54F19" w14:textId="77777777" w:rsidR="00C67D8C" w:rsidRPr="00C666E3" w:rsidRDefault="00C67D8C" w:rsidP="00833FF4">
            <w:pPr>
              <w:pStyle w:val="ExhibitText"/>
              <w:jc w:val="right"/>
              <w:rPr>
                <w:lang w:val="en-GB"/>
              </w:rPr>
            </w:pPr>
            <w:r w:rsidRPr="00C666E3">
              <w:rPr>
                <w:lang w:val="en-GB"/>
              </w:rPr>
              <w:t>1,200</w:t>
            </w:r>
          </w:p>
        </w:tc>
      </w:tr>
      <w:tr w:rsidR="00C67D8C" w:rsidRPr="00C666E3" w14:paraId="7B2C76F3" w14:textId="77777777" w:rsidTr="00833FF4">
        <w:trPr>
          <w:trHeight w:val="271"/>
        </w:trPr>
        <w:tc>
          <w:tcPr>
            <w:tcW w:w="3060" w:type="dxa"/>
            <w:shd w:val="clear" w:color="auto" w:fill="auto"/>
          </w:tcPr>
          <w:p w14:paraId="2B87C77F" w14:textId="77777777" w:rsidR="00C67D8C" w:rsidRPr="00C666E3" w:rsidRDefault="00C67D8C" w:rsidP="00833FF4">
            <w:pPr>
              <w:pStyle w:val="ExhibitText"/>
              <w:rPr>
                <w:lang w:val="en-GB"/>
              </w:rPr>
            </w:pPr>
            <w:r w:rsidRPr="00C666E3">
              <w:rPr>
                <w:lang w:val="en-GB"/>
              </w:rPr>
              <w:t>Domestic Spirit Coolers</w:t>
            </w:r>
          </w:p>
          <w:p w14:paraId="12FD2663" w14:textId="77777777" w:rsidR="00C67D8C" w:rsidRPr="00C666E3" w:rsidRDefault="00C67D8C" w:rsidP="00833FF4">
            <w:pPr>
              <w:pStyle w:val="ExhibitText"/>
              <w:rPr>
                <w:lang w:val="en-GB"/>
              </w:rPr>
            </w:pPr>
            <w:r w:rsidRPr="00C666E3">
              <w:rPr>
                <w:lang w:val="en-GB"/>
              </w:rPr>
              <w:t>Imported Spirit Coolers</w:t>
            </w:r>
          </w:p>
          <w:p w14:paraId="14B64FE0" w14:textId="77777777" w:rsidR="00C67D8C" w:rsidRPr="00C666E3" w:rsidRDefault="00C67D8C" w:rsidP="00833FF4">
            <w:pPr>
              <w:pStyle w:val="ExhibitText"/>
              <w:rPr>
                <w:lang w:val="en-GB"/>
              </w:rPr>
            </w:pPr>
            <w:r w:rsidRPr="00C666E3">
              <w:rPr>
                <w:lang w:val="en-GB"/>
              </w:rPr>
              <w:t>Domestic Wine Coolers</w:t>
            </w:r>
          </w:p>
          <w:p w14:paraId="312308C9" w14:textId="77777777" w:rsidR="00C67D8C" w:rsidRPr="00C666E3" w:rsidRDefault="00C67D8C" w:rsidP="00833FF4">
            <w:pPr>
              <w:pStyle w:val="ExhibitText"/>
              <w:rPr>
                <w:lang w:val="en-GB"/>
              </w:rPr>
            </w:pPr>
            <w:r w:rsidRPr="00C666E3">
              <w:rPr>
                <w:lang w:val="en-GB"/>
              </w:rPr>
              <w:t xml:space="preserve">Imported Wine Coolers </w:t>
            </w:r>
          </w:p>
          <w:p w14:paraId="2814DAA4" w14:textId="77777777" w:rsidR="00C67D8C" w:rsidRPr="00C666E3" w:rsidRDefault="00C67D8C" w:rsidP="00833FF4">
            <w:pPr>
              <w:pStyle w:val="ExhibitText"/>
              <w:rPr>
                <w:lang w:val="en-GB"/>
              </w:rPr>
            </w:pPr>
            <w:r w:rsidRPr="00C666E3">
              <w:rPr>
                <w:lang w:val="en-GB"/>
              </w:rPr>
              <w:t>Domestic Beer Coolers</w:t>
            </w:r>
          </w:p>
          <w:p w14:paraId="43149454" w14:textId="77777777" w:rsidR="00C67D8C" w:rsidRPr="00C666E3" w:rsidRDefault="00C67D8C" w:rsidP="00833FF4">
            <w:pPr>
              <w:pStyle w:val="ExhibitText"/>
              <w:rPr>
                <w:lang w:val="en-GB"/>
              </w:rPr>
            </w:pPr>
            <w:r w:rsidRPr="00C666E3">
              <w:rPr>
                <w:lang w:val="en-GB"/>
              </w:rPr>
              <w:t>Imported Beer Coolers</w:t>
            </w:r>
          </w:p>
        </w:tc>
        <w:tc>
          <w:tcPr>
            <w:tcW w:w="990" w:type="dxa"/>
            <w:vAlign w:val="center"/>
          </w:tcPr>
          <w:p w14:paraId="078B30B0" w14:textId="77777777" w:rsidR="00C67D8C" w:rsidRPr="00C666E3" w:rsidRDefault="00C67D8C" w:rsidP="00833FF4">
            <w:pPr>
              <w:pStyle w:val="ExhibitText"/>
              <w:jc w:val="right"/>
              <w:rPr>
                <w:lang w:val="en-GB"/>
              </w:rPr>
            </w:pPr>
            <w:r w:rsidRPr="00C666E3">
              <w:rPr>
                <w:lang w:val="en-GB"/>
              </w:rPr>
              <w:t>141</w:t>
            </w:r>
          </w:p>
          <w:p w14:paraId="01D77F12" w14:textId="77777777" w:rsidR="00C67D8C" w:rsidRPr="00C666E3" w:rsidRDefault="00C67D8C" w:rsidP="00833FF4">
            <w:pPr>
              <w:pStyle w:val="ExhibitText"/>
              <w:jc w:val="right"/>
              <w:rPr>
                <w:lang w:val="en-GB"/>
              </w:rPr>
            </w:pPr>
            <w:r w:rsidRPr="00C666E3">
              <w:rPr>
                <w:lang w:val="en-GB"/>
              </w:rPr>
              <w:t>29</w:t>
            </w:r>
          </w:p>
          <w:p w14:paraId="433292AE" w14:textId="01787D7F" w:rsidR="00C67D8C" w:rsidRPr="00C666E3" w:rsidRDefault="00D553DD" w:rsidP="00833FF4">
            <w:pPr>
              <w:pStyle w:val="ExhibitText"/>
              <w:jc w:val="right"/>
              <w:rPr>
                <w:lang w:val="en-GB"/>
              </w:rPr>
            </w:pPr>
            <w:r>
              <w:rPr>
                <w:lang w:val="en-GB"/>
              </w:rPr>
              <w:t>-</w:t>
            </w:r>
          </w:p>
          <w:p w14:paraId="0631FF73" w14:textId="067334CD" w:rsidR="00C67D8C" w:rsidRPr="00C666E3" w:rsidRDefault="00D553DD" w:rsidP="00833FF4">
            <w:pPr>
              <w:pStyle w:val="ExhibitText"/>
              <w:jc w:val="right"/>
              <w:rPr>
                <w:lang w:val="en-GB"/>
              </w:rPr>
            </w:pPr>
            <w:r>
              <w:rPr>
                <w:lang w:val="en-GB"/>
              </w:rPr>
              <w:t>-</w:t>
            </w:r>
          </w:p>
          <w:p w14:paraId="472187EA" w14:textId="77777777" w:rsidR="00C67D8C" w:rsidRPr="00C666E3" w:rsidRDefault="00C67D8C" w:rsidP="00833FF4">
            <w:pPr>
              <w:pStyle w:val="ExhibitText"/>
              <w:jc w:val="right"/>
              <w:rPr>
                <w:lang w:val="en-GB"/>
              </w:rPr>
            </w:pPr>
            <w:r w:rsidRPr="00C666E3">
              <w:rPr>
                <w:lang w:val="en-GB"/>
              </w:rPr>
              <w:t>3</w:t>
            </w:r>
          </w:p>
          <w:p w14:paraId="6C67EB21" w14:textId="0CBD50C7" w:rsidR="00C67D8C" w:rsidRPr="00C666E3" w:rsidRDefault="00D553DD" w:rsidP="00833FF4">
            <w:pPr>
              <w:pStyle w:val="ExhibitText"/>
              <w:jc w:val="right"/>
              <w:rPr>
                <w:lang w:val="en-GB"/>
              </w:rPr>
            </w:pPr>
            <w:r>
              <w:rPr>
                <w:lang w:val="en-GB"/>
              </w:rPr>
              <w:t>-</w:t>
            </w:r>
          </w:p>
        </w:tc>
        <w:tc>
          <w:tcPr>
            <w:tcW w:w="900" w:type="dxa"/>
            <w:vAlign w:val="center"/>
          </w:tcPr>
          <w:p w14:paraId="69B449FF" w14:textId="77777777" w:rsidR="00C67D8C" w:rsidRPr="00C666E3" w:rsidRDefault="00C67D8C" w:rsidP="00833FF4">
            <w:pPr>
              <w:pStyle w:val="ExhibitText"/>
              <w:jc w:val="right"/>
              <w:rPr>
                <w:lang w:val="en-GB"/>
              </w:rPr>
            </w:pPr>
            <w:r w:rsidRPr="00C666E3">
              <w:rPr>
                <w:lang w:val="en-GB"/>
              </w:rPr>
              <w:t>143</w:t>
            </w:r>
          </w:p>
          <w:p w14:paraId="4487A2F6" w14:textId="77777777" w:rsidR="00C67D8C" w:rsidRPr="00C666E3" w:rsidRDefault="00C67D8C" w:rsidP="00833FF4">
            <w:pPr>
              <w:pStyle w:val="ExhibitText"/>
              <w:jc w:val="right"/>
              <w:rPr>
                <w:lang w:val="en-GB"/>
              </w:rPr>
            </w:pPr>
            <w:r w:rsidRPr="00C666E3">
              <w:rPr>
                <w:lang w:val="en-GB"/>
              </w:rPr>
              <w:t>29</w:t>
            </w:r>
          </w:p>
          <w:p w14:paraId="2283A3B7" w14:textId="77777777" w:rsidR="00C67D8C" w:rsidRPr="00C666E3" w:rsidRDefault="00C67D8C" w:rsidP="00833FF4">
            <w:pPr>
              <w:pStyle w:val="ExhibitText"/>
              <w:jc w:val="right"/>
              <w:rPr>
                <w:lang w:val="en-GB"/>
              </w:rPr>
            </w:pPr>
            <w:r w:rsidRPr="00C666E3">
              <w:rPr>
                <w:lang w:val="en-GB"/>
              </w:rPr>
              <w:t>1</w:t>
            </w:r>
          </w:p>
          <w:p w14:paraId="2F2C6FFC" w14:textId="77777777" w:rsidR="00C67D8C" w:rsidRPr="00C666E3" w:rsidRDefault="00C67D8C" w:rsidP="00833FF4">
            <w:pPr>
              <w:pStyle w:val="ExhibitText"/>
              <w:jc w:val="right"/>
              <w:rPr>
                <w:lang w:val="en-GB"/>
              </w:rPr>
            </w:pPr>
            <w:r w:rsidRPr="00C666E3">
              <w:rPr>
                <w:lang w:val="en-GB"/>
              </w:rPr>
              <w:t>1</w:t>
            </w:r>
          </w:p>
          <w:p w14:paraId="56D0DB7B" w14:textId="77777777" w:rsidR="00C67D8C" w:rsidRPr="00C666E3" w:rsidRDefault="00C67D8C" w:rsidP="00833FF4">
            <w:pPr>
              <w:pStyle w:val="ExhibitText"/>
              <w:jc w:val="right"/>
              <w:rPr>
                <w:lang w:val="en-GB"/>
              </w:rPr>
            </w:pPr>
            <w:r w:rsidRPr="00C666E3">
              <w:rPr>
                <w:lang w:val="en-GB"/>
              </w:rPr>
              <w:t>1</w:t>
            </w:r>
          </w:p>
          <w:p w14:paraId="2580DBB8" w14:textId="77777777" w:rsidR="00C67D8C" w:rsidRPr="00C666E3" w:rsidRDefault="00C67D8C" w:rsidP="00833FF4">
            <w:pPr>
              <w:pStyle w:val="ExhibitText"/>
              <w:jc w:val="right"/>
              <w:rPr>
                <w:lang w:val="en-GB"/>
              </w:rPr>
            </w:pPr>
            <w:r w:rsidRPr="00C666E3">
              <w:rPr>
                <w:lang w:val="en-GB"/>
              </w:rPr>
              <w:t>4</w:t>
            </w:r>
          </w:p>
        </w:tc>
        <w:tc>
          <w:tcPr>
            <w:tcW w:w="900" w:type="dxa"/>
            <w:vAlign w:val="center"/>
          </w:tcPr>
          <w:p w14:paraId="5B79FA1C" w14:textId="77777777" w:rsidR="00C67D8C" w:rsidRPr="00C666E3" w:rsidRDefault="00C67D8C" w:rsidP="00833FF4">
            <w:pPr>
              <w:pStyle w:val="ExhibitText"/>
              <w:jc w:val="right"/>
              <w:rPr>
                <w:lang w:val="en-GB"/>
              </w:rPr>
            </w:pPr>
            <w:r w:rsidRPr="00C666E3">
              <w:rPr>
                <w:lang w:val="en-GB"/>
              </w:rPr>
              <w:t>137</w:t>
            </w:r>
          </w:p>
          <w:p w14:paraId="717CDCF6" w14:textId="77777777" w:rsidR="00C67D8C" w:rsidRPr="00C666E3" w:rsidRDefault="00C67D8C" w:rsidP="00833FF4">
            <w:pPr>
              <w:pStyle w:val="ExhibitText"/>
              <w:jc w:val="right"/>
              <w:rPr>
                <w:lang w:val="en-GB"/>
              </w:rPr>
            </w:pPr>
            <w:r w:rsidRPr="00C666E3">
              <w:rPr>
                <w:lang w:val="en-GB"/>
              </w:rPr>
              <w:t>31</w:t>
            </w:r>
          </w:p>
          <w:p w14:paraId="5E35AC92" w14:textId="77777777" w:rsidR="00C67D8C" w:rsidRPr="00C666E3" w:rsidRDefault="00C67D8C" w:rsidP="00833FF4">
            <w:pPr>
              <w:pStyle w:val="ExhibitText"/>
              <w:jc w:val="right"/>
              <w:rPr>
                <w:lang w:val="en-GB"/>
              </w:rPr>
            </w:pPr>
            <w:r w:rsidRPr="00C666E3">
              <w:rPr>
                <w:lang w:val="en-GB"/>
              </w:rPr>
              <w:t>1</w:t>
            </w:r>
          </w:p>
          <w:p w14:paraId="4C2A49C2" w14:textId="77777777" w:rsidR="00C67D8C" w:rsidRPr="00C666E3" w:rsidRDefault="00C67D8C" w:rsidP="00833FF4">
            <w:pPr>
              <w:pStyle w:val="ExhibitText"/>
              <w:jc w:val="right"/>
              <w:rPr>
                <w:lang w:val="en-GB"/>
              </w:rPr>
            </w:pPr>
            <w:r w:rsidRPr="00C666E3">
              <w:rPr>
                <w:lang w:val="en-GB"/>
              </w:rPr>
              <w:t>2</w:t>
            </w:r>
          </w:p>
          <w:p w14:paraId="0D5C86D3" w14:textId="77777777" w:rsidR="00C67D8C" w:rsidRPr="00C666E3" w:rsidRDefault="00C67D8C" w:rsidP="00833FF4">
            <w:pPr>
              <w:pStyle w:val="ExhibitText"/>
              <w:jc w:val="right"/>
              <w:rPr>
                <w:lang w:val="en-GB"/>
              </w:rPr>
            </w:pPr>
            <w:r w:rsidRPr="00C666E3">
              <w:rPr>
                <w:lang w:val="en-GB"/>
              </w:rPr>
              <w:t>1</w:t>
            </w:r>
          </w:p>
          <w:p w14:paraId="31ACFCFB" w14:textId="77777777" w:rsidR="00C67D8C" w:rsidRPr="00C666E3" w:rsidRDefault="00C67D8C" w:rsidP="00833FF4">
            <w:pPr>
              <w:pStyle w:val="ExhibitText"/>
              <w:jc w:val="right"/>
              <w:rPr>
                <w:lang w:val="en-GB"/>
              </w:rPr>
            </w:pPr>
            <w:r w:rsidRPr="00C666E3">
              <w:rPr>
                <w:lang w:val="en-GB"/>
              </w:rPr>
              <w:t>8</w:t>
            </w:r>
          </w:p>
        </w:tc>
        <w:tc>
          <w:tcPr>
            <w:tcW w:w="900" w:type="dxa"/>
            <w:vAlign w:val="center"/>
          </w:tcPr>
          <w:p w14:paraId="54720917" w14:textId="77777777" w:rsidR="00C67D8C" w:rsidRPr="00C666E3" w:rsidRDefault="00C67D8C" w:rsidP="00833FF4">
            <w:pPr>
              <w:pStyle w:val="ExhibitText"/>
              <w:jc w:val="right"/>
              <w:rPr>
                <w:lang w:val="en-GB"/>
              </w:rPr>
            </w:pPr>
            <w:r w:rsidRPr="00C666E3">
              <w:rPr>
                <w:lang w:val="en-GB"/>
              </w:rPr>
              <w:t>130</w:t>
            </w:r>
          </w:p>
          <w:p w14:paraId="35D3A461" w14:textId="77777777" w:rsidR="00C67D8C" w:rsidRPr="00C666E3" w:rsidRDefault="00C67D8C" w:rsidP="00833FF4">
            <w:pPr>
              <w:pStyle w:val="ExhibitText"/>
              <w:jc w:val="right"/>
              <w:rPr>
                <w:lang w:val="en-GB"/>
              </w:rPr>
            </w:pPr>
            <w:r w:rsidRPr="00C666E3">
              <w:rPr>
                <w:lang w:val="en-GB"/>
              </w:rPr>
              <w:t>43</w:t>
            </w:r>
          </w:p>
          <w:p w14:paraId="1355DBBB" w14:textId="77777777" w:rsidR="00C67D8C" w:rsidRPr="00C666E3" w:rsidRDefault="00C67D8C" w:rsidP="00833FF4">
            <w:pPr>
              <w:pStyle w:val="ExhibitText"/>
              <w:jc w:val="right"/>
              <w:rPr>
                <w:lang w:val="en-GB"/>
              </w:rPr>
            </w:pPr>
            <w:r w:rsidRPr="00C666E3">
              <w:rPr>
                <w:lang w:val="en-GB"/>
              </w:rPr>
              <w:t>3</w:t>
            </w:r>
          </w:p>
          <w:p w14:paraId="5FDB5B24" w14:textId="77777777" w:rsidR="00C67D8C" w:rsidRPr="00C666E3" w:rsidRDefault="00C67D8C" w:rsidP="00833FF4">
            <w:pPr>
              <w:pStyle w:val="ExhibitText"/>
              <w:jc w:val="right"/>
              <w:rPr>
                <w:lang w:val="en-GB"/>
              </w:rPr>
            </w:pPr>
            <w:r w:rsidRPr="00C666E3">
              <w:rPr>
                <w:lang w:val="en-GB"/>
              </w:rPr>
              <w:t>3</w:t>
            </w:r>
          </w:p>
          <w:p w14:paraId="7D44557B" w14:textId="77777777" w:rsidR="00C67D8C" w:rsidRPr="00C666E3" w:rsidRDefault="00C67D8C" w:rsidP="00833FF4">
            <w:pPr>
              <w:pStyle w:val="ExhibitText"/>
              <w:jc w:val="right"/>
              <w:rPr>
                <w:lang w:val="en-GB"/>
              </w:rPr>
            </w:pPr>
            <w:r w:rsidRPr="00C666E3">
              <w:rPr>
                <w:lang w:val="en-GB"/>
              </w:rPr>
              <w:t>1</w:t>
            </w:r>
          </w:p>
          <w:p w14:paraId="419054FB" w14:textId="77777777" w:rsidR="00C67D8C" w:rsidRPr="00C666E3" w:rsidRDefault="00C67D8C" w:rsidP="00833FF4">
            <w:pPr>
              <w:pStyle w:val="ExhibitText"/>
              <w:jc w:val="right"/>
              <w:rPr>
                <w:lang w:val="en-GB"/>
              </w:rPr>
            </w:pPr>
            <w:r w:rsidRPr="00C666E3">
              <w:rPr>
                <w:lang w:val="en-GB"/>
              </w:rPr>
              <w:t>8</w:t>
            </w:r>
          </w:p>
        </w:tc>
        <w:tc>
          <w:tcPr>
            <w:tcW w:w="990" w:type="dxa"/>
            <w:shd w:val="clear" w:color="auto" w:fill="auto"/>
            <w:vAlign w:val="center"/>
          </w:tcPr>
          <w:p w14:paraId="5919006B" w14:textId="77777777" w:rsidR="00C67D8C" w:rsidRPr="00C666E3" w:rsidRDefault="00C67D8C" w:rsidP="00833FF4">
            <w:pPr>
              <w:pStyle w:val="ExhibitText"/>
              <w:jc w:val="right"/>
              <w:rPr>
                <w:lang w:val="en-GB"/>
              </w:rPr>
            </w:pPr>
            <w:r w:rsidRPr="00C666E3">
              <w:rPr>
                <w:lang w:val="en-GB"/>
              </w:rPr>
              <w:t>141</w:t>
            </w:r>
          </w:p>
          <w:p w14:paraId="2F31DD8B" w14:textId="77777777" w:rsidR="00C67D8C" w:rsidRPr="00C666E3" w:rsidRDefault="00C67D8C" w:rsidP="00833FF4">
            <w:pPr>
              <w:pStyle w:val="ExhibitText"/>
              <w:jc w:val="right"/>
              <w:rPr>
                <w:lang w:val="en-GB"/>
              </w:rPr>
            </w:pPr>
            <w:r w:rsidRPr="00C666E3">
              <w:rPr>
                <w:lang w:val="en-GB"/>
              </w:rPr>
              <w:t>62</w:t>
            </w:r>
          </w:p>
          <w:p w14:paraId="270CDAB7" w14:textId="77777777" w:rsidR="00C67D8C" w:rsidRPr="00C666E3" w:rsidRDefault="00C67D8C" w:rsidP="00833FF4">
            <w:pPr>
              <w:pStyle w:val="ExhibitText"/>
              <w:jc w:val="right"/>
              <w:rPr>
                <w:lang w:val="en-GB"/>
              </w:rPr>
            </w:pPr>
            <w:r w:rsidRPr="00C666E3">
              <w:rPr>
                <w:lang w:val="en-GB"/>
              </w:rPr>
              <w:t>2</w:t>
            </w:r>
          </w:p>
          <w:p w14:paraId="332F6151" w14:textId="77777777" w:rsidR="00C67D8C" w:rsidRPr="00C666E3" w:rsidRDefault="00C67D8C" w:rsidP="00833FF4">
            <w:pPr>
              <w:pStyle w:val="ExhibitText"/>
              <w:jc w:val="right"/>
              <w:rPr>
                <w:lang w:val="en-GB"/>
              </w:rPr>
            </w:pPr>
            <w:r w:rsidRPr="00C666E3">
              <w:rPr>
                <w:lang w:val="en-GB"/>
              </w:rPr>
              <w:t>4</w:t>
            </w:r>
          </w:p>
          <w:p w14:paraId="3BB53B2A" w14:textId="55D09906" w:rsidR="00C67D8C" w:rsidRPr="00C666E3" w:rsidRDefault="00D553DD" w:rsidP="00833FF4">
            <w:pPr>
              <w:pStyle w:val="ExhibitText"/>
              <w:jc w:val="right"/>
              <w:rPr>
                <w:lang w:val="en-GB"/>
              </w:rPr>
            </w:pPr>
            <w:r>
              <w:rPr>
                <w:lang w:val="en-GB"/>
              </w:rPr>
              <w:t>-</w:t>
            </w:r>
          </w:p>
          <w:p w14:paraId="32AB92D3" w14:textId="77777777" w:rsidR="00C67D8C" w:rsidRPr="00C666E3" w:rsidRDefault="00C67D8C" w:rsidP="00833FF4">
            <w:pPr>
              <w:pStyle w:val="ExhibitText"/>
              <w:jc w:val="right"/>
              <w:rPr>
                <w:lang w:val="en-GB"/>
              </w:rPr>
            </w:pPr>
            <w:r w:rsidRPr="00C666E3">
              <w:rPr>
                <w:lang w:val="en-GB"/>
              </w:rPr>
              <w:t>4</w:t>
            </w:r>
          </w:p>
        </w:tc>
      </w:tr>
      <w:tr w:rsidR="00C67D8C" w:rsidRPr="00C666E3" w14:paraId="599E489B" w14:textId="77777777" w:rsidTr="00833FF4">
        <w:trPr>
          <w:trHeight w:val="271"/>
        </w:trPr>
        <w:tc>
          <w:tcPr>
            <w:tcW w:w="3060" w:type="dxa"/>
            <w:shd w:val="clear" w:color="auto" w:fill="auto"/>
          </w:tcPr>
          <w:p w14:paraId="73DC415C" w14:textId="77777777" w:rsidR="00C67D8C" w:rsidRPr="00C666E3" w:rsidRDefault="00C67D8C" w:rsidP="00833FF4">
            <w:pPr>
              <w:pStyle w:val="ExhibitText"/>
              <w:rPr>
                <w:lang w:val="en-GB"/>
              </w:rPr>
            </w:pPr>
            <w:r w:rsidRPr="00C666E3">
              <w:rPr>
                <w:lang w:val="en-GB"/>
              </w:rPr>
              <w:t>Total Coolers</w:t>
            </w:r>
          </w:p>
        </w:tc>
        <w:tc>
          <w:tcPr>
            <w:tcW w:w="990" w:type="dxa"/>
            <w:vAlign w:val="center"/>
          </w:tcPr>
          <w:p w14:paraId="63C454A4" w14:textId="77777777" w:rsidR="00C67D8C" w:rsidRPr="00C666E3" w:rsidRDefault="00C67D8C" w:rsidP="00833FF4">
            <w:pPr>
              <w:pStyle w:val="ExhibitText"/>
              <w:jc w:val="right"/>
              <w:rPr>
                <w:lang w:val="en-GB"/>
              </w:rPr>
            </w:pPr>
            <w:r w:rsidRPr="00C666E3">
              <w:rPr>
                <w:lang w:val="en-GB"/>
              </w:rPr>
              <w:t>173</w:t>
            </w:r>
          </w:p>
        </w:tc>
        <w:tc>
          <w:tcPr>
            <w:tcW w:w="900" w:type="dxa"/>
            <w:vAlign w:val="center"/>
          </w:tcPr>
          <w:p w14:paraId="7DEFF8E8" w14:textId="77777777" w:rsidR="00C67D8C" w:rsidRPr="00C666E3" w:rsidRDefault="00C67D8C" w:rsidP="00833FF4">
            <w:pPr>
              <w:pStyle w:val="ExhibitText"/>
              <w:jc w:val="right"/>
              <w:rPr>
                <w:lang w:val="en-GB"/>
              </w:rPr>
            </w:pPr>
            <w:r w:rsidRPr="00C666E3">
              <w:rPr>
                <w:lang w:val="en-GB"/>
              </w:rPr>
              <w:t>179</w:t>
            </w:r>
          </w:p>
        </w:tc>
        <w:tc>
          <w:tcPr>
            <w:tcW w:w="900" w:type="dxa"/>
            <w:vAlign w:val="center"/>
          </w:tcPr>
          <w:p w14:paraId="7A2CDA9B" w14:textId="77777777" w:rsidR="00C67D8C" w:rsidRPr="00C666E3" w:rsidRDefault="00C67D8C" w:rsidP="00833FF4">
            <w:pPr>
              <w:pStyle w:val="ExhibitText"/>
              <w:jc w:val="right"/>
              <w:rPr>
                <w:lang w:val="en-GB"/>
              </w:rPr>
            </w:pPr>
            <w:r w:rsidRPr="00C666E3">
              <w:rPr>
                <w:lang w:val="en-GB"/>
              </w:rPr>
              <w:t>180</w:t>
            </w:r>
          </w:p>
        </w:tc>
        <w:tc>
          <w:tcPr>
            <w:tcW w:w="900" w:type="dxa"/>
            <w:vAlign w:val="center"/>
          </w:tcPr>
          <w:p w14:paraId="25CB761B" w14:textId="77777777" w:rsidR="00C67D8C" w:rsidRPr="00C666E3" w:rsidRDefault="00C67D8C" w:rsidP="00833FF4">
            <w:pPr>
              <w:pStyle w:val="ExhibitText"/>
              <w:jc w:val="right"/>
              <w:rPr>
                <w:lang w:val="en-GB"/>
              </w:rPr>
            </w:pPr>
            <w:r w:rsidRPr="00C666E3">
              <w:rPr>
                <w:lang w:val="en-GB"/>
              </w:rPr>
              <w:t>188</w:t>
            </w:r>
          </w:p>
        </w:tc>
        <w:tc>
          <w:tcPr>
            <w:tcW w:w="990" w:type="dxa"/>
            <w:shd w:val="clear" w:color="auto" w:fill="auto"/>
            <w:vAlign w:val="center"/>
          </w:tcPr>
          <w:p w14:paraId="097E9EC9" w14:textId="77777777" w:rsidR="00C67D8C" w:rsidRPr="00C666E3" w:rsidRDefault="00C67D8C" w:rsidP="00833FF4">
            <w:pPr>
              <w:pStyle w:val="ExhibitText"/>
              <w:jc w:val="right"/>
              <w:rPr>
                <w:lang w:val="en-GB"/>
              </w:rPr>
            </w:pPr>
            <w:r w:rsidRPr="00C666E3">
              <w:rPr>
                <w:lang w:val="en-GB"/>
              </w:rPr>
              <w:t>213</w:t>
            </w:r>
          </w:p>
        </w:tc>
      </w:tr>
      <w:tr w:rsidR="00C67D8C" w:rsidRPr="00C666E3" w14:paraId="645ED229" w14:textId="77777777" w:rsidTr="00833FF4">
        <w:trPr>
          <w:trHeight w:val="552"/>
        </w:trPr>
        <w:tc>
          <w:tcPr>
            <w:tcW w:w="3060" w:type="dxa"/>
            <w:shd w:val="clear" w:color="auto" w:fill="auto"/>
          </w:tcPr>
          <w:p w14:paraId="28543601" w14:textId="77777777" w:rsidR="00C67D8C" w:rsidRPr="00C666E3" w:rsidRDefault="00C67D8C" w:rsidP="00833FF4">
            <w:pPr>
              <w:pStyle w:val="ExhibitText"/>
              <w:rPr>
                <w:lang w:val="en-GB"/>
              </w:rPr>
            </w:pPr>
            <w:r w:rsidRPr="00C666E3">
              <w:rPr>
                <w:lang w:val="en-GB"/>
              </w:rPr>
              <w:t>Total Domestic</w:t>
            </w:r>
          </w:p>
          <w:p w14:paraId="41A89A15" w14:textId="77777777" w:rsidR="00C67D8C" w:rsidRPr="00C666E3" w:rsidRDefault="00C67D8C" w:rsidP="00833FF4">
            <w:pPr>
              <w:pStyle w:val="ExhibitText"/>
              <w:rPr>
                <w:lang w:val="en-GB"/>
              </w:rPr>
            </w:pPr>
            <w:r w:rsidRPr="00C666E3">
              <w:rPr>
                <w:lang w:val="en-GB"/>
              </w:rPr>
              <w:t>Total Imported</w:t>
            </w:r>
          </w:p>
          <w:p w14:paraId="7C2BE9AC" w14:textId="77777777" w:rsidR="00C67D8C" w:rsidRPr="00C666E3" w:rsidRDefault="00C67D8C" w:rsidP="00833FF4">
            <w:pPr>
              <w:pStyle w:val="ExhibitText"/>
              <w:rPr>
                <w:lang w:val="en-GB"/>
              </w:rPr>
            </w:pPr>
            <w:r w:rsidRPr="00C666E3">
              <w:rPr>
                <w:lang w:val="en-GB"/>
              </w:rPr>
              <w:t xml:space="preserve">Other </w:t>
            </w:r>
            <w:r>
              <w:rPr>
                <w:lang w:val="en-GB"/>
              </w:rPr>
              <w:t>S</w:t>
            </w:r>
            <w:r w:rsidRPr="00C666E3">
              <w:rPr>
                <w:lang w:val="en-GB"/>
              </w:rPr>
              <w:t>ales</w:t>
            </w:r>
          </w:p>
        </w:tc>
        <w:tc>
          <w:tcPr>
            <w:tcW w:w="990" w:type="dxa"/>
            <w:vAlign w:val="center"/>
          </w:tcPr>
          <w:p w14:paraId="3BB067B7" w14:textId="77777777" w:rsidR="00C67D8C" w:rsidRPr="00C666E3" w:rsidRDefault="00C67D8C" w:rsidP="00833FF4">
            <w:pPr>
              <w:pStyle w:val="ExhibitText"/>
              <w:jc w:val="right"/>
              <w:rPr>
                <w:lang w:val="en-GB"/>
              </w:rPr>
            </w:pPr>
            <w:r w:rsidRPr="00C666E3">
              <w:rPr>
                <w:lang w:val="en-GB"/>
              </w:rPr>
              <w:t>1,899</w:t>
            </w:r>
          </w:p>
          <w:p w14:paraId="7987B79C" w14:textId="77777777" w:rsidR="00C67D8C" w:rsidRPr="00C666E3" w:rsidRDefault="00C67D8C" w:rsidP="00833FF4">
            <w:pPr>
              <w:pStyle w:val="ExhibitText"/>
              <w:jc w:val="right"/>
              <w:rPr>
                <w:lang w:val="en-GB"/>
              </w:rPr>
            </w:pPr>
            <w:r w:rsidRPr="00C666E3">
              <w:rPr>
                <w:lang w:val="en-GB"/>
              </w:rPr>
              <w:t>2,813</w:t>
            </w:r>
          </w:p>
          <w:p w14:paraId="669BDD98" w14:textId="77777777" w:rsidR="00C67D8C" w:rsidRPr="00C666E3" w:rsidRDefault="00C67D8C" w:rsidP="00833FF4">
            <w:pPr>
              <w:pStyle w:val="ExhibitText"/>
              <w:jc w:val="right"/>
              <w:rPr>
                <w:lang w:val="en-GB"/>
              </w:rPr>
            </w:pPr>
            <w:r w:rsidRPr="00C666E3">
              <w:rPr>
                <w:lang w:val="en-GB"/>
              </w:rPr>
              <w:t>(1)</w:t>
            </w:r>
          </w:p>
        </w:tc>
        <w:tc>
          <w:tcPr>
            <w:tcW w:w="900" w:type="dxa"/>
            <w:vAlign w:val="center"/>
          </w:tcPr>
          <w:p w14:paraId="04910F3A" w14:textId="77777777" w:rsidR="00C67D8C" w:rsidRPr="00C666E3" w:rsidRDefault="00C67D8C" w:rsidP="00833FF4">
            <w:pPr>
              <w:pStyle w:val="ExhibitText"/>
              <w:jc w:val="right"/>
              <w:rPr>
                <w:lang w:val="en-GB"/>
              </w:rPr>
            </w:pPr>
            <w:r w:rsidRPr="00C666E3">
              <w:rPr>
                <w:lang w:val="en-GB"/>
              </w:rPr>
              <w:t>1,946</w:t>
            </w:r>
          </w:p>
          <w:p w14:paraId="4C01D2FA" w14:textId="77777777" w:rsidR="00C67D8C" w:rsidRPr="00C666E3" w:rsidRDefault="00C67D8C" w:rsidP="00833FF4">
            <w:pPr>
              <w:pStyle w:val="ExhibitText"/>
              <w:jc w:val="right"/>
              <w:rPr>
                <w:lang w:val="en-GB"/>
              </w:rPr>
            </w:pPr>
            <w:r w:rsidRPr="00C666E3">
              <w:rPr>
                <w:lang w:val="en-GB"/>
              </w:rPr>
              <w:t>2,948</w:t>
            </w:r>
          </w:p>
          <w:p w14:paraId="7D078F6B" w14:textId="77777777" w:rsidR="00C67D8C" w:rsidRPr="00C666E3" w:rsidRDefault="00C67D8C" w:rsidP="00833FF4">
            <w:pPr>
              <w:pStyle w:val="ExhibitText"/>
              <w:jc w:val="right"/>
              <w:rPr>
                <w:lang w:val="en-GB"/>
              </w:rPr>
            </w:pPr>
            <w:r w:rsidRPr="00C666E3">
              <w:rPr>
                <w:lang w:val="en-GB"/>
              </w:rPr>
              <w:t>(2)</w:t>
            </w:r>
          </w:p>
        </w:tc>
        <w:tc>
          <w:tcPr>
            <w:tcW w:w="900" w:type="dxa"/>
            <w:vAlign w:val="center"/>
          </w:tcPr>
          <w:p w14:paraId="2615EA78" w14:textId="77777777" w:rsidR="00C67D8C" w:rsidRPr="00C666E3" w:rsidRDefault="00C67D8C" w:rsidP="00833FF4">
            <w:pPr>
              <w:pStyle w:val="ExhibitText"/>
              <w:jc w:val="right"/>
              <w:rPr>
                <w:lang w:val="en-GB"/>
              </w:rPr>
            </w:pPr>
            <w:r w:rsidRPr="00C666E3">
              <w:rPr>
                <w:lang w:val="en-GB"/>
              </w:rPr>
              <w:t>1,958</w:t>
            </w:r>
          </w:p>
          <w:p w14:paraId="31D0B4F8" w14:textId="77777777" w:rsidR="00C67D8C" w:rsidRPr="00C666E3" w:rsidRDefault="00C67D8C" w:rsidP="00833FF4">
            <w:pPr>
              <w:pStyle w:val="ExhibitText"/>
              <w:jc w:val="right"/>
              <w:rPr>
                <w:lang w:val="en-GB"/>
              </w:rPr>
            </w:pPr>
            <w:r w:rsidRPr="00C666E3">
              <w:rPr>
                <w:lang w:val="en-GB"/>
              </w:rPr>
              <w:t>3,043</w:t>
            </w:r>
          </w:p>
          <w:p w14:paraId="2EBB4A7D" w14:textId="77777777" w:rsidR="00C67D8C" w:rsidRPr="00C666E3" w:rsidRDefault="00C67D8C" w:rsidP="00833FF4">
            <w:pPr>
              <w:pStyle w:val="ExhibitText"/>
              <w:jc w:val="right"/>
              <w:rPr>
                <w:lang w:val="en-GB"/>
              </w:rPr>
            </w:pPr>
            <w:r w:rsidRPr="00C666E3">
              <w:rPr>
                <w:lang w:val="en-GB"/>
              </w:rPr>
              <w:t>(4)</w:t>
            </w:r>
          </w:p>
        </w:tc>
        <w:tc>
          <w:tcPr>
            <w:tcW w:w="900" w:type="dxa"/>
            <w:vAlign w:val="center"/>
          </w:tcPr>
          <w:p w14:paraId="62256052" w14:textId="77777777" w:rsidR="00C67D8C" w:rsidRPr="00C666E3" w:rsidRDefault="00C67D8C" w:rsidP="00833FF4">
            <w:pPr>
              <w:pStyle w:val="ExhibitText"/>
              <w:jc w:val="right"/>
              <w:rPr>
                <w:lang w:val="en-GB"/>
              </w:rPr>
            </w:pPr>
            <w:r w:rsidRPr="00C666E3">
              <w:rPr>
                <w:lang w:val="en-GB"/>
              </w:rPr>
              <w:t>2,023</w:t>
            </w:r>
          </w:p>
          <w:p w14:paraId="4EED0B7F" w14:textId="77777777" w:rsidR="00C67D8C" w:rsidRPr="00C666E3" w:rsidRDefault="00C67D8C" w:rsidP="00833FF4">
            <w:pPr>
              <w:pStyle w:val="ExhibitText"/>
              <w:jc w:val="right"/>
              <w:rPr>
                <w:lang w:val="en-GB"/>
              </w:rPr>
            </w:pPr>
            <w:r w:rsidRPr="00C666E3">
              <w:rPr>
                <w:lang w:val="en-GB"/>
              </w:rPr>
              <w:t>3,192</w:t>
            </w:r>
          </w:p>
          <w:p w14:paraId="76DEDB94" w14:textId="77777777" w:rsidR="00C67D8C" w:rsidRPr="00C666E3" w:rsidRDefault="00C67D8C" w:rsidP="00833FF4">
            <w:pPr>
              <w:pStyle w:val="ExhibitText"/>
              <w:jc w:val="right"/>
              <w:rPr>
                <w:lang w:val="en-GB"/>
              </w:rPr>
            </w:pPr>
            <w:r w:rsidRPr="00C666E3">
              <w:rPr>
                <w:lang w:val="en-GB"/>
              </w:rPr>
              <w:t>1</w:t>
            </w:r>
          </w:p>
        </w:tc>
        <w:tc>
          <w:tcPr>
            <w:tcW w:w="990" w:type="dxa"/>
            <w:shd w:val="clear" w:color="auto" w:fill="auto"/>
            <w:vAlign w:val="center"/>
          </w:tcPr>
          <w:p w14:paraId="5E9AB1CD" w14:textId="77777777" w:rsidR="00C67D8C" w:rsidRPr="00C666E3" w:rsidRDefault="00C67D8C" w:rsidP="00833FF4">
            <w:pPr>
              <w:pStyle w:val="ExhibitText"/>
              <w:jc w:val="right"/>
              <w:rPr>
                <w:lang w:val="en-GB"/>
              </w:rPr>
            </w:pPr>
            <w:r w:rsidRPr="00C666E3">
              <w:rPr>
                <w:lang w:val="en-GB"/>
              </w:rPr>
              <w:t>2,163</w:t>
            </w:r>
          </w:p>
          <w:p w14:paraId="6FA3FB2F" w14:textId="77777777" w:rsidR="00C67D8C" w:rsidRPr="00C666E3" w:rsidRDefault="00C67D8C" w:rsidP="00833FF4">
            <w:pPr>
              <w:pStyle w:val="ExhibitText"/>
              <w:jc w:val="right"/>
              <w:rPr>
                <w:lang w:val="en-GB"/>
              </w:rPr>
            </w:pPr>
            <w:r w:rsidRPr="00C666E3">
              <w:rPr>
                <w:lang w:val="en-GB"/>
              </w:rPr>
              <w:t>3,407</w:t>
            </w:r>
          </w:p>
          <w:p w14:paraId="00E821A1" w14:textId="77777777" w:rsidR="00C67D8C" w:rsidRPr="00C666E3" w:rsidRDefault="00C67D8C" w:rsidP="00833FF4">
            <w:pPr>
              <w:pStyle w:val="ExhibitText"/>
              <w:jc w:val="right"/>
              <w:rPr>
                <w:lang w:val="en-GB"/>
              </w:rPr>
            </w:pPr>
            <w:r w:rsidRPr="00C666E3">
              <w:rPr>
                <w:lang w:val="en-GB"/>
              </w:rPr>
              <w:t>2</w:t>
            </w:r>
          </w:p>
        </w:tc>
      </w:tr>
      <w:tr w:rsidR="00C67D8C" w:rsidRPr="00C666E3" w14:paraId="58CC561F" w14:textId="77777777" w:rsidTr="00833FF4">
        <w:trPr>
          <w:trHeight w:val="271"/>
        </w:trPr>
        <w:tc>
          <w:tcPr>
            <w:tcW w:w="3060" w:type="dxa"/>
            <w:shd w:val="clear" w:color="auto" w:fill="auto"/>
          </w:tcPr>
          <w:p w14:paraId="24B16356" w14:textId="77777777" w:rsidR="00C67D8C" w:rsidRPr="00C666E3" w:rsidRDefault="00C67D8C" w:rsidP="00833FF4">
            <w:pPr>
              <w:pStyle w:val="ExhibitText"/>
              <w:rPr>
                <w:lang w:val="en-GB"/>
              </w:rPr>
            </w:pPr>
            <w:r w:rsidRPr="00C666E3">
              <w:rPr>
                <w:lang w:val="en-GB"/>
              </w:rPr>
              <w:t>Total LCBO</w:t>
            </w:r>
          </w:p>
        </w:tc>
        <w:tc>
          <w:tcPr>
            <w:tcW w:w="990" w:type="dxa"/>
            <w:vAlign w:val="center"/>
          </w:tcPr>
          <w:p w14:paraId="443CA386" w14:textId="77777777" w:rsidR="00C67D8C" w:rsidRPr="00C666E3" w:rsidRDefault="00C67D8C" w:rsidP="00833FF4">
            <w:pPr>
              <w:pStyle w:val="ExhibitText"/>
              <w:jc w:val="right"/>
              <w:rPr>
                <w:lang w:val="en-GB"/>
              </w:rPr>
            </w:pPr>
            <w:r w:rsidRPr="00C666E3">
              <w:rPr>
                <w:lang w:val="en-GB"/>
              </w:rPr>
              <w:t>4,711</w:t>
            </w:r>
          </w:p>
        </w:tc>
        <w:tc>
          <w:tcPr>
            <w:tcW w:w="900" w:type="dxa"/>
            <w:vAlign w:val="center"/>
          </w:tcPr>
          <w:p w14:paraId="655A17E1" w14:textId="77777777" w:rsidR="00C67D8C" w:rsidRPr="00C666E3" w:rsidRDefault="00C67D8C" w:rsidP="00833FF4">
            <w:pPr>
              <w:pStyle w:val="ExhibitText"/>
              <w:jc w:val="right"/>
              <w:rPr>
                <w:lang w:val="en-GB"/>
              </w:rPr>
            </w:pPr>
            <w:r w:rsidRPr="00C666E3">
              <w:rPr>
                <w:lang w:val="en-GB"/>
              </w:rPr>
              <w:t>4,892</w:t>
            </w:r>
          </w:p>
        </w:tc>
        <w:tc>
          <w:tcPr>
            <w:tcW w:w="900" w:type="dxa"/>
            <w:vAlign w:val="center"/>
          </w:tcPr>
          <w:p w14:paraId="4C530886" w14:textId="77777777" w:rsidR="00C67D8C" w:rsidRPr="00C666E3" w:rsidRDefault="00C67D8C" w:rsidP="00833FF4">
            <w:pPr>
              <w:pStyle w:val="ExhibitText"/>
              <w:jc w:val="right"/>
              <w:rPr>
                <w:lang w:val="en-GB"/>
              </w:rPr>
            </w:pPr>
            <w:r w:rsidRPr="00C666E3">
              <w:rPr>
                <w:lang w:val="en-GB"/>
              </w:rPr>
              <w:t>4,997</w:t>
            </w:r>
          </w:p>
        </w:tc>
        <w:tc>
          <w:tcPr>
            <w:tcW w:w="900" w:type="dxa"/>
            <w:vAlign w:val="center"/>
          </w:tcPr>
          <w:p w14:paraId="287AEB33" w14:textId="77777777" w:rsidR="00C67D8C" w:rsidRPr="00C666E3" w:rsidRDefault="00C67D8C" w:rsidP="00833FF4">
            <w:pPr>
              <w:pStyle w:val="ExhibitText"/>
              <w:jc w:val="right"/>
              <w:rPr>
                <w:lang w:val="en-GB"/>
              </w:rPr>
            </w:pPr>
            <w:r w:rsidRPr="00C666E3">
              <w:rPr>
                <w:lang w:val="en-GB"/>
              </w:rPr>
              <w:t>5,216</w:t>
            </w:r>
          </w:p>
        </w:tc>
        <w:tc>
          <w:tcPr>
            <w:tcW w:w="990" w:type="dxa"/>
            <w:shd w:val="clear" w:color="auto" w:fill="auto"/>
            <w:vAlign w:val="center"/>
          </w:tcPr>
          <w:p w14:paraId="0E9DDA4C" w14:textId="77777777" w:rsidR="00C67D8C" w:rsidRPr="00C666E3" w:rsidRDefault="00C67D8C" w:rsidP="00833FF4">
            <w:pPr>
              <w:pStyle w:val="ExhibitText"/>
              <w:jc w:val="right"/>
              <w:rPr>
                <w:lang w:val="en-GB"/>
              </w:rPr>
            </w:pPr>
            <w:r w:rsidRPr="00C666E3">
              <w:rPr>
                <w:lang w:val="en-GB"/>
              </w:rPr>
              <w:t>5,572</w:t>
            </w:r>
          </w:p>
        </w:tc>
      </w:tr>
    </w:tbl>
    <w:p w14:paraId="3210CC2A" w14:textId="77777777" w:rsidR="00C67D8C" w:rsidRPr="00C666E3" w:rsidRDefault="00C67D8C" w:rsidP="00C67D8C">
      <w:pPr>
        <w:pStyle w:val="ExhibitText"/>
        <w:rPr>
          <w:lang w:val="en-GB"/>
        </w:rPr>
      </w:pPr>
    </w:p>
    <w:p w14:paraId="4975261F" w14:textId="77777777" w:rsidR="00C67D8C" w:rsidRDefault="00C67D8C" w:rsidP="00C67D8C">
      <w:pPr>
        <w:pStyle w:val="Footnote"/>
        <w:rPr>
          <w:lang w:val="en-GB"/>
        </w:rPr>
      </w:pPr>
      <w:r>
        <w:rPr>
          <w:lang w:val="en-GB"/>
        </w:rPr>
        <w:t>Note: LCBO = Liquor Control Board of Ontario</w:t>
      </w:r>
    </w:p>
    <w:p w14:paraId="2E445C50" w14:textId="77777777" w:rsidR="00C67D8C" w:rsidRPr="00C666E3" w:rsidRDefault="00C67D8C" w:rsidP="00C67D8C">
      <w:pPr>
        <w:pStyle w:val="Footnote"/>
        <w:rPr>
          <w:lang w:val="en-GB"/>
        </w:rPr>
      </w:pPr>
      <w:r w:rsidRPr="00C666E3">
        <w:rPr>
          <w:lang w:val="en-GB"/>
        </w:rPr>
        <w:t>Source: Company files.</w:t>
      </w:r>
    </w:p>
    <w:p w14:paraId="0F9635DE" w14:textId="77777777" w:rsidR="00C67D8C" w:rsidRPr="00C666E3" w:rsidRDefault="00C67D8C" w:rsidP="00C67D8C">
      <w:pPr>
        <w:pStyle w:val="ExhibitText"/>
        <w:rPr>
          <w:lang w:val="en-GB"/>
        </w:rPr>
      </w:pPr>
    </w:p>
    <w:p w14:paraId="109D4019" w14:textId="77777777" w:rsidR="00C67D8C" w:rsidRPr="00C666E3" w:rsidRDefault="00C67D8C" w:rsidP="00C67D8C">
      <w:pPr>
        <w:pStyle w:val="ExhibitText"/>
        <w:rPr>
          <w:lang w:val="en-GB"/>
        </w:rPr>
      </w:pPr>
    </w:p>
    <w:p w14:paraId="7BB0A644" w14:textId="77777777" w:rsidR="00C67D8C" w:rsidRPr="00C666E3" w:rsidRDefault="00C67D8C" w:rsidP="00C67D8C">
      <w:pPr>
        <w:pStyle w:val="ExhibitHeading"/>
        <w:rPr>
          <w:lang w:val="en-GB"/>
        </w:rPr>
      </w:pPr>
      <w:r w:rsidRPr="00C666E3">
        <w:rPr>
          <w:lang w:val="en-GB"/>
        </w:rPr>
        <w:t>Exhibit 5: L</w:t>
      </w:r>
      <w:r>
        <w:rPr>
          <w:lang w:val="en-GB"/>
        </w:rPr>
        <w:t xml:space="preserve">iquor </w:t>
      </w:r>
      <w:r w:rsidRPr="00C666E3">
        <w:rPr>
          <w:lang w:val="en-GB"/>
        </w:rPr>
        <w:t>C</w:t>
      </w:r>
      <w:r>
        <w:rPr>
          <w:lang w:val="en-GB"/>
        </w:rPr>
        <w:t xml:space="preserve">ontrol </w:t>
      </w:r>
      <w:r w:rsidRPr="00C666E3">
        <w:rPr>
          <w:lang w:val="en-GB"/>
        </w:rPr>
        <w:t>BO</w:t>
      </w:r>
      <w:r>
        <w:rPr>
          <w:lang w:val="en-GB"/>
        </w:rPr>
        <w:t>ard’s</w:t>
      </w:r>
      <w:r w:rsidRPr="00C666E3">
        <w:rPr>
          <w:lang w:val="en-GB"/>
        </w:rPr>
        <w:t xml:space="preserve"> KEY GROWTH INDICATORS</w:t>
      </w:r>
      <w:r>
        <w:rPr>
          <w:lang w:val="en-GB"/>
        </w:rPr>
        <w:t>, 2012–2016</w:t>
      </w:r>
    </w:p>
    <w:p w14:paraId="42E77ED5" w14:textId="77777777" w:rsidR="00C67D8C" w:rsidRPr="00C666E3" w:rsidRDefault="00C67D8C" w:rsidP="00C67D8C">
      <w:pPr>
        <w:pStyle w:val="ExhibitText"/>
        <w:rPr>
          <w:lang w:val="en-GB"/>
        </w:rPr>
      </w:pPr>
    </w:p>
    <w:tbl>
      <w:tblPr>
        <w:tblW w:w="92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0"/>
        <w:gridCol w:w="989"/>
        <w:gridCol w:w="989"/>
        <w:gridCol w:w="989"/>
        <w:gridCol w:w="989"/>
        <w:gridCol w:w="989"/>
      </w:tblGrid>
      <w:tr w:rsidR="00C67D8C" w:rsidRPr="00C666E3" w14:paraId="0E33E1B2" w14:textId="77777777" w:rsidTr="004048F7">
        <w:trPr>
          <w:jc w:val="center"/>
        </w:trPr>
        <w:tc>
          <w:tcPr>
            <w:tcW w:w="4330" w:type="dxa"/>
            <w:shd w:val="clear" w:color="auto" w:fill="auto"/>
            <w:vAlign w:val="center"/>
          </w:tcPr>
          <w:p w14:paraId="45F97C3B" w14:textId="517ED9B5" w:rsidR="00C67D8C" w:rsidRPr="00C666E3" w:rsidRDefault="00C67D8C" w:rsidP="00833FF4">
            <w:pPr>
              <w:pStyle w:val="ExhibitText"/>
              <w:jc w:val="center"/>
              <w:rPr>
                <w:b/>
                <w:lang w:val="en-GB"/>
              </w:rPr>
            </w:pPr>
            <w:r w:rsidRPr="00C666E3">
              <w:rPr>
                <w:b/>
                <w:lang w:val="en-GB"/>
              </w:rPr>
              <w:t xml:space="preserve">Fiscal </w:t>
            </w:r>
            <w:r>
              <w:rPr>
                <w:b/>
                <w:lang w:val="en-GB"/>
              </w:rPr>
              <w:t>Y</w:t>
            </w:r>
            <w:r w:rsidRPr="00C666E3">
              <w:rPr>
                <w:b/>
                <w:lang w:val="en-GB"/>
              </w:rPr>
              <w:t>ear</w:t>
            </w:r>
            <w:bookmarkStart w:id="4" w:name="_GoBack"/>
            <w:bookmarkEnd w:id="4"/>
          </w:p>
        </w:tc>
        <w:tc>
          <w:tcPr>
            <w:tcW w:w="989" w:type="dxa"/>
            <w:vAlign w:val="center"/>
          </w:tcPr>
          <w:p w14:paraId="0F1FCEE2" w14:textId="77777777" w:rsidR="00C67D8C" w:rsidRPr="00C666E3" w:rsidRDefault="00C67D8C" w:rsidP="00833FF4">
            <w:pPr>
              <w:pStyle w:val="ExhibitText"/>
              <w:jc w:val="center"/>
              <w:rPr>
                <w:b/>
                <w:lang w:val="en-GB"/>
              </w:rPr>
            </w:pPr>
            <w:r w:rsidRPr="00C666E3">
              <w:rPr>
                <w:b/>
                <w:lang w:val="en-GB"/>
              </w:rPr>
              <w:t>2012</w:t>
            </w:r>
          </w:p>
        </w:tc>
        <w:tc>
          <w:tcPr>
            <w:tcW w:w="989" w:type="dxa"/>
            <w:vAlign w:val="center"/>
          </w:tcPr>
          <w:p w14:paraId="525079B6" w14:textId="77777777" w:rsidR="00C67D8C" w:rsidRPr="00C666E3" w:rsidRDefault="00C67D8C" w:rsidP="00833FF4">
            <w:pPr>
              <w:pStyle w:val="ExhibitText"/>
              <w:jc w:val="center"/>
              <w:rPr>
                <w:b/>
                <w:lang w:val="en-GB"/>
              </w:rPr>
            </w:pPr>
            <w:r w:rsidRPr="00C666E3">
              <w:rPr>
                <w:b/>
                <w:lang w:val="en-GB"/>
              </w:rPr>
              <w:t>2013</w:t>
            </w:r>
          </w:p>
        </w:tc>
        <w:tc>
          <w:tcPr>
            <w:tcW w:w="989" w:type="dxa"/>
            <w:vAlign w:val="center"/>
          </w:tcPr>
          <w:p w14:paraId="745A0B23" w14:textId="77777777" w:rsidR="00C67D8C" w:rsidRPr="00C666E3" w:rsidRDefault="00C67D8C" w:rsidP="00833FF4">
            <w:pPr>
              <w:pStyle w:val="ExhibitText"/>
              <w:jc w:val="center"/>
              <w:rPr>
                <w:b/>
                <w:lang w:val="en-GB"/>
              </w:rPr>
            </w:pPr>
            <w:r w:rsidRPr="00C666E3">
              <w:rPr>
                <w:b/>
                <w:lang w:val="en-GB"/>
              </w:rPr>
              <w:t>2014</w:t>
            </w:r>
          </w:p>
        </w:tc>
        <w:tc>
          <w:tcPr>
            <w:tcW w:w="989" w:type="dxa"/>
            <w:vAlign w:val="center"/>
          </w:tcPr>
          <w:p w14:paraId="3D6A3D9E" w14:textId="77777777" w:rsidR="00C67D8C" w:rsidRPr="00C666E3" w:rsidRDefault="00C67D8C" w:rsidP="00833FF4">
            <w:pPr>
              <w:pStyle w:val="ExhibitText"/>
              <w:jc w:val="center"/>
              <w:rPr>
                <w:b/>
                <w:lang w:val="en-GB"/>
              </w:rPr>
            </w:pPr>
            <w:r w:rsidRPr="00C666E3">
              <w:rPr>
                <w:b/>
                <w:lang w:val="en-GB"/>
              </w:rPr>
              <w:t>2015</w:t>
            </w:r>
          </w:p>
        </w:tc>
        <w:tc>
          <w:tcPr>
            <w:tcW w:w="989" w:type="dxa"/>
            <w:shd w:val="clear" w:color="auto" w:fill="auto"/>
            <w:vAlign w:val="center"/>
          </w:tcPr>
          <w:p w14:paraId="2FCAB2A3" w14:textId="77777777" w:rsidR="00C67D8C" w:rsidRPr="00C666E3" w:rsidRDefault="00C67D8C" w:rsidP="00833FF4">
            <w:pPr>
              <w:pStyle w:val="ExhibitText"/>
              <w:jc w:val="center"/>
              <w:rPr>
                <w:b/>
                <w:lang w:val="en-GB"/>
              </w:rPr>
            </w:pPr>
            <w:r w:rsidRPr="00C666E3">
              <w:rPr>
                <w:b/>
                <w:lang w:val="en-GB"/>
              </w:rPr>
              <w:t>2016</w:t>
            </w:r>
          </w:p>
        </w:tc>
      </w:tr>
      <w:tr w:rsidR="00C67D8C" w:rsidRPr="00C666E3" w14:paraId="3508CC52" w14:textId="77777777" w:rsidTr="004048F7">
        <w:trPr>
          <w:jc w:val="center"/>
        </w:trPr>
        <w:tc>
          <w:tcPr>
            <w:tcW w:w="4330" w:type="dxa"/>
            <w:shd w:val="clear" w:color="auto" w:fill="auto"/>
            <w:vAlign w:val="center"/>
          </w:tcPr>
          <w:p w14:paraId="77663244" w14:textId="77777777" w:rsidR="00C67D8C" w:rsidRPr="00C666E3" w:rsidRDefault="00C67D8C" w:rsidP="00833FF4">
            <w:pPr>
              <w:pStyle w:val="ExhibitText"/>
              <w:jc w:val="left"/>
              <w:rPr>
                <w:lang w:val="en-GB"/>
              </w:rPr>
            </w:pPr>
            <w:r w:rsidRPr="00C666E3">
              <w:rPr>
                <w:lang w:val="en-GB"/>
              </w:rPr>
              <w:t xml:space="preserve">Number of </w:t>
            </w:r>
            <w:r>
              <w:rPr>
                <w:lang w:val="en-GB"/>
              </w:rPr>
              <w:t>c</w:t>
            </w:r>
            <w:r w:rsidRPr="00C666E3">
              <w:rPr>
                <w:lang w:val="en-GB"/>
              </w:rPr>
              <w:t xml:space="preserve">ustomer </w:t>
            </w:r>
            <w:r>
              <w:rPr>
                <w:lang w:val="en-GB"/>
              </w:rPr>
              <w:t>t</w:t>
            </w:r>
            <w:r w:rsidRPr="00C666E3">
              <w:rPr>
                <w:lang w:val="en-GB"/>
              </w:rPr>
              <w:t>ransactions</w:t>
            </w:r>
          </w:p>
        </w:tc>
        <w:tc>
          <w:tcPr>
            <w:tcW w:w="989" w:type="dxa"/>
            <w:vAlign w:val="center"/>
          </w:tcPr>
          <w:p w14:paraId="26A35B48" w14:textId="77777777" w:rsidR="00C67D8C" w:rsidRPr="00C666E3" w:rsidRDefault="00C67D8C" w:rsidP="00833FF4">
            <w:pPr>
              <w:pStyle w:val="ExhibitText"/>
              <w:jc w:val="right"/>
              <w:rPr>
                <w:lang w:val="en-GB"/>
              </w:rPr>
            </w:pPr>
            <w:r w:rsidRPr="00C666E3">
              <w:rPr>
                <w:lang w:val="en-GB"/>
              </w:rPr>
              <w:t>124,530</w:t>
            </w:r>
          </w:p>
        </w:tc>
        <w:tc>
          <w:tcPr>
            <w:tcW w:w="989" w:type="dxa"/>
            <w:vAlign w:val="center"/>
          </w:tcPr>
          <w:p w14:paraId="63F1A74E" w14:textId="77777777" w:rsidR="00C67D8C" w:rsidRPr="00C666E3" w:rsidRDefault="00C67D8C" w:rsidP="00833FF4">
            <w:pPr>
              <w:pStyle w:val="ExhibitText"/>
              <w:jc w:val="right"/>
              <w:rPr>
                <w:lang w:val="en-GB"/>
              </w:rPr>
            </w:pPr>
            <w:r w:rsidRPr="00C666E3">
              <w:rPr>
                <w:lang w:val="en-GB"/>
              </w:rPr>
              <w:t>126,460</w:t>
            </w:r>
          </w:p>
        </w:tc>
        <w:tc>
          <w:tcPr>
            <w:tcW w:w="989" w:type="dxa"/>
            <w:vAlign w:val="center"/>
          </w:tcPr>
          <w:p w14:paraId="48AC467C" w14:textId="77777777" w:rsidR="00C67D8C" w:rsidRPr="00C666E3" w:rsidRDefault="00C67D8C" w:rsidP="00833FF4">
            <w:pPr>
              <w:pStyle w:val="ExhibitText"/>
              <w:jc w:val="right"/>
              <w:rPr>
                <w:lang w:val="en-GB"/>
              </w:rPr>
            </w:pPr>
            <w:r w:rsidRPr="00C666E3">
              <w:rPr>
                <w:lang w:val="en-GB"/>
              </w:rPr>
              <w:t>126,840</w:t>
            </w:r>
          </w:p>
        </w:tc>
        <w:tc>
          <w:tcPr>
            <w:tcW w:w="989" w:type="dxa"/>
            <w:vAlign w:val="center"/>
          </w:tcPr>
          <w:p w14:paraId="1418D326" w14:textId="77777777" w:rsidR="00C67D8C" w:rsidRPr="00C666E3" w:rsidRDefault="00C67D8C" w:rsidP="00833FF4">
            <w:pPr>
              <w:pStyle w:val="ExhibitText"/>
              <w:jc w:val="right"/>
              <w:rPr>
                <w:lang w:val="en-GB"/>
              </w:rPr>
            </w:pPr>
            <w:r w:rsidRPr="00C666E3">
              <w:rPr>
                <w:lang w:val="en-GB"/>
              </w:rPr>
              <w:t>130,885</w:t>
            </w:r>
          </w:p>
        </w:tc>
        <w:tc>
          <w:tcPr>
            <w:tcW w:w="989" w:type="dxa"/>
            <w:shd w:val="clear" w:color="auto" w:fill="auto"/>
            <w:vAlign w:val="center"/>
          </w:tcPr>
          <w:p w14:paraId="176912F4" w14:textId="77777777" w:rsidR="00C67D8C" w:rsidRPr="00C666E3" w:rsidRDefault="00C67D8C" w:rsidP="00833FF4">
            <w:pPr>
              <w:pStyle w:val="ExhibitText"/>
              <w:jc w:val="right"/>
              <w:rPr>
                <w:lang w:val="en-GB"/>
              </w:rPr>
            </w:pPr>
            <w:r w:rsidRPr="00C666E3">
              <w:rPr>
                <w:lang w:val="en-GB"/>
              </w:rPr>
              <w:t>137,244</w:t>
            </w:r>
          </w:p>
        </w:tc>
      </w:tr>
      <w:tr w:rsidR="00C67D8C" w:rsidRPr="00C666E3" w14:paraId="7D3FFE03" w14:textId="77777777" w:rsidTr="004048F7">
        <w:trPr>
          <w:jc w:val="center"/>
        </w:trPr>
        <w:tc>
          <w:tcPr>
            <w:tcW w:w="4330" w:type="dxa"/>
            <w:shd w:val="clear" w:color="auto" w:fill="auto"/>
            <w:vAlign w:val="center"/>
          </w:tcPr>
          <w:p w14:paraId="2D9329AD" w14:textId="77777777" w:rsidR="00C67D8C" w:rsidRPr="00C666E3" w:rsidRDefault="00C67D8C" w:rsidP="00833FF4">
            <w:pPr>
              <w:pStyle w:val="ExhibitText"/>
              <w:jc w:val="left"/>
              <w:rPr>
                <w:lang w:val="en-GB"/>
              </w:rPr>
            </w:pPr>
            <w:r w:rsidRPr="00C666E3">
              <w:rPr>
                <w:lang w:val="en-GB"/>
              </w:rPr>
              <w:t>Av</w:t>
            </w:r>
            <w:r>
              <w:rPr>
                <w:lang w:val="en-GB"/>
              </w:rPr>
              <w:t>era</w:t>
            </w:r>
            <w:r w:rsidRPr="00C666E3">
              <w:rPr>
                <w:lang w:val="en-GB"/>
              </w:rPr>
              <w:t>g</w:t>
            </w:r>
            <w:r>
              <w:rPr>
                <w:lang w:val="en-GB"/>
              </w:rPr>
              <w:t>e</w:t>
            </w:r>
            <w:r w:rsidRPr="00C666E3">
              <w:rPr>
                <w:lang w:val="en-GB"/>
              </w:rPr>
              <w:t xml:space="preserve"> </w:t>
            </w:r>
            <w:r>
              <w:rPr>
                <w:lang w:val="en-GB"/>
              </w:rPr>
              <w:t>t</w:t>
            </w:r>
            <w:r w:rsidRPr="00C666E3">
              <w:rPr>
                <w:lang w:val="en-GB"/>
              </w:rPr>
              <w:t xml:space="preserve">ransaction </w:t>
            </w:r>
            <w:r>
              <w:rPr>
                <w:lang w:val="en-GB"/>
              </w:rPr>
              <w:t>v</w:t>
            </w:r>
            <w:r w:rsidRPr="00C666E3">
              <w:rPr>
                <w:lang w:val="en-GB"/>
              </w:rPr>
              <w:t xml:space="preserve">alue per customer </w:t>
            </w:r>
            <w:r>
              <w:rPr>
                <w:lang w:val="en-GB"/>
              </w:rPr>
              <w:t>(CA</w:t>
            </w:r>
            <w:r w:rsidRPr="00C666E3">
              <w:rPr>
                <w:lang w:val="en-GB"/>
              </w:rPr>
              <w:t>$</w:t>
            </w:r>
            <w:r>
              <w:rPr>
                <w:lang w:val="en-GB"/>
              </w:rPr>
              <w:t>)</w:t>
            </w:r>
          </w:p>
        </w:tc>
        <w:tc>
          <w:tcPr>
            <w:tcW w:w="989" w:type="dxa"/>
            <w:vAlign w:val="center"/>
          </w:tcPr>
          <w:p w14:paraId="01B29B0F" w14:textId="77777777" w:rsidR="00C67D8C" w:rsidRPr="00C666E3" w:rsidRDefault="00C67D8C" w:rsidP="00833FF4">
            <w:pPr>
              <w:pStyle w:val="ExhibitText"/>
              <w:jc w:val="right"/>
              <w:rPr>
                <w:lang w:val="en-GB"/>
              </w:rPr>
            </w:pPr>
            <w:r w:rsidRPr="00C666E3">
              <w:rPr>
                <w:lang w:val="en-GB"/>
              </w:rPr>
              <w:t>37.83</w:t>
            </w:r>
          </w:p>
        </w:tc>
        <w:tc>
          <w:tcPr>
            <w:tcW w:w="989" w:type="dxa"/>
            <w:vAlign w:val="center"/>
          </w:tcPr>
          <w:p w14:paraId="3BF32D52" w14:textId="77777777" w:rsidR="00C67D8C" w:rsidRPr="00C666E3" w:rsidRDefault="00C67D8C" w:rsidP="00833FF4">
            <w:pPr>
              <w:pStyle w:val="ExhibitText"/>
              <w:jc w:val="right"/>
              <w:rPr>
                <w:lang w:val="en-GB"/>
              </w:rPr>
            </w:pPr>
            <w:r w:rsidRPr="00C666E3">
              <w:rPr>
                <w:lang w:val="en-GB"/>
              </w:rPr>
              <w:t>38.69</w:t>
            </w:r>
          </w:p>
        </w:tc>
        <w:tc>
          <w:tcPr>
            <w:tcW w:w="989" w:type="dxa"/>
            <w:vAlign w:val="center"/>
          </w:tcPr>
          <w:p w14:paraId="7B1E7655" w14:textId="77777777" w:rsidR="00C67D8C" w:rsidRPr="00C666E3" w:rsidRDefault="00C67D8C" w:rsidP="00833FF4">
            <w:pPr>
              <w:pStyle w:val="ExhibitText"/>
              <w:jc w:val="right"/>
              <w:rPr>
                <w:lang w:val="en-GB"/>
              </w:rPr>
            </w:pPr>
            <w:r w:rsidRPr="00C666E3">
              <w:rPr>
                <w:lang w:val="en-GB"/>
              </w:rPr>
              <w:t>39.40</w:t>
            </w:r>
          </w:p>
        </w:tc>
        <w:tc>
          <w:tcPr>
            <w:tcW w:w="989" w:type="dxa"/>
            <w:vAlign w:val="center"/>
          </w:tcPr>
          <w:p w14:paraId="5AAEA006" w14:textId="77777777" w:rsidR="00C67D8C" w:rsidRPr="00C666E3" w:rsidRDefault="00C67D8C" w:rsidP="00833FF4">
            <w:pPr>
              <w:pStyle w:val="ExhibitText"/>
              <w:jc w:val="right"/>
              <w:rPr>
                <w:lang w:val="en-GB"/>
              </w:rPr>
            </w:pPr>
            <w:r w:rsidRPr="00C666E3">
              <w:rPr>
                <w:lang w:val="en-GB"/>
              </w:rPr>
              <w:t>39.84</w:t>
            </w:r>
          </w:p>
        </w:tc>
        <w:tc>
          <w:tcPr>
            <w:tcW w:w="989" w:type="dxa"/>
            <w:shd w:val="clear" w:color="auto" w:fill="auto"/>
            <w:vAlign w:val="center"/>
          </w:tcPr>
          <w:p w14:paraId="783DFDD6" w14:textId="77777777" w:rsidR="00C67D8C" w:rsidRPr="00C666E3" w:rsidRDefault="00C67D8C" w:rsidP="00833FF4">
            <w:pPr>
              <w:pStyle w:val="ExhibitText"/>
              <w:jc w:val="right"/>
              <w:rPr>
                <w:lang w:val="en-GB"/>
              </w:rPr>
            </w:pPr>
            <w:r w:rsidRPr="00C666E3">
              <w:rPr>
                <w:lang w:val="en-GB"/>
              </w:rPr>
              <w:t>40.58</w:t>
            </w:r>
          </w:p>
        </w:tc>
      </w:tr>
      <w:tr w:rsidR="00C67D8C" w:rsidRPr="00C666E3" w14:paraId="55CFCFE7" w14:textId="77777777" w:rsidTr="004048F7">
        <w:trPr>
          <w:jc w:val="center"/>
        </w:trPr>
        <w:tc>
          <w:tcPr>
            <w:tcW w:w="4330" w:type="dxa"/>
            <w:shd w:val="clear" w:color="auto" w:fill="auto"/>
            <w:vAlign w:val="center"/>
          </w:tcPr>
          <w:p w14:paraId="1B00C249" w14:textId="77777777" w:rsidR="00C67D8C" w:rsidRPr="00C666E3" w:rsidRDefault="00C67D8C" w:rsidP="00833FF4">
            <w:pPr>
              <w:pStyle w:val="ExhibitText"/>
              <w:jc w:val="left"/>
              <w:rPr>
                <w:lang w:val="en-GB"/>
              </w:rPr>
            </w:pPr>
            <w:r w:rsidRPr="00C666E3">
              <w:rPr>
                <w:lang w:val="en-GB"/>
              </w:rPr>
              <w:t>Full</w:t>
            </w:r>
            <w:r>
              <w:rPr>
                <w:lang w:val="en-GB"/>
              </w:rPr>
              <w:t>-</w:t>
            </w:r>
            <w:r w:rsidRPr="00C666E3">
              <w:rPr>
                <w:lang w:val="en-GB"/>
              </w:rPr>
              <w:t>time equivalent employees</w:t>
            </w:r>
          </w:p>
        </w:tc>
        <w:tc>
          <w:tcPr>
            <w:tcW w:w="989" w:type="dxa"/>
            <w:vAlign w:val="center"/>
          </w:tcPr>
          <w:p w14:paraId="072A347A" w14:textId="77777777" w:rsidR="00C67D8C" w:rsidRPr="00C666E3" w:rsidRDefault="00C67D8C" w:rsidP="00833FF4">
            <w:pPr>
              <w:pStyle w:val="ExhibitText"/>
              <w:jc w:val="right"/>
              <w:rPr>
                <w:lang w:val="en-GB"/>
              </w:rPr>
            </w:pPr>
            <w:r w:rsidRPr="00C666E3">
              <w:rPr>
                <w:lang w:val="en-GB"/>
              </w:rPr>
              <w:t>6,067</w:t>
            </w:r>
          </w:p>
        </w:tc>
        <w:tc>
          <w:tcPr>
            <w:tcW w:w="989" w:type="dxa"/>
            <w:vAlign w:val="center"/>
          </w:tcPr>
          <w:p w14:paraId="792BEA82" w14:textId="77777777" w:rsidR="00C67D8C" w:rsidRPr="00C666E3" w:rsidRDefault="00C67D8C" w:rsidP="00833FF4">
            <w:pPr>
              <w:pStyle w:val="ExhibitText"/>
              <w:jc w:val="right"/>
              <w:rPr>
                <w:lang w:val="en-GB"/>
              </w:rPr>
            </w:pPr>
            <w:r w:rsidRPr="00C666E3">
              <w:rPr>
                <w:lang w:val="en-GB"/>
              </w:rPr>
              <w:t>6,212</w:t>
            </w:r>
          </w:p>
        </w:tc>
        <w:tc>
          <w:tcPr>
            <w:tcW w:w="989" w:type="dxa"/>
            <w:vAlign w:val="center"/>
          </w:tcPr>
          <w:p w14:paraId="24D0744A" w14:textId="77777777" w:rsidR="00C67D8C" w:rsidRPr="00C666E3" w:rsidRDefault="00C67D8C" w:rsidP="00833FF4">
            <w:pPr>
              <w:pStyle w:val="ExhibitText"/>
              <w:jc w:val="right"/>
              <w:rPr>
                <w:lang w:val="en-GB"/>
              </w:rPr>
            </w:pPr>
            <w:r w:rsidRPr="00C666E3">
              <w:rPr>
                <w:lang w:val="en-GB"/>
              </w:rPr>
              <w:t>6,348</w:t>
            </w:r>
          </w:p>
        </w:tc>
        <w:tc>
          <w:tcPr>
            <w:tcW w:w="989" w:type="dxa"/>
            <w:vAlign w:val="center"/>
          </w:tcPr>
          <w:p w14:paraId="6C0A067C" w14:textId="77777777" w:rsidR="00C67D8C" w:rsidRPr="00C666E3" w:rsidRDefault="00C67D8C" w:rsidP="00833FF4">
            <w:pPr>
              <w:pStyle w:val="ExhibitText"/>
              <w:jc w:val="right"/>
              <w:rPr>
                <w:lang w:val="en-GB"/>
              </w:rPr>
            </w:pPr>
            <w:r w:rsidRPr="00C666E3">
              <w:rPr>
                <w:lang w:val="en-GB"/>
              </w:rPr>
              <w:t>6,469</w:t>
            </w:r>
          </w:p>
        </w:tc>
        <w:tc>
          <w:tcPr>
            <w:tcW w:w="989" w:type="dxa"/>
            <w:shd w:val="clear" w:color="auto" w:fill="auto"/>
            <w:vAlign w:val="center"/>
          </w:tcPr>
          <w:p w14:paraId="57A7A773" w14:textId="77777777" w:rsidR="00C67D8C" w:rsidRPr="00C666E3" w:rsidRDefault="00C67D8C" w:rsidP="00833FF4">
            <w:pPr>
              <w:pStyle w:val="ExhibitText"/>
              <w:jc w:val="right"/>
              <w:rPr>
                <w:lang w:val="en-GB"/>
              </w:rPr>
            </w:pPr>
            <w:r w:rsidRPr="00C666E3">
              <w:rPr>
                <w:lang w:val="en-GB"/>
              </w:rPr>
              <w:t>6,665</w:t>
            </w:r>
          </w:p>
        </w:tc>
      </w:tr>
      <w:tr w:rsidR="00C67D8C" w:rsidRPr="00C666E3" w14:paraId="6DE988AD" w14:textId="77777777" w:rsidTr="004048F7">
        <w:trPr>
          <w:jc w:val="center"/>
        </w:trPr>
        <w:tc>
          <w:tcPr>
            <w:tcW w:w="4330" w:type="dxa"/>
            <w:shd w:val="clear" w:color="auto" w:fill="auto"/>
            <w:vAlign w:val="center"/>
          </w:tcPr>
          <w:p w14:paraId="2067A4B1" w14:textId="77777777" w:rsidR="00C67D8C" w:rsidRPr="00C666E3" w:rsidRDefault="00C67D8C" w:rsidP="00833FF4">
            <w:pPr>
              <w:pStyle w:val="ExhibitText"/>
              <w:jc w:val="left"/>
              <w:rPr>
                <w:lang w:val="en-GB"/>
              </w:rPr>
            </w:pPr>
            <w:r w:rsidRPr="00C666E3">
              <w:rPr>
                <w:lang w:val="en-GB"/>
              </w:rPr>
              <w:t xml:space="preserve">Product </w:t>
            </w:r>
            <w:r>
              <w:rPr>
                <w:lang w:val="en-GB"/>
              </w:rPr>
              <w:t>l</w:t>
            </w:r>
            <w:r w:rsidRPr="00C666E3">
              <w:rPr>
                <w:lang w:val="en-GB"/>
              </w:rPr>
              <w:t>istings</w:t>
            </w:r>
          </w:p>
        </w:tc>
        <w:tc>
          <w:tcPr>
            <w:tcW w:w="989" w:type="dxa"/>
            <w:vAlign w:val="center"/>
          </w:tcPr>
          <w:p w14:paraId="4325D0A0" w14:textId="77777777" w:rsidR="00C67D8C" w:rsidRPr="00C666E3" w:rsidRDefault="00C67D8C" w:rsidP="00833FF4">
            <w:pPr>
              <w:pStyle w:val="ExhibitText"/>
              <w:jc w:val="right"/>
              <w:rPr>
                <w:lang w:val="en-GB"/>
              </w:rPr>
            </w:pPr>
            <w:r w:rsidRPr="00C666E3">
              <w:rPr>
                <w:lang w:val="en-GB"/>
              </w:rPr>
              <w:t>3,571</w:t>
            </w:r>
          </w:p>
        </w:tc>
        <w:tc>
          <w:tcPr>
            <w:tcW w:w="989" w:type="dxa"/>
            <w:vAlign w:val="center"/>
          </w:tcPr>
          <w:p w14:paraId="1CC1580E" w14:textId="77777777" w:rsidR="00C67D8C" w:rsidRPr="00C666E3" w:rsidRDefault="00C67D8C" w:rsidP="00833FF4">
            <w:pPr>
              <w:pStyle w:val="ExhibitText"/>
              <w:jc w:val="right"/>
              <w:rPr>
                <w:lang w:val="en-GB"/>
              </w:rPr>
            </w:pPr>
            <w:r w:rsidRPr="00C666E3">
              <w:rPr>
                <w:lang w:val="en-GB"/>
              </w:rPr>
              <w:t>3,739</w:t>
            </w:r>
          </w:p>
        </w:tc>
        <w:tc>
          <w:tcPr>
            <w:tcW w:w="989" w:type="dxa"/>
            <w:vAlign w:val="center"/>
          </w:tcPr>
          <w:p w14:paraId="405BC0F7" w14:textId="77777777" w:rsidR="00C67D8C" w:rsidRPr="00C666E3" w:rsidRDefault="00C67D8C" w:rsidP="00833FF4">
            <w:pPr>
              <w:pStyle w:val="ExhibitText"/>
              <w:jc w:val="right"/>
              <w:rPr>
                <w:lang w:val="en-GB"/>
              </w:rPr>
            </w:pPr>
            <w:r w:rsidRPr="00C666E3">
              <w:rPr>
                <w:lang w:val="en-GB"/>
              </w:rPr>
              <w:t>4,006</w:t>
            </w:r>
          </w:p>
        </w:tc>
        <w:tc>
          <w:tcPr>
            <w:tcW w:w="989" w:type="dxa"/>
            <w:vAlign w:val="center"/>
          </w:tcPr>
          <w:p w14:paraId="1B06A032" w14:textId="77777777" w:rsidR="00C67D8C" w:rsidRPr="00C666E3" w:rsidRDefault="00C67D8C" w:rsidP="00833FF4">
            <w:pPr>
              <w:pStyle w:val="ExhibitText"/>
              <w:jc w:val="right"/>
              <w:rPr>
                <w:lang w:val="en-GB"/>
              </w:rPr>
            </w:pPr>
            <w:r w:rsidRPr="00C666E3">
              <w:rPr>
                <w:lang w:val="en-GB"/>
              </w:rPr>
              <w:t>3,938</w:t>
            </w:r>
          </w:p>
        </w:tc>
        <w:tc>
          <w:tcPr>
            <w:tcW w:w="989" w:type="dxa"/>
            <w:shd w:val="clear" w:color="auto" w:fill="auto"/>
            <w:vAlign w:val="center"/>
          </w:tcPr>
          <w:p w14:paraId="683C572F" w14:textId="77777777" w:rsidR="00C67D8C" w:rsidRPr="00C666E3" w:rsidRDefault="00C67D8C" w:rsidP="00833FF4">
            <w:pPr>
              <w:pStyle w:val="ExhibitText"/>
              <w:jc w:val="right"/>
              <w:rPr>
                <w:lang w:val="en-GB"/>
              </w:rPr>
            </w:pPr>
            <w:r w:rsidRPr="00C666E3">
              <w:rPr>
                <w:lang w:val="en-GB"/>
              </w:rPr>
              <w:t>4,077</w:t>
            </w:r>
          </w:p>
        </w:tc>
      </w:tr>
      <w:tr w:rsidR="00C67D8C" w:rsidRPr="00C666E3" w14:paraId="78B9CCEA" w14:textId="77777777" w:rsidTr="004048F7">
        <w:trPr>
          <w:jc w:val="center"/>
        </w:trPr>
        <w:tc>
          <w:tcPr>
            <w:tcW w:w="4330" w:type="dxa"/>
            <w:shd w:val="clear" w:color="auto" w:fill="auto"/>
            <w:vAlign w:val="center"/>
          </w:tcPr>
          <w:p w14:paraId="332D568D" w14:textId="2E607919" w:rsidR="00C67D8C" w:rsidRPr="00C666E3" w:rsidRDefault="00C67D8C" w:rsidP="00833FF4">
            <w:pPr>
              <w:pStyle w:val="ExhibitText"/>
              <w:jc w:val="left"/>
              <w:rPr>
                <w:lang w:val="en-GB"/>
              </w:rPr>
            </w:pPr>
            <w:r w:rsidRPr="00C666E3">
              <w:rPr>
                <w:lang w:val="en-GB"/>
              </w:rPr>
              <w:t xml:space="preserve">Revenue growth over previous year </w:t>
            </w:r>
            <w:r w:rsidR="00D57745">
              <w:rPr>
                <w:lang w:val="en-GB"/>
              </w:rPr>
              <w:t>(</w:t>
            </w:r>
            <w:r w:rsidRPr="00C666E3">
              <w:rPr>
                <w:lang w:val="en-GB"/>
              </w:rPr>
              <w:t>%</w:t>
            </w:r>
            <w:r w:rsidR="00D57745">
              <w:rPr>
                <w:lang w:val="en-GB"/>
              </w:rPr>
              <w:t>)</w:t>
            </w:r>
          </w:p>
        </w:tc>
        <w:tc>
          <w:tcPr>
            <w:tcW w:w="989" w:type="dxa"/>
            <w:vAlign w:val="center"/>
          </w:tcPr>
          <w:p w14:paraId="6D5E22E1" w14:textId="77777777" w:rsidR="00C67D8C" w:rsidRPr="00C666E3" w:rsidRDefault="00C67D8C" w:rsidP="00833FF4">
            <w:pPr>
              <w:pStyle w:val="ExhibitText"/>
              <w:jc w:val="right"/>
              <w:rPr>
                <w:lang w:val="en-GB"/>
              </w:rPr>
            </w:pPr>
            <w:r w:rsidRPr="00C666E3">
              <w:rPr>
                <w:lang w:val="en-GB"/>
              </w:rPr>
              <w:t>5.0</w:t>
            </w:r>
          </w:p>
        </w:tc>
        <w:tc>
          <w:tcPr>
            <w:tcW w:w="989" w:type="dxa"/>
            <w:vAlign w:val="center"/>
          </w:tcPr>
          <w:p w14:paraId="4F6D12C4" w14:textId="77777777" w:rsidR="00C67D8C" w:rsidRPr="00C666E3" w:rsidRDefault="00C67D8C" w:rsidP="00833FF4">
            <w:pPr>
              <w:pStyle w:val="ExhibitText"/>
              <w:jc w:val="right"/>
              <w:rPr>
                <w:lang w:val="en-GB"/>
              </w:rPr>
            </w:pPr>
            <w:r w:rsidRPr="00C666E3">
              <w:rPr>
                <w:lang w:val="en-GB"/>
              </w:rPr>
              <w:t>3.8</w:t>
            </w:r>
          </w:p>
        </w:tc>
        <w:tc>
          <w:tcPr>
            <w:tcW w:w="989" w:type="dxa"/>
            <w:vAlign w:val="center"/>
          </w:tcPr>
          <w:p w14:paraId="2675BAF4" w14:textId="77777777" w:rsidR="00C67D8C" w:rsidRPr="00C666E3" w:rsidRDefault="00C67D8C" w:rsidP="00833FF4">
            <w:pPr>
              <w:pStyle w:val="ExhibitText"/>
              <w:jc w:val="right"/>
              <w:rPr>
                <w:lang w:val="en-GB"/>
              </w:rPr>
            </w:pPr>
            <w:r w:rsidRPr="00C666E3">
              <w:rPr>
                <w:lang w:val="en-GB"/>
              </w:rPr>
              <w:t>2.6</w:t>
            </w:r>
          </w:p>
        </w:tc>
        <w:tc>
          <w:tcPr>
            <w:tcW w:w="989" w:type="dxa"/>
            <w:vAlign w:val="center"/>
          </w:tcPr>
          <w:p w14:paraId="0D91DCA3" w14:textId="77777777" w:rsidR="00C67D8C" w:rsidRPr="00C666E3" w:rsidRDefault="00C67D8C" w:rsidP="00833FF4">
            <w:pPr>
              <w:pStyle w:val="ExhibitText"/>
              <w:jc w:val="right"/>
              <w:rPr>
                <w:lang w:val="en-GB"/>
              </w:rPr>
            </w:pPr>
            <w:r w:rsidRPr="00C666E3">
              <w:rPr>
                <w:lang w:val="en-GB"/>
              </w:rPr>
              <w:t>3.8</w:t>
            </w:r>
          </w:p>
        </w:tc>
        <w:tc>
          <w:tcPr>
            <w:tcW w:w="989" w:type="dxa"/>
            <w:shd w:val="clear" w:color="auto" w:fill="auto"/>
            <w:vAlign w:val="center"/>
          </w:tcPr>
          <w:p w14:paraId="2FCA2352" w14:textId="77777777" w:rsidR="00C67D8C" w:rsidRPr="00C666E3" w:rsidRDefault="00C67D8C" w:rsidP="00833FF4">
            <w:pPr>
              <w:pStyle w:val="ExhibitText"/>
              <w:jc w:val="right"/>
              <w:rPr>
                <w:lang w:val="en-GB"/>
              </w:rPr>
            </w:pPr>
            <w:r w:rsidRPr="00C666E3">
              <w:rPr>
                <w:lang w:val="en-GB"/>
              </w:rPr>
              <w:t>7.2</w:t>
            </w:r>
          </w:p>
        </w:tc>
      </w:tr>
      <w:tr w:rsidR="00C67D8C" w:rsidRPr="00C666E3" w14:paraId="55587197" w14:textId="77777777" w:rsidTr="004048F7">
        <w:trPr>
          <w:jc w:val="center"/>
        </w:trPr>
        <w:tc>
          <w:tcPr>
            <w:tcW w:w="4330" w:type="dxa"/>
            <w:shd w:val="clear" w:color="auto" w:fill="auto"/>
            <w:vAlign w:val="center"/>
          </w:tcPr>
          <w:p w14:paraId="0AF71BD5" w14:textId="77777777" w:rsidR="00C67D8C" w:rsidRPr="00C666E3" w:rsidRDefault="00C67D8C" w:rsidP="00833FF4">
            <w:pPr>
              <w:pStyle w:val="ExhibitText"/>
              <w:jc w:val="left"/>
              <w:rPr>
                <w:lang w:val="en-GB"/>
              </w:rPr>
            </w:pPr>
            <w:r w:rsidRPr="00C666E3">
              <w:rPr>
                <w:lang w:val="en-GB"/>
              </w:rPr>
              <w:t>Total expenses as % of total revenue</w:t>
            </w:r>
          </w:p>
        </w:tc>
        <w:tc>
          <w:tcPr>
            <w:tcW w:w="989" w:type="dxa"/>
            <w:vAlign w:val="center"/>
          </w:tcPr>
          <w:p w14:paraId="44F3605E" w14:textId="77777777" w:rsidR="00C67D8C" w:rsidRPr="00C666E3" w:rsidRDefault="00C67D8C" w:rsidP="00833FF4">
            <w:pPr>
              <w:pStyle w:val="ExhibitText"/>
              <w:jc w:val="right"/>
              <w:rPr>
                <w:lang w:val="en-GB"/>
              </w:rPr>
            </w:pPr>
            <w:r w:rsidRPr="00C666E3">
              <w:rPr>
                <w:lang w:val="en-GB"/>
              </w:rPr>
              <w:t>15.7</w:t>
            </w:r>
          </w:p>
        </w:tc>
        <w:tc>
          <w:tcPr>
            <w:tcW w:w="989" w:type="dxa"/>
            <w:vAlign w:val="center"/>
          </w:tcPr>
          <w:p w14:paraId="47C4D382" w14:textId="77777777" w:rsidR="00C67D8C" w:rsidRPr="00C666E3" w:rsidRDefault="00C67D8C" w:rsidP="00833FF4">
            <w:pPr>
              <w:pStyle w:val="ExhibitText"/>
              <w:jc w:val="right"/>
              <w:rPr>
                <w:lang w:val="en-GB"/>
              </w:rPr>
            </w:pPr>
            <w:r w:rsidRPr="00C666E3">
              <w:rPr>
                <w:lang w:val="en-GB"/>
              </w:rPr>
              <w:t>15.9</w:t>
            </w:r>
          </w:p>
        </w:tc>
        <w:tc>
          <w:tcPr>
            <w:tcW w:w="989" w:type="dxa"/>
            <w:vAlign w:val="center"/>
          </w:tcPr>
          <w:p w14:paraId="64F30880" w14:textId="77777777" w:rsidR="00C67D8C" w:rsidRPr="00C666E3" w:rsidRDefault="00C67D8C" w:rsidP="00833FF4">
            <w:pPr>
              <w:pStyle w:val="ExhibitText"/>
              <w:jc w:val="right"/>
              <w:rPr>
                <w:lang w:val="en-GB"/>
              </w:rPr>
            </w:pPr>
            <w:r w:rsidRPr="00C666E3">
              <w:rPr>
                <w:lang w:val="en-GB"/>
              </w:rPr>
              <w:t>16.2</w:t>
            </w:r>
          </w:p>
        </w:tc>
        <w:tc>
          <w:tcPr>
            <w:tcW w:w="989" w:type="dxa"/>
            <w:vAlign w:val="center"/>
          </w:tcPr>
          <w:p w14:paraId="5A9A1461" w14:textId="77777777" w:rsidR="00C67D8C" w:rsidRPr="00C666E3" w:rsidRDefault="00C67D8C" w:rsidP="00833FF4">
            <w:pPr>
              <w:pStyle w:val="ExhibitText"/>
              <w:jc w:val="right"/>
              <w:rPr>
                <w:lang w:val="en-GB"/>
              </w:rPr>
            </w:pPr>
            <w:r w:rsidRPr="00C666E3">
              <w:rPr>
                <w:lang w:val="en-GB"/>
              </w:rPr>
              <w:t>16.0</w:t>
            </w:r>
          </w:p>
        </w:tc>
        <w:tc>
          <w:tcPr>
            <w:tcW w:w="989" w:type="dxa"/>
            <w:shd w:val="clear" w:color="auto" w:fill="auto"/>
            <w:vAlign w:val="center"/>
          </w:tcPr>
          <w:p w14:paraId="640CAD12" w14:textId="77777777" w:rsidR="00C67D8C" w:rsidRPr="00C666E3" w:rsidRDefault="00C67D8C" w:rsidP="00833FF4">
            <w:pPr>
              <w:pStyle w:val="ExhibitText"/>
              <w:jc w:val="right"/>
              <w:rPr>
                <w:lang w:val="en-GB"/>
              </w:rPr>
            </w:pPr>
            <w:r w:rsidRPr="00C666E3">
              <w:rPr>
                <w:lang w:val="en-GB"/>
              </w:rPr>
              <w:t>15.5</w:t>
            </w:r>
          </w:p>
        </w:tc>
      </w:tr>
      <w:tr w:rsidR="00C67D8C" w:rsidRPr="00C666E3" w14:paraId="25F487D5" w14:textId="77777777" w:rsidTr="004048F7">
        <w:trPr>
          <w:jc w:val="center"/>
        </w:trPr>
        <w:tc>
          <w:tcPr>
            <w:tcW w:w="4330" w:type="dxa"/>
            <w:shd w:val="clear" w:color="auto" w:fill="auto"/>
            <w:vAlign w:val="center"/>
          </w:tcPr>
          <w:p w14:paraId="3D0A96D5" w14:textId="77777777" w:rsidR="00C67D8C" w:rsidRPr="00C666E3" w:rsidRDefault="00C67D8C" w:rsidP="00833FF4">
            <w:pPr>
              <w:pStyle w:val="ExhibitText"/>
              <w:jc w:val="left"/>
              <w:rPr>
                <w:lang w:val="en-GB"/>
              </w:rPr>
            </w:pPr>
            <w:r w:rsidRPr="00C666E3">
              <w:rPr>
                <w:lang w:val="en-GB"/>
              </w:rPr>
              <w:t>Net income as % of total revenue</w:t>
            </w:r>
          </w:p>
        </w:tc>
        <w:tc>
          <w:tcPr>
            <w:tcW w:w="989" w:type="dxa"/>
            <w:vAlign w:val="center"/>
          </w:tcPr>
          <w:p w14:paraId="5A492F36" w14:textId="77777777" w:rsidR="00C67D8C" w:rsidRPr="00C666E3" w:rsidRDefault="00C67D8C" w:rsidP="00833FF4">
            <w:pPr>
              <w:pStyle w:val="ExhibitText"/>
              <w:jc w:val="right"/>
              <w:rPr>
                <w:lang w:val="en-GB"/>
              </w:rPr>
            </w:pPr>
            <w:r w:rsidRPr="00C666E3">
              <w:rPr>
                <w:lang w:val="en-GB"/>
              </w:rPr>
              <w:t>34.9</w:t>
            </w:r>
          </w:p>
        </w:tc>
        <w:tc>
          <w:tcPr>
            <w:tcW w:w="989" w:type="dxa"/>
            <w:vAlign w:val="center"/>
          </w:tcPr>
          <w:p w14:paraId="44A50F8C" w14:textId="77777777" w:rsidR="00C67D8C" w:rsidRPr="00C666E3" w:rsidRDefault="00C67D8C" w:rsidP="00833FF4">
            <w:pPr>
              <w:pStyle w:val="ExhibitText"/>
              <w:jc w:val="right"/>
              <w:rPr>
                <w:lang w:val="en-GB"/>
              </w:rPr>
            </w:pPr>
            <w:r w:rsidRPr="00C666E3">
              <w:rPr>
                <w:lang w:val="en-GB"/>
              </w:rPr>
              <w:t>34.7</w:t>
            </w:r>
          </w:p>
        </w:tc>
        <w:tc>
          <w:tcPr>
            <w:tcW w:w="989" w:type="dxa"/>
            <w:vAlign w:val="center"/>
          </w:tcPr>
          <w:p w14:paraId="0B523B0A" w14:textId="77777777" w:rsidR="00C67D8C" w:rsidRPr="00C666E3" w:rsidRDefault="00C67D8C" w:rsidP="00833FF4">
            <w:pPr>
              <w:pStyle w:val="ExhibitText"/>
              <w:jc w:val="right"/>
              <w:rPr>
                <w:lang w:val="en-GB"/>
              </w:rPr>
            </w:pPr>
            <w:r w:rsidRPr="00C666E3">
              <w:rPr>
                <w:lang w:val="en-GB"/>
              </w:rPr>
              <w:t>34.5</w:t>
            </w:r>
          </w:p>
        </w:tc>
        <w:tc>
          <w:tcPr>
            <w:tcW w:w="989" w:type="dxa"/>
            <w:vAlign w:val="center"/>
          </w:tcPr>
          <w:p w14:paraId="6CAFA58E" w14:textId="77777777" w:rsidR="00C67D8C" w:rsidRPr="00C666E3" w:rsidRDefault="00C67D8C" w:rsidP="00833FF4">
            <w:pPr>
              <w:pStyle w:val="ExhibitText"/>
              <w:jc w:val="right"/>
              <w:rPr>
                <w:lang w:val="en-GB"/>
              </w:rPr>
            </w:pPr>
            <w:r w:rsidRPr="00C666E3">
              <w:rPr>
                <w:lang w:val="en-GB"/>
              </w:rPr>
              <w:t>34.6</w:t>
            </w:r>
          </w:p>
        </w:tc>
        <w:tc>
          <w:tcPr>
            <w:tcW w:w="989" w:type="dxa"/>
            <w:shd w:val="clear" w:color="auto" w:fill="auto"/>
            <w:vAlign w:val="center"/>
          </w:tcPr>
          <w:p w14:paraId="296F17E5" w14:textId="77777777" w:rsidR="00C67D8C" w:rsidRPr="00C666E3" w:rsidRDefault="00C67D8C" w:rsidP="00833FF4">
            <w:pPr>
              <w:pStyle w:val="ExhibitText"/>
              <w:jc w:val="right"/>
              <w:rPr>
                <w:lang w:val="en-GB"/>
              </w:rPr>
            </w:pPr>
            <w:r w:rsidRPr="00C666E3">
              <w:rPr>
                <w:lang w:val="en-GB"/>
              </w:rPr>
              <w:t>35.0</w:t>
            </w:r>
          </w:p>
        </w:tc>
      </w:tr>
      <w:tr w:rsidR="00C67D8C" w:rsidRPr="00C666E3" w14:paraId="41D3DA4B" w14:textId="77777777" w:rsidTr="004048F7">
        <w:trPr>
          <w:jc w:val="center"/>
        </w:trPr>
        <w:tc>
          <w:tcPr>
            <w:tcW w:w="4330" w:type="dxa"/>
            <w:shd w:val="clear" w:color="auto" w:fill="auto"/>
            <w:vAlign w:val="center"/>
          </w:tcPr>
          <w:p w14:paraId="310BAF7A" w14:textId="77777777" w:rsidR="00C67D8C" w:rsidRPr="00C666E3" w:rsidRDefault="00C67D8C" w:rsidP="00833FF4">
            <w:pPr>
              <w:pStyle w:val="ExhibitText"/>
              <w:jc w:val="left"/>
              <w:rPr>
                <w:lang w:val="en-GB"/>
              </w:rPr>
            </w:pPr>
            <w:r w:rsidRPr="00C666E3">
              <w:rPr>
                <w:lang w:val="en-GB"/>
              </w:rPr>
              <w:t xml:space="preserve">Number of </w:t>
            </w:r>
            <w:r>
              <w:rPr>
                <w:lang w:val="en-GB"/>
              </w:rPr>
              <w:t>s</w:t>
            </w:r>
            <w:r w:rsidRPr="00C666E3">
              <w:rPr>
                <w:lang w:val="en-GB"/>
              </w:rPr>
              <w:t>tores</w:t>
            </w:r>
          </w:p>
        </w:tc>
        <w:tc>
          <w:tcPr>
            <w:tcW w:w="989" w:type="dxa"/>
            <w:vAlign w:val="center"/>
          </w:tcPr>
          <w:p w14:paraId="28579E88" w14:textId="77777777" w:rsidR="00C67D8C" w:rsidRPr="00C666E3" w:rsidRDefault="00C67D8C" w:rsidP="00833FF4">
            <w:pPr>
              <w:pStyle w:val="ExhibitText"/>
              <w:jc w:val="right"/>
              <w:rPr>
                <w:lang w:val="en-GB"/>
              </w:rPr>
            </w:pPr>
            <w:r w:rsidRPr="00C666E3">
              <w:rPr>
                <w:lang w:val="en-GB"/>
              </w:rPr>
              <w:t>623</w:t>
            </w:r>
          </w:p>
        </w:tc>
        <w:tc>
          <w:tcPr>
            <w:tcW w:w="989" w:type="dxa"/>
            <w:vAlign w:val="center"/>
          </w:tcPr>
          <w:p w14:paraId="44699E9F" w14:textId="77777777" w:rsidR="00C67D8C" w:rsidRPr="00C666E3" w:rsidRDefault="00C67D8C" w:rsidP="00833FF4">
            <w:pPr>
              <w:pStyle w:val="ExhibitText"/>
              <w:jc w:val="right"/>
              <w:rPr>
                <w:lang w:val="en-GB"/>
              </w:rPr>
            </w:pPr>
            <w:r w:rsidRPr="00C666E3">
              <w:rPr>
                <w:lang w:val="en-GB"/>
              </w:rPr>
              <w:t>634</w:t>
            </w:r>
          </w:p>
        </w:tc>
        <w:tc>
          <w:tcPr>
            <w:tcW w:w="989" w:type="dxa"/>
            <w:vAlign w:val="center"/>
          </w:tcPr>
          <w:p w14:paraId="22F72416" w14:textId="77777777" w:rsidR="00C67D8C" w:rsidRPr="00C666E3" w:rsidRDefault="00C67D8C" w:rsidP="00833FF4">
            <w:pPr>
              <w:pStyle w:val="ExhibitText"/>
              <w:jc w:val="right"/>
              <w:rPr>
                <w:lang w:val="en-GB"/>
              </w:rPr>
            </w:pPr>
            <w:r w:rsidRPr="00C666E3">
              <w:rPr>
                <w:lang w:val="en-GB"/>
              </w:rPr>
              <w:t>639</w:t>
            </w:r>
          </w:p>
        </w:tc>
        <w:tc>
          <w:tcPr>
            <w:tcW w:w="989" w:type="dxa"/>
            <w:vAlign w:val="center"/>
          </w:tcPr>
          <w:p w14:paraId="7E303029" w14:textId="77777777" w:rsidR="00C67D8C" w:rsidRPr="00C666E3" w:rsidRDefault="00C67D8C" w:rsidP="00833FF4">
            <w:pPr>
              <w:pStyle w:val="ExhibitText"/>
              <w:jc w:val="right"/>
              <w:rPr>
                <w:lang w:val="en-GB"/>
              </w:rPr>
            </w:pPr>
            <w:r w:rsidRPr="00C666E3">
              <w:rPr>
                <w:lang w:val="en-GB"/>
              </w:rPr>
              <w:t>651</w:t>
            </w:r>
          </w:p>
        </w:tc>
        <w:tc>
          <w:tcPr>
            <w:tcW w:w="989" w:type="dxa"/>
            <w:shd w:val="clear" w:color="auto" w:fill="auto"/>
            <w:vAlign w:val="center"/>
          </w:tcPr>
          <w:p w14:paraId="19B4A2BD" w14:textId="77777777" w:rsidR="00C67D8C" w:rsidRPr="00C666E3" w:rsidRDefault="00C67D8C" w:rsidP="00833FF4">
            <w:pPr>
              <w:pStyle w:val="ExhibitText"/>
              <w:jc w:val="right"/>
              <w:rPr>
                <w:lang w:val="en-GB"/>
              </w:rPr>
            </w:pPr>
            <w:r w:rsidRPr="00C666E3">
              <w:rPr>
                <w:lang w:val="en-GB"/>
              </w:rPr>
              <w:t>654</w:t>
            </w:r>
          </w:p>
        </w:tc>
      </w:tr>
      <w:tr w:rsidR="00C67D8C" w:rsidRPr="00C666E3" w14:paraId="76D96483" w14:textId="77777777" w:rsidTr="004048F7">
        <w:trPr>
          <w:jc w:val="center"/>
        </w:trPr>
        <w:tc>
          <w:tcPr>
            <w:tcW w:w="4330" w:type="dxa"/>
            <w:shd w:val="clear" w:color="auto" w:fill="auto"/>
            <w:vAlign w:val="center"/>
          </w:tcPr>
          <w:p w14:paraId="776A3A79" w14:textId="77777777" w:rsidR="00C67D8C" w:rsidRPr="00C666E3" w:rsidRDefault="00C67D8C" w:rsidP="00833FF4">
            <w:pPr>
              <w:pStyle w:val="ExhibitText"/>
              <w:jc w:val="left"/>
              <w:rPr>
                <w:lang w:val="en-GB"/>
              </w:rPr>
            </w:pPr>
            <w:r w:rsidRPr="00C666E3">
              <w:rPr>
                <w:lang w:val="en-GB"/>
              </w:rPr>
              <w:t xml:space="preserve">Number of </w:t>
            </w:r>
            <w:r>
              <w:rPr>
                <w:lang w:val="en-GB"/>
              </w:rPr>
              <w:t>n</w:t>
            </w:r>
            <w:r w:rsidRPr="00C666E3">
              <w:rPr>
                <w:lang w:val="en-GB"/>
              </w:rPr>
              <w:t xml:space="preserve">ew </w:t>
            </w:r>
            <w:r>
              <w:rPr>
                <w:lang w:val="en-GB"/>
              </w:rPr>
              <w:t>s</w:t>
            </w:r>
            <w:r w:rsidRPr="00C666E3">
              <w:rPr>
                <w:lang w:val="en-GB"/>
              </w:rPr>
              <w:t>tores/</w:t>
            </w:r>
            <w:r>
              <w:rPr>
                <w:lang w:val="en-GB"/>
              </w:rPr>
              <w:t>e</w:t>
            </w:r>
            <w:r w:rsidRPr="00C666E3">
              <w:rPr>
                <w:lang w:val="en-GB"/>
              </w:rPr>
              <w:t>xpansions</w:t>
            </w:r>
          </w:p>
        </w:tc>
        <w:tc>
          <w:tcPr>
            <w:tcW w:w="989" w:type="dxa"/>
            <w:vAlign w:val="center"/>
          </w:tcPr>
          <w:p w14:paraId="41521BE2" w14:textId="77777777" w:rsidR="00C67D8C" w:rsidRPr="00C666E3" w:rsidRDefault="00C67D8C" w:rsidP="00833FF4">
            <w:pPr>
              <w:pStyle w:val="ExhibitText"/>
              <w:jc w:val="right"/>
              <w:rPr>
                <w:lang w:val="en-GB"/>
              </w:rPr>
            </w:pPr>
            <w:r w:rsidRPr="00C666E3">
              <w:rPr>
                <w:lang w:val="en-GB"/>
              </w:rPr>
              <w:t>15</w:t>
            </w:r>
          </w:p>
        </w:tc>
        <w:tc>
          <w:tcPr>
            <w:tcW w:w="989" w:type="dxa"/>
            <w:vAlign w:val="center"/>
          </w:tcPr>
          <w:p w14:paraId="0604848C" w14:textId="77777777" w:rsidR="00C67D8C" w:rsidRPr="00C666E3" w:rsidRDefault="00C67D8C" w:rsidP="00833FF4">
            <w:pPr>
              <w:pStyle w:val="ExhibitText"/>
              <w:jc w:val="right"/>
              <w:rPr>
                <w:lang w:val="en-GB"/>
              </w:rPr>
            </w:pPr>
            <w:r w:rsidRPr="00C666E3">
              <w:rPr>
                <w:lang w:val="en-GB"/>
              </w:rPr>
              <w:t>30</w:t>
            </w:r>
          </w:p>
        </w:tc>
        <w:tc>
          <w:tcPr>
            <w:tcW w:w="989" w:type="dxa"/>
            <w:vAlign w:val="center"/>
          </w:tcPr>
          <w:p w14:paraId="765DA15C" w14:textId="77777777" w:rsidR="00C67D8C" w:rsidRPr="00C666E3" w:rsidRDefault="00C67D8C" w:rsidP="00833FF4">
            <w:pPr>
              <w:pStyle w:val="ExhibitText"/>
              <w:jc w:val="right"/>
              <w:rPr>
                <w:lang w:val="en-GB"/>
              </w:rPr>
            </w:pPr>
            <w:r w:rsidRPr="00C666E3">
              <w:rPr>
                <w:lang w:val="en-GB"/>
              </w:rPr>
              <w:t>25</w:t>
            </w:r>
          </w:p>
        </w:tc>
        <w:tc>
          <w:tcPr>
            <w:tcW w:w="989" w:type="dxa"/>
            <w:vAlign w:val="center"/>
          </w:tcPr>
          <w:p w14:paraId="01043099" w14:textId="77777777" w:rsidR="00C67D8C" w:rsidRPr="00C666E3" w:rsidRDefault="00C67D8C" w:rsidP="00833FF4">
            <w:pPr>
              <w:pStyle w:val="ExhibitText"/>
              <w:jc w:val="right"/>
              <w:rPr>
                <w:lang w:val="en-GB"/>
              </w:rPr>
            </w:pPr>
            <w:r w:rsidRPr="00C666E3">
              <w:rPr>
                <w:lang w:val="en-GB"/>
              </w:rPr>
              <w:t>23</w:t>
            </w:r>
          </w:p>
        </w:tc>
        <w:tc>
          <w:tcPr>
            <w:tcW w:w="989" w:type="dxa"/>
            <w:shd w:val="clear" w:color="auto" w:fill="auto"/>
            <w:vAlign w:val="center"/>
          </w:tcPr>
          <w:p w14:paraId="18C91FE5" w14:textId="77777777" w:rsidR="00C67D8C" w:rsidRPr="00C666E3" w:rsidRDefault="00C67D8C" w:rsidP="00833FF4">
            <w:pPr>
              <w:pStyle w:val="ExhibitText"/>
              <w:jc w:val="right"/>
              <w:rPr>
                <w:lang w:val="en-GB"/>
              </w:rPr>
            </w:pPr>
            <w:r w:rsidRPr="00C666E3">
              <w:rPr>
                <w:lang w:val="en-GB"/>
              </w:rPr>
              <w:t>14</w:t>
            </w:r>
          </w:p>
        </w:tc>
      </w:tr>
      <w:tr w:rsidR="00C67D8C" w:rsidRPr="00C666E3" w14:paraId="7B7E7EE5" w14:textId="77777777" w:rsidTr="004048F7">
        <w:trPr>
          <w:jc w:val="center"/>
        </w:trPr>
        <w:tc>
          <w:tcPr>
            <w:tcW w:w="4330" w:type="dxa"/>
            <w:shd w:val="clear" w:color="auto" w:fill="auto"/>
            <w:vAlign w:val="center"/>
          </w:tcPr>
          <w:p w14:paraId="0CF1F682" w14:textId="77777777" w:rsidR="00C67D8C" w:rsidRPr="004048F7" w:rsidRDefault="00C67D8C" w:rsidP="00833FF4">
            <w:pPr>
              <w:pStyle w:val="ExhibitText"/>
              <w:jc w:val="left"/>
              <w:rPr>
                <w:spacing w:val="-4"/>
                <w:kern w:val="20"/>
                <w:lang w:val="en-GB"/>
              </w:rPr>
            </w:pPr>
            <w:r w:rsidRPr="004048F7">
              <w:rPr>
                <w:spacing w:val="-4"/>
                <w:kern w:val="20"/>
                <w:lang w:val="en-GB"/>
              </w:rPr>
              <w:t>Dividend paid to the government (CA$ millions)</w:t>
            </w:r>
          </w:p>
        </w:tc>
        <w:tc>
          <w:tcPr>
            <w:tcW w:w="989" w:type="dxa"/>
            <w:vAlign w:val="center"/>
          </w:tcPr>
          <w:p w14:paraId="398A8D4D" w14:textId="77777777" w:rsidR="00C67D8C" w:rsidRPr="00C666E3" w:rsidRDefault="00C67D8C" w:rsidP="00833FF4">
            <w:pPr>
              <w:pStyle w:val="ExhibitText"/>
              <w:jc w:val="right"/>
              <w:rPr>
                <w:lang w:val="en-GB"/>
              </w:rPr>
            </w:pPr>
            <w:r w:rsidRPr="00C666E3">
              <w:rPr>
                <w:lang w:val="en-GB"/>
              </w:rPr>
              <w:t>1,630</w:t>
            </w:r>
          </w:p>
        </w:tc>
        <w:tc>
          <w:tcPr>
            <w:tcW w:w="989" w:type="dxa"/>
            <w:vAlign w:val="center"/>
          </w:tcPr>
          <w:p w14:paraId="135BA608" w14:textId="77777777" w:rsidR="00C67D8C" w:rsidRPr="00C666E3" w:rsidRDefault="00C67D8C" w:rsidP="00833FF4">
            <w:pPr>
              <w:pStyle w:val="ExhibitText"/>
              <w:jc w:val="right"/>
              <w:rPr>
                <w:lang w:val="en-GB"/>
              </w:rPr>
            </w:pPr>
            <w:r w:rsidRPr="00C666E3">
              <w:rPr>
                <w:lang w:val="en-GB"/>
              </w:rPr>
              <w:t>1,700</w:t>
            </w:r>
          </w:p>
        </w:tc>
        <w:tc>
          <w:tcPr>
            <w:tcW w:w="989" w:type="dxa"/>
            <w:vAlign w:val="center"/>
          </w:tcPr>
          <w:p w14:paraId="3DFD3954" w14:textId="77777777" w:rsidR="00C67D8C" w:rsidRPr="00C666E3" w:rsidRDefault="00C67D8C" w:rsidP="00833FF4">
            <w:pPr>
              <w:pStyle w:val="ExhibitText"/>
              <w:jc w:val="right"/>
              <w:rPr>
                <w:lang w:val="en-GB"/>
              </w:rPr>
            </w:pPr>
            <w:r w:rsidRPr="00C666E3">
              <w:rPr>
                <w:lang w:val="en-GB"/>
              </w:rPr>
              <w:t>1,740</w:t>
            </w:r>
          </w:p>
        </w:tc>
        <w:tc>
          <w:tcPr>
            <w:tcW w:w="989" w:type="dxa"/>
            <w:vAlign w:val="center"/>
          </w:tcPr>
          <w:p w14:paraId="368D1CBD" w14:textId="77777777" w:rsidR="00C67D8C" w:rsidRPr="00C666E3" w:rsidRDefault="00C67D8C" w:rsidP="00833FF4">
            <w:pPr>
              <w:pStyle w:val="ExhibitText"/>
              <w:jc w:val="right"/>
              <w:rPr>
                <w:lang w:val="en-GB"/>
              </w:rPr>
            </w:pPr>
            <w:r w:rsidRPr="00C666E3">
              <w:rPr>
                <w:lang w:val="en-GB"/>
              </w:rPr>
              <w:t>1,805</w:t>
            </w:r>
          </w:p>
        </w:tc>
        <w:tc>
          <w:tcPr>
            <w:tcW w:w="989" w:type="dxa"/>
            <w:shd w:val="clear" w:color="auto" w:fill="auto"/>
            <w:vAlign w:val="center"/>
          </w:tcPr>
          <w:p w14:paraId="5E94549A" w14:textId="77777777" w:rsidR="00C67D8C" w:rsidRPr="00C666E3" w:rsidRDefault="00C67D8C" w:rsidP="00833FF4">
            <w:pPr>
              <w:pStyle w:val="ExhibitText"/>
              <w:jc w:val="right"/>
              <w:rPr>
                <w:lang w:val="en-GB"/>
              </w:rPr>
            </w:pPr>
            <w:r w:rsidRPr="00C666E3">
              <w:rPr>
                <w:lang w:val="en-GB"/>
              </w:rPr>
              <w:t>1,935</w:t>
            </w:r>
          </w:p>
        </w:tc>
      </w:tr>
    </w:tbl>
    <w:p w14:paraId="3ED7070F" w14:textId="77777777" w:rsidR="00C67D8C" w:rsidRPr="00C666E3" w:rsidRDefault="00C67D8C" w:rsidP="00C67D8C">
      <w:pPr>
        <w:pStyle w:val="ExhibitText"/>
        <w:rPr>
          <w:lang w:val="en-GB"/>
        </w:rPr>
      </w:pPr>
    </w:p>
    <w:p w14:paraId="5A36ABA1" w14:textId="77777777" w:rsidR="00C67D8C" w:rsidRPr="00C666E3" w:rsidRDefault="00C67D8C" w:rsidP="00C67D8C">
      <w:pPr>
        <w:pStyle w:val="Footnote"/>
        <w:rPr>
          <w:lang w:val="en-GB"/>
        </w:rPr>
      </w:pPr>
      <w:r w:rsidRPr="00C666E3">
        <w:rPr>
          <w:lang w:val="en-GB"/>
        </w:rPr>
        <w:t>Source: Company files.</w:t>
      </w:r>
    </w:p>
    <w:p w14:paraId="7E632FE1" w14:textId="77777777" w:rsidR="00465348" w:rsidRPr="009C2666" w:rsidRDefault="00465348" w:rsidP="00C67D8C">
      <w:pPr>
        <w:pStyle w:val="BodyTextMain"/>
      </w:pPr>
    </w:p>
    <w:sectPr w:rsidR="00465348" w:rsidRPr="009C2666" w:rsidSect="00751E0B">
      <w:headerReference w:type="default" r:id="rId12"/>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506C63" w16cid:durableId="1F7B0AA0"/>
  <w16cid:commentId w16cid:paraId="481448D3" w16cid:durableId="1F7B0ADE"/>
  <w16cid:commentId w16cid:paraId="15BF7057" w16cid:durableId="1F7B0AA1"/>
  <w16cid:commentId w16cid:paraId="216A02BA" w16cid:durableId="1F7B0B12"/>
  <w16cid:commentId w16cid:paraId="7063D05B" w16cid:durableId="1F7B0AA2"/>
  <w16cid:commentId w16cid:paraId="3533E3D8" w16cid:durableId="1F7B0B62"/>
  <w16cid:commentId w16cid:paraId="0CC70623" w16cid:durableId="1F7B0AA3"/>
  <w16cid:commentId w16cid:paraId="38E640BE" w16cid:durableId="1F7B0B99"/>
  <w16cid:commentId w16cid:paraId="34C23891" w16cid:durableId="1F7B0AA4"/>
  <w16cid:commentId w16cid:paraId="13F38F94" w16cid:durableId="1F7B0BD2"/>
  <w16cid:commentId w16cid:paraId="0286B971" w16cid:durableId="1F7B0AA5"/>
  <w16cid:commentId w16cid:paraId="3F97BD78" w16cid:durableId="1F7B0AA6"/>
  <w16cid:commentId w16cid:paraId="160A4D81" w16cid:durableId="1F7B0AA7"/>
  <w16cid:commentId w16cid:paraId="2AF454A1" w16cid:durableId="1F7B0C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C63B15" w14:textId="77777777" w:rsidR="002E77C6" w:rsidRDefault="002E77C6" w:rsidP="00D75295">
      <w:r>
        <w:separator/>
      </w:r>
    </w:p>
  </w:endnote>
  <w:endnote w:type="continuationSeparator" w:id="0">
    <w:p w14:paraId="64E2BDFA" w14:textId="77777777" w:rsidR="002E77C6" w:rsidRDefault="002E77C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B7029A" w14:textId="77777777" w:rsidR="002E77C6" w:rsidRDefault="002E77C6" w:rsidP="00D75295">
      <w:r>
        <w:separator/>
      </w:r>
    </w:p>
  </w:footnote>
  <w:footnote w:type="continuationSeparator" w:id="0">
    <w:p w14:paraId="20EFF9F5" w14:textId="77777777" w:rsidR="002E77C6" w:rsidRDefault="002E77C6" w:rsidP="00D75295">
      <w:r>
        <w:continuationSeparator/>
      </w:r>
    </w:p>
  </w:footnote>
  <w:footnote w:id="1">
    <w:p w14:paraId="3D1FE4BB" w14:textId="77777777" w:rsidR="006F0433" w:rsidRPr="00B91A84" w:rsidRDefault="006F0433" w:rsidP="00C67D8C">
      <w:pPr>
        <w:pStyle w:val="Footnote"/>
        <w:rPr>
          <w:lang w:val="en-CA"/>
        </w:rPr>
      </w:pPr>
      <w:r w:rsidRPr="00B62315">
        <w:rPr>
          <w:rStyle w:val="FootnoteReference"/>
        </w:rPr>
        <w:footnoteRef/>
      </w:r>
      <w:r w:rsidRPr="00493BEC">
        <w:t xml:space="preserve"> </w:t>
      </w:r>
      <w:r w:rsidRPr="00493BEC">
        <w:rPr>
          <w:lang w:val="en-CA"/>
        </w:rPr>
        <w:t xml:space="preserve">Keith Leslie, “Beer </w:t>
      </w:r>
      <w:r>
        <w:rPr>
          <w:lang w:val="en-CA"/>
        </w:rPr>
        <w:t>S</w:t>
      </w:r>
      <w:r w:rsidRPr="00493BEC">
        <w:rPr>
          <w:lang w:val="en-CA"/>
        </w:rPr>
        <w:t xml:space="preserve">ales to </w:t>
      </w:r>
      <w:r>
        <w:rPr>
          <w:lang w:val="en-CA"/>
        </w:rPr>
        <w:t>B</w:t>
      </w:r>
      <w:r w:rsidRPr="00493BEC">
        <w:rPr>
          <w:lang w:val="en-CA"/>
        </w:rPr>
        <w:t xml:space="preserve">egin </w:t>
      </w:r>
      <w:r>
        <w:rPr>
          <w:lang w:val="en-CA"/>
        </w:rPr>
        <w:t>T</w:t>
      </w:r>
      <w:r w:rsidRPr="00493BEC">
        <w:rPr>
          <w:lang w:val="en-CA"/>
        </w:rPr>
        <w:t xml:space="preserve">oday at </w:t>
      </w:r>
      <w:r>
        <w:rPr>
          <w:lang w:val="en-CA"/>
        </w:rPr>
        <w:t>S</w:t>
      </w:r>
      <w:r w:rsidRPr="00493BEC">
        <w:rPr>
          <w:lang w:val="en-CA"/>
        </w:rPr>
        <w:t xml:space="preserve">ome Ontario </w:t>
      </w:r>
      <w:r>
        <w:rPr>
          <w:lang w:val="en-CA"/>
        </w:rPr>
        <w:t>G</w:t>
      </w:r>
      <w:r w:rsidRPr="00493BEC">
        <w:rPr>
          <w:lang w:val="en-CA"/>
        </w:rPr>
        <w:t xml:space="preserve">rocery </w:t>
      </w:r>
      <w:r>
        <w:rPr>
          <w:lang w:val="en-CA"/>
        </w:rPr>
        <w:t>S</w:t>
      </w:r>
      <w:r w:rsidRPr="00493BEC">
        <w:rPr>
          <w:lang w:val="en-CA"/>
        </w:rPr>
        <w:t>tores</w:t>
      </w:r>
      <w:r>
        <w:rPr>
          <w:lang w:val="en-CA"/>
        </w:rPr>
        <w:t xml:space="preserve">,” CP24, </w:t>
      </w:r>
      <w:r w:rsidRPr="00324A6C">
        <w:rPr>
          <w:lang w:val="en-CA"/>
        </w:rPr>
        <w:t xml:space="preserve">December 15, 2015. </w:t>
      </w:r>
      <w:proofErr w:type="gramStart"/>
      <w:r>
        <w:rPr>
          <w:lang w:val="en-CA"/>
        </w:rPr>
        <w:t>accessed</w:t>
      </w:r>
      <w:proofErr w:type="gramEnd"/>
      <w:r>
        <w:rPr>
          <w:lang w:val="en-CA"/>
        </w:rPr>
        <w:t xml:space="preserve"> April </w:t>
      </w:r>
      <w:r w:rsidRPr="00324A6C">
        <w:rPr>
          <w:lang w:val="en-CA"/>
        </w:rPr>
        <w:t>2</w:t>
      </w:r>
      <w:r w:rsidRPr="00B91A84">
        <w:rPr>
          <w:lang w:val="en-CA"/>
        </w:rPr>
        <w:t>, 2018</w:t>
      </w:r>
      <w:r>
        <w:rPr>
          <w:lang w:val="en-CA"/>
        </w:rPr>
        <w:t xml:space="preserve">, </w:t>
      </w:r>
      <w:r w:rsidRPr="00C236F2">
        <w:t>https://www.cp24.com/news</w:t>
      </w:r>
      <w:r w:rsidRPr="000A1FAC">
        <w:rPr>
          <w:lang w:val="en-CA"/>
        </w:rPr>
        <w:t>/beer-sales-to-begin-today-at-some-ontario-grocery-stores-1.2700639</w:t>
      </w:r>
      <w:r>
        <w:rPr>
          <w:lang w:val="en-CA"/>
        </w:rPr>
        <w:t>.</w:t>
      </w:r>
    </w:p>
  </w:footnote>
  <w:footnote w:id="2">
    <w:p w14:paraId="0B96AB76" w14:textId="77777777" w:rsidR="006F0433" w:rsidRPr="00B62315" w:rsidRDefault="006F0433" w:rsidP="000F4964">
      <w:pPr>
        <w:pStyle w:val="Footnote"/>
        <w:rPr>
          <w:lang w:val="en-CA"/>
        </w:rPr>
      </w:pPr>
      <w:r w:rsidRPr="00B62315">
        <w:rPr>
          <w:rStyle w:val="FootnoteReference"/>
        </w:rPr>
        <w:footnoteRef/>
      </w:r>
      <w:r w:rsidRPr="00B62315">
        <w:t xml:space="preserve"> </w:t>
      </w:r>
      <w:r>
        <w:rPr>
          <w:lang w:val="en-CA"/>
        </w:rPr>
        <w:t>World Health Organization</w:t>
      </w:r>
      <w:r w:rsidRPr="00825633">
        <w:rPr>
          <w:lang w:val="en-CA"/>
        </w:rPr>
        <w:t xml:space="preserve">, </w:t>
      </w:r>
      <w:r w:rsidRPr="00C236F2">
        <w:rPr>
          <w:i/>
          <w:lang w:val="en-CA"/>
        </w:rPr>
        <w:t>World Health Statistics 2017: Monitoring Health for Sustainable Development Goals</w:t>
      </w:r>
      <w:r>
        <w:rPr>
          <w:lang w:val="en-CA"/>
        </w:rPr>
        <w:t>,</w:t>
      </w:r>
      <w:r w:rsidRPr="00B62315">
        <w:rPr>
          <w:lang w:val="en-CA"/>
        </w:rPr>
        <w:t xml:space="preserve"> </w:t>
      </w:r>
      <w:r>
        <w:rPr>
          <w:lang w:val="en-CA"/>
        </w:rPr>
        <w:t xml:space="preserve">2017, </w:t>
      </w:r>
      <w:r w:rsidRPr="00B62315">
        <w:rPr>
          <w:lang w:val="en-CA"/>
        </w:rPr>
        <w:t>accessed January 19, 2018</w:t>
      </w:r>
      <w:r>
        <w:rPr>
          <w:lang w:val="en-CA"/>
        </w:rPr>
        <w:t xml:space="preserve">, </w:t>
      </w:r>
      <w:r w:rsidRPr="00C236F2">
        <w:t>http://apps.who.int/iris/bitstream/10665/255336/1/9789241565486-eng.pdf?ua=1</w:t>
      </w:r>
      <w:r>
        <w:rPr>
          <w:lang w:val="en-CA"/>
        </w:rPr>
        <w:t>.</w:t>
      </w:r>
    </w:p>
  </w:footnote>
  <w:footnote w:id="3">
    <w:p w14:paraId="2E3C72F5" w14:textId="77777777" w:rsidR="006F0433" w:rsidRPr="00B91A84" w:rsidRDefault="006F0433" w:rsidP="000F4964">
      <w:pPr>
        <w:pStyle w:val="Footnote"/>
        <w:rPr>
          <w:lang w:val="en-CA"/>
        </w:rPr>
      </w:pPr>
      <w:r w:rsidRPr="00B95152">
        <w:rPr>
          <w:rStyle w:val="FootnoteReference"/>
        </w:rPr>
        <w:footnoteRef/>
      </w:r>
      <w:r w:rsidRPr="00B95152">
        <w:t xml:space="preserve"> </w:t>
      </w:r>
      <w:r>
        <w:rPr>
          <w:lang w:val="en-CA"/>
        </w:rPr>
        <w:t>Public Health Agency of Canada</w:t>
      </w:r>
      <w:r w:rsidRPr="00825633">
        <w:rPr>
          <w:lang w:val="en-CA"/>
        </w:rPr>
        <w:t xml:space="preserve">, </w:t>
      </w:r>
      <w:r w:rsidRPr="00C236F2">
        <w:rPr>
          <w:i/>
          <w:lang w:val="en-CA"/>
        </w:rPr>
        <w:t>Alcohol Consumption in Canada</w:t>
      </w:r>
      <w:r w:rsidRPr="00324A6C">
        <w:rPr>
          <w:lang w:val="en-CA"/>
        </w:rPr>
        <w:t>,</w:t>
      </w:r>
      <w:r>
        <w:rPr>
          <w:lang w:val="en-CA"/>
        </w:rPr>
        <w:t xml:space="preserve"> January 2016,</w:t>
      </w:r>
      <w:r w:rsidRPr="00324A6C">
        <w:rPr>
          <w:lang w:val="en-CA"/>
        </w:rPr>
        <w:t xml:space="preserve"> accessed January 22</w:t>
      </w:r>
      <w:r w:rsidRPr="00B91A84">
        <w:rPr>
          <w:lang w:val="en-CA"/>
        </w:rPr>
        <w:t>, 2017</w:t>
      </w:r>
      <w:r>
        <w:rPr>
          <w:lang w:val="en-CA"/>
        </w:rPr>
        <w:t xml:space="preserve">, </w:t>
      </w:r>
      <w:r w:rsidRPr="00C236F2">
        <w:t>http://healthycanadians.gc.ca/publications/department-ministere/state-public-health-alcohol-2015-etat-sante-publique-alcool/alt/state-phac-alcohol-2015-etat-aspc-alcool-eng.pdf</w:t>
      </w:r>
      <w:r>
        <w:rPr>
          <w:lang w:val="en-CA"/>
        </w:rPr>
        <w:t>.</w:t>
      </w:r>
    </w:p>
  </w:footnote>
  <w:footnote w:id="4">
    <w:p w14:paraId="6012F778" w14:textId="77777777" w:rsidR="006F0433" w:rsidRDefault="006F0433" w:rsidP="000F4964">
      <w:pPr>
        <w:pStyle w:val="Footnote"/>
      </w:pPr>
      <w:r>
        <w:rPr>
          <w:rStyle w:val="FootnoteReference"/>
        </w:rPr>
        <w:footnoteRef/>
      </w:r>
      <w:r>
        <w:t xml:space="preserve"> All currency amounts are in Canadian dollars unless otherwise indicated.</w:t>
      </w:r>
    </w:p>
  </w:footnote>
  <w:footnote w:id="5">
    <w:p w14:paraId="52ACA7F6" w14:textId="6E8C108E" w:rsidR="006F0433" w:rsidRPr="00CF2CD6" w:rsidRDefault="006F0433" w:rsidP="003811BD">
      <w:pPr>
        <w:autoSpaceDE w:val="0"/>
        <w:autoSpaceDN w:val="0"/>
        <w:adjustRightInd w:val="0"/>
        <w:jc w:val="both"/>
        <w:rPr>
          <w:rFonts w:ascii="Arial" w:hAnsi="Arial" w:cs="Arial"/>
          <w:sz w:val="17"/>
          <w:szCs w:val="17"/>
          <w:lang w:val="en-CA"/>
        </w:rPr>
      </w:pPr>
      <w:r w:rsidRPr="003811BD">
        <w:rPr>
          <w:rStyle w:val="FootnoteReference"/>
          <w:rFonts w:ascii="Arial" w:hAnsi="Arial" w:cs="Arial"/>
          <w:sz w:val="17"/>
          <w:szCs w:val="17"/>
        </w:rPr>
        <w:footnoteRef/>
      </w:r>
      <w:r>
        <w:t xml:space="preserve"> </w:t>
      </w:r>
      <w:r w:rsidRPr="00CF2CD6">
        <w:rPr>
          <w:rFonts w:ascii="Arial" w:eastAsiaTheme="minorHAnsi" w:hAnsi="Arial" w:cs="Arial"/>
          <w:bCs/>
          <w:sz w:val="17"/>
          <w:szCs w:val="17"/>
          <w:lang w:val="en-CA"/>
        </w:rPr>
        <w:t>IBISWorld</w:t>
      </w:r>
      <w:r>
        <w:rPr>
          <w:rFonts w:ascii="Arial" w:eastAsiaTheme="minorHAnsi" w:hAnsi="Arial" w:cs="Arial"/>
          <w:bCs/>
          <w:sz w:val="17"/>
          <w:szCs w:val="17"/>
          <w:lang w:val="en-CA"/>
        </w:rPr>
        <w:t>,</w:t>
      </w:r>
      <w:r w:rsidRPr="00CF2CD6">
        <w:rPr>
          <w:rFonts w:ascii="Arial" w:eastAsiaTheme="minorHAnsi" w:hAnsi="Arial" w:cs="Arial"/>
          <w:bCs/>
          <w:sz w:val="17"/>
          <w:szCs w:val="17"/>
          <w:lang w:val="en-CA"/>
        </w:rPr>
        <w:t xml:space="preserve"> Industry Report 44531CA</w:t>
      </w:r>
      <w:r>
        <w:rPr>
          <w:rFonts w:ascii="Arial" w:eastAsiaTheme="minorHAnsi" w:hAnsi="Arial" w:cs="Arial"/>
          <w:bCs/>
          <w:sz w:val="17"/>
          <w:szCs w:val="17"/>
          <w:lang w:val="en-CA"/>
        </w:rPr>
        <w:t xml:space="preserve">, </w:t>
      </w:r>
      <w:r w:rsidRPr="003811BD">
        <w:rPr>
          <w:rFonts w:ascii="Arial" w:eastAsiaTheme="minorHAnsi" w:hAnsi="Arial" w:cs="Arial"/>
          <w:bCs/>
          <w:i/>
          <w:sz w:val="17"/>
          <w:szCs w:val="17"/>
          <w:lang w:val="en-CA"/>
        </w:rPr>
        <w:t>Beer, Wine &amp; Liquor Stores in Canada</w:t>
      </w:r>
      <w:r w:rsidRPr="00CF2CD6">
        <w:rPr>
          <w:rFonts w:ascii="Arial" w:eastAsiaTheme="minorHAnsi" w:hAnsi="Arial" w:cs="Arial"/>
          <w:bCs/>
          <w:sz w:val="17"/>
          <w:szCs w:val="17"/>
          <w:lang w:val="en-CA"/>
        </w:rPr>
        <w:t>,</w:t>
      </w:r>
      <w:r>
        <w:rPr>
          <w:rFonts w:ascii="Arial" w:eastAsiaTheme="minorHAnsi" w:hAnsi="Arial" w:cs="Arial"/>
          <w:bCs/>
          <w:sz w:val="17"/>
          <w:szCs w:val="17"/>
          <w:lang w:val="en-CA"/>
        </w:rPr>
        <w:t xml:space="preserve"> 33, </w:t>
      </w:r>
      <w:r w:rsidRPr="00CF2CD6">
        <w:rPr>
          <w:rFonts w:ascii="Arial" w:eastAsiaTheme="minorHAnsi" w:hAnsi="Arial" w:cs="Arial"/>
          <w:bCs/>
          <w:sz w:val="17"/>
          <w:szCs w:val="17"/>
          <w:lang w:val="en-CA"/>
        </w:rPr>
        <w:t>June 2017</w:t>
      </w:r>
      <w:r>
        <w:rPr>
          <w:rFonts w:ascii="Arial" w:eastAsiaTheme="minorHAnsi" w:hAnsi="Arial" w:cs="Arial"/>
          <w:bCs/>
          <w:sz w:val="17"/>
          <w:szCs w:val="17"/>
          <w:lang w:val="en-CA"/>
        </w:rPr>
        <w:t>, accessed September 19, 2018,</w:t>
      </w:r>
      <w:r w:rsidR="00766B8F">
        <w:rPr>
          <w:rFonts w:ascii="Arial" w:eastAsiaTheme="minorHAnsi" w:hAnsi="Arial" w:cs="Arial"/>
          <w:bCs/>
          <w:sz w:val="17"/>
          <w:szCs w:val="17"/>
          <w:lang w:val="en-CA"/>
        </w:rPr>
        <w:t xml:space="preserve"> </w:t>
      </w:r>
      <w:r w:rsidRPr="00CF2CD6">
        <w:rPr>
          <w:rFonts w:ascii="Arial" w:eastAsiaTheme="minorHAnsi" w:hAnsi="Arial" w:cs="Arial"/>
          <w:bCs/>
          <w:sz w:val="17"/>
          <w:szCs w:val="17"/>
          <w:lang w:val="en-CA"/>
        </w:rPr>
        <w:t>www.ibisworld. ca/industry-trends/market-research-reports/retail-trade/beer-wine-liquor-stores.html</w:t>
      </w:r>
      <w:r>
        <w:rPr>
          <w:rFonts w:ascii="Arial" w:eastAsiaTheme="minorHAnsi" w:hAnsi="Arial" w:cs="Arial"/>
          <w:bCs/>
          <w:sz w:val="17"/>
          <w:szCs w:val="17"/>
          <w:lang w:val="en-CA"/>
        </w:rPr>
        <w:t>.</w:t>
      </w:r>
    </w:p>
  </w:footnote>
  <w:footnote w:id="6">
    <w:p w14:paraId="5378982E" w14:textId="0E64019D" w:rsidR="004048F7" w:rsidRDefault="006F0433" w:rsidP="00A75D52">
      <w:pPr>
        <w:pStyle w:val="Footnote"/>
        <w:rPr>
          <w:i/>
        </w:rPr>
      </w:pPr>
      <w:r w:rsidRPr="006C524B">
        <w:rPr>
          <w:rStyle w:val="FootnoteReference"/>
        </w:rPr>
        <w:footnoteRef/>
      </w:r>
      <w:r w:rsidR="004048F7">
        <w:t> Statista, </w:t>
      </w:r>
      <w:r w:rsidR="004048F7">
        <w:rPr>
          <w:i/>
        </w:rPr>
        <w:t>Alcohol Consumption in Canada—Statistics &amp; </w:t>
      </w:r>
      <w:r w:rsidR="004048F7" w:rsidRPr="00C236F2">
        <w:rPr>
          <w:i/>
        </w:rPr>
        <w:t>Facts</w:t>
      </w:r>
      <w:r w:rsidR="004048F7">
        <w:t>,</w:t>
      </w:r>
      <w:r w:rsidR="004048F7">
        <w:rPr>
          <w:lang w:val="en-CA"/>
        </w:rPr>
        <w:t> 2015, accessed January 31, 2018, </w:t>
      </w:r>
      <w:r w:rsidR="004048F7" w:rsidRPr="00C236F2">
        <w:t>www.statista.com</w:t>
      </w:r>
      <w:r w:rsidR="004048F7">
        <w:t>/t</w:t>
      </w:r>
    </w:p>
    <w:p w14:paraId="44B45B63" w14:textId="46830C0B" w:rsidR="006F0433" w:rsidRPr="006C524B" w:rsidRDefault="006F0433" w:rsidP="00A75D52">
      <w:pPr>
        <w:pStyle w:val="Footnote"/>
        <w:rPr>
          <w:lang w:val="en-CA"/>
        </w:rPr>
      </w:pPr>
      <w:proofErr w:type="spellStart"/>
      <w:proofErr w:type="gramStart"/>
      <w:r w:rsidRPr="00C236F2">
        <w:t>opics</w:t>
      </w:r>
      <w:proofErr w:type="spellEnd"/>
      <w:r w:rsidRPr="00C236F2">
        <w:t>/2998</w:t>
      </w:r>
      <w:r w:rsidRPr="000E2481">
        <w:rPr>
          <w:lang w:val="en-CA"/>
        </w:rPr>
        <w:t>/alcohol-consumption-in-</w:t>
      </w:r>
      <w:proofErr w:type="spellStart"/>
      <w:r w:rsidRPr="000E2481">
        <w:rPr>
          <w:lang w:val="en-CA"/>
        </w:rPr>
        <w:t>canada</w:t>
      </w:r>
      <w:proofErr w:type="spellEnd"/>
      <w:proofErr w:type="gramEnd"/>
      <w:r w:rsidRPr="000E2481">
        <w:rPr>
          <w:lang w:val="en-CA"/>
        </w:rPr>
        <w:t>/</w:t>
      </w:r>
      <w:r>
        <w:rPr>
          <w:lang w:val="en-CA"/>
        </w:rPr>
        <w:t>.</w:t>
      </w:r>
    </w:p>
  </w:footnote>
  <w:footnote w:id="7">
    <w:p w14:paraId="5622C8B2" w14:textId="0863FF8A" w:rsidR="006F0433" w:rsidRPr="00766B8F" w:rsidRDefault="006F0433" w:rsidP="003811BD">
      <w:pPr>
        <w:pStyle w:val="FootnoteText"/>
        <w:jc w:val="both"/>
        <w:rPr>
          <w:rFonts w:ascii="Arial" w:hAnsi="Arial" w:cs="Arial"/>
          <w:spacing w:val="-4"/>
          <w:kern w:val="17"/>
          <w:sz w:val="17"/>
          <w:szCs w:val="17"/>
        </w:rPr>
      </w:pPr>
      <w:r w:rsidRPr="00766B8F">
        <w:rPr>
          <w:rStyle w:val="FootnoteReference"/>
          <w:rFonts w:ascii="Arial" w:hAnsi="Arial" w:cs="Arial"/>
          <w:spacing w:val="-4"/>
          <w:kern w:val="17"/>
          <w:sz w:val="17"/>
          <w:szCs w:val="17"/>
        </w:rPr>
        <w:footnoteRef/>
      </w:r>
      <w:r w:rsidR="004048F7" w:rsidRPr="00766B8F">
        <w:rPr>
          <w:rFonts w:ascii="Arial" w:hAnsi="Arial" w:cs="Arial"/>
          <w:spacing w:val="-4"/>
          <w:kern w:val="17"/>
          <w:sz w:val="17"/>
          <w:szCs w:val="17"/>
        </w:rPr>
        <w:t> LCBO, accessed September 19, 2018, www.lcbo.com/content/lcbo/en/corporate-pages/about/corporate-social-responsibilit</w:t>
      </w:r>
      <w:r w:rsidR="00766B8F" w:rsidRPr="00766B8F">
        <w:rPr>
          <w:rFonts w:ascii="Arial" w:hAnsi="Arial" w:cs="Arial"/>
          <w:spacing w:val="-4"/>
          <w:kern w:val="17"/>
          <w:sz w:val="17"/>
          <w:szCs w:val="17"/>
        </w:rPr>
        <w:t>y.html.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36887" w14:textId="5A292C3F" w:rsidR="006F0433" w:rsidRPr="00C92CC4" w:rsidRDefault="006F043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66B8F">
      <w:rPr>
        <w:rFonts w:ascii="Arial" w:hAnsi="Arial"/>
        <w:b/>
        <w:noProof/>
      </w:rPr>
      <w:t>9</w:t>
    </w:r>
    <w:r>
      <w:rPr>
        <w:rFonts w:ascii="Arial" w:hAnsi="Arial"/>
        <w:b/>
      </w:rPr>
      <w:fldChar w:fldCharType="end"/>
    </w:r>
    <w:r w:rsidR="004048F7">
      <w:rPr>
        <w:rFonts w:ascii="Arial" w:hAnsi="Arial"/>
        <w:b/>
      </w:rPr>
      <w:tab/>
      <w:t>9B18M166</w:t>
    </w:r>
  </w:p>
  <w:p w14:paraId="14ADBA45" w14:textId="77777777" w:rsidR="006F0433" w:rsidRDefault="006F0433" w:rsidP="00D13667">
    <w:pPr>
      <w:pStyle w:val="Header"/>
      <w:tabs>
        <w:tab w:val="clear" w:pos="4680"/>
      </w:tabs>
      <w:rPr>
        <w:sz w:val="18"/>
        <w:szCs w:val="18"/>
      </w:rPr>
    </w:pPr>
  </w:p>
  <w:p w14:paraId="67CF9785" w14:textId="77777777" w:rsidR="006F0433" w:rsidRPr="00C92CC4" w:rsidRDefault="006F0433"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77C08"/>
    <w:rsid w:val="0008102D"/>
    <w:rsid w:val="00094C0E"/>
    <w:rsid w:val="000D3813"/>
    <w:rsid w:val="000D7091"/>
    <w:rsid w:val="000F0C22"/>
    <w:rsid w:val="000F4964"/>
    <w:rsid w:val="000F6B09"/>
    <w:rsid w:val="000F6FDC"/>
    <w:rsid w:val="00104567"/>
    <w:rsid w:val="00104916"/>
    <w:rsid w:val="00104AA7"/>
    <w:rsid w:val="0012732D"/>
    <w:rsid w:val="001438EA"/>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C522A"/>
    <w:rsid w:val="002E77C6"/>
    <w:rsid w:val="002F460C"/>
    <w:rsid w:val="002F48D6"/>
    <w:rsid w:val="00317391"/>
    <w:rsid w:val="00326216"/>
    <w:rsid w:val="00336580"/>
    <w:rsid w:val="00354899"/>
    <w:rsid w:val="0035511B"/>
    <w:rsid w:val="00355FD6"/>
    <w:rsid w:val="00364A5C"/>
    <w:rsid w:val="00373FB1"/>
    <w:rsid w:val="003811BD"/>
    <w:rsid w:val="00392C3B"/>
    <w:rsid w:val="00396C76"/>
    <w:rsid w:val="003B30D8"/>
    <w:rsid w:val="003B7EF2"/>
    <w:rsid w:val="003C3FA4"/>
    <w:rsid w:val="003D0BA1"/>
    <w:rsid w:val="003F2B0C"/>
    <w:rsid w:val="004048F7"/>
    <w:rsid w:val="004105B2"/>
    <w:rsid w:val="00412900"/>
    <w:rsid w:val="004221E4"/>
    <w:rsid w:val="004273F8"/>
    <w:rsid w:val="004355A3"/>
    <w:rsid w:val="00446546"/>
    <w:rsid w:val="00452769"/>
    <w:rsid w:val="00465348"/>
    <w:rsid w:val="004669C0"/>
    <w:rsid w:val="004B1CCB"/>
    <w:rsid w:val="004B632F"/>
    <w:rsid w:val="004D3FB1"/>
    <w:rsid w:val="004D6F21"/>
    <w:rsid w:val="004D73A5"/>
    <w:rsid w:val="005160F1"/>
    <w:rsid w:val="00524F2F"/>
    <w:rsid w:val="00527E5C"/>
    <w:rsid w:val="005301E3"/>
    <w:rsid w:val="00532CF5"/>
    <w:rsid w:val="005528CB"/>
    <w:rsid w:val="00566771"/>
    <w:rsid w:val="00581E2E"/>
    <w:rsid w:val="00584F15"/>
    <w:rsid w:val="0059514B"/>
    <w:rsid w:val="005A102B"/>
    <w:rsid w:val="005A1B0F"/>
    <w:rsid w:val="005A45D4"/>
    <w:rsid w:val="005B0127"/>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0433"/>
    <w:rsid w:val="006F131D"/>
    <w:rsid w:val="00711642"/>
    <w:rsid w:val="007507C6"/>
    <w:rsid w:val="00751E0B"/>
    <w:rsid w:val="00752BCD"/>
    <w:rsid w:val="00766B8F"/>
    <w:rsid w:val="00766DA1"/>
    <w:rsid w:val="00780D94"/>
    <w:rsid w:val="007866A6"/>
    <w:rsid w:val="007A130D"/>
    <w:rsid w:val="007D1A2D"/>
    <w:rsid w:val="007D4102"/>
    <w:rsid w:val="007F43B7"/>
    <w:rsid w:val="007F77B3"/>
    <w:rsid w:val="00821FFC"/>
    <w:rsid w:val="008271CA"/>
    <w:rsid w:val="00833FF4"/>
    <w:rsid w:val="008467D5"/>
    <w:rsid w:val="008A4DC4"/>
    <w:rsid w:val="008B438C"/>
    <w:rsid w:val="008D06CA"/>
    <w:rsid w:val="008D3A46"/>
    <w:rsid w:val="009067A4"/>
    <w:rsid w:val="00930885"/>
    <w:rsid w:val="00933D68"/>
    <w:rsid w:val="009340DB"/>
    <w:rsid w:val="00944F57"/>
    <w:rsid w:val="0094618C"/>
    <w:rsid w:val="0095684B"/>
    <w:rsid w:val="00972498"/>
    <w:rsid w:val="0097481F"/>
    <w:rsid w:val="00974CC6"/>
    <w:rsid w:val="00976AD4"/>
    <w:rsid w:val="00995547"/>
    <w:rsid w:val="009A312F"/>
    <w:rsid w:val="009A5348"/>
    <w:rsid w:val="009B0AB7"/>
    <w:rsid w:val="009C76D5"/>
    <w:rsid w:val="009F7AA4"/>
    <w:rsid w:val="00A10AD7"/>
    <w:rsid w:val="00A17D6B"/>
    <w:rsid w:val="00A26D3C"/>
    <w:rsid w:val="00A559DB"/>
    <w:rsid w:val="00A569EA"/>
    <w:rsid w:val="00A75D52"/>
    <w:rsid w:val="00AF35FC"/>
    <w:rsid w:val="00AF5556"/>
    <w:rsid w:val="00B03639"/>
    <w:rsid w:val="00B0652A"/>
    <w:rsid w:val="00B40937"/>
    <w:rsid w:val="00B423EF"/>
    <w:rsid w:val="00B453DE"/>
    <w:rsid w:val="00B72597"/>
    <w:rsid w:val="00B901F9"/>
    <w:rsid w:val="00BD6EFB"/>
    <w:rsid w:val="00BF3825"/>
    <w:rsid w:val="00C1584D"/>
    <w:rsid w:val="00C15BE2"/>
    <w:rsid w:val="00C3447F"/>
    <w:rsid w:val="00C67102"/>
    <w:rsid w:val="00C67D8C"/>
    <w:rsid w:val="00C7379E"/>
    <w:rsid w:val="00C74FDB"/>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33D03"/>
    <w:rsid w:val="00D553DD"/>
    <w:rsid w:val="00D57745"/>
    <w:rsid w:val="00D63150"/>
    <w:rsid w:val="00D636BA"/>
    <w:rsid w:val="00D64A32"/>
    <w:rsid w:val="00D64EFC"/>
    <w:rsid w:val="00D75295"/>
    <w:rsid w:val="00D76CE9"/>
    <w:rsid w:val="00D97F12"/>
    <w:rsid w:val="00DA6095"/>
    <w:rsid w:val="00DB42E7"/>
    <w:rsid w:val="00DD7F44"/>
    <w:rsid w:val="00DE01A6"/>
    <w:rsid w:val="00DE7A98"/>
    <w:rsid w:val="00DF32C2"/>
    <w:rsid w:val="00E23249"/>
    <w:rsid w:val="00E471A7"/>
    <w:rsid w:val="00E635CF"/>
    <w:rsid w:val="00EB7651"/>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D5466"/>
    <w:rsid w:val="00FD646A"/>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90F4063"/>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hyperlink" Target="https://iveypubs.my.salesforce.com/003A000001IGNB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A91A7-9EC6-4A25-8E71-1ADD3F5CE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4322</Words>
  <Characters>24638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28903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3</cp:revision>
  <cp:lastPrinted>2015-03-04T20:34:00Z</cp:lastPrinted>
  <dcterms:created xsi:type="dcterms:W3CDTF">2018-10-25T18:09:00Z</dcterms:created>
  <dcterms:modified xsi:type="dcterms:W3CDTF">2018-11-02T13:46:00Z</dcterms:modified>
</cp:coreProperties>
</file>