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108" w:type="dxa"/>
        <w:tblLook w:val="04A0" w:firstRow="1" w:lastRow="0" w:firstColumn="1" w:lastColumn="0" w:noHBand="0" w:noVBand="1"/>
      </w:tblPr>
      <w:tblGrid>
        <w:gridCol w:w="4465"/>
        <w:gridCol w:w="4787"/>
      </w:tblGrid>
      <w:tr w:rsidR="00D94268" w:rsidRPr="00646999" w14:paraId="3A30304D" w14:textId="77777777" w:rsidTr="00624481">
        <w:tc>
          <w:tcPr>
            <w:tcW w:w="4680" w:type="dxa"/>
            <w:shd w:val="clear" w:color="auto" w:fill="auto"/>
          </w:tcPr>
          <w:p w14:paraId="6EFDB075" w14:textId="70017960" w:rsidR="00D94268" w:rsidRPr="00646999" w:rsidRDefault="00D94268" w:rsidP="00624481">
            <w:pPr>
              <w:pStyle w:val="Casehead2"/>
              <w:rPr>
                <w:lang w:val="en-GB"/>
              </w:rPr>
            </w:pPr>
            <w:r w:rsidRPr="00646999">
              <w:rPr>
                <w:noProof/>
              </w:rPr>
              <w:drawing>
                <wp:inline distT="0" distB="0" distL="0" distR="0" wp14:anchorId="3818F9EE" wp14:editId="1C6F2C41">
                  <wp:extent cx="2616200" cy="5486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grayscl/>
                            <a:extLst>
                              <a:ext uri="{28A0092B-C50C-407E-A947-70E740481C1C}">
                                <a14:useLocalDpi xmlns:a14="http://schemas.microsoft.com/office/drawing/2010/main" val="0"/>
                              </a:ext>
                            </a:extLst>
                          </a:blip>
                          <a:srcRect/>
                          <a:stretch>
                            <a:fillRect/>
                          </a:stretch>
                        </pic:blipFill>
                        <pic:spPr bwMode="auto">
                          <a:xfrm>
                            <a:off x="0" y="0"/>
                            <a:ext cx="2616200" cy="548640"/>
                          </a:xfrm>
                          <a:prstGeom prst="rect">
                            <a:avLst/>
                          </a:prstGeom>
                          <a:noFill/>
                          <a:ln>
                            <a:noFill/>
                          </a:ln>
                        </pic:spPr>
                      </pic:pic>
                    </a:graphicData>
                  </a:graphic>
                </wp:inline>
              </w:drawing>
            </w:r>
          </w:p>
        </w:tc>
        <w:tc>
          <w:tcPr>
            <w:tcW w:w="4788" w:type="dxa"/>
            <w:shd w:val="clear" w:color="auto" w:fill="auto"/>
          </w:tcPr>
          <w:p w14:paraId="1567623B" w14:textId="5215C7D4" w:rsidR="00D94268" w:rsidRPr="00646999" w:rsidRDefault="00D94268" w:rsidP="00624481">
            <w:pPr>
              <w:tabs>
                <w:tab w:val="left" w:pos="-1440"/>
                <w:tab w:val="left" w:pos="-720"/>
                <w:tab w:val="left" w:pos="1"/>
              </w:tabs>
              <w:jc w:val="right"/>
              <w:rPr>
                <w:rFonts w:ascii="Arial" w:hAnsi="Arial" w:cs="Calibri"/>
                <w:b/>
                <w:sz w:val="24"/>
                <w:lang w:val="en-GB"/>
              </w:rPr>
            </w:pPr>
            <w:r w:rsidRPr="00646999">
              <w:rPr>
                <w:rFonts w:ascii="Arial" w:hAnsi="Arial" w:cs="Calibri"/>
                <w:b/>
                <w:noProof/>
                <w:sz w:val="24"/>
              </w:rPr>
              <w:drawing>
                <wp:inline distT="0" distB="0" distL="0" distR="0" wp14:anchorId="3138E6DE" wp14:editId="65E30A7A">
                  <wp:extent cx="2901950" cy="548640"/>
                  <wp:effectExtent l="0" t="0" r="0" b="3810"/>
                  <wp:docPr id="2" name="Picture 2" descr="UC-hashayne-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C-hashayne-black"/>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01950" cy="548640"/>
                          </a:xfrm>
                          <a:prstGeom prst="rect">
                            <a:avLst/>
                          </a:prstGeom>
                          <a:noFill/>
                          <a:ln>
                            <a:noFill/>
                          </a:ln>
                        </pic:spPr>
                      </pic:pic>
                    </a:graphicData>
                  </a:graphic>
                </wp:inline>
              </w:drawing>
            </w:r>
          </w:p>
        </w:tc>
      </w:tr>
    </w:tbl>
    <w:p w14:paraId="65B9BCA8" w14:textId="50C20526" w:rsidR="00D94268" w:rsidRPr="00646999" w:rsidRDefault="00D94268" w:rsidP="00D94268">
      <w:pPr>
        <w:pBdr>
          <w:bottom w:val="single" w:sz="18" w:space="1" w:color="auto"/>
        </w:pBdr>
        <w:tabs>
          <w:tab w:val="left" w:pos="-1440"/>
          <w:tab w:val="left" w:pos="-720"/>
          <w:tab w:val="left" w:pos="1"/>
        </w:tabs>
        <w:jc w:val="both"/>
        <w:rPr>
          <w:rFonts w:ascii="Arial" w:hAnsi="Arial"/>
          <w:b/>
          <w:sz w:val="2"/>
          <w:szCs w:val="2"/>
          <w:lang w:val="en-GB"/>
        </w:rPr>
      </w:pPr>
    </w:p>
    <w:p w14:paraId="21876C33" w14:textId="6E1A7136" w:rsidR="00D94268" w:rsidRPr="00646999" w:rsidRDefault="005D47D5" w:rsidP="00D94268">
      <w:pPr>
        <w:pStyle w:val="ProductNumber"/>
        <w:rPr>
          <w:lang w:val="en-GB"/>
        </w:rPr>
      </w:pPr>
      <w:r>
        <w:rPr>
          <w:lang w:val="en-GB"/>
        </w:rPr>
        <w:t>9B18M182</w:t>
      </w:r>
    </w:p>
    <w:p w14:paraId="4E057522" w14:textId="77777777" w:rsidR="00D75295" w:rsidRPr="00646999" w:rsidRDefault="00D75295" w:rsidP="00D75295">
      <w:pPr>
        <w:jc w:val="right"/>
        <w:rPr>
          <w:rFonts w:ascii="Arial" w:hAnsi="Arial"/>
          <w:b/>
          <w:sz w:val="28"/>
          <w:szCs w:val="28"/>
          <w:lang w:val="en-GB"/>
        </w:rPr>
      </w:pPr>
    </w:p>
    <w:p w14:paraId="426B7211" w14:textId="77777777" w:rsidR="00013360" w:rsidRPr="00646999" w:rsidRDefault="00013360" w:rsidP="00D75295">
      <w:pPr>
        <w:jc w:val="right"/>
        <w:rPr>
          <w:rFonts w:ascii="Arial" w:hAnsi="Arial"/>
          <w:b/>
          <w:sz w:val="28"/>
          <w:szCs w:val="28"/>
          <w:lang w:val="en-GB"/>
        </w:rPr>
      </w:pPr>
    </w:p>
    <w:p w14:paraId="2F03D26A" w14:textId="56C6862A" w:rsidR="00013360" w:rsidRPr="00646999" w:rsidRDefault="008577F6" w:rsidP="00013360">
      <w:pPr>
        <w:pStyle w:val="CaseTitle"/>
        <w:spacing w:after="0" w:line="240" w:lineRule="auto"/>
        <w:rPr>
          <w:sz w:val="20"/>
          <w:szCs w:val="20"/>
          <w:lang w:val="en-GB"/>
        </w:rPr>
      </w:pPr>
      <w:r w:rsidRPr="00646999">
        <w:rPr>
          <w:rFonts w:eastAsia="Arial"/>
          <w:lang w:val="en-GB"/>
        </w:rPr>
        <w:t>China national offshore oil corporation: operations in canada</w:t>
      </w:r>
      <w:r w:rsidR="009250FC">
        <w:rPr>
          <w:rStyle w:val="EndnoteReference"/>
          <w:rFonts w:eastAsia="Arial"/>
          <w:lang w:val="en-GB"/>
        </w:rPr>
        <w:endnoteReference w:id="1"/>
      </w:r>
    </w:p>
    <w:p w14:paraId="40ABF6FD" w14:textId="77777777" w:rsidR="00CA3976" w:rsidRPr="00646999" w:rsidRDefault="00CA3976" w:rsidP="00013360">
      <w:pPr>
        <w:pStyle w:val="CaseTitle"/>
        <w:spacing w:after="0" w:line="240" w:lineRule="auto"/>
        <w:rPr>
          <w:sz w:val="20"/>
          <w:szCs w:val="20"/>
          <w:lang w:val="en-GB"/>
        </w:rPr>
      </w:pPr>
    </w:p>
    <w:p w14:paraId="202F1085" w14:textId="77777777" w:rsidR="00013360" w:rsidRPr="00646999" w:rsidRDefault="00013360" w:rsidP="00013360">
      <w:pPr>
        <w:pStyle w:val="CaseTitle"/>
        <w:spacing w:after="0" w:line="240" w:lineRule="auto"/>
        <w:rPr>
          <w:sz w:val="20"/>
          <w:szCs w:val="20"/>
          <w:lang w:val="en-GB"/>
        </w:rPr>
      </w:pPr>
    </w:p>
    <w:p w14:paraId="58B0C73F" w14:textId="4A824282" w:rsidR="00086B26" w:rsidRPr="00646999" w:rsidRDefault="00687F10" w:rsidP="00086B26">
      <w:pPr>
        <w:pStyle w:val="StyleCopyrightStatementAfter0ptBottomSinglesolidline1"/>
        <w:rPr>
          <w:lang w:val="en-GB"/>
        </w:rPr>
      </w:pPr>
      <w:r w:rsidRPr="00646999">
        <w:rPr>
          <w:rFonts w:cs="Arial"/>
          <w:szCs w:val="16"/>
          <w:lang w:val="en-GB"/>
        </w:rPr>
        <w:t xml:space="preserve">Xiaoyu Liu, </w:t>
      </w:r>
      <w:r w:rsidR="008577F6" w:rsidRPr="00646999">
        <w:rPr>
          <w:rFonts w:cs="Arial"/>
          <w:szCs w:val="16"/>
          <w:lang w:val="en-GB"/>
        </w:rPr>
        <w:t xml:space="preserve">Hao Lu, Loren Falkenberg, and Harrie Vredenburg </w:t>
      </w:r>
      <w:r w:rsidR="00086B26" w:rsidRPr="00646999">
        <w:rPr>
          <w:lang w:val="en-GB"/>
        </w:rPr>
        <w:t>wrote this case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10D89D5F" w14:textId="77777777" w:rsidR="00086B26" w:rsidRPr="00646999" w:rsidRDefault="00086B26" w:rsidP="00086B26">
      <w:pPr>
        <w:pStyle w:val="StyleCopyrightStatementAfter0ptBottomSinglesolidline1"/>
        <w:rPr>
          <w:lang w:val="en-GB"/>
        </w:rPr>
      </w:pPr>
    </w:p>
    <w:p w14:paraId="5508029C" w14:textId="77777777" w:rsidR="00D94268" w:rsidRPr="00646999" w:rsidRDefault="00D94268" w:rsidP="00D94268">
      <w:pPr>
        <w:jc w:val="both"/>
        <w:rPr>
          <w:rFonts w:ascii="Arial" w:hAnsi="Arial" w:cs="Arial"/>
          <w:i/>
          <w:iCs/>
          <w:sz w:val="16"/>
          <w:szCs w:val="16"/>
          <w:lang w:val="en-GB"/>
        </w:rPr>
      </w:pPr>
      <w:r w:rsidRPr="00646999">
        <w:rPr>
          <w:rFonts w:ascii="Arial" w:hAnsi="Arial" w:cs="Arial"/>
          <w:i/>
          <w:iCs/>
          <w:sz w:val="16"/>
          <w:szCs w:val="16"/>
          <w:lang w:val="en-GB"/>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10" w:history="1">
        <w:r w:rsidRPr="00646999">
          <w:rPr>
            <w:rFonts w:ascii="Arial" w:hAnsi="Arial" w:cs="Arial"/>
            <w:i/>
            <w:iCs/>
            <w:sz w:val="16"/>
            <w:szCs w:val="16"/>
            <w:lang w:val="en-GB"/>
          </w:rPr>
          <w:t>cases@ivey.ca</w:t>
        </w:r>
      </w:hyperlink>
      <w:r w:rsidRPr="00646999">
        <w:rPr>
          <w:rFonts w:ascii="Arial" w:hAnsi="Arial" w:cs="Arial"/>
          <w:i/>
          <w:iCs/>
          <w:sz w:val="16"/>
          <w:szCs w:val="16"/>
          <w:lang w:val="en-GB"/>
        </w:rPr>
        <w:t xml:space="preserve">; </w:t>
      </w:r>
      <w:hyperlink r:id="rId11" w:history="1">
        <w:r w:rsidRPr="00646999">
          <w:rPr>
            <w:rFonts w:ascii="Arial" w:hAnsi="Arial" w:cs="Arial"/>
            <w:i/>
            <w:iCs/>
            <w:sz w:val="16"/>
            <w:szCs w:val="16"/>
            <w:lang w:val="en-GB"/>
          </w:rPr>
          <w:t>www.iveycases.com</w:t>
        </w:r>
      </w:hyperlink>
      <w:r w:rsidRPr="00646999">
        <w:rPr>
          <w:rFonts w:ascii="Arial" w:hAnsi="Arial" w:cs="Arial"/>
          <w:i/>
          <w:iCs/>
          <w:sz w:val="16"/>
          <w:szCs w:val="16"/>
          <w:lang w:val="en-GB"/>
        </w:rPr>
        <w:t>.</w:t>
      </w:r>
    </w:p>
    <w:p w14:paraId="2F58FF14" w14:textId="77777777" w:rsidR="00D94268" w:rsidRPr="00646999" w:rsidRDefault="00D94268" w:rsidP="00D94268">
      <w:pPr>
        <w:jc w:val="both"/>
        <w:rPr>
          <w:rFonts w:ascii="Arial" w:hAnsi="Arial" w:cs="Arial"/>
          <w:i/>
          <w:iCs/>
          <w:sz w:val="16"/>
          <w:szCs w:val="16"/>
          <w:lang w:val="en-GB"/>
        </w:rPr>
      </w:pPr>
    </w:p>
    <w:p w14:paraId="3922E14F" w14:textId="186F23E8" w:rsidR="00751E0B" w:rsidRPr="00646999" w:rsidRDefault="00D94268" w:rsidP="00D94268">
      <w:pPr>
        <w:pStyle w:val="StyleStyleCopyrightStatementAfter0ptBottomSinglesolid"/>
        <w:rPr>
          <w:rFonts w:cs="Arial"/>
          <w:szCs w:val="16"/>
          <w:lang w:val="en-GB"/>
        </w:rPr>
      </w:pPr>
      <w:r w:rsidRPr="00646999">
        <w:rPr>
          <w:spacing w:val="-6"/>
          <w:lang w:val="en-GB"/>
        </w:rPr>
        <w:t>Copyright © 2018, Ivey Business School Foundation</w:t>
      </w:r>
      <w:r w:rsidRPr="00646999">
        <w:rPr>
          <w:lang w:val="en-GB"/>
        </w:rPr>
        <w:tab/>
        <w:t>Version: 2018-</w:t>
      </w:r>
      <w:r w:rsidR="000F227F">
        <w:rPr>
          <w:lang w:val="en-GB"/>
        </w:rPr>
        <w:t>12-04</w:t>
      </w:r>
      <w:bookmarkStart w:id="0" w:name="_GoBack"/>
      <w:bookmarkEnd w:id="0"/>
    </w:p>
    <w:p w14:paraId="0A2A54E4" w14:textId="77777777" w:rsidR="00751E0B" w:rsidRPr="00646999" w:rsidRDefault="00751E0B" w:rsidP="00751E0B">
      <w:pPr>
        <w:pStyle w:val="StyleCopyrightStatementAfter0ptBottomSinglesolidline1"/>
        <w:rPr>
          <w:rFonts w:ascii="Times New Roman" w:hAnsi="Times New Roman"/>
          <w:sz w:val="20"/>
          <w:lang w:val="en-GB"/>
        </w:rPr>
      </w:pPr>
    </w:p>
    <w:p w14:paraId="1507635B" w14:textId="77777777" w:rsidR="004B632F" w:rsidRPr="00646999" w:rsidRDefault="004B632F" w:rsidP="004B632F">
      <w:pPr>
        <w:pStyle w:val="StyleCopyrightStatementAfter0ptBottomSinglesolidline1"/>
        <w:rPr>
          <w:rFonts w:ascii="Times New Roman" w:hAnsi="Times New Roman"/>
          <w:sz w:val="20"/>
          <w:lang w:val="en-GB"/>
        </w:rPr>
      </w:pPr>
    </w:p>
    <w:p w14:paraId="739E4341" w14:textId="59F923B4" w:rsidR="00AB5230" w:rsidRPr="00646999" w:rsidRDefault="008577F6" w:rsidP="008577F6">
      <w:pPr>
        <w:pStyle w:val="BodyTextMain"/>
        <w:rPr>
          <w:lang w:val="en-GB" w:eastAsia="ko-KR"/>
        </w:rPr>
      </w:pPr>
      <w:r w:rsidRPr="00646999">
        <w:rPr>
          <w:lang w:val="en-GB" w:eastAsia="ko-KR"/>
        </w:rPr>
        <w:t xml:space="preserve">In June 2016, China National Offshore Oil Corporation (CNOOC) announced the replacement of its president and </w:t>
      </w:r>
      <w:r w:rsidR="00CB0FE2" w:rsidRPr="00646999">
        <w:rPr>
          <w:lang w:val="en-GB" w:eastAsia="ko-KR"/>
        </w:rPr>
        <w:t>chief executive officer (</w:t>
      </w:r>
      <w:r w:rsidRPr="00646999">
        <w:rPr>
          <w:lang w:val="en-GB" w:eastAsia="ko-KR"/>
        </w:rPr>
        <w:t>CEO</w:t>
      </w:r>
      <w:r w:rsidR="00CB0FE2" w:rsidRPr="00646999">
        <w:rPr>
          <w:lang w:val="en-GB" w:eastAsia="ko-KR"/>
        </w:rPr>
        <w:t>)</w:t>
      </w:r>
      <w:r w:rsidRPr="00646999">
        <w:rPr>
          <w:lang w:val="en-GB" w:eastAsia="ko-KR"/>
        </w:rPr>
        <w:t>.</w:t>
      </w:r>
      <w:r w:rsidR="00AB5230" w:rsidRPr="00646999">
        <w:rPr>
          <w:rStyle w:val="EndnoteReference"/>
          <w:lang w:val="en-GB" w:eastAsia="ko-KR"/>
        </w:rPr>
        <w:endnoteReference w:id="2"/>
      </w:r>
      <w:r w:rsidR="00AB5230" w:rsidRPr="00646999">
        <w:rPr>
          <w:lang w:val="en-GB" w:eastAsia="ko-KR"/>
        </w:rPr>
        <w:t xml:space="preserve"> The replacement took place when the world oil price </w:t>
      </w:r>
      <w:r w:rsidR="00DA1835" w:rsidRPr="00646999">
        <w:rPr>
          <w:lang w:val="en-GB" w:eastAsia="ko-KR"/>
        </w:rPr>
        <w:t>was</w:t>
      </w:r>
      <w:r w:rsidR="00AB5230" w:rsidRPr="00646999">
        <w:rPr>
          <w:lang w:val="en-GB" w:eastAsia="ko-KR"/>
        </w:rPr>
        <w:t xml:space="preserve"> at </w:t>
      </w:r>
      <w:r w:rsidR="00DA1835" w:rsidRPr="00646999">
        <w:rPr>
          <w:lang w:val="en-GB" w:eastAsia="ko-KR"/>
        </w:rPr>
        <w:t>the same</w:t>
      </w:r>
      <w:r w:rsidR="00AB5230" w:rsidRPr="00646999">
        <w:rPr>
          <w:lang w:val="en-GB" w:eastAsia="ko-KR"/>
        </w:rPr>
        <w:t xml:space="preserve"> low level </w:t>
      </w:r>
      <w:r w:rsidR="00DA1835" w:rsidRPr="00646999">
        <w:rPr>
          <w:lang w:val="en-GB" w:eastAsia="ko-KR"/>
        </w:rPr>
        <w:t>it had been since</w:t>
      </w:r>
      <w:r w:rsidR="00AB5230" w:rsidRPr="00646999">
        <w:rPr>
          <w:lang w:val="en-GB" w:eastAsia="ko-KR"/>
        </w:rPr>
        <w:t xml:space="preserve"> February 2016</w:t>
      </w:r>
      <w:r w:rsidR="00D23F4F" w:rsidRPr="00646999">
        <w:rPr>
          <w:lang w:val="en-GB" w:eastAsia="ko-KR"/>
        </w:rPr>
        <w:t>—</w:t>
      </w:r>
      <w:r w:rsidR="00AB5230" w:rsidRPr="00646999">
        <w:rPr>
          <w:lang w:val="en-GB" w:eastAsia="ko-KR"/>
        </w:rPr>
        <w:t xml:space="preserve">the price </w:t>
      </w:r>
      <w:r w:rsidR="00CB0FE2" w:rsidRPr="00646999">
        <w:rPr>
          <w:lang w:val="en-GB" w:eastAsia="ko-KR"/>
        </w:rPr>
        <w:t xml:space="preserve">of oil </w:t>
      </w:r>
      <w:r w:rsidR="00D23F4F" w:rsidRPr="00646999">
        <w:rPr>
          <w:lang w:val="en-GB" w:eastAsia="ko-KR"/>
        </w:rPr>
        <w:t>had fallen</w:t>
      </w:r>
      <w:r w:rsidR="00AB5230" w:rsidRPr="00646999">
        <w:rPr>
          <w:lang w:val="en-GB" w:eastAsia="ko-KR"/>
        </w:rPr>
        <w:t xml:space="preserve"> </w:t>
      </w:r>
      <w:r w:rsidR="00D23F4F" w:rsidRPr="00646999">
        <w:rPr>
          <w:lang w:val="en-GB" w:eastAsia="ko-KR"/>
        </w:rPr>
        <w:t xml:space="preserve">continuously, dropping </w:t>
      </w:r>
      <w:r w:rsidR="00AB5230" w:rsidRPr="00646999">
        <w:rPr>
          <w:lang w:val="en-GB" w:eastAsia="ko-KR"/>
        </w:rPr>
        <w:t xml:space="preserve">from </w:t>
      </w:r>
      <w:r w:rsidR="00CB0FE2" w:rsidRPr="00646999">
        <w:rPr>
          <w:lang w:val="en-GB" w:eastAsia="ko-KR"/>
        </w:rPr>
        <w:t>US</w:t>
      </w:r>
      <w:r w:rsidR="00AB5230" w:rsidRPr="00646999">
        <w:rPr>
          <w:lang w:val="en-GB" w:eastAsia="ko-KR"/>
        </w:rPr>
        <w:t>$115</w:t>
      </w:r>
      <w:r w:rsidR="00CB0FE2" w:rsidRPr="00646999">
        <w:rPr>
          <w:rStyle w:val="EndnoteReference"/>
          <w:lang w:val="en-GB" w:eastAsia="ko-KR"/>
        </w:rPr>
        <w:endnoteReference w:id="3"/>
      </w:r>
      <w:r w:rsidR="00AB5230" w:rsidRPr="00646999">
        <w:rPr>
          <w:lang w:val="en-GB" w:eastAsia="ko-KR"/>
        </w:rPr>
        <w:t xml:space="preserve"> per barrel in June 2014 to </w:t>
      </w:r>
      <w:r w:rsidR="002F44DE">
        <w:rPr>
          <w:lang w:val="en-GB" w:eastAsia="ko-KR"/>
        </w:rPr>
        <w:t>less than</w:t>
      </w:r>
      <w:r w:rsidR="002F44DE" w:rsidRPr="00646999">
        <w:rPr>
          <w:lang w:val="en-GB" w:eastAsia="ko-KR"/>
        </w:rPr>
        <w:t xml:space="preserve"> </w:t>
      </w:r>
      <w:r w:rsidR="00AB5230" w:rsidRPr="00646999">
        <w:rPr>
          <w:lang w:val="en-GB" w:eastAsia="ko-KR"/>
        </w:rPr>
        <w:t xml:space="preserve">$35 </w:t>
      </w:r>
      <w:r w:rsidR="00646999">
        <w:rPr>
          <w:lang w:val="en-GB" w:eastAsia="ko-KR"/>
        </w:rPr>
        <w:t xml:space="preserve">per barrel </w:t>
      </w:r>
      <w:r w:rsidR="00AB5230" w:rsidRPr="00646999">
        <w:rPr>
          <w:lang w:val="en-GB" w:eastAsia="ko-KR"/>
        </w:rPr>
        <w:t>in February 2016.</w:t>
      </w:r>
      <w:r w:rsidR="00AB5230" w:rsidRPr="00646999">
        <w:rPr>
          <w:rStyle w:val="EndnoteReference"/>
          <w:lang w:val="en-GB" w:eastAsia="ko-KR"/>
        </w:rPr>
        <w:endnoteReference w:id="4"/>
      </w:r>
    </w:p>
    <w:p w14:paraId="378DE2BC" w14:textId="77777777" w:rsidR="00AB5230" w:rsidRPr="00646999" w:rsidRDefault="00AB5230" w:rsidP="008577F6">
      <w:pPr>
        <w:pStyle w:val="BodyTextMain"/>
        <w:rPr>
          <w:lang w:val="en-GB" w:eastAsia="ko-KR"/>
        </w:rPr>
      </w:pPr>
    </w:p>
    <w:p w14:paraId="19870203" w14:textId="52ACD7C9" w:rsidR="00AB5230" w:rsidRPr="00646999" w:rsidRDefault="00AB5230" w:rsidP="008577F6">
      <w:pPr>
        <w:pStyle w:val="BodyTextMain"/>
        <w:rPr>
          <w:lang w:val="en-GB" w:eastAsia="ko-KR"/>
        </w:rPr>
      </w:pPr>
      <w:r w:rsidRPr="00646999">
        <w:rPr>
          <w:lang w:val="en-GB" w:eastAsia="ko-KR"/>
        </w:rPr>
        <w:t>CNOOC started investing in Canada in April 2005</w:t>
      </w:r>
      <w:r w:rsidR="00A92C7B" w:rsidRPr="00646999">
        <w:rPr>
          <w:lang w:val="en-GB" w:eastAsia="ko-KR"/>
        </w:rPr>
        <w:t>,</w:t>
      </w:r>
      <w:r w:rsidRPr="00646999">
        <w:rPr>
          <w:lang w:val="en-GB" w:eastAsia="ko-KR"/>
        </w:rPr>
        <w:t xml:space="preserve"> when the price </w:t>
      </w:r>
      <w:r w:rsidR="00D23F4F" w:rsidRPr="00646999">
        <w:rPr>
          <w:lang w:val="en-GB" w:eastAsia="ko-KR"/>
        </w:rPr>
        <w:t xml:space="preserve">of oil </w:t>
      </w:r>
      <w:r w:rsidRPr="00646999">
        <w:rPr>
          <w:lang w:val="en-GB" w:eastAsia="ko-KR"/>
        </w:rPr>
        <w:t>was around $50 per barrel, acquiring 16.69</w:t>
      </w:r>
      <w:r w:rsidR="00646999">
        <w:rPr>
          <w:lang w:val="en-GB" w:eastAsia="ko-KR"/>
        </w:rPr>
        <w:t xml:space="preserve"> </w:t>
      </w:r>
      <w:r w:rsidR="00A92C7B" w:rsidRPr="00646999">
        <w:rPr>
          <w:lang w:val="en-GB" w:eastAsia="ko-KR"/>
        </w:rPr>
        <w:t>per</w:t>
      </w:r>
      <w:r w:rsidR="00646999">
        <w:rPr>
          <w:lang w:val="en-GB" w:eastAsia="ko-KR"/>
        </w:rPr>
        <w:t xml:space="preserve"> </w:t>
      </w:r>
      <w:r w:rsidR="00A92C7B" w:rsidRPr="00646999">
        <w:rPr>
          <w:lang w:val="en-GB" w:eastAsia="ko-KR"/>
        </w:rPr>
        <w:t>cent</w:t>
      </w:r>
      <w:r w:rsidRPr="00646999">
        <w:rPr>
          <w:lang w:val="en-GB" w:eastAsia="ko-KR"/>
        </w:rPr>
        <w:t xml:space="preserve"> equity of MEG Energy Corp. (an energy company headquartered in Calgary, A</w:t>
      </w:r>
      <w:r w:rsidR="00A92C7B" w:rsidRPr="00646999">
        <w:rPr>
          <w:lang w:val="en-GB" w:eastAsia="ko-KR"/>
        </w:rPr>
        <w:t>lberta</w:t>
      </w:r>
      <w:r w:rsidRPr="00646999">
        <w:rPr>
          <w:lang w:val="en-GB" w:eastAsia="ko-KR"/>
        </w:rPr>
        <w:t>).</w:t>
      </w:r>
      <w:r w:rsidRPr="00646999">
        <w:rPr>
          <w:rStyle w:val="EndnoteReference"/>
          <w:lang w:val="en-GB" w:eastAsia="ko-KR"/>
        </w:rPr>
        <w:endnoteReference w:id="5"/>
      </w:r>
      <w:r w:rsidRPr="00646999">
        <w:rPr>
          <w:lang w:val="en-GB" w:eastAsia="ko-KR"/>
        </w:rPr>
        <w:t xml:space="preserve"> In November 2011, CNOOC made its second Canadian acquisition and bought OPTI</w:t>
      </w:r>
      <w:r w:rsidR="00A92C7B" w:rsidRPr="00646999">
        <w:rPr>
          <w:lang w:val="en-GB" w:eastAsia="ko-KR"/>
        </w:rPr>
        <w:t xml:space="preserve"> Canada</w:t>
      </w:r>
      <w:r w:rsidR="00F23ACF" w:rsidRPr="00646999">
        <w:rPr>
          <w:lang w:val="en-GB" w:eastAsia="ko-KR"/>
        </w:rPr>
        <w:t xml:space="preserve"> (OPTI)</w:t>
      </w:r>
      <w:r w:rsidRPr="00646999">
        <w:rPr>
          <w:lang w:val="en-GB" w:eastAsia="ko-KR"/>
        </w:rPr>
        <w:t xml:space="preserve">, a Canadian oil company that </w:t>
      </w:r>
      <w:r w:rsidR="00F23ACF" w:rsidRPr="00646999">
        <w:rPr>
          <w:lang w:val="en-GB" w:eastAsia="ko-KR"/>
        </w:rPr>
        <w:t xml:space="preserve">had </w:t>
      </w:r>
      <w:r w:rsidRPr="00646999">
        <w:rPr>
          <w:lang w:val="en-GB" w:eastAsia="ko-KR"/>
        </w:rPr>
        <w:t>filed</w:t>
      </w:r>
      <w:r w:rsidR="00F23ACF" w:rsidRPr="00646999">
        <w:rPr>
          <w:lang w:val="en-GB" w:eastAsia="ko-KR"/>
        </w:rPr>
        <w:t xml:space="preserve"> for</w:t>
      </w:r>
      <w:r w:rsidRPr="00646999">
        <w:rPr>
          <w:lang w:val="en-GB" w:eastAsia="ko-KR"/>
        </w:rPr>
        <w:t xml:space="preserve"> bankruptcy for </w:t>
      </w:r>
      <w:r w:rsidR="00F23ACF" w:rsidRPr="00646999">
        <w:rPr>
          <w:lang w:val="en-GB" w:eastAsia="ko-KR"/>
        </w:rPr>
        <w:t>CA</w:t>
      </w:r>
      <w:r w:rsidRPr="00646999">
        <w:rPr>
          <w:lang w:val="en-GB" w:eastAsia="ko-KR"/>
        </w:rPr>
        <w:t xml:space="preserve">$2.04 billion when </w:t>
      </w:r>
      <w:r w:rsidR="00D23F4F" w:rsidRPr="00646999">
        <w:rPr>
          <w:lang w:val="en-GB" w:eastAsia="ko-KR"/>
        </w:rPr>
        <w:t xml:space="preserve">the </w:t>
      </w:r>
      <w:r w:rsidRPr="00646999">
        <w:rPr>
          <w:lang w:val="en-GB" w:eastAsia="ko-KR"/>
        </w:rPr>
        <w:t>price</w:t>
      </w:r>
      <w:r w:rsidR="00F23ACF" w:rsidRPr="00646999">
        <w:rPr>
          <w:lang w:val="en-GB" w:eastAsia="ko-KR"/>
        </w:rPr>
        <w:t xml:space="preserve"> of oil</w:t>
      </w:r>
      <w:r w:rsidRPr="00646999">
        <w:rPr>
          <w:lang w:val="en-GB" w:eastAsia="ko-KR"/>
        </w:rPr>
        <w:t xml:space="preserve"> was around $105 per barrel.</w:t>
      </w:r>
      <w:r w:rsidRPr="00646999">
        <w:rPr>
          <w:rStyle w:val="EndnoteReference"/>
          <w:lang w:val="en-GB" w:eastAsia="ko-KR"/>
        </w:rPr>
        <w:endnoteReference w:id="6"/>
      </w:r>
      <w:r w:rsidRPr="00646999">
        <w:rPr>
          <w:lang w:val="en-GB" w:eastAsia="ko-KR"/>
        </w:rPr>
        <w:t xml:space="preserve"> In February 2013</w:t>
      </w:r>
      <w:r w:rsidR="00F23ACF" w:rsidRPr="00646999">
        <w:rPr>
          <w:lang w:val="en-GB" w:eastAsia="ko-KR"/>
        </w:rPr>
        <w:t>,</w:t>
      </w:r>
      <w:r w:rsidRPr="00646999">
        <w:rPr>
          <w:lang w:val="en-GB" w:eastAsia="ko-KR"/>
        </w:rPr>
        <w:t xml:space="preserve"> when oil was around $107 per barrel, CNOOC completed </w:t>
      </w:r>
      <w:r w:rsidR="00DA1835" w:rsidRPr="00646999">
        <w:rPr>
          <w:lang w:val="en-GB" w:eastAsia="ko-KR"/>
        </w:rPr>
        <w:t>the</w:t>
      </w:r>
      <w:r w:rsidRPr="00646999">
        <w:rPr>
          <w:lang w:val="en-GB" w:eastAsia="ko-KR"/>
        </w:rPr>
        <w:t xml:space="preserve"> contentious acquisition of Nexen Inc.</w:t>
      </w:r>
      <w:r w:rsidR="00F23ACF" w:rsidRPr="00646999">
        <w:rPr>
          <w:lang w:val="en-GB" w:eastAsia="ko-KR"/>
        </w:rPr>
        <w:t xml:space="preserve"> (Nexen)</w:t>
      </w:r>
      <w:r w:rsidRPr="00646999">
        <w:rPr>
          <w:lang w:val="en-GB" w:eastAsia="ko-KR"/>
        </w:rPr>
        <w:t xml:space="preserve">, a Canadian oil and gas company, for $15.1 billion. </w:t>
      </w:r>
      <w:r w:rsidR="005D47D5">
        <w:rPr>
          <w:lang w:val="en-GB" w:eastAsia="ko-KR"/>
        </w:rPr>
        <w:t>In 2017, m</w:t>
      </w:r>
      <w:r w:rsidRPr="00646999">
        <w:rPr>
          <w:lang w:val="en-GB" w:eastAsia="ko-KR"/>
        </w:rPr>
        <w:t xml:space="preserve">ore than three years after the acquisition, </w:t>
      </w:r>
      <w:r w:rsidR="002D722F" w:rsidRPr="00646999">
        <w:rPr>
          <w:lang w:val="en-GB" w:eastAsia="ko-KR"/>
        </w:rPr>
        <w:t xml:space="preserve">faced </w:t>
      </w:r>
      <w:r w:rsidRPr="00646999">
        <w:rPr>
          <w:lang w:val="en-GB" w:eastAsia="ko-KR"/>
        </w:rPr>
        <w:t>with severe challenges associated with low oil prices, the Nexen deal seemed to have become a “tough swallow” for CNOOC.</w:t>
      </w:r>
      <w:r w:rsidRPr="00646999">
        <w:rPr>
          <w:rStyle w:val="EndnoteReference"/>
          <w:lang w:val="en-GB" w:eastAsia="ko-KR"/>
        </w:rPr>
        <w:endnoteReference w:id="7"/>
      </w:r>
      <w:r w:rsidRPr="00646999">
        <w:rPr>
          <w:lang w:val="en-GB" w:eastAsia="ko-KR"/>
        </w:rPr>
        <w:t xml:space="preserve"> What w</w:t>
      </w:r>
      <w:r w:rsidR="002D722F" w:rsidRPr="00646999">
        <w:rPr>
          <w:lang w:val="en-GB" w:eastAsia="ko-KR"/>
        </w:rPr>
        <w:t>as</w:t>
      </w:r>
      <w:r w:rsidRPr="00646999">
        <w:rPr>
          <w:lang w:val="en-GB" w:eastAsia="ko-KR"/>
        </w:rPr>
        <w:t xml:space="preserve"> the Canadian market situation</w:t>
      </w:r>
      <w:r w:rsidR="00646999">
        <w:rPr>
          <w:lang w:val="en-GB" w:eastAsia="ko-KR"/>
        </w:rPr>
        <w:t>,</w:t>
      </w:r>
      <w:r w:rsidRPr="00646999">
        <w:rPr>
          <w:lang w:val="en-GB" w:eastAsia="ko-KR"/>
        </w:rPr>
        <w:t xml:space="preserve"> given the low oil price? How could CNOOC respond to the challenges associated with the low oil price? How should CNOOC adjust its business strategies?</w:t>
      </w:r>
      <w:r w:rsidR="00646999" w:rsidRPr="00646999">
        <w:rPr>
          <w:lang w:val="en-GB" w:eastAsia="ko-KR"/>
        </w:rPr>
        <w:t xml:space="preserve"> </w:t>
      </w:r>
    </w:p>
    <w:p w14:paraId="6B64E80E" w14:textId="77777777" w:rsidR="00AB5230" w:rsidRPr="00646999" w:rsidRDefault="00AB5230" w:rsidP="008577F6">
      <w:pPr>
        <w:pStyle w:val="BodyTextMain"/>
        <w:rPr>
          <w:rFonts w:eastAsiaTheme="minorEastAsia"/>
          <w:lang w:val="en-GB" w:eastAsia="ko-KR"/>
        </w:rPr>
      </w:pPr>
    </w:p>
    <w:p w14:paraId="2C2C8BE5" w14:textId="77777777" w:rsidR="00AB5230" w:rsidRPr="00646999" w:rsidRDefault="00AB5230" w:rsidP="008577F6">
      <w:pPr>
        <w:pStyle w:val="BodyTextMain"/>
        <w:rPr>
          <w:rFonts w:eastAsiaTheme="minorEastAsia"/>
          <w:lang w:val="en-GB" w:eastAsia="ko-KR"/>
        </w:rPr>
      </w:pPr>
    </w:p>
    <w:p w14:paraId="19275F6B" w14:textId="77777777" w:rsidR="00AB5230" w:rsidRPr="00646999" w:rsidRDefault="00AB5230" w:rsidP="00E70583">
      <w:pPr>
        <w:pStyle w:val="Casehead1"/>
        <w:rPr>
          <w:rFonts w:eastAsiaTheme="minorEastAsia"/>
          <w:lang w:val="en-GB" w:eastAsia="ko-KR"/>
        </w:rPr>
      </w:pPr>
      <w:r w:rsidRPr="00646999">
        <w:rPr>
          <w:rFonts w:eastAsiaTheme="minorEastAsia"/>
          <w:lang w:val="en-GB" w:eastAsia="ko-KR"/>
        </w:rPr>
        <w:t>china national offshore oil corporation (CNOOC)</w:t>
      </w:r>
    </w:p>
    <w:p w14:paraId="168448F1" w14:textId="77777777" w:rsidR="00AB5230" w:rsidRPr="00646999" w:rsidRDefault="00AB5230" w:rsidP="008577F6">
      <w:pPr>
        <w:pStyle w:val="BodyTextMain"/>
        <w:rPr>
          <w:rFonts w:eastAsiaTheme="minorEastAsia"/>
          <w:lang w:val="en-GB" w:eastAsia="ko-KR"/>
        </w:rPr>
      </w:pPr>
    </w:p>
    <w:p w14:paraId="6BEEFA73" w14:textId="77777777" w:rsidR="00AB5230" w:rsidRPr="00646999" w:rsidRDefault="00AB5230" w:rsidP="00E70583">
      <w:pPr>
        <w:pStyle w:val="Casehead2"/>
        <w:rPr>
          <w:rFonts w:eastAsiaTheme="minorEastAsia"/>
          <w:lang w:val="en-GB" w:eastAsia="ko-KR"/>
        </w:rPr>
      </w:pPr>
      <w:r w:rsidRPr="00646999">
        <w:rPr>
          <w:rFonts w:eastAsiaTheme="minorEastAsia"/>
          <w:lang w:val="en-GB" w:eastAsia="ko-KR"/>
        </w:rPr>
        <w:t>Company Overview</w:t>
      </w:r>
    </w:p>
    <w:p w14:paraId="4A0AF0C2" w14:textId="77777777" w:rsidR="00AB5230" w:rsidRPr="00646999" w:rsidRDefault="00AB5230" w:rsidP="008577F6">
      <w:pPr>
        <w:pStyle w:val="BodyTextMain"/>
        <w:rPr>
          <w:rFonts w:eastAsiaTheme="minorEastAsia"/>
          <w:lang w:val="en-GB" w:eastAsia="ko-KR"/>
        </w:rPr>
      </w:pPr>
    </w:p>
    <w:p w14:paraId="20C31A5F" w14:textId="6A09A108" w:rsidR="00AB5230" w:rsidRPr="00646999" w:rsidRDefault="00AB5230" w:rsidP="008577F6">
      <w:pPr>
        <w:pStyle w:val="BodyTextMain"/>
        <w:rPr>
          <w:rFonts w:eastAsiaTheme="minorEastAsia"/>
          <w:lang w:val="en-GB" w:eastAsia="ko-KR"/>
        </w:rPr>
      </w:pPr>
      <w:r w:rsidRPr="00646999">
        <w:rPr>
          <w:rFonts w:eastAsiaTheme="minorEastAsia"/>
          <w:lang w:val="en-GB" w:eastAsia="ko-KR"/>
        </w:rPr>
        <w:t xml:space="preserve">CNOOC was a state-owned company supervised and controlled by </w:t>
      </w:r>
      <w:r w:rsidR="002D722F" w:rsidRPr="00646999">
        <w:rPr>
          <w:rFonts w:eastAsiaTheme="minorEastAsia"/>
          <w:lang w:val="en-GB" w:eastAsia="ko-KR"/>
        </w:rPr>
        <w:t xml:space="preserve">the </w:t>
      </w:r>
      <w:r w:rsidRPr="00646999">
        <w:rPr>
          <w:rFonts w:eastAsiaTheme="minorEastAsia"/>
          <w:lang w:val="en-GB" w:eastAsia="ko-KR"/>
        </w:rPr>
        <w:t xml:space="preserve">State-Owned Assets Supervision and Administration Commission of the State Council of China. </w:t>
      </w:r>
      <w:r w:rsidR="002D722F" w:rsidRPr="00646999">
        <w:rPr>
          <w:rFonts w:eastAsiaTheme="minorEastAsia"/>
          <w:lang w:val="en-GB" w:eastAsia="ko-KR"/>
        </w:rPr>
        <w:t>CNOOC</w:t>
      </w:r>
      <w:r w:rsidRPr="00646999">
        <w:rPr>
          <w:rFonts w:eastAsiaTheme="minorEastAsia"/>
          <w:lang w:val="en-GB" w:eastAsia="ko-KR"/>
        </w:rPr>
        <w:t xml:space="preserve"> was founded in 1982 and was the third</w:t>
      </w:r>
      <w:r w:rsidR="002D722F" w:rsidRPr="00646999">
        <w:rPr>
          <w:rFonts w:eastAsiaTheme="minorEastAsia"/>
          <w:lang w:val="en-GB" w:eastAsia="ko-KR"/>
        </w:rPr>
        <w:t>-</w:t>
      </w:r>
      <w:r w:rsidRPr="00646999">
        <w:rPr>
          <w:rFonts w:eastAsiaTheme="minorEastAsia"/>
          <w:lang w:val="en-GB" w:eastAsia="ko-KR"/>
        </w:rPr>
        <w:t xml:space="preserve">largest national oil company in China. In 2015, the </w:t>
      </w:r>
      <w:r w:rsidR="002D722F" w:rsidRPr="00646999">
        <w:rPr>
          <w:rFonts w:eastAsiaTheme="minorEastAsia"/>
          <w:lang w:val="en-GB" w:eastAsia="ko-KR"/>
        </w:rPr>
        <w:t xml:space="preserve">company’s </w:t>
      </w:r>
      <w:r w:rsidRPr="00646999">
        <w:rPr>
          <w:rFonts w:eastAsiaTheme="minorEastAsia"/>
          <w:lang w:val="en-GB" w:eastAsia="ko-KR"/>
        </w:rPr>
        <w:t>total assets w</w:t>
      </w:r>
      <w:r w:rsidR="002D722F" w:rsidRPr="00646999">
        <w:rPr>
          <w:rFonts w:eastAsiaTheme="minorEastAsia"/>
          <w:lang w:val="en-GB" w:eastAsia="ko-KR"/>
        </w:rPr>
        <w:t>ere</w:t>
      </w:r>
      <w:r w:rsidRPr="00646999">
        <w:rPr>
          <w:rFonts w:eastAsiaTheme="minorEastAsia"/>
          <w:lang w:val="en-GB" w:eastAsia="ko-KR"/>
        </w:rPr>
        <w:t xml:space="preserve"> $96.06 billion and</w:t>
      </w:r>
      <w:r w:rsidR="002D722F" w:rsidRPr="00646999">
        <w:rPr>
          <w:rFonts w:eastAsiaTheme="minorEastAsia"/>
          <w:lang w:val="en-GB" w:eastAsia="ko-KR"/>
        </w:rPr>
        <w:t xml:space="preserve"> it had 100,821</w:t>
      </w:r>
      <w:r w:rsidRPr="00646999">
        <w:rPr>
          <w:rFonts w:eastAsiaTheme="minorEastAsia"/>
          <w:lang w:val="en-GB" w:eastAsia="ko-KR"/>
        </w:rPr>
        <w:t xml:space="preserve"> employees. Two subsidiaries of CNOOC</w:t>
      </w:r>
      <w:r w:rsidR="005E47AC" w:rsidRPr="00646999">
        <w:rPr>
          <w:rFonts w:eastAsiaTheme="minorEastAsia"/>
          <w:lang w:val="en-GB" w:eastAsia="ko-KR"/>
        </w:rPr>
        <w:t>—</w:t>
      </w:r>
      <w:r w:rsidRPr="00646999">
        <w:rPr>
          <w:rFonts w:eastAsiaTheme="minorEastAsia"/>
          <w:lang w:val="en-GB" w:eastAsia="ko-KR"/>
        </w:rPr>
        <w:t>CNOOC Limited and China Oilfield Services</w:t>
      </w:r>
      <w:r w:rsidR="005E47AC" w:rsidRPr="00646999">
        <w:rPr>
          <w:rFonts w:eastAsiaTheme="minorEastAsia"/>
          <w:lang w:val="en-GB" w:eastAsia="ko-KR"/>
        </w:rPr>
        <w:t>—</w:t>
      </w:r>
      <w:r w:rsidRPr="00646999">
        <w:rPr>
          <w:rFonts w:eastAsiaTheme="minorEastAsia"/>
          <w:lang w:val="en-GB" w:eastAsia="ko-KR"/>
        </w:rPr>
        <w:t xml:space="preserve">were listed on the Hong Kong stock </w:t>
      </w:r>
      <w:r w:rsidR="00D23F4F" w:rsidRPr="00646999">
        <w:rPr>
          <w:rFonts w:eastAsiaTheme="minorEastAsia"/>
          <w:lang w:val="en-GB" w:eastAsia="ko-KR"/>
        </w:rPr>
        <w:t>exchange</w:t>
      </w:r>
      <w:r w:rsidRPr="00646999">
        <w:rPr>
          <w:rFonts w:eastAsiaTheme="minorEastAsia"/>
          <w:lang w:val="en-GB" w:eastAsia="ko-KR"/>
        </w:rPr>
        <w:t xml:space="preserve">. </w:t>
      </w:r>
      <w:r w:rsidRPr="00646999">
        <w:rPr>
          <w:rFonts w:eastAsiaTheme="minorEastAsia"/>
          <w:lang w:val="en-GB" w:eastAsia="zh-CN"/>
        </w:rPr>
        <w:t xml:space="preserve">CNOOC engaged in a wide range of businesses in </w:t>
      </w:r>
      <w:r w:rsidR="005E47AC" w:rsidRPr="00646999">
        <w:rPr>
          <w:rFonts w:eastAsiaTheme="minorEastAsia"/>
          <w:lang w:val="en-GB" w:eastAsia="zh-CN"/>
        </w:rPr>
        <w:t xml:space="preserve">the </w:t>
      </w:r>
      <w:r w:rsidRPr="00646999">
        <w:rPr>
          <w:rFonts w:eastAsiaTheme="minorEastAsia"/>
          <w:lang w:val="en-GB" w:eastAsia="zh-CN"/>
        </w:rPr>
        <w:t>energy industr</w:t>
      </w:r>
      <w:r w:rsidR="005E47AC" w:rsidRPr="00646999">
        <w:rPr>
          <w:rFonts w:eastAsiaTheme="minorEastAsia"/>
          <w:lang w:val="en-GB" w:eastAsia="zh-CN"/>
        </w:rPr>
        <w:t>y</w:t>
      </w:r>
      <w:r w:rsidRPr="00646999">
        <w:rPr>
          <w:rFonts w:eastAsiaTheme="minorEastAsia"/>
          <w:lang w:val="en-GB" w:eastAsia="zh-CN"/>
        </w:rPr>
        <w:t xml:space="preserve">, including crude oil </w:t>
      </w:r>
      <w:r w:rsidRPr="00646999">
        <w:rPr>
          <w:lang w:val="en-GB"/>
        </w:rPr>
        <w:t>and natural gas exploration and marketing, natural gas and power generation and marketing, petrochemicals</w:t>
      </w:r>
      <w:r w:rsidR="00BD1452" w:rsidRPr="00646999">
        <w:rPr>
          <w:lang w:val="en-GB"/>
        </w:rPr>
        <w:t xml:space="preserve"> refining</w:t>
      </w:r>
      <w:r w:rsidRPr="00646999">
        <w:rPr>
          <w:lang w:val="en-GB"/>
        </w:rPr>
        <w:t>, new energy development, financial services</w:t>
      </w:r>
      <w:r w:rsidR="005E47AC" w:rsidRPr="00646999">
        <w:rPr>
          <w:lang w:val="en-GB"/>
        </w:rPr>
        <w:t>,</w:t>
      </w:r>
      <w:r w:rsidRPr="00646999">
        <w:rPr>
          <w:lang w:val="en-GB"/>
        </w:rPr>
        <w:t xml:space="preserve"> and some professional services related to </w:t>
      </w:r>
      <w:r w:rsidR="005E47AC" w:rsidRPr="00646999">
        <w:rPr>
          <w:lang w:val="en-GB"/>
        </w:rPr>
        <w:t xml:space="preserve">the </w:t>
      </w:r>
      <w:r w:rsidRPr="00646999">
        <w:rPr>
          <w:lang w:val="en-GB"/>
        </w:rPr>
        <w:t xml:space="preserve">oil </w:t>
      </w:r>
      <w:r w:rsidR="00BD1452" w:rsidRPr="00646999">
        <w:rPr>
          <w:lang w:val="en-GB"/>
        </w:rPr>
        <w:t>industry</w:t>
      </w:r>
      <w:r w:rsidRPr="00646999">
        <w:rPr>
          <w:lang w:val="en-GB"/>
        </w:rPr>
        <w:t>.</w:t>
      </w:r>
      <w:r w:rsidRPr="00646999">
        <w:rPr>
          <w:rStyle w:val="EndnoteReference"/>
          <w:lang w:val="en-GB"/>
        </w:rPr>
        <w:endnoteReference w:id="8"/>
      </w:r>
    </w:p>
    <w:p w14:paraId="77D76475" w14:textId="77777777" w:rsidR="00AB5230" w:rsidRPr="00646999" w:rsidRDefault="00AB5230" w:rsidP="00E70583">
      <w:pPr>
        <w:pStyle w:val="BodyTextMain"/>
        <w:rPr>
          <w:rFonts w:eastAsiaTheme="minorEastAsia"/>
          <w:lang w:val="en-GB"/>
        </w:rPr>
      </w:pPr>
    </w:p>
    <w:p w14:paraId="267A12A3" w14:textId="77777777" w:rsidR="00AB5230" w:rsidRPr="00646999" w:rsidRDefault="00AB5230" w:rsidP="00E70583">
      <w:pPr>
        <w:pStyle w:val="BodyTextMain"/>
        <w:rPr>
          <w:rFonts w:eastAsiaTheme="minorEastAsia"/>
          <w:lang w:val="en-GB"/>
        </w:rPr>
      </w:pPr>
    </w:p>
    <w:p w14:paraId="1D35D451" w14:textId="77777777" w:rsidR="00AB5230" w:rsidRPr="00646999" w:rsidRDefault="00AB5230" w:rsidP="00AB5230">
      <w:pPr>
        <w:pStyle w:val="Casehead2"/>
        <w:keepNext/>
        <w:rPr>
          <w:rFonts w:eastAsiaTheme="minorEastAsia"/>
          <w:lang w:val="en-GB" w:eastAsia="ko-KR"/>
        </w:rPr>
      </w:pPr>
      <w:r w:rsidRPr="00646999">
        <w:rPr>
          <w:rFonts w:eastAsiaTheme="minorEastAsia"/>
          <w:lang w:val="en-GB" w:eastAsia="ko-KR"/>
        </w:rPr>
        <w:lastRenderedPageBreak/>
        <w:t>History of International Expansion</w:t>
      </w:r>
    </w:p>
    <w:p w14:paraId="3429AB4B" w14:textId="77777777" w:rsidR="00AB5230" w:rsidRPr="00646999" w:rsidRDefault="00AB5230" w:rsidP="00AB5230">
      <w:pPr>
        <w:pStyle w:val="BodyTextMain"/>
        <w:keepNext/>
        <w:rPr>
          <w:rFonts w:eastAsiaTheme="minorEastAsia"/>
          <w:lang w:val="en-GB" w:eastAsia="zh-CN"/>
        </w:rPr>
      </w:pPr>
    </w:p>
    <w:p w14:paraId="351EEBFC" w14:textId="6937E671" w:rsidR="00AB5230" w:rsidRPr="00646999" w:rsidRDefault="00AB5230" w:rsidP="00AB5230">
      <w:pPr>
        <w:pStyle w:val="BodyTextMain"/>
        <w:keepNext/>
        <w:rPr>
          <w:lang w:val="en-GB"/>
        </w:rPr>
      </w:pPr>
      <w:r w:rsidRPr="00646999">
        <w:rPr>
          <w:rFonts w:eastAsiaTheme="minorEastAsia"/>
          <w:lang w:val="en-GB" w:eastAsia="zh-CN"/>
        </w:rPr>
        <w:t>Although CNOOC was smaller than the other two state-owned oil companies</w:t>
      </w:r>
      <w:r w:rsidR="0014686A" w:rsidRPr="00646999">
        <w:rPr>
          <w:rFonts w:eastAsiaTheme="minorEastAsia"/>
          <w:lang w:val="en-GB" w:eastAsia="zh-CN"/>
        </w:rPr>
        <w:t xml:space="preserve"> in China</w:t>
      </w:r>
      <w:r w:rsidRPr="00646999">
        <w:rPr>
          <w:rFonts w:eastAsiaTheme="minorEastAsia"/>
          <w:lang w:val="en-GB" w:eastAsia="zh-CN"/>
        </w:rPr>
        <w:t xml:space="preserve"> (China National Petrole</w:t>
      </w:r>
      <w:r w:rsidR="00BD1452" w:rsidRPr="00646999">
        <w:rPr>
          <w:rFonts w:eastAsiaTheme="minorEastAsia"/>
          <w:lang w:val="en-GB" w:eastAsia="zh-CN"/>
        </w:rPr>
        <w:t>u</w:t>
      </w:r>
      <w:r w:rsidRPr="00646999">
        <w:rPr>
          <w:rFonts w:eastAsiaTheme="minorEastAsia"/>
          <w:lang w:val="en-GB" w:eastAsia="zh-CN"/>
        </w:rPr>
        <w:t>m Corporation and China Petrole</w:t>
      </w:r>
      <w:r w:rsidR="00BD1452" w:rsidRPr="00646999">
        <w:rPr>
          <w:rFonts w:eastAsiaTheme="minorEastAsia"/>
          <w:lang w:val="en-GB" w:eastAsia="zh-CN"/>
        </w:rPr>
        <w:t>u</w:t>
      </w:r>
      <w:r w:rsidRPr="00646999">
        <w:rPr>
          <w:rFonts w:eastAsiaTheme="minorEastAsia"/>
          <w:lang w:val="en-GB" w:eastAsia="zh-CN"/>
        </w:rPr>
        <w:t xml:space="preserve">m Chemical Corporation), it had grown quickly through its aggressive international expansion. In the 1990s, CNOOC started its overseas expansion through direct investments and acquisitions. Asia (including Indonesia and Iraq) was the first overseas region CNOOC </w:t>
      </w:r>
      <w:r w:rsidR="00D23F4F" w:rsidRPr="00646999">
        <w:rPr>
          <w:rFonts w:eastAsiaTheme="minorEastAsia"/>
          <w:lang w:val="en-GB" w:eastAsia="zh-CN"/>
        </w:rPr>
        <w:t xml:space="preserve">had </w:t>
      </w:r>
      <w:r w:rsidRPr="00646999">
        <w:rPr>
          <w:rFonts w:eastAsiaTheme="minorEastAsia"/>
          <w:lang w:val="en-GB" w:eastAsia="zh-CN"/>
        </w:rPr>
        <w:t>expanded in</w:t>
      </w:r>
      <w:r w:rsidR="00DA1835" w:rsidRPr="00646999">
        <w:rPr>
          <w:rFonts w:eastAsiaTheme="minorEastAsia"/>
          <w:lang w:val="en-GB" w:eastAsia="zh-CN"/>
        </w:rPr>
        <w:t>to</w:t>
      </w:r>
      <w:r w:rsidRPr="00646999">
        <w:rPr>
          <w:rFonts w:eastAsiaTheme="minorEastAsia"/>
          <w:lang w:val="en-GB" w:eastAsia="zh-CN"/>
        </w:rPr>
        <w:t>. CNOOC also ha</w:t>
      </w:r>
      <w:r w:rsidR="00BD1452" w:rsidRPr="00646999">
        <w:rPr>
          <w:rFonts w:eastAsiaTheme="minorEastAsia"/>
          <w:lang w:val="en-GB" w:eastAsia="zh-CN"/>
        </w:rPr>
        <w:t>d</w:t>
      </w:r>
      <w:r w:rsidRPr="00646999">
        <w:rPr>
          <w:rFonts w:eastAsiaTheme="minorEastAsia"/>
          <w:lang w:val="en-GB" w:eastAsia="zh-CN"/>
        </w:rPr>
        <w:t xml:space="preserve"> a large oil and gas reserve and many production operations in Africa, </w:t>
      </w:r>
      <w:r w:rsidR="00BD1452" w:rsidRPr="00646999">
        <w:rPr>
          <w:rFonts w:eastAsiaTheme="minorEastAsia"/>
          <w:lang w:val="en-GB" w:eastAsia="zh-CN"/>
        </w:rPr>
        <w:t>including</w:t>
      </w:r>
      <w:r w:rsidRPr="00646999">
        <w:rPr>
          <w:rFonts w:eastAsiaTheme="minorEastAsia"/>
          <w:lang w:val="en-GB" w:eastAsia="zh-CN"/>
        </w:rPr>
        <w:t xml:space="preserve"> in Nigeria, Uganda, Equatorial Guinea, the Republic of the Congo, Algeria</w:t>
      </w:r>
      <w:r w:rsidR="00BD1452" w:rsidRPr="00646999">
        <w:rPr>
          <w:rFonts w:eastAsiaTheme="minorEastAsia"/>
          <w:lang w:val="en-GB" w:eastAsia="zh-CN"/>
        </w:rPr>
        <w:t>,</w:t>
      </w:r>
      <w:r w:rsidRPr="00646999">
        <w:rPr>
          <w:rFonts w:eastAsiaTheme="minorEastAsia"/>
          <w:lang w:val="en-GB" w:eastAsia="zh-CN"/>
        </w:rPr>
        <w:t xml:space="preserve"> and Gabon. CNOOC also operated in South American countries</w:t>
      </w:r>
      <w:r w:rsidR="002F44DE">
        <w:rPr>
          <w:rFonts w:eastAsiaTheme="minorEastAsia"/>
          <w:lang w:val="en-GB" w:eastAsia="zh-CN"/>
        </w:rPr>
        <w:t>,</w:t>
      </w:r>
      <w:r w:rsidRPr="00646999">
        <w:rPr>
          <w:rFonts w:eastAsiaTheme="minorEastAsia"/>
          <w:lang w:val="en-GB" w:eastAsia="zh-CN"/>
        </w:rPr>
        <w:t xml:space="preserve"> including Argentina, Brazil</w:t>
      </w:r>
      <w:r w:rsidR="00BD1452" w:rsidRPr="00646999">
        <w:rPr>
          <w:rFonts w:eastAsiaTheme="minorEastAsia"/>
          <w:lang w:val="en-GB" w:eastAsia="zh-CN"/>
        </w:rPr>
        <w:t>,</w:t>
      </w:r>
      <w:r w:rsidRPr="00646999">
        <w:rPr>
          <w:rFonts w:eastAsiaTheme="minorEastAsia"/>
          <w:lang w:val="en-GB" w:eastAsia="zh-CN"/>
        </w:rPr>
        <w:t xml:space="preserve"> and Colombia. In Oceania, CNOOC operated in Australia, Papua New Guinea</w:t>
      </w:r>
      <w:r w:rsidR="00BD1452" w:rsidRPr="00646999">
        <w:rPr>
          <w:rFonts w:eastAsiaTheme="minorEastAsia"/>
          <w:lang w:val="en-GB" w:eastAsia="zh-CN"/>
        </w:rPr>
        <w:t>,</w:t>
      </w:r>
      <w:r w:rsidRPr="00646999">
        <w:rPr>
          <w:rFonts w:eastAsiaTheme="minorEastAsia"/>
          <w:lang w:val="en-GB" w:eastAsia="zh-CN"/>
        </w:rPr>
        <w:t xml:space="preserve"> and New Zealand. CNOOC</w:t>
      </w:r>
      <w:r w:rsidR="00BD1452" w:rsidRPr="00646999">
        <w:rPr>
          <w:rFonts w:eastAsiaTheme="minorEastAsia"/>
          <w:lang w:val="en-GB" w:eastAsia="zh-CN"/>
        </w:rPr>
        <w:t>’s</w:t>
      </w:r>
      <w:r w:rsidRPr="00646999">
        <w:rPr>
          <w:rFonts w:eastAsiaTheme="minorEastAsia"/>
          <w:lang w:val="en-GB" w:eastAsia="zh-CN"/>
        </w:rPr>
        <w:t xml:space="preserve"> assets in Europe includ</w:t>
      </w:r>
      <w:r w:rsidR="00BD1452" w:rsidRPr="00646999">
        <w:rPr>
          <w:rFonts w:eastAsiaTheme="minorEastAsia"/>
          <w:lang w:val="en-GB" w:eastAsia="zh-CN"/>
        </w:rPr>
        <w:t>ed</w:t>
      </w:r>
      <w:r w:rsidRPr="00646999">
        <w:rPr>
          <w:rFonts w:eastAsiaTheme="minorEastAsia"/>
          <w:lang w:val="en-GB" w:eastAsia="zh-CN"/>
        </w:rPr>
        <w:t xml:space="preserve"> the United Kingdom, </w:t>
      </w:r>
      <w:r w:rsidR="00BD1452" w:rsidRPr="00646999">
        <w:rPr>
          <w:rFonts w:eastAsiaTheme="minorEastAsia"/>
          <w:lang w:val="en-GB" w:eastAsia="zh-CN"/>
        </w:rPr>
        <w:t xml:space="preserve">the </w:t>
      </w:r>
      <w:r w:rsidRPr="00646999">
        <w:rPr>
          <w:rFonts w:eastAsiaTheme="minorEastAsia"/>
          <w:lang w:val="en-GB" w:eastAsia="zh-CN"/>
        </w:rPr>
        <w:t>Norwegian Sea</w:t>
      </w:r>
      <w:r w:rsidR="00BD1452" w:rsidRPr="00646999">
        <w:rPr>
          <w:rFonts w:eastAsiaTheme="minorEastAsia"/>
          <w:lang w:val="en-GB" w:eastAsia="zh-CN"/>
        </w:rPr>
        <w:t>,</w:t>
      </w:r>
      <w:r w:rsidRPr="00646999">
        <w:rPr>
          <w:rFonts w:eastAsiaTheme="minorEastAsia"/>
          <w:lang w:val="en-GB" w:eastAsia="zh-CN"/>
        </w:rPr>
        <w:t xml:space="preserve"> and Northeast Iceland. </w:t>
      </w:r>
      <w:r w:rsidR="00DB598E" w:rsidRPr="00646999">
        <w:rPr>
          <w:rFonts w:eastAsiaTheme="minorEastAsia"/>
          <w:lang w:val="en-GB" w:eastAsia="zh-CN"/>
        </w:rPr>
        <w:t xml:space="preserve">Since 2005, </w:t>
      </w:r>
      <w:r w:rsidRPr="00646999">
        <w:rPr>
          <w:rFonts w:eastAsiaTheme="minorEastAsia"/>
          <w:lang w:val="en-GB" w:eastAsia="zh-CN"/>
        </w:rPr>
        <w:t xml:space="preserve">North America </w:t>
      </w:r>
      <w:r w:rsidR="00DB598E" w:rsidRPr="00646999">
        <w:rPr>
          <w:rFonts w:eastAsiaTheme="minorEastAsia"/>
          <w:lang w:val="en-GB" w:eastAsia="zh-CN"/>
        </w:rPr>
        <w:t xml:space="preserve">had </w:t>
      </w:r>
      <w:r w:rsidRPr="00646999">
        <w:rPr>
          <w:rFonts w:eastAsiaTheme="minorEastAsia"/>
          <w:lang w:val="en-GB" w:eastAsia="zh-CN"/>
        </w:rPr>
        <w:t>represented the biggest oversea</w:t>
      </w:r>
      <w:r w:rsidR="00DB598E" w:rsidRPr="00646999">
        <w:rPr>
          <w:rFonts w:eastAsiaTheme="minorEastAsia"/>
          <w:lang w:val="en-GB" w:eastAsia="zh-CN"/>
        </w:rPr>
        <w:t>s</w:t>
      </w:r>
      <w:r w:rsidRPr="00646999">
        <w:rPr>
          <w:rFonts w:eastAsiaTheme="minorEastAsia"/>
          <w:lang w:val="en-GB" w:eastAsia="zh-CN"/>
        </w:rPr>
        <w:t xml:space="preserve"> reserves and production region for CNOOC.</w:t>
      </w:r>
      <w:r w:rsidRPr="00646999">
        <w:rPr>
          <w:lang w:val="en-GB"/>
        </w:rPr>
        <w:t xml:space="preserve"> As of June 2016, CNOOC </w:t>
      </w:r>
      <w:r w:rsidR="00D23F4F" w:rsidRPr="00646999">
        <w:rPr>
          <w:lang w:val="en-GB"/>
        </w:rPr>
        <w:t xml:space="preserve">was </w:t>
      </w:r>
      <w:r w:rsidRPr="00646999">
        <w:rPr>
          <w:lang w:val="en-GB"/>
        </w:rPr>
        <w:t>operat</w:t>
      </w:r>
      <w:r w:rsidR="00D23F4F" w:rsidRPr="00646999">
        <w:rPr>
          <w:lang w:val="en-GB"/>
        </w:rPr>
        <w:t>ing</w:t>
      </w:r>
      <w:r w:rsidRPr="00646999">
        <w:rPr>
          <w:lang w:val="en-GB"/>
        </w:rPr>
        <w:t xml:space="preserve"> in </w:t>
      </w:r>
      <w:r w:rsidR="00DB598E" w:rsidRPr="00646999">
        <w:rPr>
          <w:lang w:val="en-GB"/>
        </w:rPr>
        <w:t xml:space="preserve">several regions in </w:t>
      </w:r>
      <w:r w:rsidRPr="00646999">
        <w:rPr>
          <w:lang w:val="en-GB"/>
        </w:rPr>
        <w:t>more than 15 countries (</w:t>
      </w:r>
      <w:r w:rsidR="00CD0700" w:rsidRPr="00646999">
        <w:rPr>
          <w:lang w:val="en-GB"/>
        </w:rPr>
        <w:t>see</w:t>
      </w:r>
      <w:r w:rsidRPr="00646999">
        <w:rPr>
          <w:lang w:val="en-GB"/>
        </w:rPr>
        <w:t xml:space="preserve"> Exhibit 1).</w:t>
      </w:r>
      <w:r w:rsidRPr="00646999">
        <w:rPr>
          <w:rStyle w:val="EndnoteReference"/>
          <w:lang w:val="en-GB"/>
        </w:rPr>
        <w:endnoteReference w:id="9"/>
      </w:r>
    </w:p>
    <w:p w14:paraId="7E50041A" w14:textId="77777777" w:rsidR="00AB5230" w:rsidRPr="00646999" w:rsidRDefault="00AB5230" w:rsidP="008577F6">
      <w:pPr>
        <w:pStyle w:val="BodyTextMain"/>
        <w:rPr>
          <w:lang w:val="en-GB"/>
        </w:rPr>
      </w:pPr>
    </w:p>
    <w:p w14:paraId="5EBA4651" w14:textId="165070A5" w:rsidR="00AB5230" w:rsidRPr="00646999" w:rsidRDefault="00AB5230" w:rsidP="008577F6">
      <w:pPr>
        <w:pStyle w:val="BodyTextMain"/>
        <w:rPr>
          <w:spacing w:val="-4"/>
          <w:lang w:val="en-GB"/>
        </w:rPr>
      </w:pPr>
      <w:r w:rsidRPr="00646999">
        <w:rPr>
          <w:spacing w:val="-4"/>
          <w:lang w:val="en-GB"/>
        </w:rPr>
        <w:t>In December 2015, CNOOC’s net proved reserves w</w:t>
      </w:r>
      <w:r w:rsidR="00DB598E" w:rsidRPr="00646999">
        <w:rPr>
          <w:spacing w:val="-4"/>
          <w:lang w:val="en-GB"/>
        </w:rPr>
        <w:t>ere</w:t>
      </w:r>
      <w:r w:rsidRPr="00646999">
        <w:rPr>
          <w:spacing w:val="-4"/>
          <w:lang w:val="en-GB"/>
        </w:rPr>
        <w:t xml:space="preserve"> estimated to be 4.32 billion barrels of oil equivalent (BOE), and its average net production was 1,358,022 BOE per day</w:t>
      </w:r>
      <w:r w:rsidR="00DB598E" w:rsidRPr="00646999">
        <w:rPr>
          <w:spacing w:val="-4"/>
          <w:lang w:val="en-GB"/>
        </w:rPr>
        <w:t>,</w:t>
      </w:r>
      <w:r w:rsidRPr="00646999">
        <w:rPr>
          <w:spacing w:val="-4"/>
          <w:lang w:val="en-GB"/>
        </w:rPr>
        <w:t xml:space="preserve"> which represented an increase of 33 per</w:t>
      </w:r>
      <w:r w:rsidR="00646999">
        <w:rPr>
          <w:spacing w:val="-4"/>
          <w:lang w:val="en-GB"/>
        </w:rPr>
        <w:t xml:space="preserve"> </w:t>
      </w:r>
      <w:r w:rsidRPr="00646999">
        <w:rPr>
          <w:spacing w:val="-4"/>
          <w:lang w:val="en-GB"/>
        </w:rPr>
        <w:t>cent since 2010.</w:t>
      </w:r>
      <w:r w:rsidRPr="00646999">
        <w:rPr>
          <w:rStyle w:val="EndnoteReference"/>
          <w:spacing w:val="-4"/>
          <w:lang w:val="en-GB"/>
        </w:rPr>
        <w:endnoteReference w:id="10"/>
      </w:r>
      <w:r w:rsidRPr="00646999">
        <w:rPr>
          <w:spacing w:val="-4"/>
          <w:lang w:val="en-GB"/>
        </w:rPr>
        <w:t xml:space="preserve"> However, due to low oil prices, CNOOC’s revenue in 2016 dropped </w:t>
      </w:r>
      <w:r w:rsidR="008C2076">
        <w:rPr>
          <w:spacing w:val="-4"/>
          <w:lang w:val="en-GB"/>
        </w:rPr>
        <w:t>14.55</w:t>
      </w:r>
      <w:r w:rsidR="00DB598E" w:rsidRPr="00646999">
        <w:rPr>
          <w:spacing w:val="-4"/>
          <w:lang w:val="en-GB"/>
        </w:rPr>
        <w:t xml:space="preserve"> per cent</w:t>
      </w:r>
      <w:r w:rsidRPr="00646999">
        <w:rPr>
          <w:spacing w:val="-4"/>
          <w:lang w:val="en-GB"/>
        </w:rPr>
        <w:t xml:space="preserve"> </w:t>
      </w:r>
      <w:r w:rsidR="009A1D9B" w:rsidRPr="00646999">
        <w:rPr>
          <w:spacing w:val="-4"/>
          <w:lang w:val="en-GB"/>
        </w:rPr>
        <w:t>from</w:t>
      </w:r>
      <w:r w:rsidRPr="00646999">
        <w:rPr>
          <w:spacing w:val="-4"/>
          <w:lang w:val="en-GB"/>
        </w:rPr>
        <w:t xml:space="preserve"> its revenue in 2015</w:t>
      </w:r>
      <w:r w:rsidR="00DB598E" w:rsidRPr="00646999">
        <w:rPr>
          <w:spacing w:val="-4"/>
          <w:lang w:val="en-GB"/>
        </w:rPr>
        <w:t xml:space="preserve"> (see</w:t>
      </w:r>
      <w:r w:rsidRPr="00646999">
        <w:rPr>
          <w:spacing w:val="-4"/>
          <w:lang w:val="en-GB"/>
        </w:rPr>
        <w:t xml:space="preserve"> Exhibit 2</w:t>
      </w:r>
      <w:r w:rsidR="00DB598E" w:rsidRPr="00646999">
        <w:rPr>
          <w:spacing w:val="-4"/>
          <w:lang w:val="en-GB"/>
        </w:rPr>
        <w:t>)</w:t>
      </w:r>
      <w:r w:rsidRPr="00646999">
        <w:rPr>
          <w:spacing w:val="-4"/>
          <w:lang w:val="en-GB"/>
        </w:rPr>
        <w:t>.</w:t>
      </w:r>
      <w:r w:rsidRPr="00646999">
        <w:rPr>
          <w:rStyle w:val="EndnoteReference"/>
          <w:spacing w:val="-4"/>
          <w:lang w:val="en-GB"/>
        </w:rPr>
        <w:endnoteReference w:id="11"/>
      </w:r>
    </w:p>
    <w:p w14:paraId="2B28686B" w14:textId="77777777" w:rsidR="00AB5230" w:rsidRPr="00646999" w:rsidRDefault="00AB5230" w:rsidP="008577F6">
      <w:pPr>
        <w:pStyle w:val="BodyTextMain"/>
        <w:rPr>
          <w:lang w:val="en-GB"/>
        </w:rPr>
      </w:pPr>
    </w:p>
    <w:p w14:paraId="3D9D18F0" w14:textId="77777777" w:rsidR="00AB5230" w:rsidRPr="00646999" w:rsidRDefault="00AB5230" w:rsidP="008577F6">
      <w:pPr>
        <w:pStyle w:val="BodyTextMain"/>
        <w:rPr>
          <w:lang w:val="en-GB"/>
        </w:rPr>
      </w:pPr>
    </w:p>
    <w:p w14:paraId="483AA64A" w14:textId="77777777" w:rsidR="00AB5230" w:rsidRPr="00646999" w:rsidRDefault="00AB5230" w:rsidP="00E70583">
      <w:pPr>
        <w:pStyle w:val="Casehead1"/>
        <w:rPr>
          <w:rFonts w:eastAsiaTheme="minorEastAsia"/>
          <w:lang w:val="en-GB" w:eastAsia="ko-KR"/>
        </w:rPr>
      </w:pPr>
      <w:r w:rsidRPr="00646999">
        <w:rPr>
          <w:rFonts w:eastAsiaTheme="minorEastAsia"/>
          <w:lang w:val="en-GB" w:eastAsia="ko-KR"/>
        </w:rPr>
        <w:t>EXPANSION IN CANADA</w:t>
      </w:r>
    </w:p>
    <w:p w14:paraId="0D0A416C" w14:textId="77777777" w:rsidR="00AB5230" w:rsidRPr="00646999" w:rsidRDefault="00AB5230" w:rsidP="008577F6">
      <w:pPr>
        <w:pStyle w:val="BodyTextMain"/>
        <w:rPr>
          <w:rFonts w:eastAsiaTheme="minorEastAsia"/>
          <w:lang w:val="en-GB" w:eastAsia="ko-KR"/>
        </w:rPr>
      </w:pPr>
    </w:p>
    <w:p w14:paraId="5D7C8C39" w14:textId="6180FF87" w:rsidR="00AB5230" w:rsidRPr="00646999" w:rsidRDefault="00AB5230" w:rsidP="008577F6">
      <w:pPr>
        <w:pStyle w:val="BodyTextMain"/>
        <w:rPr>
          <w:rFonts w:eastAsiaTheme="minorEastAsia"/>
          <w:lang w:val="en-GB" w:eastAsia="ko-KR"/>
        </w:rPr>
      </w:pPr>
      <w:r w:rsidRPr="00646999">
        <w:rPr>
          <w:rFonts w:eastAsiaTheme="minorEastAsia"/>
          <w:lang w:val="en-GB" w:eastAsia="ko-KR"/>
        </w:rPr>
        <w:t xml:space="preserve">With the fast development and promising future of the Canadian </w:t>
      </w:r>
      <w:r w:rsidR="00DB598E" w:rsidRPr="00646999">
        <w:rPr>
          <w:rFonts w:eastAsiaTheme="minorEastAsia"/>
          <w:lang w:val="en-GB" w:eastAsia="ko-KR"/>
        </w:rPr>
        <w:t>o</w:t>
      </w:r>
      <w:r w:rsidRPr="00646999">
        <w:rPr>
          <w:rFonts w:eastAsiaTheme="minorEastAsia"/>
          <w:lang w:val="en-GB" w:eastAsia="ko-KR"/>
        </w:rPr>
        <w:t xml:space="preserve">il </w:t>
      </w:r>
      <w:r w:rsidR="00DB598E" w:rsidRPr="00646999">
        <w:rPr>
          <w:rFonts w:eastAsiaTheme="minorEastAsia"/>
          <w:lang w:val="en-GB" w:eastAsia="ko-KR"/>
        </w:rPr>
        <w:t>s</w:t>
      </w:r>
      <w:r w:rsidRPr="00646999">
        <w:rPr>
          <w:rFonts w:eastAsiaTheme="minorEastAsia"/>
          <w:lang w:val="en-GB" w:eastAsia="ko-KR"/>
        </w:rPr>
        <w:t xml:space="preserve">ands industry, CNOOC started to invest in Canada in 2005 in </w:t>
      </w:r>
      <w:r w:rsidR="008679C9">
        <w:rPr>
          <w:rFonts w:eastAsiaTheme="minorEastAsia"/>
          <w:lang w:val="en-GB" w:eastAsia="ko-KR"/>
        </w:rPr>
        <w:t>an effort</w:t>
      </w:r>
      <w:r w:rsidR="008679C9" w:rsidRPr="00646999">
        <w:rPr>
          <w:rFonts w:eastAsiaTheme="minorEastAsia"/>
          <w:lang w:val="en-GB" w:eastAsia="ko-KR"/>
        </w:rPr>
        <w:t xml:space="preserve"> </w:t>
      </w:r>
      <w:r w:rsidRPr="00646999">
        <w:rPr>
          <w:rFonts w:eastAsiaTheme="minorEastAsia"/>
          <w:lang w:val="en-GB" w:eastAsia="ko-KR"/>
        </w:rPr>
        <w:t xml:space="preserve">to diversify </w:t>
      </w:r>
      <w:r w:rsidR="00DB598E" w:rsidRPr="00646999">
        <w:rPr>
          <w:rFonts w:eastAsiaTheme="minorEastAsia"/>
          <w:lang w:val="en-GB" w:eastAsia="ko-KR"/>
        </w:rPr>
        <w:t>its</w:t>
      </w:r>
      <w:r w:rsidRPr="00646999">
        <w:rPr>
          <w:rFonts w:eastAsiaTheme="minorEastAsia"/>
          <w:lang w:val="en-GB" w:eastAsia="ko-KR"/>
        </w:rPr>
        <w:t xml:space="preserve"> investment projects and secure more energy to fuel the </w:t>
      </w:r>
      <w:r w:rsidR="0014686A" w:rsidRPr="00646999">
        <w:rPr>
          <w:rFonts w:eastAsiaTheme="minorEastAsia"/>
          <w:lang w:val="en-GB" w:eastAsia="ko-KR"/>
        </w:rPr>
        <w:t>rapid</w:t>
      </w:r>
      <w:r w:rsidRPr="00646999">
        <w:rPr>
          <w:rFonts w:eastAsiaTheme="minorEastAsia"/>
          <w:lang w:val="en-GB" w:eastAsia="ko-KR"/>
        </w:rPr>
        <w:t xml:space="preserve"> development of the Chinese economy.</w:t>
      </w:r>
      <w:r w:rsidRPr="00646999">
        <w:rPr>
          <w:rStyle w:val="EndnoteReference"/>
          <w:rFonts w:eastAsiaTheme="minorEastAsia"/>
          <w:lang w:val="en-GB" w:eastAsia="ko-KR"/>
        </w:rPr>
        <w:endnoteReference w:id="12"/>
      </w:r>
      <w:r w:rsidRPr="00646999">
        <w:rPr>
          <w:rFonts w:eastAsiaTheme="minorEastAsia"/>
          <w:lang w:val="en-GB" w:eastAsia="ko-KR"/>
        </w:rPr>
        <w:t xml:space="preserve"> CNOOC believed that investing in </w:t>
      </w:r>
      <w:r w:rsidR="00DB598E" w:rsidRPr="00646999">
        <w:rPr>
          <w:rFonts w:eastAsiaTheme="minorEastAsia"/>
          <w:lang w:val="en-GB" w:eastAsia="ko-KR"/>
        </w:rPr>
        <w:t xml:space="preserve">the </w:t>
      </w:r>
      <w:r w:rsidRPr="00646999">
        <w:rPr>
          <w:rFonts w:eastAsiaTheme="minorEastAsia"/>
          <w:lang w:val="en-GB" w:eastAsia="ko-KR"/>
        </w:rPr>
        <w:t xml:space="preserve">Canadian oil sands represented an opportunity for the company’s sustainable growth. </w:t>
      </w:r>
    </w:p>
    <w:p w14:paraId="0E1C4532" w14:textId="77777777" w:rsidR="00AB5230" w:rsidRPr="00646999" w:rsidRDefault="00AB5230" w:rsidP="00E70583">
      <w:pPr>
        <w:pStyle w:val="BodyTextMain"/>
        <w:rPr>
          <w:rFonts w:eastAsiaTheme="minorEastAsia"/>
          <w:lang w:val="en-GB"/>
        </w:rPr>
      </w:pPr>
    </w:p>
    <w:p w14:paraId="4ED28DF9" w14:textId="77777777" w:rsidR="00AB5230" w:rsidRPr="00646999" w:rsidRDefault="00AB5230" w:rsidP="00E70583">
      <w:pPr>
        <w:pStyle w:val="BodyTextMain"/>
        <w:rPr>
          <w:rFonts w:eastAsiaTheme="minorEastAsia"/>
          <w:lang w:val="en-GB"/>
        </w:rPr>
      </w:pPr>
    </w:p>
    <w:p w14:paraId="6D974483" w14:textId="09373961" w:rsidR="00AB5230" w:rsidRPr="00646999" w:rsidRDefault="00AB5230" w:rsidP="00E70583">
      <w:pPr>
        <w:pStyle w:val="Casehead2"/>
        <w:rPr>
          <w:rFonts w:eastAsiaTheme="minorEastAsia"/>
          <w:lang w:val="en-GB" w:eastAsia="ko-KR"/>
        </w:rPr>
      </w:pPr>
      <w:r w:rsidRPr="00646999">
        <w:rPr>
          <w:rFonts w:eastAsiaTheme="minorEastAsia"/>
          <w:lang w:val="en-GB" w:eastAsia="ko-KR"/>
        </w:rPr>
        <w:t xml:space="preserve">Rise of </w:t>
      </w:r>
      <w:r w:rsidR="00DB598E" w:rsidRPr="00646999">
        <w:rPr>
          <w:rFonts w:eastAsiaTheme="minorEastAsia"/>
          <w:lang w:val="en-GB" w:eastAsia="ko-KR"/>
        </w:rPr>
        <w:t xml:space="preserve">the </w:t>
      </w:r>
      <w:r w:rsidRPr="00646999">
        <w:rPr>
          <w:rFonts w:eastAsiaTheme="minorEastAsia"/>
          <w:lang w:val="en-GB" w:eastAsia="ko-KR"/>
        </w:rPr>
        <w:t>Canadian Oil Sands Industry</w:t>
      </w:r>
    </w:p>
    <w:p w14:paraId="5F2C3C04" w14:textId="77777777" w:rsidR="00AB5230" w:rsidRPr="00646999" w:rsidRDefault="00AB5230" w:rsidP="008577F6">
      <w:pPr>
        <w:pStyle w:val="BodyTextMain"/>
        <w:rPr>
          <w:rFonts w:eastAsiaTheme="minorEastAsia"/>
          <w:lang w:val="en-GB" w:eastAsia="ko-KR"/>
        </w:rPr>
      </w:pPr>
    </w:p>
    <w:p w14:paraId="3F074AFB" w14:textId="4D3AEDAF" w:rsidR="00AB5230" w:rsidRPr="00646999" w:rsidRDefault="00AB5230" w:rsidP="008577F6">
      <w:pPr>
        <w:pStyle w:val="BodyTextMain"/>
        <w:rPr>
          <w:rFonts w:eastAsiaTheme="minorEastAsia"/>
          <w:lang w:val="en-GB" w:eastAsia="ko-KR"/>
        </w:rPr>
      </w:pPr>
      <w:r w:rsidRPr="00646999">
        <w:rPr>
          <w:rFonts w:eastAsiaTheme="minorEastAsia"/>
          <w:lang w:val="en-GB" w:eastAsia="ko-KR"/>
        </w:rPr>
        <w:t>Oil sands could be found in several locations around the globe</w:t>
      </w:r>
      <w:r w:rsidR="008679C9">
        <w:rPr>
          <w:rFonts w:eastAsiaTheme="minorEastAsia"/>
          <w:lang w:val="en-GB" w:eastAsia="ko-KR"/>
        </w:rPr>
        <w:t>,</w:t>
      </w:r>
      <w:r w:rsidRPr="00646999">
        <w:rPr>
          <w:rFonts w:eastAsiaTheme="minorEastAsia"/>
          <w:lang w:val="en-GB" w:eastAsia="ko-KR"/>
        </w:rPr>
        <w:t xml:space="preserve"> including Venezuela, the United States, Canada</w:t>
      </w:r>
      <w:r w:rsidR="00E0015F" w:rsidRPr="00646999">
        <w:rPr>
          <w:rFonts w:eastAsiaTheme="minorEastAsia"/>
          <w:lang w:val="en-GB" w:eastAsia="ko-KR"/>
        </w:rPr>
        <w:t>,</w:t>
      </w:r>
      <w:r w:rsidRPr="00646999">
        <w:rPr>
          <w:rFonts w:eastAsiaTheme="minorEastAsia"/>
          <w:lang w:val="en-GB" w:eastAsia="ko-KR"/>
        </w:rPr>
        <w:t xml:space="preserve"> and Russia</w:t>
      </w:r>
      <w:r w:rsidR="008679C9">
        <w:rPr>
          <w:rFonts w:eastAsiaTheme="minorEastAsia"/>
          <w:lang w:val="en-GB" w:eastAsia="ko-KR"/>
        </w:rPr>
        <w:t>.</w:t>
      </w:r>
      <w:r w:rsidRPr="00646999">
        <w:rPr>
          <w:rFonts w:eastAsiaTheme="minorEastAsia"/>
          <w:lang w:val="en-GB" w:eastAsia="ko-KR"/>
        </w:rPr>
        <w:t xml:space="preserve"> </w:t>
      </w:r>
      <w:r w:rsidR="008679C9">
        <w:rPr>
          <w:rFonts w:eastAsiaTheme="minorEastAsia"/>
          <w:lang w:val="en-GB" w:eastAsia="ko-KR"/>
        </w:rPr>
        <w:t xml:space="preserve">The largest deposit was </w:t>
      </w:r>
      <w:r w:rsidRPr="00646999">
        <w:rPr>
          <w:rFonts w:eastAsiaTheme="minorEastAsia"/>
          <w:lang w:val="en-GB" w:eastAsia="ko-KR"/>
        </w:rPr>
        <w:t xml:space="preserve">the Athabasca deposit </w:t>
      </w:r>
      <w:r w:rsidR="0014686A" w:rsidRPr="00646999">
        <w:rPr>
          <w:rFonts w:eastAsiaTheme="minorEastAsia"/>
          <w:lang w:val="en-GB" w:eastAsia="ko-KR"/>
        </w:rPr>
        <w:t xml:space="preserve">in </w:t>
      </w:r>
      <w:r w:rsidRPr="00646999">
        <w:rPr>
          <w:rFonts w:eastAsiaTheme="minorEastAsia"/>
          <w:lang w:val="en-GB" w:eastAsia="ko-KR"/>
        </w:rPr>
        <w:t xml:space="preserve">Alberta, Canada. </w:t>
      </w:r>
      <w:r w:rsidR="008679C9">
        <w:rPr>
          <w:rFonts w:eastAsiaTheme="minorEastAsia"/>
          <w:lang w:val="en-GB" w:eastAsia="zh-CN"/>
        </w:rPr>
        <w:t>Alberta’s</w:t>
      </w:r>
      <w:r w:rsidR="008679C9" w:rsidRPr="00646999">
        <w:rPr>
          <w:rFonts w:eastAsiaTheme="minorEastAsia"/>
          <w:lang w:val="en-GB" w:eastAsia="zh-CN"/>
        </w:rPr>
        <w:t xml:space="preserve"> </w:t>
      </w:r>
      <w:r w:rsidRPr="00646999">
        <w:rPr>
          <w:rFonts w:eastAsiaTheme="minorEastAsia"/>
          <w:lang w:val="en-GB" w:eastAsia="zh-CN"/>
        </w:rPr>
        <w:t xml:space="preserve">proven oil reserves </w:t>
      </w:r>
      <w:r w:rsidR="00BB1670" w:rsidRPr="00646999">
        <w:rPr>
          <w:rFonts w:eastAsiaTheme="minorEastAsia"/>
          <w:lang w:val="en-GB" w:eastAsia="zh-CN"/>
        </w:rPr>
        <w:t xml:space="preserve">were </w:t>
      </w:r>
      <w:r w:rsidRPr="00646999">
        <w:rPr>
          <w:rFonts w:eastAsiaTheme="minorEastAsia"/>
          <w:lang w:val="en-GB" w:eastAsia="zh-CN"/>
        </w:rPr>
        <w:t xml:space="preserve">175.3 billion barrels (including 173.7 billion barrels </w:t>
      </w:r>
      <w:r w:rsidR="0014686A" w:rsidRPr="00646999">
        <w:rPr>
          <w:rFonts w:eastAsiaTheme="minorEastAsia"/>
          <w:lang w:val="en-GB" w:eastAsia="zh-CN"/>
        </w:rPr>
        <w:t xml:space="preserve">of </w:t>
      </w:r>
      <w:r w:rsidRPr="00646999">
        <w:rPr>
          <w:rFonts w:eastAsiaTheme="minorEastAsia"/>
          <w:lang w:val="en-GB" w:eastAsia="zh-CN"/>
        </w:rPr>
        <w:t>bitumen reserves), the second</w:t>
      </w:r>
      <w:r w:rsidR="0014686A" w:rsidRPr="00646999">
        <w:rPr>
          <w:rFonts w:eastAsiaTheme="minorEastAsia"/>
          <w:lang w:val="en-GB" w:eastAsia="zh-CN"/>
        </w:rPr>
        <w:t>-largest</w:t>
      </w:r>
      <w:r w:rsidRPr="00646999">
        <w:rPr>
          <w:rFonts w:eastAsiaTheme="minorEastAsia"/>
          <w:lang w:val="en-GB" w:eastAsia="zh-CN"/>
        </w:rPr>
        <w:t xml:space="preserve"> oil reserve</w:t>
      </w:r>
      <w:r w:rsidR="0014686A" w:rsidRPr="00646999">
        <w:rPr>
          <w:rFonts w:eastAsiaTheme="minorEastAsia"/>
          <w:lang w:val="en-GB" w:eastAsia="zh-CN"/>
        </w:rPr>
        <w:t>s</w:t>
      </w:r>
      <w:r w:rsidRPr="00646999">
        <w:rPr>
          <w:rFonts w:eastAsiaTheme="minorEastAsia"/>
          <w:lang w:val="en-GB" w:eastAsia="zh-CN"/>
        </w:rPr>
        <w:t xml:space="preserve"> on th</w:t>
      </w:r>
      <w:r w:rsidR="0014686A" w:rsidRPr="00646999">
        <w:rPr>
          <w:rFonts w:eastAsiaTheme="minorEastAsia"/>
          <w:lang w:val="en-GB" w:eastAsia="zh-CN"/>
        </w:rPr>
        <w:t>e</w:t>
      </w:r>
      <w:r w:rsidRPr="00646999">
        <w:rPr>
          <w:rFonts w:eastAsiaTheme="minorEastAsia"/>
          <w:lang w:val="en-GB" w:eastAsia="zh-CN"/>
        </w:rPr>
        <w:t xml:space="preserve"> planet.</w:t>
      </w:r>
      <w:r w:rsidRPr="00646999">
        <w:rPr>
          <w:rStyle w:val="EndnoteReference"/>
          <w:rFonts w:eastAsiaTheme="minorEastAsia"/>
          <w:lang w:val="en-GB" w:eastAsia="ko-KR"/>
        </w:rPr>
        <w:endnoteReference w:id="13"/>
      </w:r>
      <w:r w:rsidRPr="00646999">
        <w:rPr>
          <w:rFonts w:eastAsiaTheme="minorEastAsia"/>
          <w:lang w:val="en-GB" w:eastAsia="ko-KR"/>
        </w:rPr>
        <w:t xml:space="preserve"> </w:t>
      </w:r>
      <w:r w:rsidR="008679C9">
        <w:rPr>
          <w:rFonts w:eastAsiaTheme="minorEastAsia"/>
          <w:lang w:val="en-GB" w:eastAsia="ko-KR"/>
        </w:rPr>
        <w:t xml:space="preserve">In 1967, </w:t>
      </w:r>
      <w:r w:rsidRPr="00646999">
        <w:rPr>
          <w:rFonts w:eastAsiaTheme="minorEastAsia"/>
          <w:lang w:val="en-GB" w:eastAsia="ko-KR"/>
        </w:rPr>
        <w:t xml:space="preserve">Suncor Energy Inc. (formerly the Great Canadian Oil Sands project) was the first company </w:t>
      </w:r>
      <w:r w:rsidR="00F00C43" w:rsidRPr="00646999">
        <w:rPr>
          <w:rFonts w:eastAsiaTheme="minorEastAsia"/>
          <w:lang w:val="en-GB" w:eastAsia="ko-KR"/>
        </w:rPr>
        <w:t>to</w:t>
      </w:r>
      <w:r w:rsidRPr="00646999">
        <w:rPr>
          <w:rFonts w:eastAsiaTheme="minorEastAsia"/>
          <w:lang w:val="en-GB" w:eastAsia="ko-KR"/>
        </w:rPr>
        <w:t xml:space="preserve"> develop </w:t>
      </w:r>
      <w:r w:rsidR="00BB1670" w:rsidRPr="00646999">
        <w:rPr>
          <w:rFonts w:eastAsiaTheme="minorEastAsia"/>
          <w:lang w:val="en-GB" w:eastAsia="ko-KR"/>
        </w:rPr>
        <w:t xml:space="preserve">operations in the </w:t>
      </w:r>
      <w:r w:rsidRPr="00646999">
        <w:rPr>
          <w:rFonts w:eastAsiaTheme="minorEastAsia"/>
          <w:lang w:val="en-GB" w:eastAsia="ko-KR"/>
        </w:rPr>
        <w:t>Fort McMurray</w:t>
      </w:r>
      <w:r w:rsidR="008679C9">
        <w:rPr>
          <w:rFonts w:eastAsiaTheme="minorEastAsia"/>
          <w:lang w:val="en-GB" w:eastAsia="ko-KR"/>
        </w:rPr>
        <w:t xml:space="preserve"> oil sands</w:t>
      </w:r>
      <w:r w:rsidRPr="00646999">
        <w:rPr>
          <w:rFonts w:eastAsiaTheme="minorEastAsia"/>
          <w:lang w:val="en-GB" w:eastAsia="ko-KR"/>
        </w:rPr>
        <w:t xml:space="preserve">. However, for many decades, the development of the Athabasca deposit was not as fast as expected due to </w:t>
      </w:r>
      <w:r w:rsidR="00E05B90" w:rsidRPr="00646999">
        <w:rPr>
          <w:rFonts w:eastAsiaTheme="minorEastAsia"/>
          <w:lang w:val="en-GB" w:eastAsia="ko-KR"/>
        </w:rPr>
        <w:t xml:space="preserve">the </w:t>
      </w:r>
      <w:r w:rsidRPr="00646999">
        <w:rPr>
          <w:rFonts w:eastAsiaTheme="minorEastAsia"/>
          <w:lang w:val="en-GB" w:eastAsia="ko-KR"/>
        </w:rPr>
        <w:t>high technological requirements and financial input needed for extraction.</w:t>
      </w:r>
      <w:r w:rsidRPr="00646999">
        <w:rPr>
          <w:rStyle w:val="EndnoteReference"/>
          <w:rFonts w:eastAsiaTheme="minorEastAsia"/>
          <w:lang w:val="en-GB" w:eastAsia="ko-KR"/>
        </w:rPr>
        <w:endnoteReference w:id="14"/>
      </w:r>
      <w:r w:rsidRPr="00646999">
        <w:rPr>
          <w:rFonts w:eastAsiaTheme="minorEastAsia"/>
          <w:lang w:val="en-GB" w:eastAsia="ko-KR"/>
        </w:rPr>
        <w:t xml:space="preserve"> </w:t>
      </w:r>
    </w:p>
    <w:p w14:paraId="15D45DBF" w14:textId="77777777" w:rsidR="00AB5230" w:rsidRPr="00646999" w:rsidRDefault="00AB5230" w:rsidP="008577F6">
      <w:pPr>
        <w:pStyle w:val="BodyTextMain"/>
        <w:rPr>
          <w:rFonts w:eastAsiaTheme="minorEastAsia"/>
          <w:lang w:val="en-GB" w:eastAsia="ko-KR"/>
        </w:rPr>
      </w:pPr>
    </w:p>
    <w:p w14:paraId="0F1D24B5" w14:textId="0E5E4DAB" w:rsidR="00AB5230" w:rsidRPr="00646999" w:rsidRDefault="002F44DE" w:rsidP="008577F6">
      <w:pPr>
        <w:pStyle w:val="BodyTextMain"/>
        <w:rPr>
          <w:rFonts w:eastAsiaTheme="minorEastAsia"/>
          <w:lang w:val="en-GB" w:eastAsia="ko-KR"/>
        </w:rPr>
      </w:pPr>
      <w:r>
        <w:rPr>
          <w:lang w:val="en-GB" w:eastAsia="ko-KR"/>
        </w:rPr>
        <w:t>When</w:t>
      </w:r>
      <w:r w:rsidRPr="00646999">
        <w:rPr>
          <w:lang w:val="en-GB" w:eastAsia="ko-KR"/>
        </w:rPr>
        <w:t xml:space="preserve"> </w:t>
      </w:r>
      <w:r w:rsidR="00AB5230" w:rsidRPr="00646999">
        <w:rPr>
          <w:lang w:val="en-GB" w:eastAsia="ko-KR"/>
        </w:rPr>
        <w:t xml:space="preserve">the price of oil was high, engineers and scientists </w:t>
      </w:r>
      <w:r w:rsidR="008679C9">
        <w:rPr>
          <w:lang w:val="en-GB" w:eastAsia="ko-KR"/>
        </w:rPr>
        <w:t xml:space="preserve">had incentives </w:t>
      </w:r>
      <w:r w:rsidR="00AB5230" w:rsidRPr="00646999">
        <w:rPr>
          <w:lang w:val="en-GB" w:eastAsia="ko-KR"/>
        </w:rPr>
        <w:t xml:space="preserve">to </w:t>
      </w:r>
      <w:r w:rsidR="00830438">
        <w:rPr>
          <w:lang w:val="en-GB" w:eastAsia="ko-KR"/>
        </w:rPr>
        <w:t>develop</w:t>
      </w:r>
      <w:r w:rsidR="00830438" w:rsidRPr="00646999">
        <w:rPr>
          <w:lang w:val="en-GB" w:eastAsia="ko-KR"/>
        </w:rPr>
        <w:t xml:space="preserve"> </w:t>
      </w:r>
      <w:r w:rsidR="00AB5230" w:rsidRPr="00646999">
        <w:rPr>
          <w:lang w:val="en-GB" w:eastAsia="ko-KR"/>
        </w:rPr>
        <w:t xml:space="preserve">innovative ways to extract from </w:t>
      </w:r>
      <w:r w:rsidR="00E05B90" w:rsidRPr="00646999">
        <w:rPr>
          <w:lang w:val="en-GB" w:eastAsia="ko-KR"/>
        </w:rPr>
        <w:t xml:space="preserve">the </w:t>
      </w:r>
      <w:r w:rsidR="00AB5230" w:rsidRPr="00646999">
        <w:rPr>
          <w:lang w:val="en-GB" w:eastAsia="ko-KR"/>
        </w:rPr>
        <w:t xml:space="preserve">oil sands </w:t>
      </w:r>
      <w:r w:rsidR="00830438">
        <w:rPr>
          <w:lang w:val="en-GB" w:eastAsia="ko-KR"/>
        </w:rPr>
        <w:t xml:space="preserve">the </w:t>
      </w:r>
      <w:r w:rsidR="00830438" w:rsidRPr="00646999">
        <w:rPr>
          <w:lang w:val="en-GB" w:eastAsia="ko-KR"/>
        </w:rPr>
        <w:t xml:space="preserve">heavy oil and bitumen </w:t>
      </w:r>
      <w:r w:rsidR="00AB5230" w:rsidRPr="00646999">
        <w:rPr>
          <w:lang w:val="en-GB" w:eastAsia="ko-KR"/>
        </w:rPr>
        <w:t>that previously could not be produced.</w:t>
      </w:r>
      <w:r w:rsidR="00AB5230" w:rsidRPr="00646999">
        <w:rPr>
          <w:rStyle w:val="EndnoteReference"/>
          <w:lang w:val="en-GB" w:eastAsia="ko-KR"/>
        </w:rPr>
        <w:endnoteReference w:id="15"/>
      </w:r>
      <w:r w:rsidR="00AB5230" w:rsidRPr="00646999">
        <w:rPr>
          <w:rFonts w:eastAsiaTheme="minorEastAsia"/>
          <w:lang w:val="en-GB" w:eastAsia="ko-KR"/>
        </w:rPr>
        <w:t xml:space="preserve"> With </w:t>
      </w:r>
      <w:r w:rsidR="00E05B90" w:rsidRPr="00646999">
        <w:rPr>
          <w:rFonts w:eastAsiaTheme="minorEastAsia"/>
          <w:lang w:val="en-GB" w:eastAsia="ko-KR"/>
        </w:rPr>
        <w:t>an</w:t>
      </w:r>
      <w:r w:rsidR="00AB5230" w:rsidRPr="00646999">
        <w:rPr>
          <w:rFonts w:eastAsiaTheme="minorEastAsia"/>
          <w:lang w:val="en-GB" w:eastAsia="ko-KR"/>
        </w:rPr>
        <w:t xml:space="preserve"> increase in the </w:t>
      </w:r>
      <w:r w:rsidR="00E05B90" w:rsidRPr="00646999">
        <w:rPr>
          <w:rFonts w:eastAsiaTheme="minorEastAsia"/>
          <w:lang w:val="en-GB" w:eastAsia="ko-KR"/>
        </w:rPr>
        <w:t>global</w:t>
      </w:r>
      <w:r w:rsidR="00AB5230" w:rsidRPr="00646999">
        <w:rPr>
          <w:rFonts w:eastAsiaTheme="minorEastAsia"/>
          <w:lang w:val="en-GB" w:eastAsia="ko-KR"/>
        </w:rPr>
        <w:t xml:space="preserve"> price of oil </w:t>
      </w:r>
      <w:r w:rsidR="00BB1670" w:rsidRPr="00646999">
        <w:rPr>
          <w:rFonts w:eastAsiaTheme="minorEastAsia"/>
          <w:lang w:val="en-GB" w:eastAsia="ko-KR"/>
        </w:rPr>
        <w:t xml:space="preserve">in </w:t>
      </w:r>
      <w:r w:rsidR="00FD5F71">
        <w:rPr>
          <w:rFonts w:eastAsiaTheme="minorEastAsia"/>
          <w:lang w:val="en-GB" w:eastAsia="ko-KR"/>
        </w:rPr>
        <w:t xml:space="preserve">the </w:t>
      </w:r>
      <w:r w:rsidR="00BB1670" w:rsidRPr="00646999">
        <w:rPr>
          <w:rFonts w:eastAsiaTheme="minorEastAsia"/>
          <w:lang w:val="en-GB" w:eastAsia="ko-KR"/>
        </w:rPr>
        <w:t xml:space="preserve">late 1990s </w:t>
      </w:r>
      <w:r w:rsidR="00AB5230" w:rsidRPr="00646999">
        <w:rPr>
          <w:rFonts w:eastAsiaTheme="minorEastAsia"/>
          <w:lang w:val="en-GB" w:eastAsia="ko-KR"/>
        </w:rPr>
        <w:t>(see Exhibit 3), the oil sands industry began to expand rapidly. Exhibit 4 show</w:t>
      </w:r>
      <w:r w:rsidR="0092774F" w:rsidRPr="00646999">
        <w:rPr>
          <w:rFonts w:eastAsiaTheme="minorEastAsia"/>
          <w:lang w:val="en-GB" w:eastAsia="ko-KR"/>
        </w:rPr>
        <w:t>s</w:t>
      </w:r>
      <w:r w:rsidR="00AB5230" w:rsidRPr="00646999">
        <w:rPr>
          <w:rFonts w:eastAsiaTheme="minorEastAsia"/>
          <w:lang w:val="en-GB" w:eastAsia="ko-KR"/>
        </w:rPr>
        <w:t xml:space="preserve"> bitumen production from unconventional oil sands in Canada between </w:t>
      </w:r>
      <w:r w:rsidR="00296C40" w:rsidRPr="00646999">
        <w:rPr>
          <w:rFonts w:eastAsiaTheme="minorEastAsia"/>
          <w:lang w:val="en-GB" w:eastAsia="ko-KR"/>
        </w:rPr>
        <w:t>199</w:t>
      </w:r>
      <w:r w:rsidR="00296C40">
        <w:rPr>
          <w:rFonts w:eastAsiaTheme="minorEastAsia"/>
          <w:lang w:val="en-GB" w:eastAsia="ko-KR"/>
        </w:rPr>
        <w:t>4</w:t>
      </w:r>
      <w:r w:rsidR="00296C40" w:rsidRPr="00646999">
        <w:rPr>
          <w:rFonts w:eastAsiaTheme="minorEastAsia"/>
          <w:lang w:val="en-GB" w:eastAsia="ko-KR"/>
        </w:rPr>
        <w:t xml:space="preserve"> </w:t>
      </w:r>
      <w:r w:rsidR="00AB5230" w:rsidRPr="00646999">
        <w:rPr>
          <w:rFonts w:eastAsiaTheme="minorEastAsia"/>
          <w:lang w:val="en-GB" w:eastAsia="ko-KR"/>
        </w:rPr>
        <w:t>and 2015. As shown, oil production increased from 0.305 million barrels a day in 1998 to 1.06 million barrels a day in 2005; meanwhile, annual capital expenditure increased by almost 700 per</w:t>
      </w:r>
      <w:r w:rsidR="00DA1835" w:rsidRPr="00646999">
        <w:rPr>
          <w:rFonts w:eastAsiaTheme="minorEastAsia"/>
          <w:lang w:val="en-GB" w:eastAsia="ko-KR"/>
        </w:rPr>
        <w:t xml:space="preserve"> </w:t>
      </w:r>
      <w:r w:rsidR="00AB5230" w:rsidRPr="00646999">
        <w:rPr>
          <w:rFonts w:eastAsiaTheme="minorEastAsia"/>
          <w:lang w:val="en-GB" w:eastAsia="ko-KR"/>
        </w:rPr>
        <w:t>cent from CA$1.5 billion in 1998 to CA$10.4 billion in 2005.</w:t>
      </w:r>
      <w:r w:rsidR="00AB5230" w:rsidRPr="00646999">
        <w:rPr>
          <w:rStyle w:val="EndnoteReference"/>
          <w:rFonts w:eastAsiaTheme="minorEastAsia"/>
          <w:lang w:val="en-GB" w:eastAsia="ko-KR"/>
        </w:rPr>
        <w:endnoteReference w:id="16"/>
      </w:r>
      <w:r w:rsidR="00AB5230" w:rsidRPr="00646999">
        <w:rPr>
          <w:rFonts w:eastAsiaTheme="minorEastAsia"/>
          <w:lang w:val="en-GB" w:eastAsia="ko-KR"/>
        </w:rPr>
        <w:t xml:space="preserve"> Alberta achieved non-renewable resource revenue of CA$14.3 </w:t>
      </w:r>
      <w:r w:rsidR="00294500" w:rsidRPr="00646999">
        <w:rPr>
          <w:rFonts w:eastAsiaTheme="minorEastAsia"/>
          <w:lang w:val="en-GB" w:eastAsia="ko-KR"/>
        </w:rPr>
        <w:t xml:space="preserve">billion </w:t>
      </w:r>
      <w:r w:rsidR="00AB5230" w:rsidRPr="00646999">
        <w:rPr>
          <w:rFonts w:eastAsiaTheme="minorEastAsia"/>
          <w:lang w:val="en-GB" w:eastAsia="ko-KR"/>
        </w:rPr>
        <w:t xml:space="preserve">in 2006, a record high </w:t>
      </w:r>
      <w:r w:rsidR="0092774F" w:rsidRPr="00646999">
        <w:rPr>
          <w:rFonts w:eastAsiaTheme="minorEastAsia"/>
          <w:lang w:val="en-GB" w:eastAsia="ko-KR"/>
        </w:rPr>
        <w:t>for</w:t>
      </w:r>
      <w:r w:rsidR="00AB5230" w:rsidRPr="00646999">
        <w:rPr>
          <w:rFonts w:eastAsiaTheme="minorEastAsia"/>
          <w:lang w:val="en-GB" w:eastAsia="ko-KR"/>
        </w:rPr>
        <w:t xml:space="preserve"> Canad</w:t>
      </w:r>
      <w:r w:rsidR="0092774F" w:rsidRPr="00646999">
        <w:rPr>
          <w:rFonts w:eastAsiaTheme="minorEastAsia"/>
          <w:lang w:val="en-GB" w:eastAsia="ko-KR"/>
        </w:rPr>
        <w:t>a</w:t>
      </w:r>
      <w:r w:rsidR="00AB5230" w:rsidRPr="00646999">
        <w:rPr>
          <w:rFonts w:eastAsiaTheme="minorEastAsia"/>
          <w:lang w:val="en-GB" w:eastAsia="ko-KR"/>
        </w:rPr>
        <w:t>.</w:t>
      </w:r>
      <w:r w:rsidR="00AB5230" w:rsidRPr="00646999">
        <w:rPr>
          <w:rStyle w:val="EndnoteReference"/>
          <w:rFonts w:eastAsiaTheme="minorEastAsia"/>
          <w:lang w:val="en-GB" w:eastAsia="ko-KR"/>
        </w:rPr>
        <w:endnoteReference w:id="17"/>
      </w:r>
      <w:r w:rsidR="00AB5230" w:rsidRPr="00646999">
        <w:rPr>
          <w:rFonts w:eastAsiaTheme="minorEastAsia"/>
          <w:lang w:val="en-GB" w:eastAsia="ko-KR"/>
        </w:rPr>
        <w:t xml:space="preserve"> </w:t>
      </w:r>
    </w:p>
    <w:p w14:paraId="6C15EFB2" w14:textId="77777777" w:rsidR="00AB5230" w:rsidRPr="00646999" w:rsidRDefault="00AB5230" w:rsidP="008577F6">
      <w:pPr>
        <w:pStyle w:val="BodyTextMain"/>
        <w:rPr>
          <w:rFonts w:eastAsiaTheme="minorEastAsia"/>
          <w:lang w:val="en-GB" w:eastAsia="ko-KR"/>
        </w:rPr>
      </w:pPr>
    </w:p>
    <w:p w14:paraId="2099657E" w14:textId="049B405C" w:rsidR="00AB5230" w:rsidRPr="00646999" w:rsidRDefault="00AB5230" w:rsidP="008577F6">
      <w:pPr>
        <w:pStyle w:val="BodyTextMain"/>
        <w:rPr>
          <w:lang w:val="en-GB" w:eastAsia="ko-KR"/>
        </w:rPr>
      </w:pPr>
      <w:r w:rsidRPr="00646999">
        <w:rPr>
          <w:rFonts w:eastAsiaTheme="minorEastAsia"/>
          <w:lang w:val="en-GB" w:eastAsia="ko-KR"/>
        </w:rPr>
        <w:t>The price</w:t>
      </w:r>
      <w:r w:rsidR="009D17C8" w:rsidRPr="00646999">
        <w:rPr>
          <w:rFonts w:eastAsiaTheme="minorEastAsia"/>
          <w:lang w:val="en-GB" w:eastAsia="ko-KR"/>
        </w:rPr>
        <w:t xml:space="preserve"> of oil</w:t>
      </w:r>
      <w:r w:rsidRPr="00646999">
        <w:rPr>
          <w:rFonts w:eastAsiaTheme="minorEastAsia"/>
          <w:lang w:val="en-GB" w:eastAsia="ko-KR"/>
        </w:rPr>
        <w:t xml:space="preserve"> increas</w:t>
      </w:r>
      <w:r w:rsidR="00CE23C2" w:rsidRPr="00646999">
        <w:rPr>
          <w:rFonts w:eastAsiaTheme="minorEastAsia"/>
          <w:lang w:val="en-GB" w:eastAsia="ko-KR"/>
        </w:rPr>
        <w:t>ed</w:t>
      </w:r>
      <w:r w:rsidRPr="00646999">
        <w:rPr>
          <w:rFonts w:eastAsiaTheme="minorEastAsia"/>
          <w:lang w:val="en-GB" w:eastAsia="ko-KR"/>
        </w:rPr>
        <w:t xml:space="preserve"> steadily between 2006 and 2013, thus more investments were put into oil sands projects. In February 2013, crude oil was $107.66 per barrel. </w:t>
      </w:r>
      <w:r w:rsidR="009D17C8" w:rsidRPr="00646999">
        <w:rPr>
          <w:rFonts w:eastAsiaTheme="minorEastAsia"/>
          <w:lang w:val="en-GB" w:eastAsia="ko-KR"/>
        </w:rPr>
        <w:t>T</w:t>
      </w:r>
      <w:r w:rsidRPr="00646999">
        <w:rPr>
          <w:rFonts w:eastAsiaTheme="minorEastAsia"/>
          <w:lang w:val="en-GB" w:eastAsia="ko-KR"/>
        </w:rPr>
        <w:t xml:space="preserve">he price </w:t>
      </w:r>
      <w:r w:rsidR="00296C40">
        <w:rPr>
          <w:rFonts w:eastAsiaTheme="minorEastAsia"/>
          <w:lang w:val="en-GB" w:eastAsia="ko-KR"/>
        </w:rPr>
        <w:t xml:space="preserve">then </w:t>
      </w:r>
      <w:r w:rsidRPr="00646999">
        <w:rPr>
          <w:rFonts w:eastAsiaTheme="minorEastAsia"/>
          <w:lang w:val="en-GB" w:eastAsia="ko-KR"/>
        </w:rPr>
        <w:t>stayed constant</w:t>
      </w:r>
      <w:r w:rsidR="00DA1835" w:rsidRPr="00646999">
        <w:rPr>
          <w:rFonts w:eastAsiaTheme="minorEastAsia"/>
          <w:lang w:val="en-GB" w:eastAsia="ko-KR"/>
        </w:rPr>
        <w:t>,</w:t>
      </w:r>
      <w:r w:rsidRPr="00646999">
        <w:rPr>
          <w:rFonts w:eastAsiaTheme="minorEastAsia"/>
          <w:lang w:val="en-GB" w:eastAsia="ko-KR"/>
        </w:rPr>
        <w:t xml:space="preserve"> indicat</w:t>
      </w:r>
      <w:r w:rsidR="00DA1835" w:rsidRPr="00646999">
        <w:rPr>
          <w:rFonts w:eastAsiaTheme="minorEastAsia"/>
          <w:lang w:val="en-GB" w:eastAsia="ko-KR"/>
        </w:rPr>
        <w:t>ing</w:t>
      </w:r>
      <w:r w:rsidRPr="00646999">
        <w:rPr>
          <w:rFonts w:eastAsiaTheme="minorEastAsia"/>
          <w:lang w:val="en-GB" w:eastAsia="ko-KR"/>
        </w:rPr>
        <w:t xml:space="preserve"> a promising future </w:t>
      </w:r>
      <w:r w:rsidR="009D17C8" w:rsidRPr="00646999">
        <w:rPr>
          <w:rFonts w:eastAsiaTheme="minorEastAsia"/>
          <w:lang w:val="en-GB" w:eastAsia="ko-KR"/>
        </w:rPr>
        <w:t xml:space="preserve">for oil </w:t>
      </w:r>
      <w:r w:rsidRPr="00646999">
        <w:rPr>
          <w:rFonts w:eastAsiaTheme="minorEastAsia"/>
          <w:lang w:val="en-GB" w:eastAsia="ko-KR"/>
        </w:rPr>
        <w:t xml:space="preserve">in 2014. </w:t>
      </w:r>
    </w:p>
    <w:p w14:paraId="5D941E89" w14:textId="5300AF43" w:rsidR="00AB5230" w:rsidRPr="00646999" w:rsidRDefault="00296C40" w:rsidP="00E70583">
      <w:pPr>
        <w:pStyle w:val="Casehead2"/>
        <w:rPr>
          <w:rFonts w:eastAsiaTheme="minorEastAsia"/>
          <w:lang w:val="en-GB" w:eastAsia="ko-KR"/>
        </w:rPr>
      </w:pPr>
      <w:r>
        <w:rPr>
          <w:rFonts w:eastAsiaTheme="minorEastAsia"/>
          <w:lang w:val="en-GB" w:eastAsia="ko-KR"/>
        </w:rPr>
        <w:lastRenderedPageBreak/>
        <w:t xml:space="preserve">CNOOC’s </w:t>
      </w:r>
      <w:r w:rsidR="00AB5230" w:rsidRPr="00646999">
        <w:rPr>
          <w:rFonts w:eastAsiaTheme="minorEastAsia"/>
          <w:lang w:val="en-GB" w:eastAsia="ko-KR"/>
        </w:rPr>
        <w:t xml:space="preserve">Three Major Investments in </w:t>
      </w:r>
      <w:r>
        <w:rPr>
          <w:rFonts w:eastAsiaTheme="minorEastAsia"/>
          <w:lang w:val="en-GB" w:eastAsia="ko-KR"/>
        </w:rPr>
        <w:t xml:space="preserve">the </w:t>
      </w:r>
      <w:r w:rsidR="00AB5230" w:rsidRPr="00646999">
        <w:rPr>
          <w:rFonts w:eastAsiaTheme="minorEastAsia"/>
          <w:lang w:val="en-GB" w:eastAsia="ko-KR"/>
        </w:rPr>
        <w:t>Canadian Oil Sands Industry</w:t>
      </w:r>
    </w:p>
    <w:p w14:paraId="313264B7" w14:textId="77777777" w:rsidR="00AB5230" w:rsidRPr="00646999" w:rsidRDefault="00AB5230" w:rsidP="008577F6">
      <w:pPr>
        <w:pStyle w:val="BodyTextMain"/>
        <w:rPr>
          <w:rFonts w:eastAsiaTheme="minorEastAsia"/>
          <w:lang w:val="en-GB" w:eastAsia="ko-KR"/>
        </w:rPr>
      </w:pPr>
    </w:p>
    <w:p w14:paraId="16644D75" w14:textId="25A96598" w:rsidR="00AB5230" w:rsidRPr="00646999" w:rsidRDefault="00AB5230" w:rsidP="008577F6">
      <w:pPr>
        <w:pStyle w:val="BodyTextMain"/>
        <w:rPr>
          <w:rFonts w:eastAsiaTheme="minorEastAsia"/>
          <w:lang w:val="en-GB" w:eastAsia="ko-KR"/>
        </w:rPr>
      </w:pPr>
      <w:r w:rsidRPr="00646999">
        <w:rPr>
          <w:rFonts w:eastAsiaTheme="minorEastAsia"/>
          <w:lang w:val="en-GB" w:eastAsia="ko-KR"/>
        </w:rPr>
        <w:t xml:space="preserve">CNOOC expanded into </w:t>
      </w:r>
      <w:r w:rsidR="00171B55" w:rsidRPr="00646999">
        <w:rPr>
          <w:rFonts w:eastAsiaTheme="minorEastAsia"/>
          <w:lang w:val="en-GB" w:eastAsia="ko-KR"/>
        </w:rPr>
        <w:t xml:space="preserve">the </w:t>
      </w:r>
      <w:r w:rsidRPr="00646999">
        <w:rPr>
          <w:rFonts w:eastAsiaTheme="minorEastAsia"/>
          <w:lang w:val="en-GB" w:eastAsia="ko-KR"/>
        </w:rPr>
        <w:t xml:space="preserve">Canadian </w:t>
      </w:r>
      <w:r w:rsidR="00171B55" w:rsidRPr="00646999">
        <w:rPr>
          <w:rFonts w:eastAsiaTheme="minorEastAsia"/>
          <w:lang w:val="en-GB" w:eastAsia="ko-KR"/>
        </w:rPr>
        <w:t>o</w:t>
      </w:r>
      <w:r w:rsidRPr="00646999">
        <w:rPr>
          <w:rFonts w:eastAsiaTheme="minorEastAsia"/>
          <w:lang w:val="en-GB" w:eastAsia="ko-KR"/>
        </w:rPr>
        <w:t xml:space="preserve">il </w:t>
      </w:r>
      <w:r w:rsidR="00171B55" w:rsidRPr="00646999">
        <w:rPr>
          <w:rFonts w:eastAsiaTheme="minorEastAsia"/>
          <w:lang w:val="en-GB" w:eastAsia="ko-KR"/>
        </w:rPr>
        <w:t>s</w:t>
      </w:r>
      <w:r w:rsidRPr="00646999">
        <w:rPr>
          <w:rFonts w:eastAsiaTheme="minorEastAsia"/>
          <w:lang w:val="en-GB" w:eastAsia="ko-KR"/>
        </w:rPr>
        <w:t>ands industr</w:t>
      </w:r>
      <w:r w:rsidR="009A1D9B" w:rsidRPr="00646999">
        <w:rPr>
          <w:rFonts w:eastAsiaTheme="minorEastAsia"/>
          <w:lang w:val="en-GB" w:eastAsia="ko-KR"/>
        </w:rPr>
        <w:t>y</w:t>
      </w:r>
      <w:r w:rsidRPr="00646999">
        <w:rPr>
          <w:rFonts w:eastAsiaTheme="minorEastAsia"/>
          <w:lang w:val="en-GB" w:eastAsia="ko-KR"/>
        </w:rPr>
        <w:t xml:space="preserve"> in 2005 and invested in three major projects: MEG Energy Corp., OPTI</w:t>
      </w:r>
      <w:r w:rsidR="00296C40">
        <w:rPr>
          <w:rFonts w:eastAsiaTheme="minorEastAsia"/>
          <w:lang w:val="en-GB" w:eastAsia="ko-KR"/>
        </w:rPr>
        <w:t xml:space="preserve"> Canada</w:t>
      </w:r>
      <w:r w:rsidR="00F23ACF" w:rsidRPr="00646999">
        <w:rPr>
          <w:rFonts w:eastAsiaTheme="minorEastAsia"/>
          <w:lang w:val="en-GB" w:eastAsia="ko-KR"/>
        </w:rPr>
        <w:t>,</w:t>
      </w:r>
      <w:r w:rsidRPr="00646999">
        <w:rPr>
          <w:rFonts w:eastAsiaTheme="minorEastAsia"/>
          <w:lang w:val="en-GB" w:eastAsia="ko-KR"/>
        </w:rPr>
        <w:t xml:space="preserve"> and N</w:t>
      </w:r>
      <w:r w:rsidR="00171B55" w:rsidRPr="00646999">
        <w:rPr>
          <w:rFonts w:eastAsiaTheme="minorEastAsia"/>
          <w:lang w:val="en-GB" w:eastAsia="ko-KR"/>
        </w:rPr>
        <w:t>exen</w:t>
      </w:r>
      <w:r w:rsidR="00296C40">
        <w:rPr>
          <w:rFonts w:eastAsiaTheme="minorEastAsia"/>
          <w:lang w:val="en-GB" w:eastAsia="ko-KR"/>
        </w:rPr>
        <w:t xml:space="preserve"> Inc</w:t>
      </w:r>
      <w:r w:rsidRPr="00646999">
        <w:rPr>
          <w:rFonts w:eastAsiaTheme="minorEastAsia"/>
          <w:lang w:val="en-GB" w:eastAsia="ko-KR"/>
        </w:rPr>
        <w:t xml:space="preserve">. </w:t>
      </w:r>
    </w:p>
    <w:p w14:paraId="20FC3342" w14:textId="77777777" w:rsidR="00AB5230" w:rsidRPr="00646999" w:rsidRDefault="00AB5230" w:rsidP="008577F6">
      <w:pPr>
        <w:pStyle w:val="BodyTextMain"/>
        <w:rPr>
          <w:lang w:val="en-GB" w:eastAsia="ko-KR"/>
        </w:rPr>
      </w:pPr>
    </w:p>
    <w:p w14:paraId="754E7E25" w14:textId="77777777" w:rsidR="00AB5230" w:rsidRPr="00646999" w:rsidRDefault="00AB5230" w:rsidP="008577F6">
      <w:pPr>
        <w:pStyle w:val="BodyTextMain"/>
        <w:rPr>
          <w:lang w:val="en-GB" w:eastAsia="ko-KR"/>
        </w:rPr>
      </w:pPr>
    </w:p>
    <w:p w14:paraId="064735D5" w14:textId="77777777" w:rsidR="00AB5230" w:rsidRPr="00646999" w:rsidRDefault="00AB5230" w:rsidP="008577F6">
      <w:pPr>
        <w:pStyle w:val="BodyTextMain"/>
        <w:rPr>
          <w:rFonts w:ascii="Arial" w:eastAsiaTheme="minorEastAsia" w:hAnsi="Arial" w:cs="Arial"/>
          <w:b/>
          <w:sz w:val="20"/>
          <w:szCs w:val="20"/>
          <w:lang w:val="en-GB" w:eastAsia="ko-KR"/>
        </w:rPr>
      </w:pPr>
      <w:r w:rsidRPr="00646999">
        <w:rPr>
          <w:rFonts w:ascii="Arial" w:eastAsiaTheme="minorEastAsia" w:hAnsi="Arial" w:cs="Arial"/>
          <w:b/>
          <w:sz w:val="20"/>
          <w:szCs w:val="20"/>
          <w:lang w:val="en-GB" w:eastAsia="ko-KR"/>
        </w:rPr>
        <w:t>MEG Energy Corp.</w:t>
      </w:r>
    </w:p>
    <w:p w14:paraId="5F4A3E16" w14:textId="77777777" w:rsidR="00AB5230" w:rsidRPr="00646999" w:rsidRDefault="00AB5230" w:rsidP="008577F6">
      <w:pPr>
        <w:pStyle w:val="BodyTextMain"/>
        <w:rPr>
          <w:lang w:val="en-GB" w:eastAsia="ko-KR"/>
        </w:rPr>
      </w:pPr>
    </w:p>
    <w:p w14:paraId="74E8F176" w14:textId="773382D9" w:rsidR="00AB5230" w:rsidRPr="008F50F8" w:rsidRDefault="00AB5230" w:rsidP="008577F6">
      <w:pPr>
        <w:pStyle w:val="BodyTextMain"/>
        <w:rPr>
          <w:spacing w:val="-4"/>
          <w:lang w:val="en-GB" w:eastAsia="ko-KR"/>
        </w:rPr>
      </w:pPr>
      <w:r w:rsidRPr="008F50F8">
        <w:rPr>
          <w:spacing w:val="-4"/>
          <w:lang w:val="en-GB" w:eastAsia="ko-KR"/>
        </w:rPr>
        <w:t xml:space="preserve">CNOOC’s first </w:t>
      </w:r>
      <w:r w:rsidRPr="008F50F8">
        <w:rPr>
          <w:rFonts w:hint="eastAsia"/>
          <w:spacing w:val="-4"/>
          <w:lang w:val="en-GB"/>
        </w:rPr>
        <w:t>investment</w:t>
      </w:r>
      <w:r w:rsidRPr="008F50F8">
        <w:rPr>
          <w:spacing w:val="-4"/>
          <w:lang w:val="en-GB" w:eastAsia="ko-KR"/>
        </w:rPr>
        <w:t xml:space="preserve"> in Alberta was the purchase of a 16.69</w:t>
      </w:r>
      <w:r w:rsidR="00296C40" w:rsidRPr="008F50F8">
        <w:rPr>
          <w:spacing w:val="-4"/>
          <w:lang w:val="en-GB" w:eastAsia="ko-KR"/>
        </w:rPr>
        <w:t xml:space="preserve"> </w:t>
      </w:r>
      <w:r w:rsidR="00171B55" w:rsidRPr="008F50F8">
        <w:rPr>
          <w:spacing w:val="-4"/>
          <w:lang w:val="en-GB" w:eastAsia="ko-KR"/>
        </w:rPr>
        <w:t>per</w:t>
      </w:r>
      <w:r w:rsidR="00296C40" w:rsidRPr="008F50F8">
        <w:rPr>
          <w:spacing w:val="-4"/>
          <w:lang w:val="en-GB" w:eastAsia="ko-KR"/>
        </w:rPr>
        <w:t xml:space="preserve"> </w:t>
      </w:r>
      <w:r w:rsidR="00171B55" w:rsidRPr="008F50F8">
        <w:rPr>
          <w:spacing w:val="-4"/>
          <w:lang w:val="en-GB" w:eastAsia="ko-KR"/>
        </w:rPr>
        <w:t>cent</w:t>
      </w:r>
      <w:r w:rsidRPr="008F50F8">
        <w:rPr>
          <w:spacing w:val="-4"/>
          <w:lang w:val="en-GB" w:eastAsia="ko-KR"/>
        </w:rPr>
        <w:t xml:space="preserve"> equity share of MEG Energy Corp. for CA$150 million in April 2005. MEG Energy Corp. was a Calgary-based oil sands company that owned </w:t>
      </w:r>
      <w:r w:rsidR="00171B55" w:rsidRPr="008F50F8">
        <w:rPr>
          <w:spacing w:val="-4"/>
          <w:lang w:val="en-GB" w:eastAsia="ko-KR"/>
        </w:rPr>
        <w:t xml:space="preserve">a </w:t>
      </w:r>
      <w:r w:rsidRPr="008F50F8">
        <w:rPr>
          <w:spacing w:val="-4"/>
          <w:lang w:val="en-GB" w:eastAsia="ko-KR"/>
        </w:rPr>
        <w:t>100</w:t>
      </w:r>
      <w:r w:rsidR="00296C40" w:rsidRPr="008F50F8">
        <w:rPr>
          <w:spacing w:val="-4"/>
          <w:lang w:val="en-GB" w:eastAsia="ko-KR"/>
        </w:rPr>
        <w:t xml:space="preserve"> </w:t>
      </w:r>
      <w:r w:rsidR="00171B55" w:rsidRPr="008F50F8">
        <w:rPr>
          <w:spacing w:val="-4"/>
          <w:lang w:val="en-GB" w:eastAsia="ko-KR"/>
        </w:rPr>
        <w:t>per</w:t>
      </w:r>
      <w:r w:rsidR="00296C40" w:rsidRPr="008F50F8">
        <w:rPr>
          <w:spacing w:val="-4"/>
          <w:lang w:val="en-GB" w:eastAsia="ko-KR"/>
        </w:rPr>
        <w:t xml:space="preserve"> </w:t>
      </w:r>
      <w:r w:rsidR="00171B55" w:rsidRPr="008F50F8">
        <w:rPr>
          <w:spacing w:val="-4"/>
          <w:lang w:val="en-GB" w:eastAsia="ko-KR"/>
        </w:rPr>
        <w:t>cent</w:t>
      </w:r>
      <w:r w:rsidRPr="008F50F8">
        <w:rPr>
          <w:spacing w:val="-4"/>
          <w:lang w:val="en-GB" w:eastAsia="ko-KR"/>
        </w:rPr>
        <w:t xml:space="preserve"> working interest of nearly </w:t>
      </w:r>
      <w:r w:rsidR="00CE23C2" w:rsidRPr="008F50F8">
        <w:rPr>
          <w:spacing w:val="-4"/>
          <w:lang w:val="en-GB" w:eastAsia="ko-KR"/>
        </w:rPr>
        <w:t>33,000</w:t>
      </w:r>
      <w:r w:rsidRPr="008F50F8">
        <w:rPr>
          <w:spacing w:val="-4"/>
          <w:lang w:val="en-GB" w:eastAsia="ko-KR"/>
        </w:rPr>
        <w:t xml:space="preserve"> acres </w:t>
      </w:r>
      <w:r w:rsidR="00296C40" w:rsidRPr="008F50F8">
        <w:rPr>
          <w:spacing w:val="-4"/>
          <w:lang w:val="en-GB" w:eastAsia="ko-KR"/>
        </w:rPr>
        <w:t xml:space="preserve">(13,355 hectares) </w:t>
      </w:r>
      <w:r w:rsidRPr="008F50F8">
        <w:rPr>
          <w:spacing w:val="-4"/>
          <w:lang w:val="en-GB" w:eastAsia="ko-KR"/>
        </w:rPr>
        <w:t xml:space="preserve">in Alberta oil sands. The total estimated reserve was </w:t>
      </w:r>
      <w:r w:rsidR="00296C40" w:rsidRPr="008F50F8">
        <w:rPr>
          <w:spacing w:val="-4"/>
          <w:lang w:val="en-GB" w:eastAsia="ko-KR"/>
        </w:rPr>
        <w:t xml:space="preserve">more than </w:t>
      </w:r>
      <w:r w:rsidR="00171B55" w:rsidRPr="008F50F8">
        <w:rPr>
          <w:spacing w:val="-4"/>
          <w:lang w:val="en-GB" w:eastAsia="ko-KR"/>
        </w:rPr>
        <w:t>4</w:t>
      </w:r>
      <w:r w:rsidRPr="008F50F8">
        <w:rPr>
          <w:spacing w:val="-4"/>
          <w:lang w:val="en-GB" w:eastAsia="ko-KR"/>
        </w:rPr>
        <w:t xml:space="preserve"> billion barrels of bitumen, </w:t>
      </w:r>
      <w:r w:rsidR="00B9400F" w:rsidRPr="008F50F8">
        <w:rPr>
          <w:spacing w:val="-4"/>
          <w:lang w:val="en-GB" w:eastAsia="ko-KR"/>
        </w:rPr>
        <w:t xml:space="preserve">which would yield </w:t>
      </w:r>
      <w:r w:rsidRPr="008F50F8">
        <w:rPr>
          <w:spacing w:val="-4"/>
          <w:lang w:val="en-GB" w:eastAsia="ko-KR"/>
        </w:rPr>
        <w:t xml:space="preserve">recoverable reserves </w:t>
      </w:r>
      <w:r w:rsidR="009A1D9B" w:rsidRPr="008F50F8">
        <w:rPr>
          <w:spacing w:val="-4"/>
          <w:lang w:val="en-GB" w:eastAsia="ko-KR"/>
        </w:rPr>
        <w:t xml:space="preserve">of </w:t>
      </w:r>
      <w:r w:rsidR="00296C40" w:rsidRPr="008F50F8">
        <w:rPr>
          <w:spacing w:val="-4"/>
          <w:lang w:val="en-GB" w:eastAsia="ko-KR"/>
        </w:rPr>
        <w:t xml:space="preserve">approximately </w:t>
      </w:r>
      <w:r w:rsidR="00171B55" w:rsidRPr="008F50F8">
        <w:rPr>
          <w:spacing w:val="-4"/>
          <w:lang w:val="en-GB" w:eastAsia="ko-KR"/>
        </w:rPr>
        <w:t>2</w:t>
      </w:r>
      <w:r w:rsidRPr="008F50F8">
        <w:rPr>
          <w:spacing w:val="-4"/>
          <w:lang w:val="en-GB" w:eastAsia="ko-KR"/>
        </w:rPr>
        <w:t xml:space="preserve"> billion</w:t>
      </w:r>
      <w:r w:rsidR="00296C40" w:rsidRPr="008F50F8">
        <w:rPr>
          <w:spacing w:val="-4"/>
          <w:lang w:val="en-GB" w:eastAsia="ko-KR"/>
        </w:rPr>
        <w:t xml:space="preserve"> barrels</w:t>
      </w:r>
      <w:r w:rsidRPr="008F50F8">
        <w:rPr>
          <w:spacing w:val="-4"/>
          <w:lang w:val="en-GB" w:eastAsia="ko-KR"/>
        </w:rPr>
        <w:t>.</w:t>
      </w:r>
      <w:r w:rsidRPr="008F50F8">
        <w:rPr>
          <w:rStyle w:val="EndnoteReference"/>
          <w:spacing w:val="-4"/>
          <w:lang w:val="en-GB" w:eastAsia="ko-KR"/>
        </w:rPr>
        <w:endnoteReference w:id="18"/>
      </w:r>
      <w:r w:rsidRPr="008F50F8">
        <w:rPr>
          <w:spacing w:val="-4"/>
          <w:lang w:val="en-GB" w:eastAsia="ko-KR"/>
        </w:rPr>
        <w:t xml:space="preserve"> </w:t>
      </w:r>
      <w:r w:rsidR="00E5727D" w:rsidRPr="008F50F8">
        <w:rPr>
          <w:spacing w:val="-4"/>
          <w:lang w:val="en-GB" w:eastAsia="ko-KR"/>
        </w:rPr>
        <w:t xml:space="preserve">At the time, </w:t>
      </w:r>
      <w:r w:rsidRPr="008F50F8">
        <w:rPr>
          <w:spacing w:val="-4"/>
          <w:lang w:val="en-GB" w:eastAsia="ko-KR"/>
        </w:rPr>
        <w:t>MEG Energy Corp. was listed on the Toronto Stock Exchange.</w:t>
      </w:r>
    </w:p>
    <w:p w14:paraId="28498236" w14:textId="77777777" w:rsidR="00AB5230" w:rsidRPr="00646999" w:rsidRDefault="00AB5230" w:rsidP="008577F6">
      <w:pPr>
        <w:pStyle w:val="BodyTextMain"/>
        <w:rPr>
          <w:lang w:val="en-GB" w:eastAsia="ko-KR"/>
        </w:rPr>
      </w:pPr>
    </w:p>
    <w:p w14:paraId="278427D7" w14:textId="71EE425F" w:rsidR="00AB5230" w:rsidRPr="00646999" w:rsidRDefault="00AB5230" w:rsidP="008577F6">
      <w:pPr>
        <w:pStyle w:val="BodyTextMain"/>
        <w:rPr>
          <w:rFonts w:eastAsiaTheme="minorEastAsia"/>
          <w:lang w:val="en-GB" w:eastAsia="ko-KR"/>
        </w:rPr>
      </w:pPr>
      <w:r w:rsidRPr="00646999">
        <w:rPr>
          <w:lang w:val="en-GB" w:eastAsia="ko-KR"/>
        </w:rPr>
        <w:t xml:space="preserve">This project was implemented through CNOOC Belgium BVBA, a subsidiary of CNOOC. After the acquisition, the </w:t>
      </w:r>
      <w:r w:rsidR="00171B55" w:rsidRPr="00646999">
        <w:rPr>
          <w:lang w:val="en-GB" w:eastAsia="ko-KR"/>
        </w:rPr>
        <w:t>chief financial officer</w:t>
      </w:r>
      <w:r w:rsidRPr="00646999">
        <w:rPr>
          <w:rFonts w:eastAsiaTheme="minorEastAsia"/>
          <w:lang w:val="en-GB" w:eastAsia="ko-KR"/>
        </w:rPr>
        <w:t xml:space="preserve"> and </w:t>
      </w:r>
      <w:r w:rsidR="00171B55" w:rsidRPr="00646999">
        <w:rPr>
          <w:rFonts w:eastAsiaTheme="minorEastAsia"/>
          <w:lang w:val="en-GB" w:eastAsia="ko-KR"/>
        </w:rPr>
        <w:t>s</w:t>
      </w:r>
      <w:r w:rsidRPr="00646999">
        <w:rPr>
          <w:rFonts w:eastAsiaTheme="minorEastAsia"/>
          <w:lang w:val="en-GB" w:eastAsia="ko-KR"/>
        </w:rPr>
        <w:t>enior</w:t>
      </w:r>
      <w:r w:rsidR="00171B55" w:rsidRPr="00646999">
        <w:rPr>
          <w:rFonts w:eastAsiaTheme="minorEastAsia"/>
          <w:lang w:val="en-GB" w:eastAsia="ko-KR"/>
        </w:rPr>
        <w:t xml:space="preserve"> vice-president</w:t>
      </w:r>
      <w:r w:rsidRPr="00646999">
        <w:rPr>
          <w:rFonts w:eastAsiaTheme="minorEastAsia"/>
          <w:lang w:val="en-GB" w:eastAsia="ko-KR"/>
        </w:rPr>
        <w:t xml:space="preserve"> of CNOOC commented</w:t>
      </w:r>
      <w:r w:rsidR="00E5727D">
        <w:rPr>
          <w:rFonts w:eastAsiaTheme="minorEastAsia"/>
          <w:lang w:val="en-GB" w:eastAsia="ko-KR"/>
        </w:rPr>
        <w:t>,</w:t>
      </w:r>
      <w:r w:rsidRPr="00646999">
        <w:rPr>
          <w:rFonts w:eastAsiaTheme="minorEastAsia"/>
          <w:lang w:val="en-GB" w:eastAsia="ko-KR"/>
        </w:rPr>
        <w:t xml:space="preserve"> </w:t>
      </w:r>
      <w:r w:rsidR="00171B55" w:rsidRPr="00646999">
        <w:rPr>
          <w:rFonts w:eastAsiaTheme="minorEastAsia"/>
          <w:lang w:val="en-GB" w:eastAsia="ko-KR"/>
        </w:rPr>
        <w:t>“</w:t>
      </w:r>
      <w:r w:rsidRPr="00646999">
        <w:rPr>
          <w:rFonts w:eastAsiaTheme="minorEastAsia"/>
          <w:lang w:val="en-GB" w:eastAsia="ko-KR"/>
        </w:rPr>
        <w:t>I am excited with our low cost entry into oil sands, gaining</w:t>
      </w:r>
      <w:r w:rsidRPr="00646999">
        <w:rPr>
          <w:rFonts w:eastAsiaTheme="minorEastAsia"/>
          <w:sz w:val="24"/>
          <w:lang w:val="en-GB" w:eastAsia="ko-KR"/>
        </w:rPr>
        <w:t xml:space="preserve"> </w:t>
      </w:r>
      <w:r w:rsidRPr="00646999">
        <w:rPr>
          <w:rFonts w:eastAsiaTheme="minorEastAsia"/>
          <w:lang w:val="en-GB" w:eastAsia="ko-KR"/>
        </w:rPr>
        <w:t>a footstep in this potential area. Lower operating costs and higher recoveries resulting from recent advances in technologies have made many similar projects economically viable.</w:t>
      </w:r>
      <w:r w:rsidR="00171B55" w:rsidRPr="00646999">
        <w:rPr>
          <w:rFonts w:eastAsiaTheme="minorEastAsia"/>
          <w:lang w:val="en-GB" w:eastAsia="ko-KR"/>
        </w:rPr>
        <w:t>”</w:t>
      </w:r>
      <w:r w:rsidRPr="00646999">
        <w:rPr>
          <w:rFonts w:eastAsiaTheme="minorEastAsia"/>
          <w:lang w:val="en-GB" w:eastAsia="ko-KR"/>
        </w:rPr>
        <w:t xml:space="preserve"> From this acquisition, CNOOC expected to </w:t>
      </w:r>
      <w:r w:rsidR="00BB1670" w:rsidRPr="00646999">
        <w:rPr>
          <w:rFonts w:eastAsiaTheme="minorEastAsia"/>
          <w:lang w:val="en-GB" w:eastAsia="ko-KR"/>
        </w:rPr>
        <w:t xml:space="preserve">acquire </w:t>
      </w:r>
      <w:r w:rsidRPr="00646999">
        <w:rPr>
          <w:rFonts w:eastAsiaTheme="minorEastAsia"/>
          <w:lang w:val="en-GB" w:eastAsia="ko-KR"/>
        </w:rPr>
        <w:t>advanced technology and use it to facilitate the extraction and development of shale oil in China</w:t>
      </w:r>
      <w:r w:rsidRPr="00646999">
        <w:rPr>
          <w:lang w:val="en-GB" w:eastAsia="ko-KR"/>
        </w:rPr>
        <w:t>.</w:t>
      </w:r>
      <w:r w:rsidRPr="00646999">
        <w:rPr>
          <w:rStyle w:val="EndnoteReference"/>
          <w:lang w:val="en-GB" w:eastAsia="ko-KR"/>
        </w:rPr>
        <w:endnoteReference w:id="19"/>
      </w:r>
    </w:p>
    <w:p w14:paraId="3E3CBA85" w14:textId="77777777" w:rsidR="00AB5230" w:rsidRPr="00646999" w:rsidRDefault="00AB5230" w:rsidP="008577F6">
      <w:pPr>
        <w:pStyle w:val="BodyTextMain"/>
        <w:rPr>
          <w:rFonts w:eastAsiaTheme="minorEastAsia"/>
          <w:lang w:val="en-GB" w:eastAsia="ko-KR"/>
        </w:rPr>
      </w:pPr>
    </w:p>
    <w:p w14:paraId="13F93335" w14:textId="4927CAAF" w:rsidR="00AB5230" w:rsidRPr="00646999" w:rsidRDefault="00AB5230" w:rsidP="008577F6">
      <w:pPr>
        <w:pStyle w:val="BodyTextMain"/>
        <w:rPr>
          <w:rFonts w:eastAsiaTheme="minorEastAsia"/>
          <w:lang w:val="en-GB" w:eastAsia="ko-KR"/>
        </w:rPr>
      </w:pPr>
    </w:p>
    <w:p w14:paraId="5A2E3266" w14:textId="77777777" w:rsidR="00AB5230" w:rsidRPr="00646999" w:rsidRDefault="00AB5230" w:rsidP="008577F6">
      <w:pPr>
        <w:pStyle w:val="BodyTextMain"/>
        <w:rPr>
          <w:rFonts w:ascii="Arial" w:eastAsiaTheme="minorEastAsia" w:hAnsi="Arial" w:cs="Arial"/>
          <w:b/>
          <w:sz w:val="20"/>
          <w:szCs w:val="20"/>
          <w:lang w:val="en-GB" w:eastAsia="ko-KR"/>
        </w:rPr>
      </w:pPr>
      <w:r w:rsidRPr="00646999">
        <w:rPr>
          <w:rFonts w:ascii="Arial" w:eastAsiaTheme="minorEastAsia" w:hAnsi="Arial" w:cs="Arial"/>
          <w:b/>
          <w:sz w:val="20"/>
          <w:szCs w:val="20"/>
          <w:lang w:val="en-GB" w:eastAsia="ko-KR"/>
        </w:rPr>
        <w:t>OPTI Canada</w:t>
      </w:r>
    </w:p>
    <w:p w14:paraId="16976681" w14:textId="77777777" w:rsidR="00AB5230" w:rsidRPr="00646999" w:rsidRDefault="00AB5230" w:rsidP="008577F6">
      <w:pPr>
        <w:pStyle w:val="BodyTextMain"/>
        <w:rPr>
          <w:lang w:val="en-GB" w:eastAsia="ko-KR"/>
        </w:rPr>
      </w:pPr>
    </w:p>
    <w:p w14:paraId="39504B19" w14:textId="6127539A" w:rsidR="00AB5230" w:rsidRPr="00646999" w:rsidRDefault="00AB5230" w:rsidP="008577F6">
      <w:pPr>
        <w:pStyle w:val="BodyTextMain"/>
        <w:rPr>
          <w:lang w:val="en-GB" w:eastAsia="ko-KR"/>
        </w:rPr>
      </w:pPr>
      <w:r w:rsidRPr="00646999">
        <w:rPr>
          <w:lang w:val="en-GB" w:eastAsia="ko-KR"/>
        </w:rPr>
        <w:t xml:space="preserve">CNOOC’s </w:t>
      </w:r>
      <w:r w:rsidR="00171B55" w:rsidRPr="00646999">
        <w:rPr>
          <w:lang w:val="en-GB" w:eastAsia="ko-KR"/>
        </w:rPr>
        <w:t xml:space="preserve">second </w:t>
      </w:r>
      <w:r w:rsidRPr="00646999">
        <w:rPr>
          <w:lang w:val="en-GB" w:eastAsia="ko-KR"/>
        </w:rPr>
        <w:t xml:space="preserve">operations </w:t>
      </w:r>
      <w:r w:rsidR="00171B55" w:rsidRPr="00646999">
        <w:rPr>
          <w:lang w:val="en-GB" w:eastAsia="ko-KR"/>
        </w:rPr>
        <w:t xml:space="preserve">project </w:t>
      </w:r>
      <w:r w:rsidRPr="00646999">
        <w:rPr>
          <w:lang w:val="en-GB" w:eastAsia="ko-KR"/>
        </w:rPr>
        <w:t xml:space="preserve">in </w:t>
      </w:r>
      <w:r w:rsidR="00171B55" w:rsidRPr="00646999">
        <w:rPr>
          <w:lang w:val="en-GB" w:eastAsia="ko-KR"/>
        </w:rPr>
        <w:t xml:space="preserve">the </w:t>
      </w:r>
      <w:r w:rsidRPr="00646999">
        <w:rPr>
          <w:lang w:val="en-GB" w:eastAsia="ko-KR"/>
        </w:rPr>
        <w:t xml:space="preserve">Canadian oil sands industry was the acquisition of OPTI </w:t>
      </w:r>
      <w:r w:rsidR="00B9400F">
        <w:rPr>
          <w:lang w:val="en-GB" w:eastAsia="ko-KR"/>
        </w:rPr>
        <w:t xml:space="preserve">Canada (OPTI) </w:t>
      </w:r>
      <w:r w:rsidR="00087730" w:rsidRPr="00646999">
        <w:rPr>
          <w:lang w:val="en-GB" w:eastAsia="ko-KR"/>
        </w:rPr>
        <w:t>for</w:t>
      </w:r>
      <w:r w:rsidRPr="00646999">
        <w:rPr>
          <w:lang w:val="en-GB" w:eastAsia="ko-KR"/>
        </w:rPr>
        <w:t xml:space="preserve"> </w:t>
      </w:r>
      <w:r w:rsidR="00087730" w:rsidRPr="00646999">
        <w:rPr>
          <w:lang w:val="en-GB" w:eastAsia="ko-KR"/>
        </w:rPr>
        <w:t>CA</w:t>
      </w:r>
      <w:r w:rsidRPr="00646999">
        <w:rPr>
          <w:lang w:val="en-GB" w:eastAsia="ko-KR"/>
        </w:rPr>
        <w:t>$2.04 billion in November 2011.</w:t>
      </w:r>
      <w:r w:rsidRPr="00646999">
        <w:rPr>
          <w:rStyle w:val="EndnoteReference"/>
          <w:lang w:val="en-GB" w:eastAsia="ko-KR"/>
        </w:rPr>
        <w:endnoteReference w:id="20"/>
      </w:r>
      <w:r w:rsidRPr="00646999">
        <w:rPr>
          <w:lang w:val="en-GB" w:eastAsia="ko-KR"/>
        </w:rPr>
        <w:t xml:space="preserve"> OPTI was a Calgary-based oil sands development company. Established in 1999, OPTI had only one project: it owned 35</w:t>
      </w:r>
      <w:r w:rsidR="00752AE5" w:rsidRPr="00646999">
        <w:rPr>
          <w:lang w:val="en-GB" w:eastAsia="ko-KR"/>
        </w:rPr>
        <w:t xml:space="preserve"> per cent</w:t>
      </w:r>
      <w:r w:rsidRPr="00646999">
        <w:rPr>
          <w:lang w:val="en-GB" w:eastAsia="ko-KR"/>
        </w:rPr>
        <w:t xml:space="preserve"> of the Long Lake oil sands project</w:t>
      </w:r>
      <w:r w:rsidR="00752AE5" w:rsidRPr="00646999">
        <w:rPr>
          <w:lang w:val="en-GB" w:eastAsia="ko-KR"/>
        </w:rPr>
        <w:t>;</w:t>
      </w:r>
      <w:r w:rsidRPr="00646999">
        <w:rPr>
          <w:lang w:val="en-GB" w:eastAsia="ko-KR"/>
        </w:rPr>
        <w:t xml:space="preserve"> the remaining 65</w:t>
      </w:r>
      <w:r w:rsidR="00752AE5" w:rsidRPr="00646999">
        <w:rPr>
          <w:lang w:val="en-GB" w:eastAsia="ko-KR"/>
        </w:rPr>
        <w:t xml:space="preserve"> per cent</w:t>
      </w:r>
      <w:r w:rsidRPr="00646999">
        <w:rPr>
          <w:lang w:val="en-GB" w:eastAsia="ko-KR"/>
        </w:rPr>
        <w:t xml:space="preserve"> was owned by Nexen as the project operator.</w:t>
      </w:r>
    </w:p>
    <w:p w14:paraId="49442EEA" w14:textId="77777777" w:rsidR="00AB5230" w:rsidRPr="00646999" w:rsidRDefault="00AB5230" w:rsidP="008577F6">
      <w:pPr>
        <w:pStyle w:val="BodyTextMain"/>
        <w:rPr>
          <w:lang w:val="en-GB" w:eastAsia="ko-KR"/>
        </w:rPr>
      </w:pPr>
    </w:p>
    <w:p w14:paraId="585DC1F7" w14:textId="658AEE63" w:rsidR="00AB5230" w:rsidRPr="00646999" w:rsidRDefault="00AB5230" w:rsidP="008577F6">
      <w:pPr>
        <w:pStyle w:val="BodyTextMain"/>
        <w:rPr>
          <w:lang w:val="en-GB" w:eastAsia="ko-KR"/>
        </w:rPr>
      </w:pPr>
      <w:r w:rsidRPr="00646999">
        <w:rPr>
          <w:lang w:val="en-GB" w:eastAsia="ko-KR"/>
        </w:rPr>
        <w:t xml:space="preserve">The stock price of OPTI </w:t>
      </w:r>
      <w:r w:rsidR="009A1D9B" w:rsidRPr="00646999">
        <w:rPr>
          <w:lang w:val="en-GB" w:eastAsia="ko-KR"/>
        </w:rPr>
        <w:t xml:space="preserve">had </w:t>
      </w:r>
      <w:r w:rsidRPr="00646999">
        <w:rPr>
          <w:lang w:val="en-GB" w:eastAsia="ko-KR"/>
        </w:rPr>
        <w:t xml:space="preserve">hit a breaking point in late 2010 and continued falling. In early 2011, OPTI faced severe liquidity problems and </w:t>
      </w:r>
      <w:r w:rsidR="00C204B6" w:rsidRPr="00646999">
        <w:rPr>
          <w:lang w:val="en-GB" w:eastAsia="ko-KR"/>
        </w:rPr>
        <w:t>struggled</w:t>
      </w:r>
      <w:r w:rsidRPr="00646999">
        <w:rPr>
          <w:lang w:val="en-GB" w:eastAsia="ko-KR"/>
        </w:rPr>
        <w:t xml:space="preserve"> with its $2.8</w:t>
      </w:r>
      <w:r w:rsidR="00B736A6">
        <w:rPr>
          <w:lang w:val="en-GB" w:eastAsia="ko-KR"/>
        </w:rPr>
        <w:t xml:space="preserve"> </w:t>
      </w:r>
      <w:r w:rsidRPr="00646999">
        <w:rPr>
          <w:lang w:val="en-GB" w:eastAsia="ko-KR"/>
        </w:rPr>
        <w:t>billion debt. After OPTI filed for bankruptcy protection in July 2011, CNOOC announced its acquisition of OPTI through its indirectly owned subsidiary, CNOOC Luxembourg S.à r.l.</w:t>
      </w:r>
      <w:r w:rsidR="00525F69" w:rsidRPr="00646999">
        <w:rPr>
          <w:rStyle w:val="EndnoteReference"/>
          <w:lang w:val="en-GB" w:eastAsia="ko-KR"/>
        </w:rPr>
        <w:endnoteReference w:id="21"/>
      </w:r>
    </w:p>
    <w:p w14:paraId="57C8AEDB" w14:textId="77777777" w:rsidR="00AB5230" w:rsidRPr="00646999" w:rsidRDefault="00AB5230" w:rsidP="008577F6">
      <w:pPr>
        <w:pStyle w:val="BodyTextMain"/>
        <w:rPr>
          <w:lang w:val="en-GB" w:eastAsia="ko-KR"/>
        </w:rPr>
      </w:pPr>
    </w:p>
    <w:p w14:paraId="1FE7104D" w14:textId="41EF3E8A" w:rsidR="00AB5230" w:rsidRPr="008F50F8" w:rsidRDefault="00C204B6" w:rsidP="008577F6">
      <w:pPr>
        <w:pStyle w:val="BodyTextMain"/>
        <w:rPr>
          <w:spacing w:val="-4"/>
          <w:lang w:val="en-GB" w:eastAsia="ko-KR"/>
        </w:rPr>
      </w:pPr>
      <w:r w:rsidRPr="008F50F8">
        <w:rPr>
          <w:spacing w:val="-4"/>
          <w:lang w:val="en-GB" w:eastAsia="ko-KR"/>
        </w:rPr>
        <w:t>The</w:t>
      </w:r>
      <w:r w:rsidR="00AB5230" w:rsidRPr="008F50F8">
        <w:rPr>
          <w:spacing w:val="-4"/>
          <w:lang w:val="en-GB" w:eastAsia="ko-KR"/>
        </w:rPr>
        <w:t xml:space="preserve"> acquisition was believed to mutual</w:t>
      </w:r>
      <w:r w:rsidRPr="008F50F8">
        <w:rPr>
          <w:spacing w:val="-4"/>
          <w:lang w:val="en-GB" w:eastAsia="ko-KR"/>
        </w:rPr>
        <w:t>ly</w:t>
      </w:r>
      <w:r w:rsidR="00AB5230" w:rsidRPr="008F50F8">
        <w:rPr>
          <w:spacing w:val="-4"/>
          <w:lang w:val="en-GB" w:eastAsia="ko-KR"/>
        </w:rPr>
        <w:t xml:space="preserve"> benefit both partners. Chris Slubicki, the president and CEO of OPTI at the time, said</w:t>
      </w:r>
      <w:r w:rsidR="00DA1835" w:rsidRPr="008F50F8">
        <w:rPr>
          <w:spacing w:val="-4"/>
          <w:lang w:val="en-GB" w:eastAsia="ko-KR"/>
        </w:rPr>
        <w:t>,</w:t>
      </w:r>
      <w:r w:rsidR="00AB5230" w:rsidRPr="008F50F8">
        <w:rPr>
          <w:spacing w:val="-4"/>
          <w:lang w:val="en-GB" w:eastAsia="ko-KR"/>
        </w:rPr>
        <w:t xml:space="preserve"> “CNOOC Ltd. is a technically experienced and well-capitalized company that is equipped to support further development at Long Lake and future expansions in the Canadian oil sands</w:t>
      </w:r>
      <w:r w:rsidRPr="008F50F8">
        <w:rPr>
          <w:spacing w:val="-4"/>
          <w:lang w:val="en-GB" w:eastAsia="ko-KR"/>
        </w:rPr>
        <w:t>.</w:t>
      </w:r>
      <w:r w:rsidR="00AB5230" w:rsidRPr="008F50F8">
        <w:rPr>
          <w:spacing w:val="-4"/>
          <w:lang w:val="en-GB" w:eastAsia="ko-KR"/>
        </w:rPr>
        <w:t>”</w:t>
      </w:r>
      <w:r w:rsidR="00AB5230" w:rsidRPr="008F50F8">
        <w:rPr>
          <w:rStyle w:val="EndnoteReference"/>
          <w:spacing w:val="-4"/>
          <w:lang w:val="en-GB" w:eastAsia="ko-KR"/>
        </w:rPr>
        <w:endnoteReference w:id="22"/>
      </w:r>
      <w:r w:rsidR="00AB5230" w:rsidRPr="008F50F8">
        <w:rPr>
          <w:spacing w:val="-4"/>
          <w:lang w:val="en-GB" w:eastAsia="ko-KR"/>
        </w:rPr>
        <w:t xml:space="preserve"> The CEO of CNOOC mentioned that such an acquisition would ensure production growth in the long term for CNOOC.</w:t>
      </w:r>
      <w:r w:rsidR="00AB5230" w:rsidRPr="008F50F8">
        <w:rPr>
          <w:rStyle w:val="EndnoteReference"/>
          <w:spacing w:val="-4"/>
          <w:lang w:val="en-GB" w:eastAsia="ko-KR"/>
        </w:rPr>
        <w:endnoteReference w:id="23"/>
      </w:r>
    </w:p>
    <w:p w14:paraId="48E8FE52" w14:textId="77777777" w:rsidR="00AB5230" w:rsidRPr="00646999" w:rsidRDefault="00AB5230" w:rsidP="008577F6">
      <w:pPr>
        <w:pStyle w:val="BodyTextMain"/>
        <w:rPr>
          <w:lang w:val="en-GB" w:eastAsia="ko-KR"/>
        </w:rPr>
      </w:pPr>
    </w:p>
    <w:p w14:paraId="2D7165CF" w14:textId="77777777" w:rsidR="00AB5230" w:rsidRPr="00646999" w:rsidRDefault="00AB5230" w:rsidP="008577F6">
      <w:pPr>
        <w:pStyle w:val="BodyTextMain"/>
        <w:rPr>
          <w:lang w:val="en-GB" w:eastAsia="ko-KR"/>
        </w:rPr>
      </w:pPr>
    </w:p>
    <w:p w14:paraId="7E691F34" w14:textId="350F4BB5" w:rsidR="00AB5230" w:rsidRPr="00646999" w:rsidRDefault="00AB5230" w:rsidP="008577F6">
      <w:pPr>
        <w:pStyle w:val="BodyTextMain"/>
        <w:rPr>
          <w:rFonts w:ascii="Arial" w:eastAsiaTheme="minorEastAsia" w:hAnsi="Arial" w:cs="Arial"/>
          <w:b/>
          <w:sz w:val="20"/>
          <w:szCs w:val="20"/>
          <w:lang w:val="en-GB" w:eastAsia="ko-KR"/>
        </w:rPr>
      </w:pPr>
      <w:r w:rsidRPr="00646999">
        <w:rPr>
          <w:rFonts w:ascii="Arial" w:eastAsiaTheme="minorEastAsia" w:hAnsi="Arial" w:cs="Arial"/>
          <w:b/>
          <w:sz w:val="20"/>
          <w:szCs w:val="20"/>
          <w:lang w:val="en-GB" w:eastAsia="ko-KR"/>
        </w:rPr>
        <w:t>N</w:t>
      </w:r>
      <w:r w:rsidR="00296C40" w:rsidRPr="00646999">
        <w:rPr>
          <w:rFonts w:ascii="Arial" w:eastAsiaTheme="minorEastAsia" w:hAnsi="Arial" w:cs="Arial"/>
          <w:b/>
          <w:sz w:val="20"/>
          <w:szCs w:val="20"/>
          <w:lang w:val="en-GB" w:eastAsia="ko-KR"/>
        </w:rPr>
        <w:t>exen</w:t>
      </w:r>
      <w:r w:rsidRPr="00646999">
        <w:rPr>
          <w:rFonts w:ascii="Arial" w:eastAsiaTheme="minorEastAsia" w:hAnsi="Arial" w:cs="Arial"/>
          <w:b/>
          <w:sz w:val="20"/>
          <w:szCs w:val="20"/>
          <w:lang w:val="en-GB" w:eastAsia="ko-KR"/>
        </w:rPr>
        <w:t xml:space="preserve"> Inc.</w:t>
      </w:r>
    </w:p>
    <w:p w14:paraId="725B7DC1" w14:textId="77777777" w:rsidR="00AB5230" w:rsidRPr="00646999" w:rsidRDefault="00AB5230" w:rsidP="008577F6">
      <w:pPr>
        <w:pStyle w:val="BodyTextMain"/>
        <w:rPr>
          <w:lang w:val="en-GB" w:eastAsia="ko-KR"/>
        </w:rPr>
      </w:pPr>
    </w:p>
    <w:p w14:paraId="0D19F362" w14:textId="1ED51FB6" w:rsidR="00B96751" w:rsidRDefault="00AB5230" w:rsidP="008577F6">
      <w:pPr>
        <w:pStyle w:val="BodyTextMain"/>
        <w:rPr>
          <w:lang w:val="en-GB"/>
        </w:rPr>
      </w:pPr>
      <w:r w:rsidRPr="00646999">
        <w:rPr>
          <w:lang w:val="en-GB" w:eastAsia="ko-KR"/>
        </w:rPr>
        <w:t xml:space="preserve">Nexen </w:t>
      </w:r>
      <w:r w:rsidR="00B9400F">
        <w:rPr>
          <w:lang w:val="en-GB" w:eastAsia="ko-KR"/>
        </w:rPr>
        <w:t xml:space="preserve">Inc. (Nexen) </w:t>
      </w:r>
      <w:r w:rsidRPr="00646999">
        <w:rPr>
          <w:lang w:val="en-GB" w:eastAsia="ko-KR"/>
        </w:rPr>
        <w:t>was an energy company that conducted business in Canada, the U</w:t>
      </w:r>
      <w:r w:rsidR="004C0007" w:rsidRPr="00646999">
        <w:rPr>
          <w:lang w:val="en-GB" w:eastAsia="ko-KR"/>
        </w:rPr>
        <w:t xml:space="preserve">nited </w:t>
      </w:r>
      <w:r w:rsidRPr="00646999">
        <w:rPr>
          <w:lang w:val="en-GB" w:eastAsia="ko-KR"/>
        </w:rPr>
        <w:t>S</w:t>
      </w:r>
      <w:r w:rsidR="004C0007" w:rsidRPr="00646999">
        <w:rPr>
          <w:lang w:val="en-GB" w:eastAsia="ko-KR"/>
        </w:rPr>
        <w:t>tates</w:t>
      </w:r>
      <w:r w:rsidRPr="00646999">
        <w:rPr>
          <w:lang w:val="en-GB" w:eastAsia="ko-KR"/>
        </w:rPr>
        <w:t xml:space="preserve">, </w:t>
      </w:r>
      <w:r w:rsidR="004C0007" w:rsidRPr="00646999">
        <w:rPr>
          <w:lang w:val="en-GB" w:eastAsia="ko-KR"/>
        </w:rPr>
        <w:t xml:space="preserve">the </w:t>
      </w:r>
      <w:r w:rsidRPr="00646999">
        <w:rPr>
          <w:lang w:val="en-GB" w:eastAsia="ko-KR"/>
        </w:rPr>
        <w:t>U</w:t>
      </w:r>
      <w:r w:rsidR="004C0007" w:rsidRPr="00646999">
        <w:rPr>
          <w:lang w:val="en-GB" w:eastAsia="ko-KR"/>
        </w:rPr>
        <w:t xml:space="preserve">nited </w:t>
      </w:r>
      <w:r w:rsidRPr="00646999">
        <w:rPr>
          <w:lang w:val="en-GB" w:eastAsia="ko-KR"/>
        </w:rPr>
        <w:t>K</w:t>
      </w:r>
      <w:r w:rsidR="004C0007" w:rsidRPr="00646999">
        <w:rPr>
          <w:lang w:val="en-GB" w:eastAsia="ko-KR"/>
        </w:rPr>
        <w:t>ingdom,</w:t>
      </w:r>
      <w:r w:rsidRPr="00646999">
        <w:rPr>
          <w:lang w:val="en-GB" w:eastAsia="ko-KR"/>
        </w:rPr>
        <w:t xml:space="preserve"> and Africa. Its main operation was in upstream oil and gas extraction. Nexen became Canadian Occidental Petroleum Ltd. in 1969, with </w:t>
      </w:r>
      <w:r w:rsidR="004C0007" w:rsidRPr="00646999">
        <w:rPr>
          <w:lang w:val="en-GB" w:eastAsia="ko-KR"/>
        </w:rPr>
        <w:t xml:space="preserve">an </w:t>
      </w:r>
      <w:r w:rsidRPr="00646999">
        <w:rPr>
          <w:lang w:val="en-GB" w:eastAsia="ko-KR"/>
        </w:rPr>
        <w:t>80</w:t>
      </w:r>
      <w:r w:rsidR="00B736A6">
        <w:rPr>
          <w:lang w:val="en-GB" w:eastAsia="ko-KR"/>
        </w:rPr>
        <w:t xml:space="preserve"> </w:t>
      </w:r>
      <w:r w:rsidR="004C0007" w:rsidRPr="00646999">
        <w:rPr>
          <w:lang w:val="en-GB" w:eastAsia="ko-KR"/>
        </w:rPr>
        <w:t>per</w:t>
      </w:r>
      <w:r w:rsidR="00B736A6">
        <w:rPr>
          <w:lang w:val="en-GB" w:eastAsia="ko-KR"/>
        </w:rPr>
        <w:t xml:space="preserve"> </w:t>
      </w:r>
      <w:r w:rsidR="004C0007" w:rsidRPr="00646999">
        <w:rPr>
          <w:lang w:val="en-GB" w:eastAsia="ko-KR"/>
        </w:rPr>
        <w:t>cent</w:t>
      </w:r>
      <w:r w:rsidRPr="00646999">
        <w:rPr>
          <w:lang w:val="en-GB" w:eastAsia="ko-KR"/>
        </w:rPr>
        <w:t xml:space="preserve"> equity share owned by </w:t>
      </w:r>
      <w:r w:rsidR="004C0007" w:rsidRPr="00646999">
        <w:rPr>
          <w:lang w:val="en-GB" w:eastAsia="ko-KR"/>
        </w:rPr>
        <w:t xml:space="preserve">Los Angeles-based </w:t>
      </w:r>
      <w:r w:rsidRPr="00646999">
        <w:rPr>
          <w:lang w:val="en-GB" w:eastAsia="ko-KR"/>
        </w:rPr>
        <w:t xml:space="preserve">Occidental Petroleum. In February 2013, CNOOC acquired Nexen </w:t>
      </w:r>
      <w:r w:rsidR="00CE23C2" w:rsidRPr="00646999">
        <w:rPr>
          <w:lang w:val="en-GB" w:eastAsia="ko-KR"/>
        </w:rPr>
        <w:t>for</w:t>
      </w:r>
      <w:r w:rsidRPr="00646999">
        <w:rPr>
          <w:lang w:val="en-GB" w:eastAsia="ko-KR"/>
        </w:rPr>
        <w:t xml:space="preserve"> $15.1 billion. With the completion of the acquisition, Nexen became one of CNOOC’s wholly owned subsidiaries. Through N</w:t>
      </w:r>
      <w:r w:rsidRPr="00646999">
        <w:rPr>
          <w:lang w:val="en-GB"/>
        </w:rPr>
        <w:t>exen, CNOOC owned 100 per</w:t>
      </w:r>
      <w:r w:rsidR="009A1D9B" w:rsidRPr="00646999">
        <w:rPr>
          <w:lang w:val="en-GB"/>
        </w:rPr>
        <w:t xml:space="preserve"> </w:t>
      </w:r>
      <w:r w:rsidRPr="00646999">
        <w:rPr>
          <w:lang w:val="en-GB"/>
        </w:rPr>
        <w:t xml:space="preserve">cent of the </w:t>
      </w:r>
      <w:r w:rsidR="00CE23C2" w:rsidRPr="00646999">
        <w:rPr>
          <w:lang w:val="en-GB"/>
        </w:rPr>
        <w:t>L</w:t>
      </w:r>
      <w:r w:rsidRPr="00646999">
        <w:rPr>
          <w:lang w:val="en-GB"/>
        </w:rPr>
        <w:t xml:space="preserve">ong </w:t>
      </w:r>
      <w:r w:rsidR="00CE23C2" w:rsidRPr="00646999">
        <w:rPr>
          <w:lang w:val="en-GB"/>
        </w:rPr>
        <w:t>L</w:t>
      </w:r>
      <w:r w:rsidRPr="00646999">
        <w:rPr>
          <w:lang w:val="en-GB"/>
        </w:rPr>
        <w:t>ake oil sand project’s working interest and h</w:t>
      </w:r>
      <w:r w:rsidR="00CE23C2" w:rsidRPr="00646999">
        <w:rPr>
          <w:lang w:val="en-GB"/>
        </w:rPr>
        <w:t>e</w:t>
      </w:r>
      <w:r w:rsidRPr="00646999">
        <w:rPr>
          <w:lang w:val="en-GB"/>
        </w:rPr>
        <w:t>ld leases for three other oil sand</w:t>
      </w:r>
      <w:r w:rsidR="0082392D" w:rsidRPr="00646999">
        <w:rPr>
          <w:lang w:val="en-GB"/>
        </w:rPr>
        <w:t>s</w:t>
      </w:r>
      <w:r w:rsidRPr="00646999">
        <w:rPr>
          <w:lang w:val="en-GB"/>
        </w:rPr>
        <w:t xml:space="preserve"> projects in Athabasca. </w:t>
      </w:r>
      <w:r w:rsidR="00B96751" w:rsidRPr="00646999">
        <w:rPr>
          <w:lang w:val="en-GB"/>
        </w:rPr>
        <w:t>CNOOC indicated that it would keep all current Nexen employees a</w:t>
      </w:r>
      <w:r w:rsidR="009A1D9B" w:rsidRPr="00646999">
        <w:rPr>
          <w:lang w:val="en-GB"/>
        </w:rPr>
        <w:t>s well as</w:t>
      </w:r>
      <w:r w:rsidR="00B96751" w:rsidRPr="00646999">
        <w:rPr>
          <w:lang w:val="en-GB"/>
        </w:rPr>
        <w:t xml:space="preserve"> </w:t>
      </w:r>
      <w:r w:rsidR="0082392D" w:rsidRPr="00646999">
        <w:rPr>
          <w:lang w:val="en-GB"/>
        </w:rPr>
        <w:t xml:space="preserve">its </w:t>
      </w:r>
      <w:r w:rsidR="00B96751" w:rsidRPr="00646999">
        <w:rPr>
          <w:lang w:val="en-GB"/>
        </w:rPr>
        <w:t>management team.</w:t>
      </w:r>
      <w:r w:rsidRPr="00646999">
        <w:rPr>
          <w:rStyle w:val="EndnoteReference"/>
          <w:lang w:val="en-GB" w:eastAsia="ko-KR"/>
        </w:rPr>
        <w:endnoteReference w:id="24"/>
      </w:r>
      <w:r w:rsidR="00B96751" w:rsidRPr="00646999">
        <w:rPr>
          <w:lang w:val="en-GB"/>
        </w:rPr>
        <w:t xml:space="preserve"> </w:t>
      </w:r>
    </w:p>
    <w:p w14:paraId="043B0B55" w14:textId="7F7BCF5D" w:rsidR="00AB5230" w:rsidRPr="00646999" w:rsidRDefault="00AB5230" w:rsidP="008577F6">
      <w:pPr>
        <w:pStyle w:val="BodyTextMain"/>
        <w:rPr>
          <w:lang w:val="en-GB" w:eastAsia="ko-KR"/>
        </w:rPr>
      </w:pPr>
      <w:r w:rsidRPr="00646999">
        <w:rPr>
          <w:lang w:val="en-GB" w:eastAsia="ko-KR"/>
        </w:rPr>
        <w:lastRenderedPageBreak/>
        <w:t>The takeover price was $27.50 per share, with a premium of 61</w:t>
      </w:r>
      <w:r w:rsidR="0082392D" w:rsidRPr="00646999">
        <w:rPr>
          <w:lang w:val="en-GB" w:eastAsia="ko-KR"/>
        </w:rPr>
        <w:t xml:space="preserve"> per cent</w:t>
      </w:r>
      <w:r w:rsidRPr="00646999">
        <w:rPr>
          <w:lang w:val="en-GB" w:eastAsia="ko-KR"/>
        </w:rPr>
        <w:t xml:space="preserve"> to Nexen’s closing price on July 20, 2012</w:t>
      </w:r>
      <w:r w:rsidR="0082392D" w:rsidRPr="00646999">
        <w:rPr>
          <w:lang w:val="en-GB" w:eastAsia="ko-KR"/>
        </w:rPr>
        <w:t>.</w:t>
      </w:r>
      <w:r w:rsidR="00B736A6">
        <w:rPr>
          <w:rStyle w:val="EndnoteReference"/>
          <w:lang w:val="en-GB" w:eastAsia="ko-KR"/>
        </w:rPr>
        <w:endnoteReference w:id="25"/>
      </w:r>
      <w:r w:rsidRPr="00646999">
        <w:rPr>
          <w:lang w:val="en-GB" w:eastAsia="ko-KR"/>
        </w:rPr>
        <w:t xml:space="preserve"> The acquisition of Nexen</w:t>
      </w:r>
      <w:r w:rsidR="0082392D" w:rsidRPr="00646999">
        <w:rPr>
          <w:lang w:val="en-GB" w:eastAsia="ko-KR"/>
        </w:rPr>
        <w:t xml:space="preserve"> was</w:t>
      </w:r>
      <w:r w:rsidRPr="00646999">
        <w:rPr>
          <w:lang w:val="en-GB" w:eastAsia="ko-KR"/>
        </w:rPr>
        <w:t xml:space="preserve"> therefore labelled as contentious by </w:t>
      </w:r>
      <w:r w:rsidR="0082392D" w:rsidRPr="00646999">
        <w:rPr>
          <w:lang w:val="en-GB" w:eastAsia="ko-KR"/>
        </w:rPr>
        <w:t>the</w:t>
      </w:r>
      <w:r w:rsidRPr="00646999">
        <w:rPr>
          <w:lang w:val="en-GB" w:eastAsia="ko-KR"/>
        </w:rPr>
        <w:t xml:space="preserve"> media</w:t>
      </w:r>
      <w:r w:rsidR="0082392D" w:rsidRPr="00646999">
        <w:rPr>
          <w:lang w:val="en-GB" w:eastAsia="ko-KR"/>
        </w:rPr>
        <w:t>—</w:t>
      </w:r>
      <w:r w:rsidRPr="00646999">
        <w:rPr>
          <w:lang w:val="en-GB" w:eastAsia="ko-KR"/>
        </w:rPr>
        <w:t>the deal was a high</w:t>
      </w:r>
      <w:r w:rsidR="0082392D" w:rsidRPr="00646999">
        <w:rPr>
          <w:lang w:val="en-GB" w:eastAsia="ko-KR"/>
        </w:rPr>
        <w:t>-</w:t>
      </w:r>
      <w:r w:rsidRPr="00646999">
        <w:rPr>
          <w:lang w:val="en-GB" w:eastAsia="ko-KR"/>
        </w:rPr>
        <w:t>cost takeover and represented China’s largest foreign corporate acquisition.</w:t>
      </w:r>
      <w:r w:rsidR="00B96751" w:rsidRPr="00646999">
        <w:rPr>
          <w:lang w:val="en-GB" w:eastAsia="ko-KR"/>
        </w:rPr>
        <w:t xml:space="preserve"> </w:t>
      </w:r>
      <w:r w:rsidRPr="00646999">
        <w:rPr>
          <w:lang w:val="en-GB" w:eastAsia="ko-KR"/>
        </w:rPr>
        <w:t>After the acquisition, the Canadian government announced that it would no longer allow a state-owned company to own a majority interest in any petroleum projects.</w:t>
      </w:r>
      <w:r w:rsidRPr="00646999">
        <w:rPr>
          <w:rStyle w:val="EndnoteReference"/>
          <w:lang w:val="en-GB" w:eastAsia="ko-KR"/>
        </w:rPr>
        <w:endnoteReference w:id="26"/>
      </w:r>
    </w:p>
    <w:p w14:paraId="55887A9B" w14:textId="77777777" w:rsidR="00AB5230" w:rsidRPr="00646999" w:rsidRDefault="00AB5230" w:rsidP="008577F6">
      <w:pPr>
        <w:pStyle w:val="BodyTextMain"/>
        <w:rPr>
          <w:lang w:val="en-GB" w:eastAsia="ko-KR"/>
        </w:rPr>
      </w:pPr>
    </w:p>
    <w:p w14:paraId="6FD4817E" w14:textId="77777777" w:rsidR="00AB5230" w:rsidRPr="00646999" w:rsidRDefault="00AB5230" w:rsidP="008577F6">
      <w:pPr>
        <w:pStyle w:val="BodyTextMain"/>
        <w:rPr>
          <w:lang w:val="en-GB" w:eastAsia="ko-KR"/>
        </w:rPr>
      </w:pPr>
    </w:p>
    <w:p w14:paraId="682E76C5" w14:textId="77777777" w:rsidR="00AB5230" w:rsidRPr="00646999" w:rsidRDefault="00AB5230" w:rsidP="00E70583">
      <w:pPr>
        <w:pStyle w:val="Casehead1"/>
        <w:rPr>
          <w:lang w:val="en-GB"/>
        </w:rPr>
      </w:pPr>
      <w:r w:rsidRPr="00646999">
        <w:rPr>
          <w:lang w:val="en-GB"/>
        </w:rPr>
        <w:t>Challenges in the Operating Environment</w:t>
      </w:r>
    </w:p>
    <w:p w14:paraId="2B2E794C" w14:textId="77777777" w:rsidR="00AB5230" w:rsidRPr="00646999" w:rsidRDefault="00AB5230" w:rsidP="00E70583">
      <w:pPr>
        <w:pStyle w:val="BodyTextMain"/>
        <w:rPr>
          <w:rFonts w:eastAsiaTheme="minorEastAsia"/>
          <w:lang w:val="en-GB"/>
        </w:rPr>
      </w:pPr>
    </w:p>
    <w:p w14:paraId="598F5AED" w14:textId="2244243A" w:rsidR="00AB5230" w:rsidRPr="00646999" w:rsidRDefault="00AB5230" w:rsidP="008577F6">
      <w:pPr>
        <w:pStyle w:val="BodyTextMain"/>
        <w:rPr>
          <w:rFonts w:ascii="Arial" w:eastAsiaTheme="minorEastAsia" w:hAnsi="Arial" w:cs="Arial"/>
          <w:b/>
          <w:sz w:val="20"/>
          <w:szCs w:val="20"/>
          <w:lang w:val="en-GB" w:eastAsia="ko-KR"/>
        </w:rPr>
      </w:pPr>
      <w:r w:rsidRPr="00646999">
        <w:rPr>
          <w:rFonts w:ascii="Arial" w:eastAsiaTheme="minorEastAsia" w:hAnsi="Arial" w:cs="Arial"/>
          <w:b/>
          <w:sz w:val="20"/>
          <w:szCs w:val="20"/>
          <w:lang w:val="en-GB" w:eastAsia="ko-KR"/>
        </w:rPr>
        <w:t>Oil Price</w:t>
      </w:r>
    </w:p>
    <w:p w14:paraId="30F0233D" w14:textId="77777777" w:rsidR="00AB5230" w:rsidRPr="00646999" w:rsidRDefault="00AB5230" w:rsidP="008577F6">
      <w:pPr>
        <w:pStyle w:val="BodyTextMain"/>
        <w:rPr>
          <w:lang w:val="en-GB" w:eastAsia="ko-KR"/>
        </w:rPr>
      </w:pPr>
    </w:p>
    <w:p w14:paraId="6BA01D7F" w14:textId="1ED625AB" w:rsidR="00AB5230" w:rsidRPr="00646999" w:rsidRDefault="00AB5230" w:rsidP="008577F6">
      <w:pPr>
        <w:pStyle w:val="BodyTextMain"/>
        <w:rPr>
          <w:lang w:val="en-GB" w:eastAsia="ko-KR"/>
        </w:rPr>
      </w:pPr>
      <w:r w:rsidRPr="00646999">
        <w:rPr>
          <w:lang w:val="en-GB" w:eastAsia="ko-KR"/>
        </w:rPr>
        <w:t xml:space="preserve">In September 2014, the price of crude oil </w:t>
      </w:r>
      <w:r w:rsidR="0082392D" w:rsidRPr="00646999">
        <w:rPr>
          <w:lang w:val="en-GB" w:eastAsia="ko-KR"/>
        </w:rPr>
        <w:t>began to</w:t>
      </w:r>
      <w:r w:rsidRPr="00646999">
        <w:rPr>
          <w:lang w:val="en-GB" w:eastAsia="ko-KR"/>
        </w:rPr>
        <w:t xml:space="preserve"> experienc</w:t>
      </w:r>
      <w:r w:rsidR="0082392D" w:rsidRPr="00646999">
        <w:rPr>
          <w:lang w:val="en-GB" w:eastAsia="ko-KR"/>
        </w:rPr>
        <w:t>e</w:t>
      </w:r>
      <w:r w:rsidRPr="00646999">
        <w:rPr>
          <w:lang w:val="en-GB" w:eastAsia="ko-KR"/>
        </w:rPr>
        <w:t xml:space="preserve"> a continuous dec</w:t>
      </w:r>
      <w:r w:rsidR="009A1D9B" w:rsidRPr="00646999">
        <w:rPr>
          <w:lang w:val="en-GB" w:eastAsia="ko-KR"/>
        </w:rPr>
        <w:t>line</w:t>
      </w:r>
      <w:r w:rsidRPr="00646999">
        <w:rPr>
          <w:lang w:val="en-GB" w:eastAsia="ko-KR"/>
        </w:rPr>
        <w:t xml:space="preserve"> (</w:t>
      </w:r>
      <w:r w:rsidR="0082392D" w:rsidRPr="00646999">
        <w:rPr>
          <w:lang w:val="en-GB" w:eastAsia="ko-KR"/>
        </w:rPr>
        <w:t>s</w:t>
      </w:r>
      <w:r w:rsidRPr="00646999">
        <w:rPr>
          <w:lang w:val="en-GB" w:eastAsia="ko-KR"/>
        </w:rPr>
        <w:t xml:space="preserve">ee Exhibit 3). In January 2016, the price hit a historical low: $29.92 per barrel. The depressed oil and gas prices hindered the development </w:t>
      </w:r>
      <w:r w:rsidR="004E373C" w:rsidRPr="00646999">
        <w:rPr>
          <w:lang w:val="en-GB" w:eastAsia="ko-KR"/>
        </w:rPr>
        <w:t xml:space="preserve">of </w:t>
      </w:r>
      <w:r w:rsidR="0082392D" w:rsidRPr="00646999">
        <w:rPr>
          <w:lang w:val="en-GB" w:eastAsia="ko-KR"/>
        </w:rPr>
        <w:t xml:space="preserve">the </w:t>
      </w:r>
      <w:r w:rsidRPr="00646999">
        <w:rPr>
          <w:lang w:val="en-GB" w:eastAsia="ko-KR"/>
        </w:rPr>
        <w:t xml:space="preserve">Canadian </w:t>
      </w:r>
      <w:r w:rsidR="0082392D" w:rsidRPr="00646999">
        <w:rPr>
          <w:lang w:val="en-GB" w:eastAsia="ko-KR"/>
        </w:rPr>
        <w:t>o</w:t>
      </w:r>
      <w:r w:rsidRPr="00646999">
        <w:rPr>
          <w:lang w:val="en-GB" w:eastAsia="ko-KR"/>
        </w:rPr>
        <w:t xml:space="preserve">il </w:t>
      </w:r>
      <w:r w:rsidR="0082392D" w:rsidRPr="00646999">
        <w:rPr>
          <w:lang w:val="en-GB" w:eastAsia="ko-KR"/>
        </w:rPr>
        <w:t>s</w:t>
      </w:r>
      <w:r w:rsidRPr="00646999">
        <w:rPr>
          <w:lang w:val="en-GB" w:eastAsia="ko-KR"/>
        </w:rPr>
        <w:t>ands industr</w:t>
      </w:r>
      <w:r w:rsidR="0082392D" w:rsidRPr="00646999">
        <w:rPr>
          <w:lang w:val="en-GB" w:eastAsia="ko-KR"/>
        </w:rPr>
        <w:t>y</w:t>
      </w:r>
      <w:r w:rsidRPr="00646999">
        <w:rPr>
          <w:lang w:val="en-GB" w:eastAsia="ko-KR"/>
        </w:rPr>
        <w:t>, and the limited market created many challenges for CNOOC’s operations.</w:t>
      </w:r>
    </w:p>
    <w:p w14:paraId="08A2185E" w14:textId="77777777" w:rsidR="00AB5230" w:rsidRPr="00646999" w:rsidRDefault="00AB5230" w:rsidP="008577F6">
      <w:pPr>
        <w:pStyle w:val="BodyTextMain"/>
        <w:rPr>
          <w:lang w:val="en-GB" w:eastAsia="ko-KR"/>
        </w:rPr>
      </w:pPr>
    </w:p>
    <w:p w14:paraId="78988473" w14:textId="1BF347B2" w:rsidR="00AB5230" w:rsidRPr="00646999" w:rsidRDefault="004E373C" w:rsidP="008577F6">
      <w:pPr>
        <w:pStyle w:val="BodyTextMain"/>
        <w:rPr>
          <w:lang w:val="en-GB" w:eastAsia="ko-KR"/>
        </w:rPr>
      </w:pPr>
      <w:r w:rsidRPr="00646999">
        <w:rPr>
          <w:lang w:val="en-GB" w:eastAsia="ko-KR"/>
        </w:rPr>
        <w:t>T</w:t>
      </w:r>
      <w:r w:rsidR="00AB5230" w:rsidRPr="00646999">
        <w:rPr>
          <w:lang w:val="en-GB" w:eastAsia="ko-KR"/>
        </w:rPr>
        <w:t xml:space="preserve">o cope with the collapse in crude oil prices, CNOOC shut down Nexen’s Calgary-based oil-trading operation in March 2015, indicating </w:t>
      </w:r>
      <w:r w:rsidR="00BB1670" w:rsidRPr="00646999">
        <w:rPr>
          <w:lang w:val="en-GB" w:eastAsia="ko-KR"/>
        </w:rPr>
        <w:t>it would be cutting</w:t>
      </w:r>
      <w:r w:rsidR="00AB5230" w:rsidRPr="00646999">
        <w:rPr>
          <w:lang w:val="en-GB" w:eastAsia="ko-KR"/>
        </w:rPr>
        <w:t xml:space="preserve"> 100 job</w:t>
      </w:r>
      <w:r w:rsidRPr="00646999">
        <w:rPr>
          <w:lang w:val="en-GB" w:eastAsia="ko-KR"/>
        </w:rPr>
        <w:t>s</w:t>
      </w:r>
      <w:r w:rsidR="00AB5230" w:rsidRPr="00646999">
        <w:rPr>
          <w:lang w:val="en-GB" w:eastAsia="ko-KR"/>
        </w:rPr>
        <w:t xml:space="preserve">. </w:t>
      </w:r>
      <w:r w:rsidR="00CE23C2" w:rsidRPr="00646999">
        <w:rPr>
          <w:lang w:val="en-GB" w:eastAsia="ko-KR"/>
        </w:rPr>
        <w:t>A s</w:t>
      </w:r>
      <w:r w:rsidR="00AB5230" w:rsidRPr="00646999">
        <w:rPr>
          <w:lang w:val="en-GB" w:eastAsia="ko-KR"/>
        </w:rPr>
        <w:t xml:space="preserve">pokesman </w:t>
      </w:r>
      <w:r w:rsidRPr="00646999">
        <w:rPr>
          <w:lang w:val="en-GB" w:eastAsia="ko-KR"/>
        </w:rPr>
        <w:t>for the</w:t>
      </w:r>
      <w:r w:rsidR="00AB5230" w:rsidRPr="00646999">
        <w:rPr>
          <w:lang w:val="en-GB" w:eastAsia="ko-KR"/>
        </w:rPr>
        <w:t xml:space="preserve"> Alberta government, Chris Bourdeau, expressed his surprise </w:t>
      </w:r>
      <w:r w:rsidR="00DA1835" w:rsidRPr="00646999">
        <w:rPr>
          <w:lang w:val="en-GB" w:eastAsia="ko-KR"/>
        </w:rPr>
        <w:t>at</w:t>
      </w:r>
      <w:r w:rsidR="00AB5230" w:rsidRPr="00646999">
        <w:rPr>
          <w:lang w:val="en-GB" w:eastAsia="ko-KR"/>
        </w:rPr>
        <w:t xml:space="preserve"> the shutdown: “They have been a Crown agent since 2007 and the relationship has been good.”</w:t>
      </w:r>
      <w:r w:rsidR="00AB5230" w:rsidRPr="00646999">
        <w:rPr>
          <w:rStyle w:val="EndnoteReference"/>
          <w:lang w:val="en-GB" w:eastAsia="ko-KR"/>
        </w:rPr>
        <w:endnoteReference w:id="27"/>
      </w:r>
    </w:p>
    <w:p w14:paraId="470EFBAE" w14:textId="77777777" w:rsidR="00AB5230" w:rsidRPr="00646999" w:rsidRDefault="00AB5230" w:rsidP="008577F6">
      <w:pPr>
        <w:pStyle w:val="BodyTextMain"/>
        <w:rPr>
          <w:rFonts w:eastAsiaTheme="minorEastAsia"/>
          <w:lang w:val="en-GB" w:eastAsia="ko-KR"/>
        </w:rPr>
      </w:pPr>
    </w:p>
    <w:p w14:paraId="0E1E1E9A" w14:textId="1650DC32" w:rsidR="00AB5230" w:rsidRPr="008F50F8" w:rsidRDefault="00AB5230" w:rsidP="008577F6">
      <w:pPr>
        <w:pStyle w:val="BodyTextMain"/>
        <w:rPr>
          <w:rFonts w:eastAsiaTheme="minorEastAsia"/>
          <w:spacing w:val="-2"/>
          <w:lang w:val="en-GB" w:eastAsia="ko-KR"/>
        </w:rPr>
      </w:pPr>
      <w:r w:rsidRPr="008F50F8">
        <w:rPr>
          <w:rFonts w:eastAsiaTheme="minorEastAsia"/>
          <w:spacing w:val="-2"/>
          <w:lang w:val="en-GB" w:eastAsia="ko-KR"/>
        </w:rPr>
        <w:t xml:space="preserve">In June 2016, CNOOC announced the immediate replacement of its president and CEO, Fanrong Li, who </w:t>
      </w:r>
      <w:r w:rsidR="00AA5A87" w:rsidRPr="008F50F8">
        <w:rPr>
          <w:rFonts w:eastAsiaTheme="minorEastAsia"/>
          <w:spacing w:val="-2"/>
          <w:lang w:val="en-GB" w:eastAsia="ko-KR"/>
        </w:rPr>
        <w:t xml:space="preserve">had </w:t>
      </w:r>
      <w:r w:rsidRPr="008F50F8">
        <w:rPr>
          <w:rFonts w:eastAsiaTheme="minorEastAsia"/>
          <w:spacing w:val="-2"/>
          <w:lang w:val="en-GB" w:eastAsia="ko-KR"/>
        </w:rPr>
        <w:t>led the company through the acquisition of Calgary-based Nexen. His replacement as president was Yuan</w:t>
      </w:r>
      <w:r w:rsidR="00F256A4" w:rsidRPr="008F50F8">
        <w:rPr>
          <w:rFonts w:eastAsiaTheme="minorEastAsia"/>
          <w:spacing w:val="-2"/>
          <w:lang w:val="en-GB" w:eastAsia="ko-KR"/>
        </w:rPr>
        <w:t xml:space="preserve"> Guangyu</w:t>
      </w:r>
      <w:r w:rsidRPr="008F50F8">
        <w:rPr>
          <w:rFonts w:eastAsiaTheme="minorEastAsia"/>
          <w:spacing w:val="-2"/>
          <w:lang w:val="en-GB" w:eastAsia="ko-KR"/>
        </w:rPr>
        <w:t>, and his replacement as CEO was Yang</w:t>
      </w:r>
      <w:r w:rsidR="00F256A4" w:rsidRPr="008F50F8">
        <w:rPr>
          <w:rFonts w:eastAsiaTheme="minorEastAsia"/>
          <w:spacing w:val="-2"/>
          <w:lang w:val="en-GB" w:eastAsia="ko-KR"/>
        </w:rPr>
        <w:t xml:space="preserve"> Hua</w:t>
      </w:r>
      <w:r w:rsidRPr="008F50F8">
        <w:rPr>
          <w:rFonts w:eastAsiaTheme="minorEastAsia"/>
          <w:spacing w:val="-2"/>
          <w:lang w:val="en-GB" w:eastAsia="ko-KR"/>
        </w:rPr>
        <w:t>. A new compliance officer was also appointed. With the change in its top management team, CNOOC was aiming to tackle the challenges of low oil prices and to adjust corporate strategies for business development in the Canadian oil sands industry.</w:t>
      </w:r>
      <w:r w:rsidRPr="008F50F8">
        <w:rPr>
          <w:rStyle w:val="EndnoteReference"/>
          <w:rFonts w:eastAsiaTheme="minorEastAsia"/>
          <w:spacing w:val="-2"/>
          <w:lang w:val="en-GB" w:eastAsia="ko-KR"/>
        </w:rPr>
        <w:endnoteReference w:id="28"/>
      </w:r>
    </w:p>
    <w:p w14:paraId="24DA0F77" w14:textId="77777777" w:rsidR="00AB5230" w:rsidRPr="00646999" w:rsidRDefault="00AB5230" w:rsidP="008577F6">
      <w:pPr>
        <w:pStyle w:val="BodyTextMain"/>
        <w:rPr>
          <w:rFonts w:eastAsiaTheme="minorEastAsia"/>
          <w:lang w:val="en-GB" w:eastAsia="ko-KR"/>
        </w:rPr>
      </w:pPr>
    </w:p>
    <w:p w14:paraId="5C90061F" w14:textId="77777777" w:rsidR="00AB5230" w:rsidRPr="00646999" w:rsidRDefault="00AB5230" w:rsidP="008577F6">
      <w:pPr>
        <w:pStyle w:val="BodyTextMain"/>
        <w:rPr>
          <w:rFonts w:eastAsiaTheme="minorEastAsia"/>
          <w:lang w:val="en-GB" w:eastAsia="ko-KR"/>
        </w:rPr>
      </w:pPr>
    </w:p>
    <w:p w14:paraId="786C712F" w14:textId="77777777" w:rsidR="00AB5230" w:rsidRPr="00646999" w:rsidRDefault="00AB5230" w:rsidP="00E70583">
      <w:pPr>
        <w:pStyle w:val="Casehead2"/>
        <w:rPr>
          <w:rFonts w:eastAsiaTheme="minorEastAsia"/>
          <w:caps/>
          <w:lang w:val="en-GB" w:eastAsia="ko-KR"/>
        </w:rPr>
      </w:pPr>
      <w:r w:rsidRPr="00646999">
        <w:rPr>
          <w:rFonts w:eastAsiaTheme="minorEastAsia"/>
          <w:lang w:val="en-GB" w:eastAsia="ko-KR"/>
        </w:rPr>
        <w:t>Competition in the Canadian Oil Sands Industry</w:t>
      </w:r>
    </w:p>
    <w:p w14:paraId="733EFE59" w14:textId="77777777" w:rsidR="00AB5230" w:rsidRPr="00646999" w:rsidRDefault="00AB5230" w:rsidP="008577F6">
      <w:pPr>
        <w:pStyle w:val="BodyTextMain"/>
        <w:rPr>
          <w:rFonts w:eastAsiaTheme="minorEastAsia"/>
          <w:lang w:val="en-GB" w:eastAsia="ko-KR"/>
        </w:rPr>
      </w:pPr>
    </w:p>
    <w:p w14:paraId="52B09A49" w14:textId="31977A30" w:rsidR="00AB5230" w:rsidRPr="00646999" w:rsidRDefault="00AB5230" w:rsidP="008577F6">
      <w:pPr>
        <w:pStyle w:val="BodyTextMain"/>
        <w:rPr>
          <w:rFonts w:eastAsiaTheme="minorEastAsia"/>
          <w:spacing w:val="-4"/>
          <w:lang w:val="en-GB" w:eastAsia="ko-KR"/>
        </w:rPr>
      </w:pPr>
      <w:r w:rsidRPr="00646999">
        <w:rPr>
          <w:rFonts w:eastAsiaTheme="minorEastAsia"/>
          <w:spacing w:val="-4"/>
          <w:lang w:val="en-GB" w:eastAsia="ko-KR"/>
        </w:rPr>
        <w:t>The Canadian oil sand</w:t>
      </w:r>
      <w:r w:rsidR="00F256A4" w:rsidRPr="00646999">
        <w:rPr>
          <w:rFonts w:eastAsiaTheme="minorEastAsia"/>
          <w:spacing w:val="-4"/>
          <w:lang w:val="en-GB" w:eastAsia="ko-KR"/>
        </w:rPr>
        <w:t>s</w:t>
      </w:r>
      <w:r w:rsidRPr="00646999">
        <w:rPr>
          <w:rFonts w:eastAsiaTheme="minorEastAsia"/>
          <w:spacing w:val="-4"/>
          <w:lang w:val="en-GB" w:eastAsia="ko-KR"/>
        </w:rPr>
        <w:t xml:space="preserve"> industry was highly competitive. M</w:t>
      </w:r>
      <w:r w:rsidRPr="00646999">
        <w:rPr>
          <w:spacing w:val="-4"/>
          <w:szCs w:val="24"/>
          <w:lang w:val="en-GB"/>
        </w:rPr>
        <w:t>ajor multinational enterprises (MNEs), such as Exxon Mobil</w:t>
      </w:r>
      <w:r w:rsidR="00F256A4" w:rsidRPr="00646999">
        <w:rPr>
          <w:spacing w:val="-4"/>
          <w:szCs w:val="24"/>
          <w:lang w:val="en-GB"/>
        </w:rPr>
        <w:t xml:space="preserve"> Corporation</w:t>
      </w:r>
      <w:r w:rsidRPr="00646999">
        <w:rPr>
          <w:spacing w:val="-4"/>
          <w:szCs w:val="24"/>
          <w:lang w:val="en-GB"/>
        </w:rPr>
        <w:t>, ConocoPhillips</w:t>
      </w:r>
      <w:r w:rsidR="00F256A4" w:rsidRPr="00646999">
        <w:rPr>
          <w:spacing w:val="-4"/>
          <w:szCs w:val="24"/>
          <w:lang w:val="en-GB"/>
        </w:rPr>
        <w:t xml:space="preserve"> Company,</w:t>
      </w:r>
      <w:r w:rsidRPr="00646999">
        <w:rPr>
          <w:spacing w:val="-4"/>
          <w:szCs w:val="24"/>
          <w:lang w:val="en-GB"/>
        </w:rPr>
        <w:t xml:space="preserve"> and BP</w:t>
      </w:r>
      <w:r w:rsidR="00F256A4" w:rsidRPr="00646999">
        <w:rPr>
          <w:spacing w:val="-4"/>
          <w:szCs w:val="24"/>
          <w:lang w:val="en-GB"/>
        </w:rPr>
        <w:t xml:space="preserve"> plc</w:t>
      </w:r>
      <w:r w:rsidRPr="00646999">
        <w:rPr>
          <w:spacing w:val="-4"/>
          <w:szCs w:val="24"/>
          <w:lang w:val="en-GB"/>
        </w:rPr>
        <w:t>, dominated the industry and had competitive advantages in terms of operation management and technology. CNOOC was almost a century later than these MNEs in its exploration in this industry.</w:t>
      </w:r>
      <w:r w:rsidR="00525F69" w:rsidRPr="00646999">
        <w:rPr>
          <w:rStyle w:val="EndnoteReference"/>
          <w:spacing w:val="-4"/>
          <w:szCs w:val="24"/>
          <w:lang w:val="en-GB"/>
        </w:rPr>
        <w:endnoteReference w:id="29"/>
      </w:r>
      <w:r w:rsidR="00525F69" w:rsidRPr="00646999">
        <w:rPr>
          <w:spacing w:val="-4"/>
          <w:szCs w:val="24"/>
          <w:lang w:val="en-GB"/>
        </w:rPr>
        <w:t xml:space="preserve"> </w:t>
      </w:r>
      <w:r w:rsidRPr="00646999">
        <w:rPr>
          <w:spacing w:val="-4"/>
          <w:szCs w:val="24"/>
          <w:lang w:val="en-GB"/>
        </w:rPr>
        <w:t xml:space="preserve">Compared with these </w:t>
      </w:r>
      <w:r w:rsidR="00F256A4" w:rsidRPr="00646999">
        <w:rPr>
          <w:spacing w:val="-4"/>
          <w:szCs w:val="24"/>
          <w:lang w:val="en-GB"/>
        </w:rPr>
        <w:t>companies</w:t>
      </w:r>
      <w:r w:rsidRPr="00646999">
        <w:rPr>
          <w:spacing w:val="-4"/>
          <w:szCs w:val="24"/>
          <w:lang w:val="en-GB"/>
        </w:rPr>
        <w:t>, CNOOC was facing an unfavo</w:t>
      </w:r>
      <w:r w:rsidR="00F256A4" w:rsidRPr="00646999">
        <w:rPr>
          <w:spacing w:val="-4"/>
          <w:szCs w:val="24"/>
          <w:lang w:val="en-GB"/>
        </w:rPr>
        <w:t>u</w:t>
      </w:r>
      <w:r w:rsidRPr="00646999">
        <w:rPr>
          <w:spacing w:val="-4"/>
          <w:szCs w:val="24"/>
          <w:lang w:val="en-GB"/>
        </w:rPr>
        <w:t xml:space="preserve">rable competitive environment because it had </w:t>
      </w:r>
      <w:r w:rsidR="009A1D9B" w:rsidRPr="00646999">
        <w:rPr>
          <w:spacing w:val="-4"/>
          <w:szCs w:val="24"/>
          <w:lang w:val="en-GB"/>
        </w:rPr>
        <w:t>fewer</w:t>
      </w:r>
      <w:r w:rsidRPr="00646999">
        <w:rPr>
          <w:spacing w:val="-4"/>
          <w:szCs w:val="24"/>
          <w:lang w:val="en-GB"/>
        </w:rPr>
        <w:t xml:space="preserve"> capabilities and </w:t>
      </w:r>
      <w:r w:rsidR="009A1D9B" w:rsidRPr="00646999">
        <w:rPr>
          <w:spacing w:val="-4"/>
          <w:szCs w:val="24"/>
          <w:lang w:val="en-GB"/>
        </w:rPr>
        <w:t xml:space="preserve">less </w:t>
      </w:r>
      <w:r w:rsidRPr="00646999">
        <w:rPr>
          <w:spacing w:val="-4"/>
          <w:szCs w:val="24"/>
          <w:lang w:val="en-GB"/>
        </w:rPr>
        <w:t xml:space="preserve">knowledge of the local market. </w:t>
      </w:r>
      <w:r w:rsidRPr="00646999">
        <w:rPr>
          <w:rFonts w:eastAsiaTheme="minorEastAsia"/>
          <w:spacing w:val="-4"/>
          <w:lang w:val="en-GB" w:eastAsia="ko-KR"/>
        </w:rPr>
        <w:t xml:space="preserve">In addition to these MNEs, quite a few local energy companies competed in the Canadian </w:t>
      </w:r>
      <w:r w:rsidR="00F256A4" w:rsidRPr="00646999">
        <w:rPr>
          <w:rFonts w:eastAsiaTheme="minorEastAsia"/>
          <w:spacing w:val="-4"/>
          <w:lang w:val="en-GB" w:eastAsia="ko-KR"/>
        </w:rPr>
        <w:t>o</w:t>
      </w:r>
      <w:r w:rsidRPr="00646999">
        <w:rPr>
          <w:rFonts w:eastAsiaTheme="minorEastAsia"/>
          <w:spacing w:val="-4"/>
          <w:lang w:val="en-GB" w:eastAsia="ko-KR"/>
        </w:rPr>
        <w:t xml:space="preserve">il </w:t>
      </w:r>
      <w:r w:rsidR="00F256A4" w:rsidRPr="00646999">
        <w:rPr>
          <w:rFonts w:eastAsiaTheme="minorEastAsia"/>
          <w:spacing w:val="-4"/>
          <w:lang w:val="en-GB" w:eastAsia="ko-KR"/>
        </w:rPr>
        <w:t>s</w:t>
      </w:r>
      <w:r w:rsidRPr="00646999">
        <w:rPr>
          <w:rFonts w:eastAsiaTheme="minorEastAsia"/>
          <w:spacing w:val="-4"/>
          <w:lang w:val="en-GB" w:eastAsia="ko-KR"/>
        </w:rPr>
        <w:t>ands industry, including Enbridge</w:t>
      </w:r>
      <w:r w:rsidR="00F256A4" w:rsidRPr="00646999">
        <w:rPr>
          <w:rFonts w:eastAsiaTheme="minorEastAsia"/>
          <w:spacing w:val="-4"/>
          <w:lang w:val="en-GB" w:eastAsia="ko-KR"/>
        </w:rPr>
        <w:t xml:space="preserve"> Inc.</w:t>
      </w:r>
      <w:r w:rsidRPr="00646999">
        <w:rPr>
          <w:rFonts w:eastAsiaTheme="minorEastAsia"/>
          <w:spacing w:val="-4"/>
          <w:lang w:val="en-GB" w:eastAsia="ko-KR"/>
        </w:rPr>
        <w:t>, Suncor</w:t>
      </w:r>
      <w:r w:rsidR="00F256A4" w:rsidRPr="00646999">
        <w:rPr>
          <w:rFonts w:eastAsiaTheme="minorEastAsia"/>
          <w:spacing w:val="-4"/>
          <w:lang w:val="en-GB" w:eastAsia="ko-KR"/>
        </w:rPr>
        <w:t xml:space="preserve"> Energy Inc.</w:t>
      </w:r>
      <w:r w:rsidRPr="00646999">
        <w:rPr>
          <w:rFonts w:eastAsiaTheme="minorEastAsia"/>
          <w:spacing w:val="-4"/>
          <w:lang w:val="en-GB" w:eastAsia="ko-KR"/>
        </w:rPr>
        <w:t>, Encana</w:t>
      </w:r>
      <w:r w:rsidR="00F256A4" w:rsidRPr="00646999">
        <w:rPr>
          <w:rFonts w:eastAsiaTheme="minorEastAsia"/>
          <w:spacing w:val="-4"/>
          <w:lang w:val="en-GB" w:eastAsia="ko-KR"/>
        </w:rPr>
        <w:t xml:space="preserve"> Corporation,</w:t>
      </w:r>
      <w:r w:rsidRPr="00646999">
        <w:rPr>
          <w:rFonts w:eastAsiaTheme="minorEastAsia"/>
          <w:spacing w:val="-4"/>
          <w:lang w:val="en-GB" w:eastAsia="ko-KR"/>
        </w:rPr>
        <w:t xml:space="preserve"> and Enerplus</w:t>
      </w:r>
      <w:r w:rsidR="00F256A4" w:rsidRPr="00646999">
        <w:rPr>
          <w:rFonts w:eastAsiaTheme="minorEastAsia"/>
          <w:spacing w:val="-4"/>
          <w:lang w:val="en-GB" w:eastAsia="ko-KR"/>
        </w:rPr>
        <w:t xml:space="preserve"> Corp</w:t>
      </w:r>
      <w:r w:rsidRPr="00646999">
        <w:rPr>
          <w:rFonts w:eastAsiaTheme="minorEastAsia"/>
          <w:spacing w:val="-4"/>
          <w:lang w:val="en-GB" w:eastAsia="ko-KR"/>
        </w:rPr>
        <w:t xml:space="preserve">. Compared with MNEs (including CNOOC), these local companies had more knowledge of </w:t>
      </w:r>
      <w:r w:rsidR="00375739" w:rsidRPr="00646999">
        <w:rPr>
          <w:rFonts w:eastAsiaTheme="minorEastAsia"/>
          <w:spacing w:val="-4"/>
          <w:lang w:val="en-GB" w:eastAsia="ko-KR"/>
        </w:rPr>
        <w:t xml:space="preserve">the </w:t>
      </w:r>
      <w:r w:rsidRPr="00646999">
        <w:rPr>
          <w:rFonts w:eastAsiaTheme="minorEastAsia"/>
          <w:spacing w:val="-4"/>
          <w:lang w:val="en-GB" w:eastAsia="ko-KR"/>
        </w:rPr>
        <w:t xml:space="preserve">local market and Canadian institutions, and had more support from the local government. </w:t>
      </w:r>
    </w:p>
    <w:p w14:paraId="5C1BC965" w14:textId="77777777" w:rsidR="00AB5230" w:rsidRPr="00646999" w:rsidRDefault="00AB5230" w:rsidP="008577F6">
      <w:pPr>
        <w:pStyle w:val="BodyTextMain"/>
        <w:rPr>
          <w:rFonts w:eastAsiaTheme="minorEastAsia"/>
          <w:lang w:val="en-GB" w:eastAsia="ko-KR"/>
        </w:rPr>
      </w:pPr>
    </w:p>
    <w:p w14:paraId="56E65467" w14:textId="39DB37BD" w:rsidR="00AB5230" w:rsidRPr="00646999" w:rsidRDefault="002F375E" w:rsidP="008577F6">
      <w:pPr>
        <w:pStyle w:val="BodyTextMain"/>
        <w:rPr>
          <w:rFonts w:eastAsiaTheme="minorEastAsia"/>
          <w:lang w:val="en-GB" w:eastAsia="ko-KR"/>
        </w:rPr>
      </w:pPr>
      <w:r w:rsidRPr="00646999">
        <w:rPr>
          <w:rFonts w:eastAsiaTheme="minorEastAsia"/>
          <w:lang w:val="en-GB" w:eastAsia="ko-KR"/>
        </w:rPr>
        <w:t xml:space="preserve">Despite the companies operating </w:t>
      </w:r>
      <w:r w:rsidR="0031664C" w:rsidRPr="00646999">
        <w:rPr>
          <w:rFonts w:eastAsiaTheme="minorEastAsia"/>
          <w:lang w:val="en-GB" w:eastAsia="ko-KR"/>
        </w:rPr>
        <w:t>with</w:t>
      </w:r>
      <w:r w:rsidRPr="00646999">
        <w:rPr>
          <w:rFonts w:eastAsiaTheme="minorEastAsia"/>
          <w:lang w:val="en-GB" w:eastAsia="ko-KR"/>
        </w:rPr>
        <w:t xml:space="preserve">in the industry, the Canadian </w:t>
      </w:r>
      <w:r w:rsidR="000B7D6E" w:rsidRPr="00646999">
        <w:rPr>
          <w:rFonts w:eastAsiaTheme="minorEastAsia"/>
          <w:lang w:val="en-GB" w:eastAsia="ko-KR"/>
        </w:rPr>
        <w:t>o</w:t>
      </w:r>
      <w:r w:rsidRPr="00646999">
        <w:rPr>
          <w:rFonts w:eastAsiaTheme="minorEastAsia"/>
          <w:lang w:val="en-GB" w:eastAsia="ko-KR"/>
        </w:rPr>
        <w:t xml:space="preserve">il </w:t>
      </w:r>
      <w:r w:rsidR="000B7D6E" w:rsidRPr="00646999">
        <w:rPr>
          <w:rFonts w:eastAsiaTheme="minorEastAsia"/>
          <w:lang w:val="en-GB" w:eastAsia="ko-KR"/>
        </w:rPr>
        <w:t>s</w:t>
      </w:r>
      <w:r w:rsidRPr="00646999">
        <w:rPr>
          <w:rFonts w:eastAsiaTheme="minorEastAsia"/>
          <w:lang w:val="en-GB" w:eastAsia="ko-KR"/>
        </w:rPr>
        <w:t>ands industry ha</w:t>
      </w:r>
      <w:r w:rsidR="00DF7A4B" w:rsidRPr="00646999">
        <w:rPr>
          <w:rFonts w:eastAsiaTheme="minorEastAsia"/>
          <w:lang w:val="en-GB" w:eastAsia="ko-KR"/>
        </w:rPr>
        <w:t>d</w:t>
      </w:r>
      <w:r w:rsidRPr="00646999">
        <w:rPr>
          <w:rFonts w:eastAsiaTheme="minorEastAsia"/>
          <w:lang w:val="en-GB" w:eastAsia="ko-KR"/>
        </w:rPr>
        <w:t xml:space="preserve"> two major product competitors: </w:t>
      </w:r>
      <w:r w:rsidRPr="00646999">
        <w:rPr>
          <w:lang w:val="en-GB"/>
        </w:rPr>
        <w:t>conventional oil produced mainly in the Middle East and shale oil produced mainly in the U</w:t>
      </w:r>
      <w:r w:rsidR="000B7D6E" w:rsidRPr="00646999">
        <w:rPr>
          <w:lang w:val="en-GB"/>
        </w:rPr>
        <w:t xml:space="preserve">nited </w:t>
      </w:r>
      <w:r w:rsidRPr="00646999">
        <w:rPr>
          <w:lang w:val="en-GB"/>
        </w:rPr>
        <w:t>S</w:t>
      </w:r>
      <w:r w:rsidR="000B7D6E" w:rsidRPr="00646999">
        <w:rPr>
          <w:lang w:val="en-GB"/>
        </w:rPr>
        <w:t>tates</w:t>
      </w:r>
      <w:r w:rsidRPr="00646999">
        <w:rPr>
          <w:lang w:val="en-GB"/>
        </w:rPr>
        <w:t xml:space="preserve">. The production costs for projects in the Middle East and Northern Africa </w:t>
      </w:r>
      <w:r w:rsidR="00DF7A4B" w:rsidRPr="00646999">
        <w:rPr>
          <w:lang w:val="en-GB"/>
        </w:rPr>
        <w:t>were</w:t>
      </w:r>
      <w:r w:rsidRPr="00646999">
        <w:rPr>
          <w:lang w:val="en-GB"/>
        </w:rPr>
        <w:t xml:space="preserve"> around CA$20 per barrel. Worldwide, the typical cost of conventional oil </w:t>
      </w:r>
      <w:r w:rsidR="000B7D6E" w:rsidRPr="00646999">
        <w:rPr>
          <w:lang w:val="en-GB"/>
        </w:rPr>
        <w:t>w</w:t>
      </w:r>
      <w:r w:rsidR="0031664C" w:rsidRPr="00646999">
        <w:rPr>
          <w:lang w:val="en-GB"/>
        </w:rPr>
        <w:t>as</w:t>
      </w:r>
      <w:r w:rsidRPr="00646999">
        <w:rPr>
          <w:lang w:val="en-GB"/>
        </w:rPr>
        <w:t xml:space="preserve"> between $30 and $40 per barrel. </w:t>
      </w:r>
      <w:r w:rsidR="009A1D9B" w:rsidRPr="00646999">
        <w:rPr>
          <w:lang w:val="en-GB"/>
        </w:rPr>
        <w:t xml:space="preserve">The break-even point of shale oil wells varied from $40 to $90 per barrel. </w:t>
      </w:r>
      <w:r w:rsidRPr="00646999">
        <w:rPr>
          <w:lang w:val="en-GB"/>
        </w:rPr>
        <w:t xml:space="preserve">Oil shale </w:t>
      </w:r>
      <w:r w:rsidR="000B7D6E" w:rsidRPr="00646999">
        <w:rPr>
          <w:lang w:val="en-GB"/>
        </w:rPr>
        <w:t>was</w:t>
      </w:r>
      <w:r w:rsidRPr="00646999">
        <w:rPr>
          <w:lang w:val="en-GB"/>
        </w:rPr>
        <w:t xml:space="preserve"> a layer of rock that contain</w:t>
      </w:r>
      <w:r w:rsidR="000B7D6E" w:rsidRPr="00646999">
        <w:rPr>
          <w:lang w:val="en-GB"/>
        </w:rPr>
        <w:t>ed</w:t>
      </w:r>
      <w:r w:rsidRPr="00646999">
        <w:rPr>
          <w:lang w:val="en-GB"/>
        </w:rPr>
        <w:t xml:space="preserve"> particles of kerogen </w:t>
      </w:r>
      <w:r w:rsidR="00697663">
        <w:rPr>
          <w:lang w:val="en-GB"/>
        </w:rPr>
        <w:t>that</w:t>
      </w:r>
      <w:r w:rsidR="00697663" w:rsidRPr="00646999">
        <w:rPr>
          <w:lang w:val="en-GB"/>
        </w:rPr>
        <w:t xml:space="preserve"> </w:t>
      </w:r>
      <w:r w:rsidR="000B7D6E" w:rsidRPr="00646999">
        <w:rPr>
          <w:lang w:val="en-GB"/>
        </w:rPr>
        <w:t>were</w:t>
      </w:r>
      <w:r w:rsidRPr="00646999">
        <w:rPr>
          <w:lang w:val="en-GB"/>
        </w:rPr>
        <w:t xml:space="preserve"> used to produce oil. The petroleum products c</w:t>
      </w:r>
      <w:r w:rsidR="00DF7A4B" w:rsidRPr="00646999">
        <w:rPr>
          <w:lang w:val="en-GB"/>
        </w:rPr>
        <w:t>ould</w:t>
      </w:r>
      <w:r w:rsidRPr="00646999">
        <w:rPr>
          <w:lang w:val="en-GB"/>
        </w:rPr>
        <w:t xml:space="preserve"> be extracted in two ways: </w:t>
      </w:r>
      <w:r w:rsidR="000B7D6E" w:rsidRPr="00646999">
        <w:rPr>
          <w:lang w:val="en-GB"/>
        </w:rPr>
        <w:t>(</w:t>
      </w:r>
      <w:r w:rsidRPr="00646999">
        <w:rPr>
          <w:lang w:val="en-GB"/>
        </w:rPr>
        <w:t>1) min</w:t>
      </w:r>
      <w:r w:rsidR="0031664C" w:rsidRPr="00646999">
        <w:rPr>
          <w:lang w:val="en-GB"/>
        </w:rPr>
        <w:t>ing</w:t>
      </w:r>
      <w:r w:rsidRPr="00646999">
        <w:rPr>
          <w:lang w:val="en-GB"/>
        </w:rPr>
        <w:t xml:space="preserve"> the rock and melt</w:t>
      </w:r>
      <w:r w:rsidR="0031664C" w:rsidRPr="00646999">
        <w:rPr>
          <w:lang w:val="en-GB"/>
        </w:rPr>
        <w:t>ing</w:t>
      </w:r>
      <w:r w:rsidRPr="00646999">
        <w:rPr>
          <w:lang w:val="en-GB"/>
        </w:rPr>
        <w:t xml:space="preserve"> </w:t>
      </w:r>
      <w:r w:rsidR="000B7D6E" w:rsidRPr="00646999">
        <w:rPr>
          <w:lang w:val="en-GB"/>
        </w:rPr>
        <w:t xml:space="preserve">the </w:t>
      </w:r>
      <w:r w:rsidRPr="00646999">
        <w:rPr>
          <w:lang w:val="en-GB"/>
        </w:rPr>
        <w:t>kerogen into oil using heat above</w:t>
      </w:r>
      <w:r w:rsidR="000B7D6E" w:rsidRPr="00646999">
        <w:rPr>
          <w:lang w:val="en-GB"/>
        </w:rPr>
        <w:t xml:space="preserve"> </w:t>
      </w:r>
      <w:r w:rsidRPr="00646999">
        <w:rPr>
          <w:lang w:val="en-GB"/>
        </w:rPr>
        <w:t>ground</w:t>
      </w:r>
      <w:r w:rsidR="00DA1835" w:rsidRPr="00646999">
        <w:rPr>
          <w:lang w:val="en-GB"/>
        </w:rPr>
        <w:t>,</w:t>
      </w:r>
      <w:r w:rsidRPr="00646999">
        <w:rPr>
          <w:lang w:val="en-GB"/>
        </w:rPr>
        <w:t xml:space="preserve"> </w:t>
      </w:r>
      <w:r w:rsidR="000B7D6E" w:rsidRPr="00646999">
        <w:rPr>
          <w:lang w:val="en-GB"/>
        </w:rPr>
        <w:t>and (</w:t>
      </w:r>
      <w:r w:rsidRPr="00646999">
        <w:rPr>
          <w:lang w:val="en-GB"/>
        </w:rPr>
        <w:t>2) heat</w:t>
      </w:r>
      <w:r w:rsidR="0031664C" w:rsidRPr="00646999">
        <w:rPr>
          <w:lang w:val="en-GB"/>
        </w:rPr>
        <w:t>ing</w:t>
      </w:r>
      <w:r w:rsidRPr="00646999">
        <w:rPr>
          <w:lang w:val="en-GB"/>
        </w:rPr>
        <w:t xml:space="preserve"> the kerogen to produce oil and gas underground, and extract</w:t>
      </w:r>
      <w:r w:rsidR="0031664C" w:rsidRPr="00646999">
        <w:rPr>
          <w:lang w:val="en-GB"/>
        </w:rPr>
        <w:t>ing</w:t>
      </w:r>
      <w:r w:rsidRPr="00646999">
        <w:rPr>
          <w:lang w:val="en-GB"/>
        </w:rPr>
        <w:t xml:space="preserve"> the oil from the shale.</w:t>
      </w:r>
      <w:r w:rsidRPr="00646999">
        <w:rPr>
          <w:rFonts w:eastAsiaTheme="minorEastAsia"/>
          <w:lang w:val="en-GB" w:eastAsia="ko-KR"/>
        </w:rPr>
        <w:t xml:space="preserve"> </w:t>
      </w:r>
    </w:p>
    <w:p w14:paraId="0970E920" w14:textId="77777777" w:rsidR="00375739" w:rsidRPr="00646999" w:rsidRDefault="00375739" w:rsidP="008577F6">
      <w:pPr>
        <w:pStyle w:val="BodyTextMain"/>
        <w:rPr>
          <w:rFonts w:eastAsiaTheme="minorEastAsia"/>
          <w:lang w:val="en-GB" w:eastAsia="ko-KR"/>
        </w:rPr>
      </w:pPr>
    </w:p>
    <w:p w14:paraId="4BAC2C31" w14:textId="77777777" w:rsidR="00375739" w:rsidRPr="00646999" w:rsidRDefault="00375739" w:rsidP="008577F6">
      <w:pPr>
        <w:pStyle w:val="BodyTextMain"/>
        <w:rPr>
          <w:rFonts w:eastAsiaTheme="minorEastAsia"/>
          <w:lang w:val="en-GB" w:eastAsia="ko-KR"/>
        </w:rPr>
      </w:pPr>
    </w:p>
    <w:p w14:paraId="310A1098" w14:textId="77777777" w:rsidR="00AB5230" w:rsidRPr="00646999" w:rsidRDefault="00AB5230" w:rsidP="00E70583">
      <w:pPr>
        <w:pStyle w:val="Casehead2"/>
        <w:keepNext/>
        <w:rPr>
          <w:rFonts w:eastAsiaTheme="minorEastAsia"/>
          <w:caps/>
          <w:lang w:val="en-GB" w:eastAsia="ko-KR"/>
        </w:rPr>
      </w:pPr>
      <w:r w:rsidRPr="00646999">
        <w:rPr>
          <w:rFonts w:eastAsiaTheme="minorEastAsia"/>
          <w:lang w:val="en-GB" w:eastAsia="ko-KR"/>
        </w:rPr>
        <w:lastRenderedPageBreak/>
        <w:t>Government Regulations</w:t>
      </w:r>
    </w:p>
    <w:p w14:paraId="6A2B5615" w14:textId="77777777" w:rsidR="00AB5230" w:rsidRPr="00646999" w:rsidRDefault="00AB5230" w:rsidP="00E70583">
      <w:pPr>
        <w:pStyle w:val="BodyTextMain"/>
        <w:keepNext/>
        <w:rPr>
          <w:lang w:val="en-GB"/>
        </w:rPr>
      </w:pPr>
    </w:p>
    <w:p w14:paraId="1B924CAE" w14:textId="0D7B61D5" w:rsidR="00AB5230" w:rsidRPr="00646999" w:rsidRDefault="00AB5230" w:rsidP="00E70583">
      <w:pPr>
        <w:pStyle w:val="BodyTextMain"/>
        <w:keepNext/>
        <w:rPr>
          <w:lang w:val="en-GB"/>
        </w:rPr>
      </w:pPr>
      <w:r w:rsidRPr="00646999">
        <w:rPr>
          <w:lang w:val="en-GB"/>
        </w:rPr>
        <w:t xml:space="preserve">The Canadian </w:t>
      </w:r>
      <w:r w:rsidR="0031664C" w:rsidRPr="00646999">
        <w:rPr>
          <w:lang w:val="en-GB"/>
        </w:rPr>
        <w:t>o</w:t>
      </w:r>
      <w:r w:rsidRPr="00646999">
        <w:rPr>
          <w:lang w:val="en-GB"/>
        </w:rPr>
        <w:t xml:space="preserve">il </w:t>
      </w:r>
      <w:r w:rsidR="0031664C" w:rsidRPr="00646999">
        <w:rPr>
          <w:lang w:val="en-GB"/>
        </w:rPr>
        <w:t>s</w:t>
      </w:r>
      <w:r w:rsidRPr="00646999">
        <w:rPr>
          <w:lang w:val="en-GB"/>
        </w:rPr>
        <w:t xml:space="preserve">ands industry was under harsh international scrutiny for the way it managed the development of the oil sands. Canadian environmental laws </w:t>
      </w:r>
      <w:r w:rsidRPr="00646999">
        <w:rPr>
          <w:rFonts w:eastAsiaTheme="minorEastAsia"/>
          <w:lang w:val="en-GB" w:eastAsia="ko-KR"/>
        </w:rPr>
        <w:t>were</w:t>
      </w:r>
      <w:r w:rsidRPr="00646999">
        <w:rPr>
          <w:lang w:val="en-GB"/>
        </w:rPr>
        <w:t xml:space="preserve"> thus stricter than those of China and other developing countries. </w:t>
      </w:r>
      <w:r w:rsidR="0031664C" w:rsidRPr="00646999">
        <w:rPr>
          <w:lang w:val="en-GB"/>
        </w:rPr>
        <w:t xml:space="preserve">The </w:t>
      </w:r>
      <w:r w:rsidRPr="00646999">
        <w:rPr>
          <w:lang w:val="en-GB"/>
        </w:rPr>
        <w:t>Canadian Environmental Assessment Agency (CEAA) acted as a central hub to coordinate the regulatory bodies with regards to oil sands development proposals. Each province ha</w:t>
      </w:r>
      <w:r w:rsidRPr="00646999">
        <w:rPr>
          <w:rFonts w:eastAsiaTheme="minorEastAsia"/>
          <w:lang w:val="en-GB" w:eastAsia="ko-KR"/>
        </w:rPr>
        <w:t>d</w:t>
      </w:r>
      <w:r w:rsidRPr="00646999">
        <w:rPr>
          <w:lang w:val="en-GB"/>
        </w:rPr>
        <w:t xml:space="preserve"> its own set of environmental laws with which companies had to comply</w:t>
      </w:r>
      <w:r w:rsidRPr="00646999">
        <w:rPr>
          <w:rFonts w:eastAsiaTheme="minorEastAsia"/>
          <w:lang w:val="en-GB" w:eastAsia="ko-KR"/>
        </w:rPr>
        <w:t>.</w:t>
      </w:r>
    </w:p>
    <w:p w14:paraId="56947C03" w14:textId="77777777" w:rsidR="00AB5230" w:rsidRPr="00646999" w:rsidRDefault="00AB5230" w:rsidP="008577F6">
      <w:pPr>
        <w:pStyle w:val="BodyTextMain"/>
        <w:rPr>
          <w:lang w:val="en-GB"/>
        </w:rPr>
      </w:pPr>
    </w:p>
    <w:p w14:paraId="19665FE6" w14:textId="649AFC8E" w:rsidR="00AB5230" w:rsidRPr="00646999" w:rsidRDefault="00AB5230" w:rsidP="008577F6">
      <w:pPr>
        <w:pStyle w:val="BodyTextMain"/>
        <w:rPr>
          <w:lang w:val="en-GB"/>
        </w:rPr>
      </w:pPr>
      <w:r w:rsidRPr="00646999">
        <w:rPr>
          <w:rFonts w:eastAsiaTheme="minorEastAsia"/>
          <w:lang w:val="en-GB" w:eastAsia="ko-KR"/>
        </w:rPr>
        <w:t xml:space="preserve">In Alberta, </w:t>
      </w:r>
      <w:r w:rsidR="00697663">
        <w:rPr>
          <w:rFonts w:eastAsiaTheme="minorEastAsia"/>
          <w:lang w:val="en-GB" w:eastAsia="ko-KR"/>
        </w:rPr>
        <w:t xml:space="preserve">two organizations regulated the </w:t>
      </w:r>
      <w:r w:rsidRPr="00646999">
        <w:rPr>
          <w:rFonts w:eastAsiaTheme="minorEastAsia"/>
          <w:lang w:val="en-GB" w:eastAsia="ko-KR"/>
        </w:rPr>
        <w:t>oil sands facilities</w:t>
      </w:r>
      <w:r w:rsidR="00697663">
        <w:rPr>
          <w:rFonts w:eastAsiaTheme="minorEastAsia"/>
          <w:lang w:val="en-GB" w:eastAsia="ko-KR"/>
        </w:rPr>
        <w:t>:</w:t>
      </w:r>
      <w:r w:rsidRPr="00646999">
        <w:rPr>
          <w:rFonts w:eastAsiaTheme="minorEastAsia"/>
          <w:lang w:val="en-GB" w:eastAsia="ko-KR"/>
        </w:rPr>
        <w:t xml:space="preserve"> the provincial government’s Environment and Parks department (which set the provincial policy) and the Alberta Energy Regulator (AER) (which ensured the policy was applied). Also, Alberta’s Land-Use Framework was developing regional plans to safeguard air and water quality in any given region, such as the Lower Athabasca Regional Plan.</w:t>
      </w:r>
      <w:r w:rsidRPr="00646999">
        <w:rPr>
          <w:rStyle w:val="EndnoteReference"/>
          <w:rFonts w:eastAsiaTheme="minorEastAsia"/>
          <w:lang w:val="en-GB" w:eastAsia="ko-KR"/>
        </w:rPr>
        <w:endnoteReference w:id="30"/>
      </w:r>
      <w:r w:rsidRPr="00646999">
        <w:rPr>
          <w:rFonts w:eastAsiaTheme="minorEastAsia"/>
          <w:lang w:val="en-GB" w:eastAsia="ko-KR"/>
        </w:rPr>
        <w:t xml:space="preserve"> Before any project commenced, oil sands operators </w:t>
      </w:r>
      <w:r w:rsidR="00697663">
        <w:rPr>
          <w:rFonts w:eastAsiaTheme="minorEastAsia"/>
          <w:lang w:val="en-GB" w:eastAsia="ko-KR"/>
        </w:rPr>
        <w:t>needed</w:t>
      </w:r>
      <w:r w:rsidR="00697663" w:rsidRPr="00646999">
        <w:rPr>
          <w:rFonts w:eastAsiaTheme="minorEastAsia"/>
          <w:lang w:val="en-GB" w:eastAsia="ko-KR"/>
        </w:rPr>
        <w:t xml:space="preserve"> </w:t>
      </w:r>
      <w:r w:rsidR="00B05209" w:rsidRPr="00646999">
        <w:rPr>
          <w:rFonts w:eastAsiaTheme="minorEastAsia"/>
          <w:lang w:val="en-GB" w:eastAsia="ko-KR"/>
        </w:rPr>
        <w:t>to</w:t>
      </w:r>
      <w:r w:rsidRPr="00646999">
        <w:rPr>
          <w:rFonts w:eastAsiaTheme="minorEastAsia"/>
          <w:lang w:val="en-GB" w:eastAsia="ko-KR"/>
        </w:rPr>
        <w:t xml:space="preserve"> file an application for provincial review with AER, and some projects were also subject to a federal review with the CEAA. </w:t>
      </w:r>
    </w:p>
    <w:p w14:paraId="0779C81C" w14:textId="77777777" w:rsidR="00AB5230" w:rsidRPr="00646999" w:rsidRDefault="00AB5230" w:rsidP="008577F6">
      <w:pPr>
        <w:pStyle w:val="BodyTextMain"/>
        <w:rPr>
          <w:rFonts w:eastAsiaTheme="minorEastAsia"/>
          <w:lang w:val="en-GB" w:eastAsia="ko-KR"/>
        </w:rPr>
      </w:pPr>
    </w:p>
    <w:p w14:paraId="27E66BAF" w14:textId="77777777" w:rsidR="00AB5230" w:rsidRPr="00646999" w:rsidRDefault="00AB5230" w:rsidP="008577F6">
      <w:pPr>
        <w:pStyle w:val="BodyTextMain"/>
        <w:rPr>
          <w:rFonts w:eastAsiaTheme="minorEastAsia"/>
          <w:lang w:val="en-GB" w:eastAsia="ko-KR"/>
        </w:rPr>
      </w:pPr>
    </w:p>
    <w:p w14:paraId="65FE8D92" w14:textId="24421E85" w:rsidR="00AB5230" w:rsidRPr="00646999" w:rsidRDefault="00AB5230" w:rsidP="00E70583">
      <w:pPr>
        <w:pStyle w:val="Casehead2"/>
        <w:rPr>
          <w:rFonts w:eastAsiaTheme="minorEastAsia"/>
          <w:caps/>
          <w:lang w:val="en-GB" w:eastAsia="ko-KR"/>
        </w:rPr>
      </w:pPr>
      <w:r w:rsidRPr="00646999">
        <w:rPr>
          <w:rFonts w:eastAsiaTheme="minorEastAsia"/>
          <w:lang w:val="en-GB" w:eastAsia="ko-KR"/>
        </w:rPr>
        <w:t xml:space="preserve">Environmental </w:t>
      </w:r>
      <w:r w:rsidR="00B05209" w:rsidRPr="00646999">
        <w:rPr>
          <w:rFonts w:eastAsiaTheme="minorEastAsia"/>
          <w:lang w:val="en-GB" w:eastAsia="ko-KR"/>
        </w:rPr>
        <w:t>Non-Governmental Organizations</w:t>
      </w:r>
      <w:r w:rsidRPr="00646999">
        <w:rPr>
          <w:rFonts w:eastAsiaTheme="minorEastAsia"/>
          <w:lang w:val="en-GB" w:eastAsia="ko-KR"/>
        </w:rPr>
        <w:t xml:space="preserve"> </w:t>
      </w:r>
    </w:p>
    <w:p w14:paraId="718A0B1A" w14:textId="77777777" w:rsidR="00AB5230" w:rsidRPr="00646999" w:rsidRDefault="00AB5230" w:rsidP="008577F6">
      <w:pPr>
        <w:pStyle w:val="BodyTextMain"/>
        <w:rPr>
          <w:lang w:val="en-GB"/>
        </w:rPr>
      </w:pPr>
    </w:p>
    <w:p w14:paraId="57D8E851" w14:textId="098000E9" w:rsidR="00AB5230" w:rsidRPr="005D47D5" w:rsidRDefault="00AB5230" w:rsidP="008577F6">
      <w:pPr>
        <w:pStyle w:val="BodyTextMain"/>
        <w:rPr>
          <w:rFonts w:eastAsiaTheme="minorEastAsia"/>
          <w:spacing w:val="-2"/>
          <w:lang w:val="en-GB" w:eastAsia="ko-KR"/>
        </w:rPr>
      </w:pPr>
      <w:r w:rsidRPr="005D47D5">
        <w:rPr>
          <w:rFonts w:eastAsiaTheme="minorEastAsia"/>
          <w:spacing w:val="-2"/>
          <w:lang w:val="en-GB" w:eastAsia="ko-KR"/>
        </w:rPr>
        <w:t xml:space="preserve">Environmental </w:t>
      </w:r>
      <w:r w:rsidR="00B05209" w:rsidRPr="005D47D5">
        <w:rPr>
          <w:rFonts w:eastAsiaTheme="minorEastAsia"/>
          <w:spacing w:val="-2"/>
          <w:lang w:val="en-GB" w:eastAsia="ko-KR"/>
        </w:rPr>
        <w:t>non-governmental organizations (</w:t>
      </w:r>
      <w:r w:rsidRPr="005D47D5">
        <w:rPr>
          <w:rFonts w:eastAsiaTheme="minorEastAsia"/>
          <w:spacing w:val="-2"/>
          <w:lang w:val="en-GB" w:eastAsia="ko-KR"/>
        </w:rPr>
        <w:t>NGOs</w:t>
      </w:r>
      <w:r w:rsidR="00B05209" w:rsidRPr="005D47D5">
        <w:rPr>
          <w:rFonts w:eastAsiaTheme="minorEastAsia"/>
          <w:spacing w:val="-2"/>
          <w:lang w:val="en-GB" w:eastAsia="ko-KR"/>
        </w:rPr>
        <w:t>)</w:t>
      </w:r>
      <w:r w:rsidRPr="005D47D5">
        <w:rPr>
          <w:rFonts w:eastAsiaTheme="minorEastAsia"/>
          <w:spacing w:val="-2"/>
          <w:lang w:val="en-GB" w:eastAsia="ko-KR"/>
        </w:rPr>
        <w:t xml:space="preserve"> </w:t>
      </w:r>
      <w:r w:rsidR="00E14C09" w:rsidRPr="005D47D5">
        <w:rPr>
          <w:rFonts w:eastAsiaTheme="minorEastAsia"/>
          <w:spacing w:val="-2"/>
          <w:lang w:val="en-GB" w:eastAsia="ko-KR"/>
        </w:rPr>
        <w:t>put</w:t>
      </w:r>
      <w:r w:rsidRPr="005D47D5">
        <w:rPr>
          <w:rFonts w:eastAsiaTheme="minorEastAsia"/>
          <w:spacing w:val="-2"/>
          <w:lang w:val="en-GB" w:eastAsia="ko-KR"/>
        </w:rPr>
        <w:t xml:space="preserve"> a great deal of pressure </w:t>
      </w:r>
      <w:r w:rsidR="00E14C09" w:rsidRPr="005D47D5">
        <w:rPr>
          <w:rFonts w:eastAsiaTheme="minorEastAsia"/>
          <w:spacing w:val="-2"/>
          <w:lang w:val="en-GB" w:eastAsia="ko-KR"/>
        </w:rPr>
        <w:t>on</w:t>
      </w:r>
      <w:r w:rsidRPr="005D47D5">
        <w:rPr>
          <w:rFonts w:eastAsiaTheme="minorEastAsia"/>
          <w:spacing w:val="-2"/>
          <w:lang w:val="en-GB" w:eastAsia="ko-KR"/>
        </w:rPr>
        <w:t xml:space="preserve"> the oil sands industry</w:t>
      </w:r>
      <w:r w:rsidR="008A6FE7" w:rsidRPr="005D47D5">
        <w:rPr>
          <w:rFonts w:eastAsiaTheme="minorEastAsia"/>
          <w:spacing w:val="-2"/>
          <w:lang w:val="en-GB" w:eastAsia="ko-KR"/>
        </w:rPr>
        <w:t xml:space="preserve"> in terms of development</w:t>
      </w:r>
      <w:r w:rsidRPr="005D47D5">
        <w:rPr>
          <w:rFonts w:eastAsiaTheme="minorEastAsia"/>
          <w:spacing w:val="-2"/>
          <w:lang w:val="en-GB" w:eastAsia="ko-KR"/>
        </w:rPr>
        <w:t xml:space="preserve">. For example, Greenpeace Canada (an environmental NGO) showed great concern about the environmental risks associated with oil sands development. It reached out to landowners and First Nations affected by the oil sands to stand in solidarity with </w:t>
      </w:r>
      <w:r w:rsidR="00697663" w:rsidRPr="005D47D5">
        <w:rPr>
          <w:rFonts w:eastAsiaTheme="minorEastAsia"/>
          <w:spacing w:val="-2"/>
          <w:lang w:val="en-GB" w:eastAsia="ko-KR"/>
        </w:rPr>
        <w:t xml:space="preserve">Greenpeace Canada </w:t>
      </w:r>
      <w:r w:rsidRPr="005D47D5">
        <w:rPr>
          <w:rFonts w:eastAsiaTheme="minorEastAsia"/>
          <w:spacing w:val="-2"/>
          <w:lang w:val="en-GB" w:eastAsia="ko-KR"/>
        </w:rPr>
        <w:t xml:space="preserve">and amplify </w:t>
      </w:r>
      <w:r w:rsidR="00E14C09" w:rsidRPr="005D47D5">
        <w:rPr>
          <w:rFonts w:eastAsiaTheme="minorEastAsia"/>
          <w:spacing w:val="-2"/>
          <w:lang w:val="en-GB" w:eastAsia="ko-KR"/>
        </w:rPr>
        <w:t>its</w:t>
      </w:r>
      <w:r w:rsidRPr="005D47D5">
        <w:rPr>
          <w:rFonts w:eastAsiaTheme="minorEastAsia"/>
          <w:spacing w:val="-2"/>
          <w:lang w:val="en-GB" w:eastAsia="ko-KR"/>
        </w:rPr>
        <w:t xml:space="preserve"> voice. It developed a comprehensive strategy for energy revolution in Canada and called for a clean energy future. In July 2015, one of Nexen’s pipeline</w:t>
      </w:r>
      <w:r w:rsidR="008A6FE7" w:rsidRPr="005D47D5">
        <w:rPr>
          <w:rFonts w:eastAsiaTheme="minorEastAsia"/>
          <w:spacing w:val="-2"/>
          <w:lang w:val="en-GB" w:eastAsia="ko-KR"/>
        </w:rPr>
        <w:t>s</w:t>
      </w:r>
      <w:r w:rsidRPr="005D47D5">
        <w:rPr>
          <w:rFonts w:eastAsiaTheme="minorEastAsia"/>
          <w:spacing w:val="-2"/>
          <w:lang w:val="en-GB" w:eastAsia="ko-KR"/>
        </w:rPr>
        <w:t xml:space="preserve"> in the Long Lake facility leaked </w:t>
      </w:r>
      <w:r w:rsidR="00697663" w:rsidRPr="005D47D5">
        <w:rPr>
          <w:rFonts w:eastAsiaTheme="minorEastAsia"/>
          <w:spacing w:val="-2"/>
          <w:lang w:val="en-GB" w:eastAsia="ko-KR"/>
        </w:rPr>
        <w:t xml:space="preserve">approximately </w:t>
      </w:r>
      <w:r w:rsidR="00525F69">
        <w:rPr>
          <w:rFonts w:eastAsiaTheme="minorEastAsia"/>
          <w:spacing w:val="-2"/>
          <w:lang w:val="en-GB" w:eastAsia="ko-KR"/>
        </w:rPr>
        <w:t>five</w:t>
      </w:r>
      <w:r w:rsidRPr="005D47D5">
        <w:rPr>
          <w:rFonts w:eastAsiaTheme="minorEastAsia"/>
          <w:spacing w:val="-2"/>
          <w:lang w:val="en-GB" w:eastAsia="ko-KR"/>
        </w:rPr>
        <w:t xml:space="preserve"> million lit</w:t>
      </w:r>
      <w:r w:rsidR="002669AF" w:rsidRPr="005D47D5">
        <w:rPr>
          <w:rFonts w:eastAsiaTheme="minorEastAsia"/>
          <w:spacing w:val="-2"/>
          <w:lang w:val="en-GB" w:eastAsia="ko-KR"/>
        </w:rPr>
        <w:t>r</w:t>
      </w:r>
      <w:r w:rsidRPr="005D47D5">
        <w:rPr>
          <w:rFonts w:eastAsiaTheme="minorEastAsia"/>
          <w:spacing w:val="-2"/>
          <w:lang w:val="en-GB" w:eastAsia="ko-KR"/>
        </w:rPr>
        <w:t xml:space="preserve">es of </w:t>
      </w:r>
      <w:r w:rsidR="002669AF" w:rsidRPr="005D47D5">
        <w:rPr>
          <w:rFonts w:eastAsiaTheme="minorEastAsia"/>
          <w:spacing w:val="-2"/>
          <w:lang w:val="en-GB" w:eastAsia="ko-KR"/>
        </w:rPr>
        <w:t xml:space="preserve">an </w:t>
      </w:r>
      <w:r w:rsidRPr="005D47D5">
        <w:rPr>
          <w:rFonts w:eastAsiaTheme="minorEastAsia"/>
          <w:spacing w:val="-2"/>
          <w:lang w:val="en-GB" w:eastAsia="ko-KR"/>
        </w:rPr>
        <w:t xml:space="preserve">oil sand and wastewater mixture into the local community. Greenpeace Canada </w:t>
      </w:r>
      <w:r w:rsidR="007F1079" w:rsidRPr="005D47D5">
        <w:rPr>
          <w:rFonts w:eastAsiaTheme="minorEastAsia"/>
          <w:spacing w:val="-2"/>
          <w:lang w:val="en-GB" w:eastAsia="ko-KR"/>
        </w:rPr>
        <w:t xml:space="preserve">criticized this incident </w:t>
      </w:r>
      <w:r w:rsidRPr="005D47D5">
        <w:rPr>
          <w:rFonts w:eastAsiaTheme="minorEastAsia"/>
          <w:spacing w:val="-2"/>
          <w:lang w:val="en-GB" w:eastAsia="ko-KR"/>
        </w:rPr>
        <w:t>as a reminder of Alberta’s pipeline problems</w:t>
      </w:r>
      <w:r w:rsidR="002669AF" w:rsidRPr="005D47D5">
        <w:rPr>
          <w:rFonts w:eastAsiaTheme="minorEastAsia"/>
          <w:spacing w:val="-2"/>
          <w:lang w:val="en-GB" w:eastAsia="ko-KR"/>
        </w:rPr>
        <w:t>,</w:t>
      </w:r>
      <w:r w:rsidRPr="005D47D5">
        <w:rPr>
          <w:rFonts w:eastAsiaTheme="minorEastAsia"/>
          <w:spacing w:val="-2"/>
          <w:lang w:val="en-GB" w:eastAsia="ko-KR"/>
        </w:rPr>
        <w:t xml:space="preserve"> </w:t>
      </w:r>
      <w:r w:rsidR="002669AF" w:rsidRPr="005D47D5">
        <w:rPr>
          <w:rFonts w:eastAsiaTheme="minorEastAsia"/>
          <w:spacing w:val="-2"/>
          <w:lang w:val="en-GB" w:eastAsia="ko-KR"/>
        </w:rPr>
        <w:t>which</w:t>
      </w:r>
      <w:r w:rsidRPr="005D47D5">
        <w:rPr>
          <w:rFonts w:eastAsiaTheme="minorEastAsia"/>
          <w:spacing w:val="-2"/>
          <w:lang w:val="en-GB" w:eastAsia="ko-KR"/>
        </w:rPr>
        <w:t xml:space="preserve"> require</w:t>
      </w:r>
      <w:r w:rsidR="002669AF" w:rsidRPr="005D47D5">
        <w:rPr>
          <w:rFonts w:eastAsiaTheme="minorEastAsia"/>
          <w:spacing w:val="-2"/>
          <w:lang w:val="en-GB" w:eastAsia="ko-KR"/>
        </w:rPr>
        <w:t>d</w:t>
      </w:r>
      <w:r w:rsidRPr="005D47D5">
        <w:rPr>
          <w:rFonts w:eastAsiaTheme="minorEastAsia"/>
          <w:spacing w:val="-2"/>
          <w:lang w:val="en-GB" w:eastAsia="ko-KR"/>
        </w:rPr>
        <w:t xml:space="preserve"> cons</w:t>
      </w:r>
      <w:r w:rsidR="002669AF" w:rsidRPr="005D47D5">
        <w:rPr>
          <w:rFonts w:eastAsiaTheme="minorEastAsia"/>
          <w:spacing w:val="-2"/>
          <w:lang w:val="en-GB" w:eastAsia="ko-KR"/>
        </w:rPr>
        <w:t>tant</w:t>
      </w:r>
      <w:r w:rsidRPr="005D47D5">
        <w:rPr>
          <w:rFonts w:eastAsiaTheme="minorEastAsia"/>
          <w:spacing w:val="-2"/>
          <w:lang w:val="en-GB" w:eastAsia="ko-KR"/>
        </w:rPr>
        <w:t xml:space="preserve"> attention.</w:t>
      </w:r>
      <w:r w:rsidRPr="005D47D5">
        <w:rPr>
          <w:rStyle w:val="EndnoteReference"/>
          <w:rFonts w:eastAsiaTheme="minorEastAsia"/>
          <w:spacing w:val="-2"/>
          <w:lang w:val="en-GB" w:eastAsia="ko-KR"/>
        </w:rPr>
        <w:endnoteReference w:id="31"/>
      </w:r>
      <w:r w:rsidRPr="005D47D5">
        <w:rPr>
          <w:rFonts w:eastAsiaTheme="minorEastAsia"/>
          <w:spacing w:val="-2"/>
          <w:lang w:val="en-GB" w:eastAsia="ko-KR"/>
        </w:rPr>
        <w:t xml:space="preserve"> CNOOC would need to develop corresponding environmental strategies to </w:t>
      </w:r>
      <w:r w:rsidR="00BB1670" w:rsidRPr="005D47D5">
        <w:rPr>
          <w:rFonts w:eastAsiaTheme="minorEastAsia"/>
          <w:spacing w:val="-2"/>
          <w:lang w:val="en-GB" w:eastAsia="ko-KR"/>
        </w:rPr>
        <w:t>address the criticism</w:t>
      </w:r>
      <w:r w:rsidRPr="005D47D5">
        <w:rPr>
          <w:rFonts w:eastAsiaTheme="minorEastAsia"/>
          <w:spacing w:val="-2"/>
          <w:lang w:val="en-GB" w:eastAsia="ko-KR"/>
        </w:rPr>
        <w:t xml:space="preserve"> from these environmental NGOs.</w:t>
      </w:r>
    </w:p>
    <w:p w14:paraId="37555FA4" w14:textId="77777777" w:rsidR="00AB5230" w:rsidRPr="00646999" w:rsidRDefault="00AB5230" w:rsidP="008577F6">
      <w:pPr>
        <w:pStyle w:val="BodyTextMain"/>
        <w:rPr>
          <w:rFonts w:eastAsiaTheme="minorEastAsia"/>
          <w:lang w:val="en-GB" w:eastAsia="zh-CN"/>
        </w:rPr>
      </w:pPr>
    </w:p>
    <w:p w14:paraId="4DBDD3C4" w14:textId="77777777" w:rsidR="00AB5230" w:rsidRPr="00646999" w:rsidRDefault="00AB5230" w:rsidP="008577F6">
      <w:pPr>
        <w:pStyle w:val="BodyTextMain"/>
        <w:rPr>
          <w:rFonts w:eastAsiaTheme="minorEastAsia"/>
          <w:lang w:val="en-GB" w:eastAsia="zh-CN"/>
        </w:rPr>
      </w:pPr>
    </w:p>
    <w:p w14:paraId="6142E5DA" w14:textId="77777777" w:rsidR="00AB5230" w:rsidRPr="00646999" w:rsidRDefault="00AB5230" w:rsidP="00E70583">
      <w:pPr>
        <w:pStyle w:val="Casehead2"/>
        <w:rPr>
          <w:rFonts w:eastAsiaTheme="minorEastAsia"/>
          <w:caps/>
          <w:lang w:val="en-GB" w:eastAsia="ko-KR"/>
        </w:rPr>
      </w:pPr>
      <w:r w:rsidRPr="00646999">
        <w:rPr>
          <w:rFonts w:eastAsiaTheme="minorEastAsia"/>
          <w:lang w:val="en-GB" w:eastAsia="ko-KR"/>
        </w:rPr>
        <w:t xml:space="preserve">Employee Safety </w:t>
      </w:r>
    </w:p>
    <w:p w14:paraId="5E78BCC7" w14:textId="77777777" w:rsidR="00AB5230" w:rsidRPr="00646999" w:rsidRDefault="00AB5230" w:rsidP="008577F6">
      <w:pPr>
        <w:pStyle w:val="BodyTextMain"/>
        <w:rPr>
          <w:lang w:val="en-GB"/>
        </w:rPr>
      </w:pPr>
    </w:p>
    <w:p w14:paraId="58EEFD4D" w14:textId="1E9DB534" w:rsidR="008577F6" w:rsidRPr="00646999" w:rsidRDefault="00AB5230" w:rsidP="008577F6">
      <w:pPr>
        <w:pStyle w:val="BodyTextMain"/>
        <w:rPr>
          <w:spacing w:val="-2"/>
          <w:lang w:val="en-GB"/>
        </w:rPr>
      </w:pPr>
      <w:r w:rsidRPr="00646999">
        <w:rPr>
          <w:spacing w:val="-2"/>
          <w:lang w:val="en-GB"/>
        </w:rPr>
        <w:t>Safety w</w:t>
      </w:r>
      <w:r w:rsidR="008A6FE7" w:rsidRPr="00646999">
        <w:rPr>
          <w:spacing w:val="-2"/>
          <w:lang w:val="en-GB"/>
        </w:rPr>
        <w:t>as</w:t>
      </w:r>
      <w:r w:rsidRPr="00646999">
        <w:rPr>
          <w:spacing w:val="-2"/>
          <w:lang w:val="en-GB"/>
        </w:rPr>
        <w:t xml:space="preserve"> key to companies in the oil sands industry. In January 2016, an explosion in Nexen’s Long Lake plant killed two workers. It did not take long for Nexen to get the fire under control and extinguish</w:t>
      </w:r>
      <w:r w:rsidR="00DE115E" w:rsidRPr="00646999">
        <w:rPr>
          <w:spacing w:val="-2"/>
          <w:lang w:val="en-GB"/>
        </w:rPr>
        <w:t xml:space="preserve"> it</w:t>
      </w:r>
      <w:r w:rsidRPr="00646999">
        <w:rPr>
          <w:spacing w:val="-2"/>
          <w:lang w:val="en-GB"/>
        </w:rPr>
        <w:t>. Later, Nexen revealed that the major cause</w:t>
      </w:r>
      <w:r w:rsidR="002669AF" w:rsidRPr="00646999">
        <w:rPr>
          <w:spacing w:val="-2"/>
          <w:lang w:val="en-GB"/>
        </w:rPr>
        <w:t>s</w:t>
      </w:r>
      <w:r w:rsidRPr="00646999">
        <w:rPr>
          <w:spacing w:val="-2"/>
          <w:lang w:val="en-GB"/>
        </w:rPr>
        <w:t xml:space="preserve"> </w:t>
      </w:r>
      <w:r w:rsidR="002669AF" w:rsidRPr="00646999">
        <w:rPr>
          <w:spacing w:val="-2"/>
          <w:lang w:val="en-GB"/>
        </w:rPr>
        <w:t xml:space="preserve">of </w:t>
      </w:r>
      <w:r w:rsidRPr="00646999">
        <w:rPr>
          <w:spacing w:val="-2"/>
          <w:lang w:val="en-GB"/>
        </w:rPr>
        <w:t>th</w:t>
      </w:r>
      <w:r w:rsidR="002669AF" w:rsidRPr="00646999">
        <w:rPr>
          <w:spacing w:val="-2"/>
          <w:lang w:val="en-GB"/>
        </w:rPr>
        <w:t>e</w:t>
      </w:r>
      <w:r w:rsidRPr="00646999">
        <w:rPr>
          <w:spacing w:val="-2"/>
          <w:lang w:val="en-GB"/>
        </w:rPr>
        <w:t xml:space="preserve"> pipeline rupture w</w:t>
      </w:r>
      <w:r w:rsidR="002669AF" w:rsidRPr="00646999">
        <w:rPr>
          <w:spacing w:val="-2"/>
          <w:lang w:val="en-GB"/>
        </w:rPr>
        <w:t>ere</w:t>
      </w:r>
      <w:r w:rsidRPr="00646999">
        <w:rPr>
          <w:spacing w:val="-2"/>
          <w:lang w:val="en-GB"/>
        </w:rPr>
        <w:t xml:space="preserve"> poor design and undetected mechanical problems. As indicated by Nexen’s chief executives</w:t>
      </w:r>
      <w:r w:rsidR="002669AF" w:rsidRPr="00646999">
        <w:rPr>
          <w:spacing w:val="-2"/>
          <w:lang w:val="en-GB"/>
        </w:rPr>
        <w:t>,</w:t>
      </w:r>
      <w:r w:rsidRPr="00646999">
        <w:rPr>
          <w:spacing w:val="-2"/>
          <w:lang w:val="en-GB"/>
        </w:rPr>
        <w:t xml:space="preserve"> “</w:t>
      </w:r>
      <w:r w:rsidR="002669AF" w:rsidRPr="00646999">
        <w:rPr>
          <w:spacing w:val="-2"/>
          <w:lang w:val="en-GB"/>
        </w:rPr>
        <w:t>W</w:t>
      </w:r>
      <w:r w:rsidRPr="00646999">
        <w:rPr>
          <w:spacing w:val="-2"/>
          <w:lang w:val="en-GB"/>
        </w:rPr>
        <w:t>hen we fail to live up to our high standards of safety and environment, we let ourselves, our employees and the communities where we operate down. This is not acceptable.”</w:t>
      </w:r>
      <w:r w:rsidRPr="00646999">
        <w:rPr>
          <w:rStyle w:val="EndnoteReference"/>
          <w:spacing w:val="-2"/>
          <w:lang w:val="en-GB"/>
        </w:rPr>
        <w:endnoteReference w:id="32"/>
      </w:r>
      <w:r w:rsidRPr="00646999">
        <w:rPr>
          <w:spacing w:val="-2"/>
          <w:lang w:val="en-GB"/>
        </w:rPr>
        <w:t xml:space="preserve"> </w:t>
      </w:r>
      <w:r w:rsidR="008577F6" w:rsidRPr="00646999">
        <w:rPr>
          <w:spacing w:val="-2"/>
          <w:lang w:val="en-GB"/>
        </w:rPr>
        <w:t xml:space="preserve">As </w:t>
      </w:r>
      <w:r w:rsidR="008577F6" w:rsidRPr="00646999">
        <w:rPr>
          <w:rFonts w:eastAsiaTheme="minorEastAsia"/>
          <w:spacing w:val="-2"/>
          <w:lang w:val="en-GB"/>
        </w:rPr>
        <w:t xml:space="preserve">Occupational Health and Safety imposed an order banning operations in the explosion area, </w:t>
      </w:r>
      <w:r w:rsidR="008577F6" w:rsidRPr="00646999">
        <w:rPr>
          <w:spacing w:val="-2"/>
          <w:lang w:val="en-GB"/>
        </w:rPr>
        <w:t xml:space="preserve">Nexen </w:t>
      </w:r>
      <w:r w:rsidR="00BB1670" w:rsidRPr="00646999">
        <w:rPr>
          <w:spacing w:val="-2"/>
          <w:lang w:val="en-GB"/>
        </w:rPr>
        <w:t xml:space="preserve">ceased operations at </w:t>
      </w:r>
      <w:r w:rsidR="008577F6" w:rsidRPr="00646999">
        <w:rPr>
          <w:spacing w:val="-2"/>
          <w:lang w:val="en-GB"/>
        </w:rPr>
        <w:t xml:space="preserve">the entire upgrader facility where the explosion </w:t>
      </w:r>
      <w:r w:rsidR="00C21FFD" w:rsidRPr="00646999">
        <w:rPr>
          <w:spacing w:val="-2"/>
          <w:lang w:val="en-GB"/>
        </w:rPr>
        <w:t xml:space="preserve">had </w:t>
      </w:r>
      <w:r w:rsidR="008577F6" w:rsidRPr="00646999">
        <w:rPr>
          <w:spacing w:val="-2"/>
          <w:lang w:val="en-GB"/>
        </w:rPr>
        <w:t>happened.</w:t>
      </w:r>
    </w:p>
    <w:p w14:paraId="63785919" w14:textId="7A7B62E4" w:rsidR="008577F6" w:rsidRPr="00646999" w:rsidRDefault="008577F6" w:rsidP="008577F6">
      <w:pPr>
        <w:pStyle w:val="BodyTextMain"/>
        <w:rPr>
          <w:rFonts w:eastAsiaTheme="minorEastAsia"/>
          <w:lang w:val="en-GB"/>
        </w:rPr>
      </w:pPr>
    </w:p>
    <w:p w14:paraId="5F53162B" w14:textId="77777777" w:rsidR="00E70583" w:rsidRPr="00646999" w:rsidRDefault="00E70583" w:rsidP="008577F6">
      <w:pPr>
        <w:pStyle w:val="BodyTextMain"/>
        <w:rPr>
          <w:rFonts w:eastAsiaTheme="minorEastAsia"/>
          <w:lang w:val="en-GB"/>
        </w:rPr>
      </w:pPr>
    </w:p>
    <w:p w14:paraId="1AFF0407" w14:textId="77777777" w:rsidR="008577F6" w:rsidRPr="00646999" w:rsidRDefault="008577F6" w:rsidP="00E70583">
      <w:pPr>
        <w:pStyle w:val="Casehead2"/>
        <w:keepNext/>
        <w:rPr>
          <w:rFonts w:eastAsiaTheme="minorEastAsia"/>
          <w:caps/>
          <w:lang w:val="en-GB" w:eastAsia="ko-KR"/>
        </w:rPr>
      </w:pPr>
      <w:r w:rsidRPr="00646999">
        <w:rPr>
          <w:rFonts w:eastAsiaTheme="minorEastAsia"/>
          <w:lang w:val="en-GB" w:eastAsia="ko-KR"/>
        </w:rPr>
        <w:t>Looking Ahead</w:t>
      </w:r>
    </w:p>
    <w:p w14:paraId="444A4241" w14:textId="77777777" w:rsidR="008577F6" w:rsidRPr="00646999" w:rsidRDefault="008577F6" w:rsidP="00E70583">
      <w:pPr>
        <w:pStyle w:val="BodyTextMain"/>
        <w:keepNext/>
        <w:rPr>
          <w:rFonts w:eastAsiaTheme="minorEastAsia"/>
          <w:lang w:val="en-GB"/>
        </w:rPr>
      </w:pPr>
    </w:p>
    <w:p w14:paraId="18EA93B5" w14:textId="7FAF0B13" w:rsidR="00AB5230" w:rsidRPr="00646999" w:rsidRDefault="008577F6" w:rsidP="00E70583">
      <w:pPr>
        <w:pStyle w:val="BodyTextMain"/>
        <w:keepNext/>
        <w:rPr>
          <w:spacing w:val="-2"/>
          <w:lang w:val="en-GB"/>
        </w:rPr>
      </w:pPr>
      <w:r w:rsidRPr="00646999">
        <w:rPr>
          <w:rFonts w:eastAsiaTheme="minorEastAsia"/>
          <w:spacing w:val="-2"/>
          <w:lang w:val="en-GB" w:eastAsia="ko-KR"/>
        </w:rPr>
        <w:t xml:space="preserve">In the Canadian </w:t>
      </w:r>
      <w:r w:rsidR="00DE115E" w:rsidRPr="00646999">
        <w:rPr>
          <w:rFonts w:eastAsiaTheme="minorEastAsia"/>
          <w:spacing w:val="-2"/>
          <w:lang w:val="en-GB" w:eastAsia="ko-KR"/>
        </w:rPr>
        <w:t>o</w:t>
      </w:r>
      <w:r w:rsidRPr="00646999">
        <w:rPr>
          <w:rFonts w:eastAsiaTheme="minorEastAsia"/>
          <w:spacing w:val="-2"/>
          <w:lang w:val="en-GB" w:eastAsia="ko-KR"/>
        </w:rPr>
        <w:t xml:space="preserve">il </w:t>
      </w:r>
      <w:r w:rsidR="00DE115E" w:rsidRPr="00646999">
        <w:rPr>
          <w:rFonts w:eastAsiaTheme="minorEastAsia"/>
          <w:spacing w:val="-2"/>
          <w:lang w:val="en-GB" w:eastAsia="ko-KR"/>
        </w:rPr>
        <w:t>s</w:t>
      </w:r>
      <w:r w:rsidRPr="00646999">
        <w:rPr>
          <w:rFonts w:eastAsiaTheme="minorEastAsia"/>
          <w:spacing w:val="-2"/>
          <w:lang w:val="en-GB" w:eastAsia="ko-KR"/>
        </w:rPr>
        <w:t xml:space="preserve">ands industry, Canadian government regulations and institutions </w:t>
      </w:r>
      <w:r w:rsidR="00DE115E" w:rsidRPr="00646999">
        <w:rPr>
          <w:rFonts w:eastAsiaTheme="minorEastAsia"/>
          <w:spacing w:val="-2"/>
          <w:lang w:val="en-GB" w:eastAsia="ko-KR"/>
        </w:rPr>
        <w:t>imposed</w:t>
      </w:r>
      <w:r w:rsidRPr="00646999">
        <w:rPr>
          <w:rFonts w:eastAsiaTheme="minorEastAsia"/>
          <w:spacing w:val="-2"/>
          <w:lang w:val="en-GB" w:eastAsia="ko-KR"/>
        </w:rPr>
        <w:t xml:space="preserve"> a different and higher standard </w:t>
      </w:r>
      <w:r w:rsidR="00BB1670" w:rsidRPr="00646999">
        <w:rPr>
          <w:rFonts w:eastAsiaTheme="minorEastAsia"/>
          <w:spacing w:val="-2"/>
          <w:lang w:val="en-GB" w:eastAsia="ko-KR"/>
        </w:rPr>
        <w:t xml:space="preserve">(compared </w:t>
      </w:r>
      <w:r w:rsidR="00697663">
        <w:rPr>
          <w:rFonts w:eastAsiaTheme="minorEastAsia"/>
          <w:spacing w:val="-2"/>
          <w:lang w:val="en-GB" w:eastAsia="ko-KR"/>
        </w:rPr>
        <w:t>with</w:t>
      </w:r>
      <w:r w:rsidR="00697663" w:rsidRPr="00646999">
        <w:rPr>
          <w:rFonts w:eastAsiaTheme="minorEastAsia"/>
          <w:spacing w:val="-2"/>
          <w:lang w:val="en-GB" w:eastAsia="ko-KR"/>
        </w:rPr>
        <w:t xml:space="preserve"> </w:t>
      </w:r>
      <w:r w:rsidR="00BB1670" w:rsidRPr="00646999">
        <w:rPr>
          <w:rFonts w:eastAsiaTheme="minorEastAsia"/>
          <w:spacing w:val="-2"/>
          <w:lang w:val="en-GB" w:eastAsia="ko-KR"/>
        </w:rPr>
        <w:t xml:space="preserve">that in China) </w:t>
      </w:r>
      <w:r w:rsidR="00DE115E" w:rsidRPr="00646999">
        <w:rPr>
          <w:rFonts w:eastAsiaTheme="minorEastAsia"/>
          <w:spacing w:val="-2"/>
          <w:lang w:val="en-GB" w:eastAsia="ko-KR"/>
        </w:rPr>
        <w:t>at</w:t>
      </w:r>
      <w:r w:rsidRPr="00646999">
        <w:rPr>
          <w:rFonts w:eastAsiaTheme="minorEastAsia"/>
          <w:spacing w:val="-2"/>
          <w:lang w:val="en-GB" w:eastAsia="ko-KR"/>
        </w:rPr>
        <w:t xml:space="preserve"> which CNOOC </w:t>
      </w:r>
      <w:r w:rsidR="00AF178E">
        <w:rPr>
          <w:rFonts w:eastAsiaTheme="minorEastAsia"/>
          <w:spacing w:val="-2"/>
          <w:lang w:val="en-GB" w:eastAsia="ko-KR"/>
        </w:rPr>
        <w:t>needed</w:t>
      </w:r>
      <w:r w:rsidR="00AF178E" w:rsidRPr="00646999">
        <w:rPr>
          <w:rFonts w:eastAsiaTheme="minorEastAsia"/>
          <w:spacing w:val="-2"/>
          <w:lang w:val="en-GB" w:eastAsia="ko-KR"/>
        </w:rPr>
        <w:t xml:space="preserve"> </w:t>
      </w:r>
      <w:r w:rsidR="00DE115E" w:rsidRPr="00646999">
        <w:rPr>
          <w:rFonts w:eastAsiaTheme="minorEastAsia"/>
          <w:spacing w:val="-2"/>
          <w:lang w:val="en-GB" w:eastAsia="ko-KR"/>
        </w:rPr>
        <w:t>to</w:t>
      </w:r>
      <w:r w:rsidRPr="00646999">
        <w:rPr>
          <w:rFonts w:eastAsiaTheme="minorEastAsia"/>
          <w:spacing w:val="-2"/>
          <w:lang w:val="en-GB" w:eastAsia="ko-KR"/>
        </w:rPr>
        <w:t xml:space="preserve"> operate. In a crowded </w:t>
      </w:r>
      <w:r w:rsidRPr="00646999">
        <w:rPr>
          <w:spacing w:val="-2"/>
          <w:lang w:val="en-GB"/>
        </w:rPr>
        <w:t xml:space="preserve">industry with well-established competitors, </w:t>
      </w:r>
      <w:r w:rsidR="00A44828" w:rsidRPr="00646999">
        <w:rPr>
          <w:spacing w:val="-2"/>
          <w:lang w:val="en-GB"/>
        </w:rPr>
        <w:t xml:space="preserve">the </w:t>
      </w:r>
      <w:r w:rsidRPr="00646999">
        <w:rPr>
          <w:spacing w:val="-2"/>
          <w:lang w:val="en-GB"/>
        </w:rPr>
        <w:t xml:space="preserve">extensive market pressure of low oil prices, and higher requirements on </w:t>
      </w:r>
      <w:r w:rsidR="00DE115E" w:rsidRPr="00646999">
        <w:rPr>
          <w:spacing w:val="-2"/>
          <w:lang w:val="en-GB"/>
        </w:rPr>
        <w:t>corporate social responsibility</w:t>
      </w:r>
      <w:r w:rsidRPr="00646999">
        <w:rPr>
          <w:spacing w:val="-2"/>
          <w:lang w:val="en-GB"/>
        </w:rPr>
        <w:t xml:space="preserve"> performance, how could CNOOC find success and maintain </w:t>
      </w:r>
      <w:r w:rsidR="00DE115E" w:rsidRPr="00646999">
        <w:rPr>
          <w:spacing w:val="-2"/>
          <w:lang w:val="en-GB"/>
        </w:rPr>
        <w:t xml:space="preserve">the </w:t>
      </w:r>
      <w:r w:rsidRPr="00646999">
        <w:rPr>
          <w:spacing w:val="-2"/>
          <w:lang w:val="en-GB"/>
        </w:rPr>
        <w:t>steady development of its operations?</w:t>
      </w:r>
    </w:p>
    <w:p w14:paraId="75113DBB" w14:textId="77777777" w:rsidR="00AB5230" w:rsidRPr="00646999" w:rsidRDefault="00AB5230">
      <w:pPr>
        <w:spacing w:after="200" w:line="276" w:lineRule="auto"/>
        <w:rPr>
          <w:sz w:val="22"/>
          <w:szCs w:val="22"/>
          <w:lang w:val="en-GB"/>
        </w:rPr>
      </w:pPr>
      <w:r w:rsidRPr="00646999">
        <w:rPr>
          <w:lang w:val="en-GB"/>
        </w:rPr>
        <w:br w:type="page"/>
      </w:r>
    </w:p>
    <w:p w14:paraId="3C13150B" w14:textId="258A84E8" w:rsidR="00AB5230" w:rsidRPr="00646999" w:rsidRDefault="00AB5230" w:rsidP="00AB5230">
      <w:pPr>
        <w:pStyle w:val="ExhibitHeading"/>
        <w:rPr>
          <w:lang w:val="en-GB"/>
        </w:rPr>
      </w:pPr>
      <w:r w:rsidRPr="00646999">
        <w:rPr>
          <w:lang w:val="en-GB"/>
        </w:rPr>
        <w:lastRenderedPageBreak/>
        <w:t>Exhibit 1: C</w:t>
      </w:r>
      <w:r w:rsidR="007F1079">
        <w:rPr>
          <w:lang w:val="en-GB"/>
        </w:rPr>
        <w:t xml:space="preserve">hina </w:t>
      </w:r>
      <w:r w:rsidRPr="00646999">
        <w:rPr>
          <w:lang w:val="en-GB"/>
        </w:rPr>
        <w:t>N</w:t>
      </w:r>
      <w:r w:rsidR="007F1079">
        <w:rPr>
          <w:lang w:val="en-GB"/>
        </w:rPr>
        <w:t xml:space="preserve">ational </w:t>
      </w:r>
      <w:r w:rsidRPr="00646999">
        <w:rPr>
          <w:lang w:val="en-GB"/>
        </w:rPr>
        <w:t>O</w:t>
      </w:r>
      <w:r w:rsidR="007F1079">
        <w:rPr>
          <w:lang w:val="en-GB"/>
        </w:rPr>
        <w:t xml:space="preserve">ffshore </w:t>
      </w:r>
      <w:r w:rsidRPr="00646999">
        <w:rPr>
          <w:lang w:val="en-GB"/>
        </w:rPr>
        <w:t>O</w:t>
      </w:r>
      <w:r w:rsidR="007F1079">
        <w:rPr>
          <w:lang w:val="en-GB"/>
        </w:rPr>
        <w:t xml:space="preserve">il </w:t>
      </w:r>
      <w:r w:rsidRPr="00646999">
        <w:rPr>
          <w:lang w:val="en-GB"/>
        </w:rPr>
        <w:t>C</w:t>
      </w:r>
      <w:r w:rsidR="007F1079">
        <w:rPr>
          <w:lang w:val="en-GB"/>
        </w:rPr>
        <w:t>orporation</w:t>
      </w:r>
      <w:r w:rsidR="00646999">
        <w:rPr>
          <w:lang w:val="en-GB"/>
        </w:rPr>
        <w:t>’s</w:t>
      </w:r>
      <w:r w:rsidRPr="00646999">
        <w:rPr>
          <w:lang w:val="en-GB"/>
        </w:rPr>
        <w:t xml:space="preserve"> MAJOR EXPLORATION AREAS</w:t>
      </w:r>
    </w:p>
    <w:p w14:paraId="03CFF785" w14:textId="77777777" w:rsidR="00AB5230" w:rsidRPr="00646999" w:rsidRDefault="00AB5230" w:rsidP="00AB5230">
      <w:pPr>
        <w:pStyle w:val="BodyTextMain"/>
        <w:rPr>
          <w:lang w:val="en-GB"/>
        </w:rPr>
      </w:pPr>
    </w:p>
    <w:tbl>
      <w:tblPr>
        <w:tblStyle w:val="TableGrid"/>
        <w:tblpPr w:leftFromText="180" w:rightFromText="180" w:vertAnchor="text" w:horzAnchor="margin" w:tblpXSpec="center" w:tblpY="31"/>
        <w:tblW w:w="0" w:type="auto"/>
        <w:tblLook w:val="04A0" w:firstRow="1" w:lastRow="0" w:firstColumn="1" w:lastColumn="0" w:noHBand="0" w:noVBand="1"/>
      </w:tblPr>
      <w:tblGrid>
        <w:gridCol w:w="2547"/>
        <w:gridCol w:w="2668"/>
        <w:gridCol w:w="2160"/>
      </w:tblGrid>
      <w:tr w:rsidR="00AB5230" w:rsidRPr="00646999" w14:paraId="16CA2B5B" w14:textId="77777777" w:rsidTr="00AB5230">
        <w:trPr>
          <w:trHeight w:val="80"/>
        </w:trPr>
        <w:tc>
          <w:tcPr>
            <w:tcW w:w="2547" w:type="dxa"/>
          </w:tcPr>
          <w:p w14:paraId="5C5760D6" w14:textId="77777777" w:rsidR="00AB5230" w:rsidRPr="00646999" w:rsidRDefault="00AB5230" w:rsidP="00AB5230">
            <w:pPr>
              <w:pStyle w:val="BodyTextMain"/>
              <w:rPr>
                <w:lang w:val="en-GB"/>
              </w:rPr>
            </w:pPr>
          </w:p>
        </w:tc>
        <w:tc>
          <w:tcPr>
            <w:tcW w:w="2668" w:type="dxa"/>
            <w:vAlign w:val="center"/>
          </w:tcPr>
          <w:p w14:paraId="4B3D9D5B" w14:textId="77777777" w:rsidR="00AB5230" w:rsidRPr="00646999" w:rsidRDefault="00AB5230" w:rsidP="00AB5230">
            <w:pPr>
              <w:pStyle w:val="ExhibitText"/>
              <w:jc w:val="center"/>
              <w:rPr>
                <w:b/>
                <w:lang w:val="en-GB"/>
              </w:rPr>
            </w:pPr>
            <w:r w:rsidRPr="00646999">
              <w:rPr>
                <w:b/>
                <w:lang w:val="en-GB"/>
              </w:rPr>
              <w:t>Areas</w:t>
            </w:r>
          </w:p>
        </w:tc>
        <w:tc>
          <w:tcPr>
            <w:tcW w:w="2160" w:type="dxa"/>
            <w:vAlign w:val="center"/>
          </w:tcPr>
          <w:p w14:paraId="15CA8E84" w14:textId="77777777" w:rsidR="00AB5230" w:rsidRPr="00646999" w:rsidRDefault="00AB5230" w:rsidP="00AB5230">
            <w:pPr>
              <w:pStyle w:val="ExhibitText"/>
              <w:jc w:val="center"/>
              <w:rPr>
                <w:b/>
                <w:lang w:val="en-GB"/>
              </w:rPr>
            </w:pPr>
            <w:r w:rsidRPr="00646999">
              <w:rPr>
                <w:b/>
                <w:lang w:val="en-GB"/>
              </w:rPr>
              <w:t>Major Exploration Areas (Net) (km</w:t>
            </w:r>
            <w:r w:rsidRPr="00646999">
              <w:rPr>
                <w:b/>
                <w:vertAlign w:val="superscript"/>
                <w:lang w:val="en-GB"/>
              </w:rPr>
              <w:t>2</w:t>
            </w:r>
            <w:r w:rsidRPr="00646999">
              <w:rPr>
                <w:b/>
                <w:lang w:val="en-GB"/>
              </w:rPr>
              <w:t>)</w:t>
            </w:r>
          </w:p>
        </w:tc>
      </w:tr>
      <w:tr w:rsidR="00AB5230" w:rsidRPr="00646999" w14:paraId="23E9D16F" w14:textId="77777777" w:rsidTr="00AB5230">
        <w:tc>
          <w:tcPr>
            <w:tcW w:w="2547" w:type="dxa"/>
            <w:vMerge w:val="restart"/>
            <w:vAlign w:val="center"/>
          </w:tcPr>
          <w:p w14:paraId="208BE8E8" w14:textId="77777777" w:rsidR="00AB5230" w:rsidRPr="00646999" w:rsidRDefault="00AB5230" w:rsidP="00AB5230">
            <w:pPr>
              <w:pStyle w:val="ExhibitText"/>
              <w:rPr>
                <w:b/>
                <w:lang w:val="en-GB"/>
              </w:rPr>
            </w:pPr>
            <w:r w:rsidRPr="00646999">
              <w:rPr>
                <w:b/>
                <w:lang w:val="en-GB"/>
              </w:rPr>
              <w:t>Offshore China</w:t>
            </w:r>
          </w:p>
        </w:tc>
        <w:tc>
          <w:tcPr>
            <w:tcW w:w="2668" w:type="dxa"/>
          </w:tcPr>
          <w:p w14:paraId="3272E12D" w14:textId="563BFB31" w:rsidR="00AB5230" w:rsidRPr="00646999" w:rsidRDefault="00AB5230" w:rsidP="00AB5230">
            <w:pPr>
              <w:pStyle w:val="ExhibitText"/>
              <w:rPr>
                <w:lang w:val="en-GB"/>
              </w:rPr>
            </w:pPr>
            <w:r w:rsidRPr="00646999">
              <w:rPr>
                <w:lang w:val="en-GB"/>
              </w:rPr>
              <w:t>Bohai</w:t>
            </w:r>
            <w:r w:rsidR="00BB1670" w:rsidRPr="00646999">
              <w:rPr>
                <w:lang w:val="en-GB"/>
              </w:rPr>
              <w:t xml:space="preserve"> Sea</w:t>
            </w:r>
          </w:p>
        </w:tc>
        <w:tc>
          <w:tcPr>
            <w:tcW w:w="2160" w:type="dxa"/>
          </w:tcPr>
          <w:p w14:paraId="7C354D77" w14:textId="77777777" w:rsidR="00AB5230" w:rsidRPr="00646999" w:rsidRDefault="00AB5230" w:rsidP="00AF178E">
            <w:pPr>
              <w:pStyle w:val="ExhibitText"/>
              <w:jc w:val="right"/>
              <w:rPr>
                <w:lang w:val="en-GB"/>
              </w:rPr>
            </w:pPr>
            <w:r w:rsidRPr="00646999">
              <w:rPr>
                <w:lang w:val="en-GB"/>
              </w:rPr>
              <w:t>43,068</w:t>
            </w:r>
          </w:p>
        </w:tc>
      </w:tr>
      <w:tr w:rsidR="00AB5230" w:rsidRPr="00646999" w14:paraId="7E127747" w14:textId="77777777" w:rsidTr="00AB5230">
        <w:tc>
          <w:tcPr>
            <w:tcW w:w="2547" w:type="dxa"/>
            <w:vMerge/>
            <w:vAlign w:val="center"/>
          </w:tcPr>
          <w:p w14:paraId="5C1444E6" w14:textId="77777777" w:rsidR="00AB5230" w:rsidRPr="00646999" w:rsidRDefault="00AB5230" w:rsidP="00AB5230">
            <w:pPr>
              <w:pStyle w:val="ExhibitText"/>
              <w:rPr>
                <w:b/>
                <w:lang w:val="en-GB"/>
              </w:rPr>
            </w:pPr>
          </w:p>
        </w:tc>
        <w:tc>
          <w:tcPr>
            <w:tcW w:w="2668" w:type="dxa"/>
          </w:tcPr>
          <w:p w14:paraId="10A40087" w14:textId="77777777" w:rsidR="00AB5230" w:rsidRPr="00646999" w:rsidRDefault="00AB5230" w:rsidP="00AB5230">
            <w:pPr>
              <w:pStyle w:val="ExhibitText"/>
              <w:rPr>
                <w:lang w:val="en-GB"/>
              </w:rPr>
            </w:pPr>
            <w:r w:rsidRPr="00646999">
              <w:rPr>
                <w:lang w:val="en-GB"/>
              </w:rPr>
              <w:t>Western South China Sea</w:t>
            </w:r>
          </w:p>
        </w:tc>
        <w:tc>
          <w:tcPr>
            <w:tcW w:w="2160" w:type="dxa"/>
          </w:tcPr>
          <w:p w14:paraId="7EB4EDC4" w14:textId="77777777" w:rsidR="00AB5230" w:rsidRPr="00646999" w:rsidRDefault="00AB5230" w:rsidP="00AF178E">
            <w:pPr>
              <w:pStyle w:val="ExhibitText"/>
              <w:jc w:val="right"/>
              <w:rPr>
                <w:lang w:val="en-GB"/>
              </w:rPr>
            </w:pPr>
            <w:r w:rsidRPr="00646999">
              <w:rPr>
                <w:lang w:val="en-GB"/>
              </w:rPr>
              <w:t>73,388</w:t>
            </w:r>
          </w:p>
        </w:tc>
      </w:tr>
      <w:tr w:rsidR="00AB5230" w:rsidRPr="00646999" w14:paraId="07B43EF7" w14:textId="77777777" w:rsidTr="00AB5230">
        <w:tc>
          <w:tcPr>
            <w:tcW w:w="2547" w:type="dxa"/>
            <w:vMerge/>
            <w:vAlign w:val="center"/>
          </w:tcPr>
          <w:p w14:paraId="2576E165" w14:textId="77777777" w:rsidR="00AB5230" w:rsidRPr="00646999" w:rsidRDefault="00AB5230" w:rsidP="00AB5230">
            <w:pPr>
              <w:pStyle w:val="ExhibitText"/>
              <w:rPr>
                <w:b/>
                <w:lang w:val="en-GB"/>
              </w:rPr>
            </w:pPr>
          </w:p>
        </w:tc>
        <w:tc>
          <w:tcPr>
            <w:tcW w:w="2668" w:type="dxa"/>
          </w:tcPr>
          <w:p w14:paraId="5CB1AA3E" w14:textId="77777777" w:rsidR="00AB5230" w:rsidRPr="00646999" w:rsidRDefault="00AB5230" w:rsidP="00AB5230">
            <w:pPr>
              <w:pStyle w:val="ExhibitText"/>
              <w:rPr>
                <w:lang w:val="en-GB"/>
              </w:rPr>
            </w:pPr>
            <w:r w:rsidRPr="00646999">
              <w:rPr>
                <w:lang w:val="en-GB"/>
              </w:rPr>
              <w:t>Eastern South China Sea</w:t>
            </w:r>
          </w:p>
        </w:tc>
        <w:tc>
          <w:tcPr>
            <w:tcW w:w="2160" w:type="dxa"/>
          </w:tcPr>
          <w:p w14:paraId="26DD0276" w14:textId="77777777" w:rsidR="00AB5230" w:rsidRPr="00646999" w:rsidRDefault="00AB5230" w:rsidP="00AF178E">
            <w:pPr>
              <w:pStyle w:val="ExhibitText"/>
              <w:jc w:val="right"/>
              <w:rPr>
                <w:lang w:val="en-GB"/>
              </w:rPr>
            </w:pPr>
            <w:r w:rsidRPr="00646999">
              <w:rPr>
                <w:lang w:val="en-GB"/>
              </w:rPr>
              <w:t>55,424</w:t>
            </w:r>
          </w:p>
        </w:tc>
      </w:tr>
      <w:tr w:rsidR="00AB5230" w:rsidRPr="00646999" w14:paraId="4F0B8704" w14:textId="77777777" w:rsidTr="00AB5230">
        <w:tc>
          <w:tcPr>
            <w:tcW w:w="2547" w:type="dxa"/>
            <w:vMerge/>
            <w:vAlign w:val="center"/>
          </w:tcPr>
          <w:p w14:paraId="28E031E5" w14:textId="77777777" w:rsidR="00AB5230" w:rsidRPr="00646999" w:rsidRDefault="00AB5230" w:rsidP="00AB5230">
            <w:pPr>
              <w:pStyle w:val="ExhibitText"/>
              <w:rPr>
                <w:b/>
                <w:lang w:val="en-GB"/>
              </w:rPr>
            </w:pPr>
          </w:p>
        </w:tc>
        <w:tc>
          <w:tcPr>
            <w:tcW w:w="2668" w:type="dxa"/>
          </w:tcPr>
          <w:p w14:paraId="3BE6DF74" w14:textId="77777777" w:rsidR="00AB5230" w:rsidRPr="00646999" w:rsidRDefault="00AB5230" w:rsidP="00AB5230">
            <w:pPr>
              <w:pStyle w:val="ExhibitText"/>
              <w:rPr>
                <w:lang w:val="en-GB"/>
              </w:rPr>
            </w:pPr>
            <w:r w:rsidRPr="00646999">
              <w:rPr>
                <w:lang w:val="en-GB"/>
              </w:rPr>
              <w:t>East China Sea</w:t>
            </w:r>
          </w:p>
        </w:tc>
        <w:tc>
          <w:tcPr>
            <w:tcW w:w="2160" w:type="dxa"/>
          </w:tcPr>
          <w:p w14:paraId="23174700" w14:textId="77777777" w:rsidR="00AB5230" w:rsidRPr="00646999" w:rsidRDefault="00AB5230" w:rsidP="00AF178E">
            <w:pPr>
              <w:pStyle w:val="ExhibitText"/>
              <w:jc w:val="right"/>
              <w:rPr>
                <w:lang w:val="en-GB"/>
              </w:rPr>
            </w:pPr>
            <w:r w:rsidRPr="00646999">
              <w:rPr>
                <w:lang w:val="en-GB"/>
              </w:rPr>
              <w:t>85,413</w:t>
            </w:r>
          </w:p>
        </w:tc>
      </w:tr>
      <w:tr w:rsidR="00AB5230" w:rsidRPr="00646999" w14:paraId="38798E5E" w14:textId="77777777" w:rsidTr="00AB5230">
        <w:tc>
          <w:tcPr>
            <w:tcW w:w="2547" w:type="dxa"/>
            <w:vMerge/>
            <w:vAlign w:val="center"/>
          </w:tcPr>
          <w:p w14:paraId="08479141" w14:textId="77777777" w:rsidR="00AB5230" w:rsidRPr="00646999" w:rsidRDefault="00AB5230" w:rsidP="00AB5230">
            <w:pPr>
              <w:pStyle w:val="ExhibitText"/>
              <w:rPr>
                <w:b/>
                <w:lang w:val="en-GB"/>
              </w:rPr>
            </w:pPr>
          </w:p>
        </w:tc>
        <w:tc>
          <w:tcPr>
            <w:tcW w:w="2668" w:type="dxa"/>
          </w:tcPr>
          <w:p w14:paraId="3C9C1433" w14:textId="77777777" w:rsidR="00AB5230" w:rsidRPr="00646999" w:rsidRDefault="00AB5230" w:rsidP="00AB5230">
            <w:pPr>
              <w:pStyle w:val="ExhibitText"/>
              <w:rPr>
                <w:b/>
                <w:lang w:val="en-GB"/>
              </w:rPr>
            </w:pPr>
            <w:r w:rsidRPr="00646999">
              <w:rPr>
                <w:b/>
                <w:lang w:val="en-GB"/>
              </w:rPr>
              <w:t>Subtotal</w:t>
            </w:r>
          </w:p>
        </w:tc>
        <w:tc>
          <w:tcPr>
            <w:tcW w:w="2160" w:type="dxa"/>
          </w:tcPr>
          <w:p w14:paraId="4ABFBB19" w14:textId="77777777" w:rsidR="00AB5230" w:rsidRPr="00646999" w:rsidRDefault="00AB5230" w:rsidP="00AF178E">
            <w:pPr>
              <w:pStyle w:val="ExhibitText"/>
              <w:jc w:val="right"/>
              <w:rPr>
                <w:b/>
                <w:lang w:val="en-GB"/>
              </w:rPr>
            </w:pPr>
            <w:r w:rsidRPr="00646999">
              <w:rPr>
                <w:b/>
                <w:lang w:val="en-GB"/>
              </w:rPr>
              <w:t>257,292</w:t>
            </w:r>
          </w:p>
        </w:tc>
      </w:tr>
      <w:tr w:rsidR="00AB5230" w:rsidRPr="00646999" w14:paraId="6B3814FA" w14:textId="77777777" w:rsidTr="00AB5230">
        <w:tc>
          <w:tcPr>
            <w:tcW w:w="2547" w:type="dxa"/>
            <w:vMerge w:val="restart"/>
            <w:vAlign w:val="center"/>
          </w:tcPr>
          <w:p w14:paraId="06785430" w14:textId="77777777" w:rsidR="00AB5230" w:rsidRPr="00646999" w:rsidRDefault="00AB5230" w:rsidP="00AB5230">
            <w:pPr>
              <w:pStyle w:val="ExhibitText"/>
              <w:rPr>
                <w:b/>
                <w:lang w:val="en-GB"/>
              </w:rPr>
            </w:pPr>
            <w:r w:rsidRPr="00646999">
              <w:rPr>
                <w:b/>
                <w:lang w:val="en-GB"/>
              </w:rPr>
              <w:t>Overseas</w:t>
            </w:r>
          </w:p>
        </w:tc>
        <w:tc>
          <w:tcPr>
            <w:tcW w:w="2668" w:type="dxa"/>
          </w:tcPr>
          <w:p w14:paraId="51426F82" w14:textId="77777777" w:rsidR="00AB5230" w:rsidRPr="00646999" w:rsidRDefault="00AB5230" w:rsidP="00AB5230">
            <w:pPr>
              <w:pStyle w:val="ExhibitText"/>
              <w:rPr>
                <w:lang w:val="en-GB"/>
              </w:rPr>
            </w:pPr>
            <w:r w:rsidRPr="00646999">
              <w:rPr>
                <w:lang w:val="en-GB"/>
              </w:rPr>
              <w:t>Asia (excluding China)</w:t>
            </w:r>
          </w:p>
        </w:tc>
        <w:tc>
          <w:tcPr>
            <w:tcW w:w="2160" w:type="dxa"/>
          </w:tcPr>
          <w:p w14:paraId="7CBC9F4C" w14:textId="77777777" w:rsidR="00AB5230" w:rsidRPr="00646999" w:rsidRDefault="00AB5230" w:rsidP="00AF178E">
            <w:pPr>
              <w:pStyle w:val="ExhibitText"/>
              <w:jc w:val="right"/>
              <w:rPr>
                <w:lang w:val="en-GB"/>
              </w:rPr>
            </w:pPr>
            <w:r w:rsidRPr="00646999">
              <w:rPr>
                <w:lang w:val="en-GB"/>
              </w:rPr>
              <w:t>5,670</w:t>
            </w:r>
          </w:p>
        </w:tc>
      </w:tr>
      <w:tr w:rsidR="00AB5230" w:rsidRPr="00646999" w14:paraId="4AD42EC8" w14:textId="77777777" w:rsidTr="00AB5230">
        <w:tc>
          <w:tcPr>
            <w:tcW w:w="2547" w:type="dxa"/>
            <w:vMerge/>
          </w:tcPr>
          <w:p w14:paraId="6189AA16" w14:textId="77777777" w:rsidR="00AB5230" w:rsidRPr="00646999" w:rsidRDefault="00AB5230" w:rsidP="00AB5230">
            <w:pPr>
              <w:pStyle w:val="ExhibitText"/>
              <w:rPr>
                <w:b/>
                <w:lang w:val="en-GB"/>
              </w:rPr>
            </w:pPr>
          </w:p>
        </w:tc>
        <w:tc>
          <w:tcPr>
            <w:tcW w:w="2668" w:type="dxa"/>
          </w:tcPr>
          <w:p w14:paraId="794F0427" w14:textId="77777777" w:rsidR="00AB5230" w:rsidRPr="00646999" w:rsidRDefault="00AB5230" w:rsidP="00AB5230">
            <w:pPr>
              <w:pStyle w:val="ExhibitText"/>
              <w:rPr>
                <w:lang w:val="en-GB"/>
              </w:rPr>
            </w:pPr>
            <w:r w:rsidRPr="00646999">
              <w:rPr>
                <w:lang w:val="en-GB"/>
              </w:rPr>
              <w:t>Africa</w:t>
            </w:r>
          </w:p>
        </w:tc>
        <w:tc>
          <w:tcPr>
            <w:tcW w:w="2160" w:type="dxa"/>
          </w:tcPr>
          <w:p w14:paraId="675F372A" w14:textId="77777777" w:rsidR="00AB5230" w:rsidRPr="00646999" w:rsidRDefault="00AB5230" w:rsidP="00AF178E">
            <w:pPr>
              <w:pStyle w:val="ExhibitText"/>
              <w:jc w:val="right"/>
              <w:rPr>
                <w:lang w:val="en-GB"/>
              </w:rPr>
            </w:pPr>
            <w:r w:rsidRPr="00646999">
              <w:rPr>
                <w:lang w:val="en-GB"/>
              </w:rPr>
              <w:t>4,668</w:t>
            </w:r>
          </w:p>
        </w:tc>
      </w:tr>
      <w:tr w:rsidR="00AB5230" w:rsidRPr="00646999" w14:paraId="0B31766F" w14:textId="77777777" w:rsidTr="00AB5230">
        <w:tc>
          <w:tcPr>
            <w:tcW w:w="2547" w:type="dxa"/>
            <w:vMerge/>
          </w:tcPr>
          <w:p w14:paraId="49139768" w14:textId="77777777" w:rsidR="00AB5230" w:rsidRPr="00646999" w:rsidRDefault="00AB5230" w:rsidP="00AB5230">
            <w:pPr>
              <w:pStyle w:val="ExhibitText"/>
              <w:rPr>
                <w:b/>
                <w:lang w:val="en-GB"/>
              </w:rPr>
            </w:pPr>
          </w:p>
        </w:tc>
        <w:tc>
          <w:tcPr>
            <w:tcW w:w="2668" w:type="dxa"/>
          </w:tcPr>
          <w:p w14:paraId="0FA44813" w14:textId="77777777" w:rsidR="00AB5230" w:rsidRPr="00646999" w:rsidRDefault="00AB5230" w:rsidP="00AB5230">
            <w:pPr>
              <w:pStyle w:val="ExhibitText"/>
              <w:rPr>
                <w:lang w:val="en-GB"/>
              </w:rPr>
            </w:pPr>
            <w:r w:rsidRPr="00646999">
              <w:rPr>
                <w:lang w:val="en-GB"/>
              </w:rPr>
              <w:t>Oceania</w:t>
            </w:r>
          </w:p>
        </w:tc>
        <w:tc>
          <w:tcPr>
            <w:tcW w:w="2160" w:type="dxa"/>
          </w:tcPr>
          <w:p w14:paraId="2C6DCBD5" w14:textId="77777777" w:rsidR="00AB5230" w:rsidRPr="00646999" w:rsidRDefault="00AB5230" w:rsidP="00AF178E">
            <w:pPr>
              <w:pStyle w:val="ExhibitText"/>
              <w:jc w:val="right"/>
              <w:rPr>
                <w:lang w:val="en-GB"/>
              </w:rPr>
            </w:pPr>
            <w:r w:rsidRPr="00646999">
              <w:rPr>
                <w:lang w:val="en-GB"/>
              </w:rPr>
              <w:t>25,140</w:t>
            </w:r>
          </w:p>
        </w:tc>
      </w:tr>
      <w:tr w:rsidR="00AB5230" w:rsidRPr="00646999" w14:paraId="4F58FC85" w14:textId="77777777" w:rsidTr="00AB5230">
        <w:tc>
          <w:tcPr>
            <w:tcW w:w="2547" w:type="dxa"/>
            <w:vMerge/>
          </w:tcPr>
          <w:p w14:paraId="039941D1" w14:textId="77777777" w:rsidR="00AB5230" w:rsidRPr="00646999" w:rsidRDefault="00AB5230" w:rsidP="00AB5230">
            <w:pPr>
              <w:pStyle w:val="ExhibitText"/>
              <w:rPr>
                <w:b/>
                <w:lang w:val="en-GB"/>
              </w:rPr>
            </w:pPr>
          </w:p>
        </w:tc>
        <w:tc>
          <w:tcPr>
            <w:tcW w:w="2668" w:type="dxa"/>
          </w:tcPr>
          <w:p w14:paraId="297E98F6" w14:textId="77777777" w:rsidR="00AB5230" w:rsidRPr="00646999" w:rsidRDefault="00AB5230" w:rsidP="00AB5230">
            <w:pPr>
              <w:pStyle w:val="ExhibitText"/>
              <w:rPr>
                <w:lang w:val="en-GB"/>
              </w:rPr>
            </w:pPr>
            <w:r w:rsidRPr="00646999">
              <w:rPr>
                <w:lang w:val="en-GB"/>
              </w:rPr>
              <w:t>North America</w:t>
            </w:r>
          </w:p>
        </w:tc>
        <w:tc>
          <w:tcPr>
            <w:tcW w:w="2160" w:type="dxa"/>
          </w:tcPr>
          <w:p w14:paraId="78BEEB62" w14:textId="77777777" w:rsidR="00AB5230" w:rsidRPr="00646999" w:rsidRDefault="00AB5230" w:rsidP="00AF178E">
            <w:pPr>
              <w:pStyle w:val="ExhibitText"/>
              <w:jc w:val="right"/>
              <w:rPr>
                <w:lang w:val="en-GB"/>
              </w:rPr>
            </w:pPr>
            <w:r w:rsidRPr="00646999">
              <w:rPr>
                <w:lang w:val="en-GB"/>
              </w:rPr>
              <w:t>3,710</w:t>
            </w:r>
          </w:p>
        </w:tc>
      </w:tr>
      <w:tr w:rsidR="00AB5230" w:rsidRPr="00646999" w14:paraId="7FBD510B" w14:textId="77777777" w:rsidTr="00AB5230">
        <w:tc>
          <w:tcPr>
            <w:tcW w:w="2547" w:type="dxa"/>
            <w:vMerge/>
          </w:tcPr>
          <w:p w14:paraId="23DC6624" w14:textId="77777777" w:rsidR="00AB5230" w:rsidRPr="00646999" w:rsidRDefault="00AB5230" w:rsidP="00AB5230">
            <w:pPr>
              <w:pStyle w:val="ExhibitText"/>
              <w:rPr>
                <w:b/>
                <w:lang w:val="en-GB"/>
              </w:rPr>
            </w:pPr>
          </w:p>
        </w:tc>
        <w:tc>
          <w:tcPr>
            <w:tcW w:w="2668" w:type="dxa"/>
          </w:tcPr>
          <w:p w14:paraId="5947352A" w14:textId="77777777" w:rsidR="00AB5230" w:rsidRPr="00646999" w:rsidRDefault="00AB5230" w:rsidP="00AB5230">
            <w:pPr>
              <w:pStyle w:val="ExhibitText"/>
              <w:rPr>
                <w:lang w:val="en-GB"/>
              </w:rPr>
            </w:pPr>
            <w:r w:rsidRPr="00646999">
              <w:rPr>
                <w:lang w:val="en-GB"/>
              </w:rPr>
              <w:t>South America</w:t>
            </w:r>
          </w:p>
        </w:tc>
        <w:tc>
          <w:tcPr>
            <w:tcW w:w="2160" w:type="dxa"/>
          </w:tcPr>
          <w:p w14:paraId="1BCF6E0B" w14:textId="77777777" w:rsidR="00AB5230" w:rsidRPr="00646999" w:rsidRDefault="00AB5230" w:rsidP="00AF178E">
            <w:pPr>
              <w:pStyle w:val="ExhibitText"/>
              <w:jc w:val="right"/>
              <w:rPr>
                <w:lang w:val="en-GB"/>
              </w:rPr>
            </w:pPr>
            <w:r w:rsidRPr="00646999">
              <w:rPr>
                <w:lang w:val="en-GB"/>
              </w:rPr>
              <w:t>7,505</w:t>
            </w:r>
          </w:p>
        </w:tc>
      </w:tr>
      <w:tr w:rsidR="00AB5230" w:rsidRPr="00646999" w14:paraId="11F3F420" w14:textId="77777777" w:rsidTr="00AB5230">
        <w:tc>
          <w:tcPr>
            <w:tcW w:w="2547" w:type="dxa"/>
            <w:vMerge/>
          </w:tcPr>
          <w:p w14:paraId="1CDB03EA" w14:textId="77777777" w:rsidR="00AB5230" w:rsidRPr="00646999" w:rsidRDefault="00AB5230" w:rsidP="00AB5230">
            <w:pPr>
              <w:pStyle w:val="ExhibitText"/>
              <w:rPr>
                <w:b/>
                <w:lang w:val="en-GB"/>
              </w:rPr>
            </w:pPr>
          </w:p>
        </w:tc>
        <w:tc>
          <w:tcPr>
            <w:tcW w:w="2668" w:type="dxa"/>
          </w:tcPr>
          <w:p w14:paraId="1931F7A9" w14:textId="77777777" w:rsidR="00AB5230" w:rsidRPr="00646999" w:rsidRDefault="00AB5230" w:rsidP="00AB5230">
            <w:pPr>
              <w:pStyle w:val="ExhibitText"/>
              <w:rPr>
                <w:lang w:val="en-GB"/>
              </w:rPr>
            </w:pPr>
            <w:r w:rsidRPr="00646999">
              <w:rPr>
                <w:lang w:val="en-GB"/>
              </w:rPr>
              <w:t>Europe</w:t>
            </w:r>
          </w:p>
        </w:tc>
        <w:tc>
          <w:tcPr>
            <w:tcW w:w="2160" w:type="dxa"/>
          </w:tcPr>
          <w:p w14:paraId="2CF6C518" w14:textId="77777777" w:rsidR="00AB5230" w:rsidRPr="00646999" w:rsidRDefault="00AB5230" w:rsidP="00AF178E">
            <w:pPr>
              <w:pStyle w:val="ExhibitText"/>
              <w:jc w:val="right"/>
              <w:rPr>
                <w:lang w:val="en-GB"/>
              </w:rPr>
            </w:pPr>
            <w:r w:rsidRPr="00646999">
              <w:rPr>
                <w:lang w:val="en-GB"/>
              </w:rPr>
              <w:t>12,979</w:t>
            </w:r>
          </w:p>
        </w:tc>
      </w:tr>
      <w:tr w:rsidR="00AB5230" w:rsidRPr="00646999" w14:paraId="41EC716E" w14:textId="77777777" w:rsidTr="00AB5230">
        <w:tc>
          <w:tcPr>
            <w:tcW w:w="2547" w:type="dxa"/>
            <w:vMerge/>
          </w:tcPr>
          <w:p w14:paraId="56E93143" w14:textId="77777777" w:rsidR="00AB5230" w:rsidRPr="00646999" w:rsidRDefault="00AB5230" w:rsidP="00AB5230">
            <w:pPr>
              <w:pStyle w:val="ExhibitText"/>
              <w:rPr>
                <w:b/>
                <w:lang w:val="en-GB"/>
              </w:rPr>
            </w:pPr>
          </w:p>
        </w:tc>
        <w:tc>
          <w:tcPr>
            <w:tcW w:w="2668" w:type="dxa"/>
          </w:tcPr>
          <w:p w14:paraId="4B13B5AD" w14:textId="77777777" w:rsidR="00AB5230" w:rsidRPr="00646999" w:rsidRDefault="00AB5230" w:rsidP="00AB5230">
            <w:pPr>
              <w:pStyle w:val="ExhibitText"/>
              <w:rPr>
                <w:b/>
                <w:lang w:val="en-GB"/>
              </w:rPr>
            </w:pPr>
            <w:r w:rsidRPr="00646999">
              <w:rPr>
                <w:b/>
                <w:lang w:val="en-GB"/>
              </w:rPr>
              <w:t>Subtotal</w:t>
            </w:r>
          </w:p>
        </w:tc>
        <w:tc>
          <w:tcPr>
            <w:tcW w:w="2160" w:type="dxa"/>
          </w:tcPr>
          <w:p w14:paraId="4E2D7B9F" w14:textId="77777777" w:rsidR="00AB5230" w:rsidRPr="00646999" w:rsidRDefault="00AB5230" w:rsidP="00AF178E">
            <w:pPr>
              <w:pStyle w:val="ExhibitText"/>
              <w:jc w:val="right"/>
              <w:rPr>
                <w:b/>
                <w:lang w:val="en-GB"/>
              </w:rPr>
            </w:pPr>
            <w:r w:rsidRPr="00646999">
              <w:rPr>
                <w:b/>
                <w:lang w:val="en-GB"/>
              </w:rPr>
              <w:t>59,671</w:t>
            </w:r>
          </w:p>
        </w:tc>
      </w:tr>
      <w:tr w:rsidR="00AB5230" w:rsidRPr="00646999" w14:paraId="67F072FA" w14:textId="77777777" w:rsidTr="00AB5230">
        <w:tc>
          <w:tcPr>
            <w:tcW w:w="2547" w:type="dxa"/>
          </w:tcPr>
          <w:p w14:paraId="26C86DAB" w14:textId="77777777" w:rsidR="00AB5230" w:rsidRPr="00646999" w:rsidRDefault="00AB5230" w:rsidP="00AB5230">
            <w:pPr>
              <w:pStyle w:val="ExhibitText"/>
              <w:rPr>
                <w:b/>
                <w:lang w:val="en-GB"/>
              </w:rPr>
            </w:pPr>
            <w:r w:rsidRPr="00646999">
              <w:rPr>
                <w:b/>
                <w:lang w:val="en-GB"/>
              </w:rPr>
              <w:t>Total</w:t>
            </w:r>
          </w:p>
        </w:tc>
        <w:tc>
          <w:tcPr>
            <w:tcW w:w="4828" w:type="dxa"/>
            <w:gridSpan w:val="2"/>
          </w:tcPr>
          <w:p w14:paraId="7223F164" w14:textId="77777777" w:rsidR="00AB5230" w:rsidRPr="00646999" w:rsidRDefault="00AB5230" w:rsidP="00AB5230">
            <w:pPr>
              <w:pStyle w:val="ExhibitText"/>
              <w:jc w:val="right"/>
              <w:rPr>
                <w:lang w:val="en-GB"/>
              </w:rPr>
            </w:pPr>
            <w:r w:rsidRPr="00646999">
              <w:rPr>
                <w:lang w:val="en-GB"/>
              </w:rPr>
              <w:t>316,963</w:t>
            </w:r>
          </w:p>
        </w:tc>
      </w:tr>
    </w:tbl>
    <w:p w14:paraId="30784A18" w14:textId="77777777" w:rsidR="00AB5230" w:rsidRPr="00646999" w:rsidRDefault="00AB5230" w:rsidP="00AB5230">
      <w:pPr>
        <w:pStyle w:val="BodyTextMain"/>
        <w:rPr>
          <w:lang w:val="en-GB"/>
        </w:rPr>
      </w:pPr>
    </w:p>
    <w:p w14:paraId="11BF3C22" w14:textId="77777777" w:rsidR="00AB5230" w:rsidRPr="00646999" w:rsidRDefault="00AB5230" w:rsidP="00AB5230">
      <w:pPr>
        <w:pStyle w:val="BodyTextMain"/>
        <w:rPr>
          <w:lang w:val="en-GB"/>
        </w:rPr>
      </w:pPr>
    </w:p>
    <w:p w14:paraId="7072ADC7" w14:textId="77777777" w:rsidR="00AB5230" w:rsidRPr="00646999" w:rsidRDefault="00AB5230" w:rsidP="00AB5230">
      <w:pPr>
        <w:pStyle w:val="BodyTextMain"/>
        <w:rPr>
          <w:lang w:val="en-GB"/>
        </w:rPr>
      </w:pPr>
    </w:p>
    <w:p w14:paraId="7A81ABCB" w14:textId="77777777" w:rsidR="00AB5230" w:rsidRPr="00646999" w:rsidRDefault="00AB5230" w:rsidP="00AB5230">
      <w:pPr>
        <w:pStyle w:val="BodyTextMain"/>
        <w:rPr>
          <w:lang w:val="en-GB"/>
        </w:rPr>
      </w:pPr>
    </w:p>
    <w:p w14:paraId="5BA8785D" w14:textId="77777777" w:rsidR="00AB5230" w:rsidRPr="00646999" w:rsidRDefault="00AB5230" w:rsidP="00AB5230">
      <w:pPr>
        <w:pStyle w:val="BodyTextMain"/>
        <w:rPr>
          <w:lang w:val="en-GB"/>
        </w:rPr>
      </w:pPr>
    </w:p>
    <w:p w14:paraId="691E7E18" w14:textId="77777777" w:rsidR="00AB5230" w:rsidRPr="00646999" w:rsidRDefault="00AB5230" w:rsidP="00AB5230">
      <w:pPr>
        <w:pStyle w:val="BodyTextMain"/>
        <w:rPr>
          <w:lang w:val="en-GB"/>
        </w:rPr>
      </w:pPr>
    </w:p>
    <w:p w14:paraId="51D857A7" w14:textId="77777777" w:rsidR="00AB5230" w:rsidRPr="00646999" w:rsidRDefault="00AB5230" w:rsidP="00AB5230">
      <w:pPr>
        <w:pStyle w:val="BodyTextMain"/>
        <w:rPr>
          <w:lang w:val="en-GB"/>
        </w:rPr>
      </w:pPr>
    </w:p>
    <w:p w14:paraId="73A781F3" w14:textId="77777777" w:rsidR="00AB5230" w:rsidRPr="00646999" w:rsidRDefault="00AB5230" w:rsidP="00AB5230">
      <w:pPr>
        <w:pStyle w:val="BodyTextMain"/>
        <w:rPr>
          <w:lang w:val="en-GB"/>
        </w:rPr>
      </w:pPr>
    </w:p>
    <w:p w14:paraId="7C3130C6" w14:textId="77777777" w:rsidR="00AB5230" w:rsidRPr="00646999" w:rsidRDefault="00AB5230" w:rsidP="00AB5230">
      <w:pPr>
        <w:pStyle w:val="BodyTextMain"/>
        <w:rPr>
          <w:lang w:val="en-GB"/>
        </w:rPr>
      </w:pPr>
    </w:p>
    <w:p w14:paraId="0629128C" w14:textId="77777777" w:rsidR="00AB5230" w:rsidRPr="00646999" w:rsidRDefault="00AB5230" w:rsidP="00AB5230">
      <w:pPr>
        <w:pStyle w:val="BodyTextMain"/>
        <w:rPr>
          <w:lang w:val="en-GB"/>
        </w:rPr>
      </w:pPr>
    </w:p>
    <w:p w14:paraId="70B926A6" w14:textId="77777777" w:rsidR="00AB5230" w:rsidRPr="00646999" w:rsidRDefault="00AB5230" w:rsidP="00AB5230">
      <w:pPr>
        <w:pStyle w:val="BodyTextMain"/>
        <w:rPr>
          <w:lang w:val="en-GB"/>
        </w:rPr>
      </w:pPr>
    </w:p>
    <w:p w14:paraId="0A0CAB70" w14:textId="77777777" w:rsidR="00AB5230" w:rsidRPr="00646999" w:rsidRDefault="00AB5230" w:rsidP="00AB5230">
      <w:pPr>
        <w:pStyle w:val="BodyTextMain"/>
        <w:rPr>
          <w:lang w:val="en-GB"/>
        </w:rPr>
      </w:pPr>
    </w:p>
    <w:p w14:paraId="2319A85A" w14:textId="77777777" w:rsidR="00AB5230" w:rsidRPr="00646999" w:rsidRDefault="00AB5230" w:rsidP="00AB5230">
      <w:pPr>
        <w:pStyle w:val="BodyTextMain"/>
        <w:rPr>
          <w:lang w:val="en-GB"/>
        </w:rPr>
      </w:pPr>
    </w:p>
    <w:p w14:paraId="2A5C552C" w14:textId="77777777" w:rsidR="00AB5230" w:rsidRPr="00646999" w:rsidRDefault="00AB5230" w:rsidP="00AB5230">
      <w:pPr>
        <w:pStyle w:val="BodyTextMain"/>
        <w:rPr>
          <w:lang w:val="en-GB"/>
        </w:rPr>
      </w:pPr>
    </w:p>
    <w:p w14:paraId="333C2F9C" w14:textId="77777777" w:rsidR="00AB5230" w:rsidRPr="00646999" w:rsidRDefault="00AB5230" w:rsidP="00AB5230">
      <w:pPr>
        <w:pStyle w:val="BodyTextMain"/>
        <w:rPr>
          <w:lang w:val="en-GB"/>
        </w:rPr>
      </w:pPr>
    </w:p>
    <w:p w14:paraId="77EBE971" w14:textId="77777777" w:rsidR="00AB5230" w:rsidRPr="00646999" w:rsidRDefault="00AB5230" w:rsidP="00AB5230">
      <w:pPr>
        <w:pStyle w:val="BodyTextMain"/>
        <w:rPr>
          <w:lang w:val="en-GB"/>
        </w:rPr>
      </w:pPr>
    </w:p>
    <w:p w14:paraId="4D2F6319" w14:textId="581C53CE" w:rsidR="00A44828" w:rsidRPr="00646999" w:rsidRDefault="00A44828" w:rsidP="00AB5230">
      <w:pPr>
        <w:pStyle w:val="Footnote"/>
        <w:rPr>
          <w:lang w:val="en-GB"/>
        </w:rPr>
      </w:pPr>
      <w:r w:rsidRPr="00646999">
        <w:rPr>
          <w:lang w:val="en-GB"/>
        </w:rPr>
        <w:t>Note: km</w:t>
      </w:r>
      <w:r w:rsidRPr="00646999">
        <w:rPr>
          <w:vertAlign w:val="superscript"/>
          <w:lang w:val="en-GB"/>
        </w:rPr>
        <w:t>2</w:t>
      </w:r>
      <w:r w:rsidRPr="00646999">
        <w:rPr>
          <w:lang w:val="en-GB"/>
        </w:rPr>
        <w:t xml:space="preserve"> = square kilometre</w:t>
      </w:r>
      <w:r w:rsidR="008A6FE7" w:rsidRPr="00646999">
        <w:rPr>
          <w:lang w:val="en-GB"/>
        </w:rPr>
        <w:t>s</w:t>
      </w:r>
    </w:p>
    <w:p w14:paraId="0E7DF2EF" w14:textId="36E00EEE" w:rsidR="00AB5230" w:rsidRPr="00646999" w:rsidRDefault="00AB5230" w:rsidP="00AB5230">
      <w:pPr>
        <w:pStyle w:val="Footnote"/>
        <w:rPr>
          <w:lang w:val="en-GB"/>
        </w:rPr>
      </w:pPr>
      <w:r w:rsidRPr="00646999">
        <w:rPr>
          <w:lang w:val="en-GB"/>
        </w:rPr>
        <w:t>Source: CNOOC,</w:t>
      </w:r>
      <w:r w:rsidR="00A44828" w:rsidRPr="00646999">
        <w:rPr>
          <w:lang w:val="en-GB"/>
        </w:rPr>
        <w:t xml:space="preserve"> </w:t>
      </w:r>
      <w:r w:rsidRPr="00646999">
        <w:rPr>
          <w:i/>
          <w:lang w:val="en-GB"/>
        </w:rPr>
        <w:t xml:space="preserve">2016 </w:t>
      </w:r>
      <w:r w:rsidR="00A44828" w:rsidRPr="00646999">
        <w:rPr>
          <w:i/>
          <w:lang w:val="en-GB"/>
        </w:rPr>
        <w:t>A</w:t>
      </w:r>
      <w:r w:rsidRPr="00646999">
        <w:rPr>
          <w:i/>
          <w:lang w:val="en-GB"/>
        </w:rPr>
        <w:t xml:space="preserve">nnual </w:t>
      </w:r>
      <w:r w:rsidR="00A44828" w:rsidRPr="00646999">
        <w:rPr>
          <w:i/>
          <w:lang w:val="en-GB"/>
        </w:rPr>
        <w:t>R</w:t>
      </w:r>
      <w:r w:rsidRPr="00646999">
        <w:rPr>
          <w:i/>
          <w:lang w:val="en-GB"/>
        </w:rPr>
        <w:t>eport</w:t>
      </w:r>
      <w:r w:rsidR="00A44828" w:rsidRPr="00646999">
        <w:rPr>
          <w:i/>
          <w:lang w:val="en-GB"/>
        </w:rPr>
        <w:t xml:space="preserve"> China National Offshore Oil Corp</w:t>
      </w:r>
      <w:r w:rsidRPr="00646999">
        <w:rPr>
          <w:lang w:val="en-GB"/>
        </w:rPr>
        <w:t>.</w:t>
      </w:r>
      <w:r w:rsidR="00A44828" w:rsidRPr="00646999">
        <w:rPr>
          <w:lang w:val="en-GB"/>
        </w:rPr>
        <w:t>,</w:t>
      </w:r>
      <w:r w:rsidRPr="00646999">
        <w:rPr>
          <w:lang w:val="en-GB"/>
        </w:rPr>
        <w:t xml:space="preserve"> April 21, 2017, accessed May 12, 2017</w:t>
      </w:r>
      <w:r w:rsidR="00A44828" w:rsidRPr="00646999">
        <w:rPr>
          <w:lang w:val="en-GB"/>
        </w:rPr>
        <w:t>, www.cnooc.com.cn/attach/0/1706141400351842136.pdf.</w:t>
      </w:r>
    </w:p>
    <w:p w14:paraId="10DD726D" w14:textId="36E7DA32" w:rsidR="00AB5230" w:rsidRPr="00646999" w:rsidRDefault="00AB5230">
      <w:pPr>
        <w:spacing w:after="200" w:line="276" w:lineRule="auto"/>
        <w:rPr>
          <w:sz w:val="22"/>
          <w:szCs w:val="22"/>
          <w:lang w:val="en-GB"/>
        </w:rPr>
      </w:pPr>
      <w:r w:rsidRPr="00646999">
        <w:rPr>
          <w:lang w:val="en-GB"/>
        </w:rPr>
        <w:br w:type="page"/>
      </w:r>
    </w:p>
    <w:p w14:paraId="1AABB8B5" w14:textId="77777777" w:rsidR="00AB5230" w:rsidRPr="00646999" w:rsidRDefault="00AB5230" w:rsidP="00AB5230">
      <w:pPr>
        <w:pStyle w:val="BodyTextMain"/>
        <w:rPr>
          <w:lang w:val="en-GB"/>
        </w:rPr>
        <w:sectPr w:rsidR="00AB5230" w:rsidRPr="00646999" w:rsidSect="00751E0B">
          <w:headerReference w:type="default" r:id="rId12"/>
          <w:endnotePr>
            <w:numFmt w:val="decimal"/>
          </w:endnotePr>
          <w:pgSz w:w="12240" w:h="15840" w:code="1"/>
          <w:pgMar w:top="1080" w:right="1440" w:bottom="1440" w:left="1440" w:header="1080" w:footer="720" w:gutter="0"/>
          <w:cols w:space="720"/>
          <w:titlePg/>
          <w:docGrid w:linePitch="360"/>
        </w:sectPr>
      </w:pPr>
    </w:p>
    <w:p w14:paraId="77AA7D90" w14:textId="7948DFE5" w:rsidR="00AB5230" w:rsidRPr="00646999" w:rsidRDefault="00AB5230" w:rsidP="00AB5230">
      <w:pPr>
        <w:pStyle w:val="ExhibitHeading"/>
        <w:rPr>
          <w:lang w:val="en-GB"/>
        </w:rPr>
      </w:pPr>
      <w:r w:rsidRPr="00646999">
        <w:rPr>
          <w:lang w:val="en-GB"/>
        </w:rPr>
        <w:lastRenderedPageBreak/>
        <w:t xml:space="preserve">Exhibit 2: </w:t>
      </w:r>
      <w:r w:rsidR="007F1079">
        <w:rPr>
          <w:lang w:val="en-GB"/>
        </w:rPr>
        <w:t xml:space="preserve">china national offshore oil corporation’s </w:t>
      </w:r>
      <w:r w:rsidRPr="00646999">
        <w:rPr>
          <w:lang w:val="en-GB"/>
        </w:rPr>
        <w:t>KEY FINANCIAL INDICATORS</w:t>
      </w:r>
      <w:r w:rsidR="00293A3C" w:rsidRPr="00646999">
        <w:rPr>
          <w:lang w:val="en-GB"/>
        </w:rPr>
        <w:t>,</w:t>
      </w:r>
      <w:r w:rsidRPr="00646999">
        <w:rPr>
          <w:lang w:val="en-GB"/>
        </w:rPr>
        <w:t xml:space="preserve"> 2006</w:t>
      </w:r>
      <w:r w:rsidR="00293A3C" w:rsidRPr="00646999">
        <w:rPr>
          <w:lang w:val="en-GB"/>
        </w:rPr>
        <w:t>–</w:t>
      </w:r>
      <w:r w:rsidRPr="00646999">
        <w:rPr>
          <w:lang w:val="en-GB"/>
        </w:rPr>
        <w:t>2016</w:t>
      </w:r>
      <w:r w:rsidR="00293A3C" w:rsidRPr="00646999">
        <w:rPr>
          <w:lang w:val="en-GB"/>
        </w:rPr>
        <w:t xml:space="preserve"> (</w:t>
      </w:r>
      <w:r w:rsidR="00AF178E">
        <w:rPr>
          <w:lang w:val="en-GB"/>
        </w:rPr>
        <w:t xml:space="preserve">in </w:t>
      </w:r>
      <w:r w:rsidR="00293A3C" w:rsidRPr="00646999">
        <w:rPr>
          <w:lang w:val="en-GB"/>
        </w:rPr>
        <w:t>¥ millions)</w:t>
      </w:r>
    </w:p>
    <w:p w14:paraId="2624CFCD" w14:textId="77777777" w:rsidR="00AB5230" w:rsidRPr="00646999" w:rsidRDefault="00AB5230" w:rsidP="00AB5230">
      <w:pPr>
        <w:pStyle w:val="BodyTextMain"/>
        <w:rPr>
          <w:lang w:val="en-GB"/>
        </w:rPr>
      </w:pPr>
    </w:p>
    <w:tbl>
      <w:tblPr>
        <w:tblStyle w:val="TableGrid"/>
        <w:tblW w:w="0" w:type="auto"/>
        <w:jc w:val="center"/>
        <w:tblLook w:val="04A0" w:firstRow="1" w:lastRow="0" w:firstColumn="1" w:lastColumn="0" w:noHBand="0" w:noVBand="1"/>
      </w:tblPr>
      <w:tblGrid>
        <w:gridCol w:w="2068"/>
        <w:gridCol w:w="989"/>
        <w:gridCol w:w="988"/>
        <w:gridCol w:w="988"/>
        <w:gridCol w:w="989"/>
        <w:gridCol w:w="988"/>
        <w:gridCol w:w="988"/>
        <w:gridCol w:w="940"/>
        <w:gridCol w:w="1186"/>
        <w:gridCol w:w="940"/>
        <w:gridCol w:w="943"/>
        <w:gridCol w:w="943"/>
      </w:tblGrid>
      <w:tr w:rsidR="00AB5230" w:rsidRPr="00646999" w14:paraId="6F3ADC05" w14:textId="77777777" w:rsidTr="001C227B">
        <w:trPr>
          <w:jc w:val="center"/>
        </w:trPr>
        <w:tc>
          <w:tcPr>
            <w:tcW w:w="2068" w:type="dxa"/>
          </w:tcPr>
          <w:p w14:paraId="34AD1DEF" w14:textId="6D6B3A42" w:rsidR="00AB5230" w:rsidRPr="00646999" w:rsidRDefault="00AB5230" w:rsidP="00EC26AD">
            <w:pPr>
              <w:pStyle w:val="ExhibitText"/>
              <w:jc w:val="center"/>
              <w:rPr>
                <w:b/>
                <w:noProof/>
                <w:lang w:val="en-GB"/>
              </w:rPr>
            </w:pPr>
          </w:p>
        </w:tc>
        <w:tc>
          <w:tcPr>
            <w:tcW w:w="989" w:type="dxa"/>
          </w:tcPr>
          <w:p w14:paraId="70621AEF" w14:textId="77777777" w:rsidR="00AB5230" w:rsidRPr="00646999" w:rsidRDefault="00AB5230" w:rsidP="005E4851">
            <w:pPr>
              <w:pStyle w:val="ExhibitText"/>
              <w:jc w:val="center"/>
              <w:rPr>
                <w:b/>
                <w:noProof/>
                <w:lang w:val="en-GB"/>
              </w:rPr>
            </w:pPr>
            <w:r w:rsidRPr="00646999">
              <w:rPr>
                <w:b/>
                <w:noProof/>
                <w:lang w:val="en-GB"/>
              </w:rPr>
              <w:t>2016</w:t>
            </w:r>
          </w:p>
        </w:tc>
        <w:tc>
          <w:tcPr>
            <w:tcW w:w="988" w:type="dxa"/>
          </w:tcPr>
          <w:p w14:paraId="7EB03D1B" w14:textId="77777777" w:rsidR="00AB5230" w:rsidRPr="00646999" w:rsidRDefault="00AB5230" w:rsidP="005E4851">
            <w:pPr>
              <w:pStyle w:val="ExhibitText"/>
              <w:jc w:val="center"/>
              <w:rPr>
                <w:b/>
                <w:noProof/>
                <w:lang w:val="en-GB"/>
              </w:rPr>
            </w:pPr>
            <w:r w:rsidRPr="00646999">
              <w:rPr>
                <w:b/>
                <w:noProof/>
                <w:lang w:val="en-GB"/>
              </w:rPr>
              <w:t>2015</w:t>
            </w:r>
          </w:p>
        </w:tc>
        <w:tc>
          <w:tcPr>
            <w:tcW w:w="988" w:type="dxa"/>
          </w:tcPr>
          <w:p w14:paraId="4A251F6E" w14:textId="77777777" w:rsidR="00AB5230" w:rsidRPr="00646999" w:rsidRDefault="00AB5230" w:rsidP="005E4851">
            <w:pPr>
              <w:pStyle w:val="ExhibitText"/>
              <w:jc w:val="center"/>
              <w:rPr>
                <w:b/>
                <w:noProof/>
                <w:lang w:val="en-GB"/>
              </w:rPr>
            </w:pPr>
            <w:r w:rsidRPr="00646999">
              <w:rPr>
                <w:b/>
                <w:noProof/>
                <w:lang w:val="en-GB"/>
              </w:rPr>
              <w:t>2014</w:t>
            </w:r>
          </w:p>
        </w:tc>
        <w:tc>
          <w:tcPr>
            <w:tcW w:w="989" w:type="dxa"/>
          </w:tcPr>
          <w:p w14:paraId="0D33AB16" w14:textId="77777777" w:rsidR="00AB5230" w:rsidRPr="00646999" w:rsidRDefault="00AB5230" w:rsidP="005E4851">
            <w:pPr>
              <w:pStyle w:val="ExhibitText"/>
              <w:jc w:val="center"/>
              <w:rPr>
                <w:b/>
                <w:noProof/>
                <w:lang w:val="en-GB"/>
              </w:rPr>
            </w:pPr>
            <w:r w:rsidRPr="00646999">
              <w:rPr>
                <w:b/>
                <w:noProof/>
                <w:lang w:val="en-GB"/>
              </w:rPr>
              <w:t>2013</w:t>
            </w:r>
          </w:p>
        </w:tc>
        <w:tc>
          <w:tcPr>
            <w:tcW w:w="988" w:type="dxa"/>
          </w:tcPr>
          <w:p w14:paraId="12372298" w14:textId="77777777" w:rsidR="00AB5230" w:rsidRPr="00646999" w:rsidRDefault="00AB5230" w:rsidP="005E4851">
            <w:pPr>
              <w:pStyle w:val="ExhibitText"/>
              <w:jc w:val="center"/>
              <w:rPr>
                <w:b/>
                <w:noProof/>
                <w:lang w:val="en-GB"/>
              </w:rPr>
            </w:pPr>
            <w:r w:rsidRPr="00646999">
              <w:rPr>
                <w:b/>
                <w:noProof/>
                <w:lang w:val="en-GB"/>
              </w:rPr>
              <w:t>2012</w:t>
            </w:r>
          </w:p>
        </w:tc>
        <w:tc>
          <w:tcPr>
            <w:tcW w:w="988" w:type="dxa"/>
          </w:tcPr>
          <w:p w14:paraId="6836CC27" w14:textId="77777777" w:rsidR="00AB5230" w:rsidRPr="00646999" w:rsidRDefault="00AB5230" w:rsidP="005E4851">
            <w:pPr>
              <w:pStyle w:val="ExhibitText"/>
              <w:jc w:val="center"/>
              <w:rPr>
                <w:b/>
                <w:noProof/>
                <w:lang w:val="en-GB"/>
              </w:rPr>
            </w:pPr>
            <w:r w:rsidRPr="00646999">
              <w:rPr>
                <w:b/>
                <w:noProof/>
                <w:lang w:val="en-GB"/>
              </w:rPr>
              <w:t>2011</w:t>
            </w:r>
          </w:p>
        </w:tc>
        <w:tc>
          <w:tcPr>
            <w:tcW w:w="940" w:type="dxa"/>
          </w:tcPr>
          <w:p w14:paraId="1942D115" w14:textId="77777777" w:rsidR="00AB5230" w:rsidRPr="00646999" w:rsidRDefault="00AB5230" w:rsidP="005E4851">
            <w:pPr>
              <w:pStyle w:val="ExhibitText"/>
              <w:jc w:val="center"/>
              <w:rPr>
                <w:b/>
                <w:noProof/>
                <w:lang w:val="en-GB"/>
              </w:rPr>
            </w:pPr>
            <w:r w:rsidRPr="00646999">
              <w:rPr>
                <w:b/>
                <w:noProof/>
                <w:lang w:val="en-GB"/>
              </w:rPr>
              <w:t>2010</w:t>
            </w:r>
          </w:p>
        </w:tc>
        <w:tc>
          <w:tcPr>
            <w:tcW w:w="1186" w:type="dxa"/>
          </w:tcPr>
          <w:p w14:paraId="335BCF19" w14:textId="77777777" w:rsidR="00AB5230" w:rsidRPr="00646999" w:rsidRDefault="00AB5230" w:rsidP="005E4851">
            <w:pPr>
              <w:pStyle w:val="ExhibitText"/>
              <w:jc w:val="center"/>
              <w:rPr>
                <w:b/>
                <w:noProof/>
                <w:lang w:val="en-GB"/>
              </w:rPr>
            </w:pPr>
            <w:r w:rsidRPr="00646999">
              <w:rPr>
                <w:b/>
                <w:noProof/>
                <w:lang w:val="en-GB"/>
              </w:rPr>
              <w:t>2009</w:t>
            </w:r>
          </w:p>
        </w:tc>
        <w:tc>
          <w:tcPr>
            <w:tcW w:w="940" w:type="dxa"/>
          </w:tcPr>
          <w:p w14:paraId="6424BBF6" w14:textId="77777777" w:rsidR="00AB5230" w:rsidRPr="00646999" w:rsidRDefault="00AB5230" w:rsidP="005E4851">
            <w:pPr>
              <w:pStyle w:val="ExhibitText"/>
              <w:jc w:val="center"/>
              <w:rPr>
                <w:b/>
                <w:noProof/>
                <w:lang w:val="en-GB"/>
              </w:rPr>
            </w:pPr>
            <w:r w:rsidRPr="00646999">
              <w:rPr>
                <w:b/>
                <w:noProof/>
                <w:lang w:val="en-GB"/>
              </w:rPr>
              <w:t>2008</w:t>
            </w:r>
          </w:p>
        </w:tc>
        <w:tc>
          <w:tcPr>
            <w:tcW w:w="943" w:type="dxa"/>
          </w:tcPr>
          <w:p w14:paraId="704BA9F3" w14:textId="77777777" w:rsidR="00AB5230" w:rsidRPr="00646999" w:rsidRDefault="00AB5230" w:rsidP="005E4851">
            <w:pPr>
              <w:pStyle w:val="ExhibitText"/>
              <w:jc w:val="center"/>
              <w:rPr>
                <w:b/>
                <w:noProof/>
                <w:lang w:val="en-GB"/>
              </w:rPr>
            </w:pPr>
            <w:r w:rsidRPr="00646999">
              <w:rPr>
                <w:b/>
                <w:noProof/>
                <w:lang w:val="en-GB"/>
              </w:rPr>
              <w:t>2007</w:t>
            </w:r>
          </w:p>
        </w:tc>
        <w:tc>
          <w:tcPr>
            <w:tcW w:w="943" w:type="dxa"/>
          </w:tcPr>
          <w:p w14:paraId="21C3CA76" w14:textId="77777777" w:rsidR="00AB5230" w:rsidRPr="00646999" w:rsidRDefault="00AB5230" w:rsidP="005E4851">
            <w:pPr>
              <w:pStyle w:val="ExhibitText"/>
              <w:jc w:val="center"/>
              <w:rPr>
                <w:b/>
                <w:noProof/>
                <w:lang w:val="en-GB"/>
              </w:rPr>
            </w:pPr>
            <w:r w:rsidRPr="00646999">
              <w:rPr>
                <w:b/>
                <w:noProof/>
                <w:lang w:val="en-GB"/>
              </w:rPr>
              <w:t>2006</w:t>
            </w:r>
          </w:p>
        </w:tc>
      </w:tr>
      <w:tr w:rsidR="00AB5230" w:rsidRPr="00646999" w14:paraId="06971971" w14:textId="77777777" w:rsidTr="001C227B">
        <w:trPr>
          <w:jc w:val="center"/>
        </w:trPr>
        <w:tc>
          <w:tcPr>
            <w:tcW w:w="2068" w:type="dxa"/>
          </w:tcPr>
          <w:p w14:paraId="40178CC6" w14:textId="77777777" w:rsidR="00AB5230" w:rsidRPr="00646999" w:rsidRDefault="00AB5230" w:rsidP="005E4851">
            <w:pPr>
              <w:pStyle w:val="ExhibitText"/>
              <w:jc w:val="left"/>
              <w:rPr>
                <w:b/>
                <w:noProof/>
                <w:lang w:val="en-GB"/>
              </w:rPr>
            </w:pPr>
            <w:r w:rsidRPr="00646999">
              <w:rPr>
                <w:b/>
                <w:noProof/>
                <w:lang w:val="en-GB"/>
              </w:rPr>
              <w:t xml:space="preserve">Total Revenues </w:t>
            </w:r>
          </w:p>
        </w:tc>
        <w:tc>
          <w:tcPr>
            <w:tcW w:w="989" w:type="dxa"/>
          </w:tcPr>
          <w:p w14:paraId="62806391" w14:textId="77777777" w:rsidR="00AB5230" w:rsidRPr="00646999" w:rsidRDefault="00AB5230" w:rsidP="005E4851">
            <w:pPr>
              <w:pStyle w:val="ExhibitText"/>
              <w:jc w:val="right"/>
              <w:rPr>
                <w:noProof/>
                <w:lang w:val="en-GB"/>
              </w:rPr>
            </w:pPr>
            <w:r w:rsidRPr="00646999">
              <w:rPr>
                <w:noProof/>
                <w:lang w:val="en-GB"/>
              </w:rPr>
              <w:t>146,490</w:t>
            </w:r>
          </w:p>
        </w:tc>
        <w:tc>
          <w:tcPr>
            <w:tcW w:w="988" w:type="dxa"/>
          </w:tcPr>
          <w:p w14:paraId="72789122" w14:textId="77777777" w:rsidR="00AB5230" w:rsidRPr="00646999" w:rsidRDefault="00AB5230" w:rsidP="005E4851">
            <w:pPr>
              <w:pStyle w:val="ExhibitText"/>
              <w:jc w:val="right"/>
              <w:rPr>
                <w:noProof/>
                <w:lang w:val="en-GB"/>
              </w:rPr>
            </w:pPr>
            <w:r w:rsidRPr="00646999">
              <w:rPr>
                <w:noProof/>
                <w:lang w:val="en-GB"/>
              </w:rPr>
              <w:t>171,437</w:t>
            </w:r>
          </w:p>
        </w:tc>
        <w:tc>
          <w:tcPr>
            <w:tcW w:w="988" w:type="dxa"/>
          </w:tcPr>
          <w:p w14:paraId="1664AEEE" w14:textId="77777777" w:rsidR="00AB5230" w:rsidRPr="00646999" w:rsidRDefault="00AB5230" w:rsidP="005E4851">
            <w:pPr>
              <w:pStyle w:val="ExhibitText"/>
              <w:jc w:val="right"/>
              <w:rPr>
                <w:noProof/>
                <w:lang w:val="en-GB"/>
              </w:rPr>
            </w:pPr>
            <w:r w:rsidRPr="00646999">
              <w:rPr>
                <w:noProof/>
                <w:lang w:val="en-GB"/>
              </w:rPr>
              <w:t>274,634</w:t>
            </w:r>
          </w:p>
        </w:tc>
        <w:tc>
          <w:tcPr>
            <w:tcW w:w="989" w:type="dxa"/>
          </w:tcPr>
          <w:p w14:paraId="2F979164" w14:textId="77777777" w:rsidR="00AB5230" w:rsidRPr="00646999" w:rsidRDefault="00AB5230" w:rsidP="005E4851">
            <w:pPr>
              <w:pStyle w:val="ExhibitText"/>
              <w:jc w:val="right"/>
              <w:rPr>
                <w:noProof/>
                <w:lang w:val="en-GB"/>
              </w:rPr>
            </w:pPr>
            <w:r w:rsidRPr="00646999">
              <w:rPr>
                <w:noProof/>
                <w:lang w:val="en-GB"/>
              </w:rPr>
              <w:t>285,857</w:t>
            </w:r>
          </w:p>
        </w:tc>
        <w:tc>
          <w:tcPr>
            <w:tcW w:w="988" w:type="dxa"/>
          </w:tcPr>
          <w:p w14:paraId="64B17441" w14:textId="77777777" w:rsidR="00AB5230" w:rsidRPr="00646999" w:rsidRDefault="00AB5230" w:rsidP="005E4851">
            <w:pPr>
              <w:pStyle w:val="ExhibitText"/>
              <w:jc w:val="right"/>
              <w:rPr>
                <w:noProof/>
                <w:lang w:val="en-GB"/>
              </w:rPr>
            </w:pPr>
            <w:r w:rsidRPr="00646999">
              <w:rPr>
                <w:noProof/>
                <w:lang w:val="en-GB"/>
              </w:rPr>
              <w:t>247,627</w:t>
            </w:r>
          </w:p>
        </w:tc>
        <w:tc>
          <w:tcPr>
            <w:tcW w:w="988" w:type="dxa"/>
          </w:tcPr>
          <w:p w14:paraId="06C5D408" w14:textId="77777777" w:rsidR="00AB5230" w:rsidRPr="00646999" w:rsidRDefault="00AB5230" w:rsidP="005E4851">
            <w:pPr>
              <w:pStyle w:val="ExhibitText"/>
              <w:jc w:val="right"/>
              <w:rPr>
                <w:noProof/>
                <w:lang w:val="en-GB"/>
              </w:rPr>
            </w:pPr>
            <w:r w:rsidRPr="00646999">
              <w:rPr>
                <w:noProof/>
                <w:lang w:val="en-GB"/>
              </w:rPr>
              <w:t>240,944</w:t>
            </w:r>
          </w:p>
        </w:tc>
        <w:tc>
          <w:tcPr>
            <w:tcW w:w="940" w:type="dxa"/>
          </w:tcPr>
          <w:p w14:paraId="6E63F864" w14:textId="77777777" w:rsidR="00AB5230" w:rsidRPr="00646999" w:rsidRDefault="00AB5230" w:rsidP="005E4851">
            <w:pPr>
              <w:pStyle w:val="ExhibitText"/>
              <w:jc w:val="right"/>
              <w:rPr>
                <w:noProof/>
                <w:lang w:val="en-GB"/>
              </w:rPr>
            </w:pPr>
            <w:r w:rsidRPr="00646999">
              <w:rPr>
                <w:noProof/>
                <w:lang w:val="en-GB"/>
              </w:rPr>
              <w:t>183,053</w:t>
            </w:r>
          </w:p>
        </w:tc>
        <w:tc>
          <w:tcPr>
            <w:tcW w:w="1186" w:type="dxa"/>
          </w:tcPr>
          <w:p w14:paraId="0C3D0B18" w14:textId="77777777" w:rsidR="00AB5230" w:rsidRPr="00646999" w:rsidRDefault="00AB5230" w:rsidP="005E4851">
            <w:pPr>
              <w:pStyle w:val="ExhibitText"/>
              <w:jc w:val="right"/>
              <w:rPr>
                <w:noProof/>
                <w:lang w:val="en-GB"/>
              </w:rPr>
            </w:pPr>
            <w:r w:rsidRPr="00646999">
              <w:rPr>
                <w:noProof/>
                <w:lang w:val="en-GB"/>
              </w:rPr>
              <w:t>105,195</w:t>
            </w:r>
          </w:p>
        </w:tc>
        <w:tc>
          <w:tcPr>
            <w:tcW w:w="940" w:type="dxa"/>
          </w:tcPr>
          <w:p w14:paraId="1CDF4773" w14:textId="77777777" w:rsidR="00AB5230" w:rsidRPr="00646999" w:rsidRDefault="00AB5230" w:rsidP="005E4851">
            <w:pPr>
              <w:pStyle w:val="ExhibitText"/>
              <w:jc w:val="right"/>
              <w:rPr>
                <w:noProof/>
                <w:lang w:val="en-GB"/>
              </w:rPr>
            </w:pPr>
            <w:r w:rsidRPr="00646999">
              <w:rPr>
                <w:noProof/>
                <w:lang w:val="en-GB"/>
              </w:rPr>
              <w:t>125,977</w:t>
            </w:r>
          </w:p>
        </w:tc>
        <w:tc>
          <w:tcPr>
            <w:tcW w:w="943" w:type="dxa"/>
          </w:tcPr>
          <w:p w14:paraId="3CC4D54D" w14:textId="77777777" w:rsidR="00AB5230" w:rsidRPr="00646999" w:rsidRDefault="00AB5230" w:rsidP="005E4851">
            <w:pPr>
              <w:pStyle w:val="ExhibitText"/>
              <w:jc w:val="right"/>
              <w:rPr>
                <w:noProof/>
                <w:lang w:val="en-GB"/>
              </w:rPr>
            </w:pPr>
            <w:r w:rsidRPr="00646999">
              <w:rPr>
                <w:noProof/>
                <w:lang w:val="en-GB"/>
              </w:rPr>
              <w:t>90,724</w:t>
            </w:r>
          </w:p>
        </w:tc>
        <w:tc>
          <w:tcPr>
            <w:tcW w:w="943" w:type="dxa"/>
          </w:tcPr>
          <w:p w14:paraId="6637D299" w14:textId="77777777" w:rsidR="00AB5230" w:rsidRPr="00646999" w:rsidRDefault="00AB5230" w:rsidP="005E4851">
            <w:pPr>
              <w:pStyle w:val="ExhibitText"/>
              <w:jc w:val="right"/>
              <w:rPr>
                <w:noProof/>
                <w:lang w:val="en-GB"/>
              </w:rPr>
            </w:pPr>
            <w:r w:rsidRPr="00646999">
              <w:rPr>
                <w:noProof/>
                <w:lang w:val="en-GB"/>
              </w:rPr>
              <w:t>88,947</w:t>
            </w:r>
          </w:p>
        </w:tc>
      </w:tr>
      <w:tr w:rsidR="00AB5230" w:rsidRPr="00646999" w14:paraId="1A42FB33" w14:textId="77777777" w:rsidTr="001C227B">
        <w:trPr>
          <w:jc w:val="center"/>
        </w:trPr>
        <w:tc>
          <w:tcPr>
            <w:tcW w:w="2068" w:type="dxa"/>
          </w:tcPr>
          <w:p w14:paraId="6DB7C011" w14:textId="77777777" w:rsidR="00AB5230" w:rsidRPr="00646999" w:rsidRDefault="00AB5230" w:rsidP="005E4851">
            <w:pPr>
              <w:pStyle w:val="ExhibitText"/>
              <w:jc w:val="left"/>
              <w:rPr>
                <w:b/>
                <w:noProof/>
                <w:lang w:val="en-GB"/>
              </w:rPr>
            </w:pPr>
            <w:r w:rsidRPr="00646999">
              <w:rPr>
                <w:b/>
                <w:noProof/>
                <w:lang w:val="en-GB"/>
              </w:rPr>
              <w:t>Total Expenses</w:t>
            </w:r>
          </w:p>
        </w:tc>
        <w:tc>
          <w:tcPr>
            <w:tcW w:w="989" w:type="dxa"/>
          </w:tcPr>
          <w:p w14:paraId="3D5038F9" w14:textId="77777777" w:rsidR="00AB5230" w:rsidRPr="00646999" w:rsidRDefault="00AB5230" w:rsidP="005E4851">
            <w:pPr>
              <w:pStyle w:val="ExhibitText"/>
              <w:jc w:val="right"/>
              <w:rPr>
                <w:noProof/>
                <w:lang w:val="en-GB"/>
              </w:rPr>
            </w:pPr>
            <w:r w:rsidRPr="00646999">
              <w:rPr>
                <w:noProof/>
                <w:lang w:val="en-GB"/>
              </w:rPr>
              <w:t>148,902</w:t>
            </w:r>
          </w:p>
        </w:tc>
        <w:tc>
          <w:tcPr>
            <w:tcW w:w="988" w:type="dxa"/>
          </w:tcPr>
          <w:p w14:paraId="49A67868" w14:textId="77777777" w:rsidR="00AB5230" w:rsidRPr="00646999" w:rsidRDefault="00AB5230" w:rsidP="005E4851">
            <w:pPr>
              <w:pStyle w:val="ExhibitText"/>
              <w:jc w:val="right"/>
              <w:rPr>
                <w:noProof/>
                <w:lang w:val="en-GB"/>
              </w:rPr>
            </w:pPr>
            <w:r w:rsidRPr="00646999">
              <w:rPr>
                <w:noProof/>
                <w:lang w:val="en-GB"/>
              </w:rPr>
              <w:t>153,981</w:t>
            </w:r>
          </w:p>
        </w:tc>
        <w:tc>
          <w:tcPr>
            <w:tcW w:w="988" w:type="dxa"/>
          </w:tcPr>
          <w:p w14:paraId="1266005B" w14:textId="77777777" w:rsidR="00AB5230" w:rsidRPr="00646999" w:rsidRDefault="00AB5230" w:rsidP="005E4851">
            <w:pPr>
              <w:pStyle w:val="ExhibitText"/>
              <w:jc w:val="right"/>
              <w:rPr>
                <w:noProof/>
                <w:lang w:val="en-GB"/>
              </w:rPr>
            </w:pPr>
            <w:r w:rsidRPr="00646999">
              <w:rPr>
                <w:noProof/>
                <w:lang w:val="en-GB"/>
              </w:rPr>
              <w:t>193,719</w:t>
            </w:r>
          </w:p>
        </w:tc>
        <w:tc>
          <w:tcPr>
            <w:tcW w:w="989" w:type="dxa"/>
          </w:tcPr>
          <w:p w14:paraId="6E285CFA" w14:textId="77777777" w:rsidR="00AB5230" w:rsidRPr="00646999" w:rsidRDefault="00AB5230" w:rsidP="005E4851">
            <w:pPr>
              <w:pStyle w:val="ExhibitText"/>
              <w:jc w:val="right"/>
              <w:rPr>
                <w:noProof/>
                <w:lang w:val="en-GB"/>
              </w:rPr>
            </w:pPr>
            <w:r w:rsidRPr="00646999">
              <w:rPr>
                <w:noProof/>
                <w:lang w:val="en-GB"/>
              </w:rPr>
              <w:t>207,354</w:t>
            </w:r>
          </w:p>
        </w:tc>
        <w:tc>
          <w:tcPr>
            <w:tcW w:w="988" w:type="dxa"/>
          </w:tcPr>
          <w:p w14:paraId="1D83CC52" w14:textId="77777777" w:rsidR="00AB5230" w:rsidRPr="00646999" w:rsidRDefault="00AB5230" w:rsidP="005E4851">
            <w:pPr>
              <w:pStyle w:val="ExhibitText"/>
              <w:jc w:val="right"/>
              <w:rPr>
                <w:noProof/>
                <w:lang w:val="en-GB"/>
              </w:rPr>
            </w:pPr>
            <w:r w:rsidRPr="00646999">
              <w:rPr>
                <w:noProof/>
                <w:lang w:val="en-GB"/>
              </w:rPr>
              <w:t>160,486</w:t>
            </w:r>
          </w:p>
        </w:tc>
        <w:tc>
          <w:tcPr>
            <w:tcW w:w="988" w:type="dxa"/>
          </w:tcPr>
          <w:p w14:paraId="64423609" w14:textId="77777777" w:rsidR="00AB5230" w:rsidRPr="00646999" w:rsidRDefault="00AB5230" w:rsidP="005E4851">
            <w:pPr>
              <w:pStyle w:val="ExhibitText"/>
              <w:jc w:val="right"/>
              <w:rPr>
                <w:noProof/>
                <w:lang w:val="en-GB"/>
              </w:rPr>
            </w:pPr>
            <w:r w:rsidRPr="00646999">
              <w:rPr>
                <w:noProof/>
                <w:lang w:val="en-GB"/>
              </w:rPr>
              <w:t>150,337</w:t>
            </w:r>
          </w:p>
        </w:tc>
        <w:tc>
          <w:tcPr>
            <w:tcW w:w="940" w:type="dxa"/>
          </w:tcPr>
          <w:p w14:paraId="5B1FE5B6" w14:textId="77777777" w:rsidR="00AB5230" w:rsidRPr="00646999" w:rsidRDefault="00AB5230" w:rsidP="005E4851">
            <w:pPr>
              <w:pStyle w:val="ExhibitText"/>
              <w:jc w:val="right"/>
              <w:rPr>
                <w:noProof/>
                <w:lang w:val="en-GB"/>
              </w:rPr>
            </w:pPr>
            <w:r w:rsidRPr="00646999">
              <w:rPr>
                <w:noProof/>
                <w:lang w:val="en-GB"/>
              </w:rPr>
              <w:t>111,648</w:t>
            </w:r>
          </w:p>
        </w:tc>
        <w:tc>
          <w:tcPr>
            <w:tcW w:w="1186" w:type="dxa"/>
          </w:tcPr>
          <w:p w14:paraId="71BC6D47" w14:textId="77777777" w:rsidR="00AB5230" w:rsidRPr="00646999" w:rsidRDefault="00AB5230" w:rsidP="005E4851">
            <w:pPr>
              <w:pStyle w:val="ExhibitText"/>
              <w:jc w:val="right"/>
              <w:rPr>
                <w:noProof/>
                <w:lang w:val="en-GB"/>
              </w:rPr>
            </w:pPr>
            <w:r w:rsidRPr="00646999">
              <w:rPr>
                <w:noProof/>
                <w:lang w:val="en-GB"/>
              </w:rPr>
              <w:t>64,870</w:t>
            </w:r>
          </w:p>
        </w:tc>
        <w:tc>
          <w:tcPr>
            <w:tcW w:w="940" w:type="dxa"/>
          </w:tcPr>
          <w:p w14:paraId="64B927CA" w14:textId="77777777" w:rsidR="00AB5230" w:rsidRPr="00646999" w:rsidRDefault="00AB5230" w:rsidP="005E4851">
            <w:pPr>
              <w:pStyle w:val="ExhibitText"/>
              <w:jc w:val="right"/>
              <w:rPr>
                <w:noProof/>
                <w:lang w:val="en-GB"/>
              </w:rPr>
            </w:pPr>
            <w:r w:rsidRPr="00646999">
              <w:rPr>
                <w:noProof/>
                <w:lang w:val="en-GB"/>
              </w:rPr>
              <w:t>72,112</w:t>
            </w:r>
          </w:p>
        </w:tc>
        <w:tc>
          <w:tcPr>
            <w:tcW w:w="943" w:type="dxa"/>
          </w:tcPr>
          <w:p w14:paraId="2E3858E9" w14:textId="77777777" w:rsidR="00AB5230" w:rsidRPr="00646999" w:rsidRDefault="00AB5230" w:rsidP="005E4851">
            <w:pPr>
              <w:pStyle w:val="ExhibitText"/>
              <w:jc w:val="right"/>
              <w:rPr>
                <w:noProof/>
                <w:lang w:val="en-GB"/>
              </w:rPr>
            </w:pPr>
            <w:r w:rsidRPr="00646999">
              <w:rPr>
                <w:noProof/>
                <w:lang w:val="en-GB"/>
              </w:rPr>
              <w:t>49,525</w:t>
            </w:r>
          </w:p>
        </w:tc>
        <w:tc>
          <w:tcPr>
            <w:tcW w:w="943" w:type="dxa"/>
          </w:tcPr>
          <w:p w14:paraId="42B7A508" w14:textId="77777777" w:rsidR="00AB5230" w:rsidRPr="00646999" w:rsidRDefault="00AB5230" w:rsidP="005E4851">
            <w:pPr>
              <w:pStyle w:val="ExhibitText"/>
              <w:jc w:val="right"/>
              <w:rPr>
                <w:noProof/>
                <w:lang w:val="en-GB"/>
              </w:rPr>
            </w:pPr>
            <w:r w:rsidRPr="00646999">
              <w:rPr>
                <w:noProof/>
                <w:lang w:val="en-GB"/>
              </w:rPr>
              <w:t>45,893</w:t>
            </w:r>
          </w:p>
        </w:tc>
      </w:tr>
      <w:tr w:rsidR="00AB5230" w:rsidRPr="00646999" w14:paraId="0FB25DB2" w14:textId="77777777" w:rsidTr="001C227B">
        <w:trPr>
          <w:jc w:val="center"/>
        </w:trPr>
        <w:tc>
          <w:tcPr>
            <w:tcW w:w="2068" w:type="dxa"/>
          </w:tcPr>
          <w:p w14:paraId="16AB9E75" w14:textId="77777777" w:rsidR="00AB5230" w:rsidRPr="00646999" w:rsidRDefault="00AB5230" w:rsidP="005E4851">
            <w:pPr>
              <w:pStyle w:val="ExhibitText"/>
              <w:jc w:val="left"/>
              <w:rPr>
                <w:b/>
                <w:noProof/>
                <w:lang w:val="en-GB"/>
              </w:rPr>
            </w:pPr>
            <w:r w:rsidRPr="00646999">
              <w:rPr>
                <w:b/>
                <w:noProof/>
                <w:lang w:val="en-GB"/>
              </w:rPr>
              <w:t>Investment Income</w:t>
            </w:r>
          </w:p>
        </w:tc>
        <w:tc>
          <w:tcPr>
            <w:tcW w:w="989" w:type="dxa"/>
          </w:tcPr>
          <w:p w14:paraId="50EABA8E" w14:textId="77777777" w:rsidR="00AB5230" w:rsidRPr="00646999" w:rsidRDefault="00AB5230" w:rsidP="005E4851">
            <w:pPr>
              <w:pStyle w:val="ExhibitText"/>
              <w:jc w:val="right"/>
              <w:rPr>
                <w:noProof/>
                <w:lang w:val="en-GB"/>
              </w:rPr>
            </w:pPr>
            <w:r w:rsidRPr="00646999">
              <w:rPr>
                <w:noProof/>
                <w:lang w:val="en-GB"/>
              </w:rPr>
              <w:t>2,774</w:t>
            </w:r>
          </w:p>
        </w:tc>
        <w:tc>
          <w:tcPr>
            <w:tcW w:w="988" w:type="dxa"/>
          </w:tcPr>
          <w:p w14:paraId="5803C16F" w14:textId="77777777" w:rsidR="00AB5230" w:rsidRPr="00646999" w:rsidRDefault="00AB5230" w:rsidP="005E4851">
            <w:pPr>
              <w:pStyle w:val="ExhibitText"/>
              <w:jc w:val="right"/>
              <w:rPr>
                <w:noProof/>
                <w:lang w:val="en-GB"/>
              </w:rPr>
            </w:pPr>
            <w:r w:rsidRPr="00646999">
              <w:rPr>
                <w:noProof/>
                <w:lang w:val="en-GB"/>
              </w:rPr>
              <w:t>2,398</w:t>
            </w:r>
          </w:p>
        </w:tc>
        <w:tc>
          <w:tcPr>
            <w:tcW w:w="988" w:type="dxa"/>
          </w:tcPr>
          <w:p w14:paraId="2320B616" w14:textId="77777777" w:rsidR="00AB5230" w:rsidRPr="00646999" w:rsidRDefault="00AB5230" w:rsidP="005E4851">
            <w:pPr>
              <w:pStyle w:val="ExhibitText"/>
              <w:jc w:val="right"/>
              <w:rPr>
                <w:noProof/>
                <w:lang w:val="en-GB"/>
              </w:rPr>
            </w:pPr>
            <w:r w:rsidRPr="00646999">
              <w:rPr>
                <w:noProof/>
                <w:lang w:val="en-GB"/>
              </w:rPr>
              <w:t>2,684</w:t>
            </w:r>
          </w:p>
        </w:tc>
        <w:tc>
          <w:tcPr>
            <w:tcW w:w="989" w:type="dxa"/>
          </w:tcPr>
          <w:p w14:paraId="38F64003" w14:textId="77777777" w:rsidR="00AB5230" w:rsidRPr="00646999" w:rsidRDefault="00AB5230" w:rsidP="005E4851">
            <w:pPr>
              <w:pStyle w:val="ExhibitText"/>
              <w:jc w:val="right"/>
              <w:rPr>
                <w:noProof/>
                <w:lang w:val="en-GB"/>
              </w:rPr>
            </w:pPr>
            <w:r w:rsidRPr="00646999">
              <w:rPr>
                <w:noProof/>
                <w:lang w:val="en-GB"/>
              </w:rPr>
              <w:t>2,611</w:t>
            </w:r>
          </w:p>
        </w:tc>
        <w:tc>
          <w:tcPr>
            <w:tcW w:w="988" w:type="dxa"/>
          </w:tcPr>
          <w:p w14:paraId="5A027AA5" w14:textId="77777777" w:rsidR="00AB5230" w:rsidRPr="00646999" w:rsidRDefault="00AB5230" w:rsidP="005E4851">
            <w:pPr>
              <w:pStyle w:val="ExhibitText"/>
              <w:jc w:val="right"/>
              <w:rPr>
                <w:noProof/>
                <w:lang w:val="en-GB"/>
              </w:rPr>
            </w:pPr>
            <w:r w:rsidRPr="00646999">
              <w:rPr>
                <w:noProof/>
                <w:lang w:val="en-GB"/>
              </w:rPr>
              <w:t>2,392</w:t>
            </w:r>
          </w:p>
        </w:tc>
        <w:tc>
          <w:tcPr>
            <w:tcW w:w="988" w:type="dxa"/>
          </w:tcPr>
          <w:p w14:paraId="2C27F7B1" w14:textId="77777777" w:rsidR="00AB5230" w:rsidRPr="00646999" w:rsidRDefault="00AB5230" w:rsidP="005E4851">
            <w:pPr>
              <w:pStyle w:val="ExhibitText"/>
              <w:jc w:val="right"/>
              <w:rPr>
                <w:noProof/>
                <w:lang w:val="en-GB"/>
              </w:rPr>
            </w:pPr>
            <w:r w:rsidRPr="00646999">
              <w:rPr>
                <w:noProof/>
                <w:lang w:val="en-GB"/>
              </w:rPr>
              <w:t>1,828</w:t>
            </w:r>
          </w:p>
        </w:tc>
        <w:tc>
          <w:tcPr>
            <w:tcW w:w="940" w:type="dxa"/>
          </w:tcPr>
          <w:p w14:paraId="1455FC6C" w14:textId="77777777" w:rsidR="00AB5230" w:rsidRPr="00646999" w:rsidRDefault="00AB5230" w:rsidP="005E4851">
            <w:pPr>
              <w:pStyle w:val="ExhibitText"/>
              <w:jc w:val="right"/>
              <w:rPr>
                <w:noProof/>
                <w:lang w:val="en-GB"/>
              </w:rPr>
            </w:pPr>
            <w:r w:rsidRPr="00646999">
              <w:rPr>
                <w:noProof/>
                <w:lang w:val="en-GB"/>
              </w:rPr>
              <w:t>427</w:t>
            </w:r>
          </w:p>
        </w:tc>
        <w:tc>
          <w:tcPr>
            <w:tcW w:w="1186" w:type="dxa"/>
          </w:tcPr>
          <w:p w14:paraId="41C17AC6" w14:textId="77777777" w:rsidR="00AB5230" w:rsidRPr="00646999" w:rsidRDefault="00AB5230" w:rsidP="005E4851">
            <w:pPr>
              <w:pStyle w:val="ExhibitText"/>
              <w:jc w:val="right"/>
              <w:rPr>
                <w:noProof/>
                <w:lang w:val="en-GB"/>
              </w:rPr>
            </w:pPr>
            <w:r w:rsidRPr="00646999">
              <w:rPr>
                <w:noProof/>
                <w:lang w:val="en-GB"/>
              </w:rPr>
              <w:t>200</w:t>
            </w:r>
          </w:p>
        </w:tc>
        <w:tc>
          <w:tcPr>
            <w:tcW w:w="940" w:type="dxa"/>
          </w:tcPr>
          <w:p w14:paraId="368FD8F8" w14:textId="77777777" w:rsidR="00AB5230" w:rsidRPr="00646999" w:rsidRDefault="00AB5230" w:rsidP="005E4851">
            <w:pPr>
              <w:pStyle w:val="ExhibitText"/>
              <w:jc w:val="right"/>
              <w:rPr>
                <w:noProof/>
                <w:lang w:val="en-GB"/>
              </w:rPr>
            </w:pPr>
            <w:r w:rsidRPr="00646999">
              <w:rPr>
                <w:noProof/>
                <w:lang w:val="en-GB"/>
              </w:rPr>
              <w:t>476</w:t>
            </w:r>
          </w:p>
        </w:tc>
        <w:tc>
          <w:tcPr>
            <w:tcW w:w="943" w:type="dxa"/>
          </w:tcPr>
          <w:p w14:paraId="4783702B" w14:textId="77777777" w:rsidR="00AB5230" w:rsidRPr="00646999" w:rsidRDefault="00AB5230" w:rsidP="005E4851">
            <w:pPr>
              <w:pStyle w:val="ExhibitText"/>
              <w:jc w:val="right"/>
              <w:rPr>
                <w:noProof/>
                <w:lang w:val="en-GB"/>
              </w:rPr>
            </w:pPr>
            <w:r w:rsidRPr="00646999">
              <w:rPr>
                <w:noProof/>
                <w:lang w:val="en-GB"/>
              </w:rPr>
              <w:t>902</w:t>
            </w:r>
          </w:p>
        </w:tc>
        <w:tc>
          <w:tcPr>
            <w:tcW w:w="943" w:type="dxa"/>
          </w:tcPr>
          <w:p w14:paraId="187305CE" w14:textId="77777777" w:rsidR="00AB5230" w:rsidRPr="00646999" w:rsidRDefault="00AB5230" w:rsidP="005E4851">
            <w:pPr>
              <w:pStyle w:val="ExhibitText"/>
              <w:jc w:val="right"/>
              <w:rPr>
                <w:noProof/>
                <w:lang w:val="en-GB"/>
              </w:rPr>
            </w:pPr>
            <w:r w:rsidRPr="00646999">
              <w:rPr>
                <w:noProof/>
                <w:lang w:val="en-GB"/>
              </w:rPr>
              <w:t>613</w:t>
            </w:r>
          </w:p>
        </w:tc>
      </w:tr>
      <w:tr w:rsidR="00AB5230" w:rsidRPr="00646999" w14:paraId="1D3C9338" w14:textId="77777777" w:rsidTr="001C227B">
        <w:trPr>
          <w:jc w:val="center"/>
        </w:trPr>
        <w:tc>
          <w:tcPr>
            <w:tcW w:w="2068" w:type="dxa"/>
            <w:tcBorders>
              <w:bottom w:val="single" w:sz="4" w:space="0" w:color="auto"/>
            </w:tcBorders>
          </w:tcPr>
          <w:p w14:paraId="48C12F6F" w14:textId="77777777" w:rsidR="00AB5230" w:rsidRPr="00646999" w:rsidRDefault="00AB5230" w:rsidP="005E4851">
            <w:pPr>
              <w:pStyle w:val="ExhibitText"/>
              <w:jc w:val="left"/>
              <w:rPr>
                <w:b/>
                <w:noProof/>
                <w:lang w:val="en-GB"/>
              </w:rPr>
            </w:pPr>
            <w:r w:rsidRPr="00646999">
              <w:rPr>
                <w:b/>
                <w:noProof/>
                <w:lang w:val="en-GB"/>
              </w:rPr>
              <w:t>Profit before Tax</w:t>
            </w:r>
          </w:p>
        </w:tc>
        <w:tc>
          <w:tcPr>
            <w:tcW w:w="989" w:type="dxa"/>
            <w:tcBorders>
              <w:bottom w:val="single" w:sz="4" w:space="0" w:color="auto"/>
            </w:tcBorders>
          </w:tcPr>
          <w:p w14:paraId="364590E3" w14:textId="77777777" w:rsidR="00AB5230" w:rsidRPr="00646999" w:rsidRDefault="00AB5230" w:rsidP="005E4851">
            <w:pPr>
              <w:pStyle w:val="ExhibitText"/>
              <w:jc w:val="right"/>
              <w:rPr>
                <w:noProof/>
                <w:lang w:val="en-GB"/>
              </w:rPr>
            </w:pPr>
            <w:r w:rsidRPr="00646999">
              <w:rPr>
                <w:noProof/>
                <w:lang w:val="en-GB"/>
              </w:rPr>
              <w:t>5,275</w:t>
            </w:r>
          </w:p>
        </w:tc>
        <w:tc>
          <w:tcPr>
            <w:tcW w:w="988" w:type="dxa"/>
            <w:tcBorders>
              <w:bottom w:val="single" w:sz="4" w:space="0" w:color="auto"/>
            </w:tcBorders>
          </w:tcPr>
          <w:p w14:paraId="25D42CF5" w14:textId="77777777" w:rsidR="00AB5230" w:rsidRPr="00646999" w:rsidRDefault="00AB5230" w:rsidP="005E4851">
            <w:pPr>
              <w:pStyle w:val="ExhibitText"/>
              <w:jc w:val="right"/>
              <w:rPr>
                <w:noProof/>
                <w:lang w:val="en-GB"/>
              </w:rPr>
            </w:pPr>
            <w:r w:rsidRPr="00646999">
              <w:rPr>
                <w:noProof/>
                <w:lang w:val="en-GB"/>
              </w:rPr>
              <w:t>17,130</w:t>
            </w:r>
          </w:p>
        </w:tc>
        <w:tc>
          <w:tcPr>
            <w:tcW w:w="988" w:type="dxa"/>
            <w:tcBorders>
              <w:bottom w:val="single" w:sz="4" w:space="0" w:color="auto"/>
            </w:tcBorders>
          </w:tcPr>
          <w:p w14:paraId="57CD7A56" w14:textId="77777777" w:rsidR="00AB5230" w:rsidRPr="00646999" w:rsidRDefault="00AB5230" w:rsidP="005E4851">
            <w:pPr>
              <w:pStyle w:val="ExhibitText"/>
              <w:jc w:val="right"/>
              <w:rPr>
                <w:noProof/>
                <w:lang w:val="en-GB"/>
              </w:rPr>
            </w:pPr>
            <w:r w:rsidRPr="00646999">
              <w:rPr>
                <w:noProof/>
                <w:lang w:val="en-GB"/>
              </w:rPr>
              <w:t>82,513</w:t>
            </w:r>
          </w:p>
        </w:tc>
        <w:tc>
          <w:tcPr>
            <w:tcW w:w="989" w:type="dxa"/>
            <w:tcBorders>
              <w:bottom w:val="single" w:sz="4" w:space="0" w:color="auto"/>
            </w:tcBorders>
          </w:tcPr>
          <w:p w14:paraId="00DB0C17" w14:textId="77777777" w:rsidR="00AB5230" w:rsidRPr="00646999" w:rsidRDefault="00AB5230" w:rsidP="005E4851">
            <w:pPr>
              <w:pStyle w:val="ExhibitText"/>
              <w:jc w:val="right"/>
              <w:rPr>
                <w:noProof/>
                <w:lang w:val="en-GB"/>
              </w:rPr>
            </w:pPr>
            <w:r w:rsidRPr="00646999">
              <w:rPr>
                <w:noProof/>
                <w:lang w:val="en-GB"/>
              </w:rPr>
              <w:t>80,851</w:t>
            </w:r>
          </w:p>
        </w:tc>
        <w:tc>
          <w:tcPr>
            <w:tcW w:w="988" w:type="dxa"/>
            <w:tcBorders>
              <w:bottom w:val="single" w:sz="4" w:space="0" w:color="auto"/>
            </w:tcBorders>
          </w:tcPr>
          <w:p w14:paraId="6E6B6F79" w14:textId="77777777" w:rsidR="00AB5230" w:rsidRPr="00646999" w:rsidRDefault="00AB5230" w:rsidP="005E4851">
            <w:pPr>
              <w:pStyle w:val="ExhibitText"/>
              <w:jc w:val="right"/>
              <w:rPr>
                <w:noProof/>
                <w:lang w:val="en-GB"/>
              </w:rPr>
            </w:pPr>
            <w:r w:rsidRPr="00646999">
              <w:rPr>
                <w:noProof/>
                <w:lang w:val="en-GB"/>
              </w:rPr>
              <w:t>90,172</w:t>
            </w:r>
          </w:p>
        </w:tc>
        <w:tc>
          <w:tcPr>
            <w:tcW w:w="988" w:type="dxa"/>
            <w:tcBorders>
              <w:bottom w:val="single" w:sz="4" w:space="0" w:color="auto"/>
            </w:tcBorders>
          </w:tcPr>
          <w:p w14:paraId="2AA059BD" w14:textId="77777777" w:rsidR="00AB5230" w:rsidRPr="00646999" w:rsidRDefault="00AB5230" w:rsidP="005E4851">
            <w:pPr>
              <w:pStyle w:val="ExhibitText"/>
              <w:jc w:val="right"/>
              <w:rPr>
                <w:noProof/>
                <w:lang w:val="en-GB"/>
              </w:rPr>
            </w:pPr>
            <w:r w:rsidRPr="00646999">
              <w:rPr>
                <w:noProof/>
                <w:lang w:val="en-GB"/>
              </w:rPr>
              <w:t>92,565</w:t>
            </w:r>
          </w:p>
        </w:tc>
        <w:tc>
          <w:tcPr>
            <w:tcW w:w="940" w:type="dxa"/>
            <w:tcBorders>
              <w:bottom w:val="single" w:sz="4" w:space="0" w:color="auto"/>
            </w:tcBorders>
          </w:tcPr>
          <w:p w14:paraId="649F7283" w14:textId="77777777" w:rsidR="00AB5230" w:rsidRPr="00646999" w:rsidRDefault="00AB5230" w:rsidP="005E4851">
            <w:pPr>
              <w:pStyle w:val="ExhibitText"/>
              <w:jc w:val="right"/>
              <w:rPr>
                <w:noProof/>
                <w:lang w:val="en-GB"/>
              </w:rPr>
            </w:pPr>
            <w:r w:rsidRPr="00646999">
              <w:rPr>
                <w:noProof/>
                <w:lang w:val="en-GB"/>
              </w:rPr>
              <w:t>72,650</w:t>
            </w:r>
          </w:p>
        </w:tc>
        <w:tc>
          <w:tcPr>
            <w:tcW w:w="1186" w:type="dxa"/>
            <w:tcBorders>
              <w:bottom w:val="single" w:sz="4" w:space="0" w:color="auto"/>
            </w:tcBorders>
          </w:tcPr>
          <w:p w14:paraId="53F8F709" w14:textId="77777777" w:rsidR="00AB5230" w:rsidRPr="00646999" w:rsidRDefault="00AB5230" w:rsidP="005E4851">
            <w:pPr>
              <w:pStyle w:val="ExhibitText"/>
              <w:jc w:val="right"/>
              <w:rPr>
                <w:noProof/>
                <w:lang w:val="en-GB"/>
              </w:rPr>
            </w:pPr>
            <w:r w:rsidRPr="00646999">
              <w:rPr>
                <w:noProof/>
                <w:lang w:val="en-GB"/>
              </w:rPr>
              <w:t>40,821</w:t>
            </w:r>
          </w:p>
        </w:tc>
        <w:tc>
          <w:tcPr>
            <w:tcW w:w="940" w:type="dxa"/>
            <w:tcBorders>
              <w:bottom w:val="single" w:sz="4" w:space="0" w:color="auto"/>
            </w:tcBorders>
          </w:tcPr>
          <w:p w14:paraId="112A003F" w14:textId="77777777" w:rsidR="00AB5230" w:rsidRPr="00646999" w:rsidRDefault="00AB5230" w:rsidP="005E4851">
            <w:pPr>
              <w:pStyle w:val="ExhibitText"/>
              <w:jc w:val="right"/>
              <w:rPr>
                <w:noProof/>
                <w:lang w:val="en-GB"/>
              </w:rPr>
            </w:pPr>
            <w:r w:rsidRPr="00646999">
              <w:rPr>
                <w:noProof/>
                <w:lang w:val="en-GB"/>
              </w:rPr>
              <w:t>57,880</w:t>
            </w:r>
          </w:p>
        </w:tc>
        <w:tc>
          <w:tcPr>
            <w:tcW w:w="943" w:type="dxa"/>
            <w:tcBorders>
              <w:bottom w:val="single" w:sz="4" w:space="0" w:color="auto"/>
            </w:tcBorders>
          </w:tcPr>
          <w:p w14:paraId="13581A8D" w14:textId="77777777" w:rsidR="00AB5230" w:rsidRPr="00646999" w:rsidRDefault="00AB5230" w:rsidP="005E4851">
            <w:pPr>
              <w:pStyle w:val="ExhibitText"/>
              <w:jc w:val="right"/>
              <w:rPr>
                <w:noProof/>
                <w:lang w:val="en-GB"/>
              </w:rPr>
            </w:pPr>
            <w:r w:rsidRPr="00646999">
              <w:rPr>
                <w:noProof/>
                <w:lang w:val="en-GB"/>
              </w:rPr>
              <w:t>43,310</w:t>
            </w:r>
          </w:p>
        </w:tc>
        <w:tc>
          <w:tcPr>
            <w:tcW w:w="943" w:type="dxa"/>
            <w:tcBorders>
              <w:bottom w:val="single" w:sz="4" w:space="0" w:color="auto"/>
            </w:tcBorders>
          </w:tcPr>
          <w:p w14:paraId="35FF4666" w14:textId="77777777" w:rsidR="00AB5230" w:rsidRPr="00646999" w:rsidRDefault="00AB5230" w:rsidP="005E4851">
            <w:pPr>
              <w:pStyle w:val="ExhibitText"/>
              <w:jc w:val="right"/>
              <w:rPr>
                <w:noProof/>
                <w:lang w:val="en-GB"/>
              </w:rPr>
            </w:pPr>
            <w:r w:rsidRPr="00646999">
              <w:rPr>
                <w:noProof/>
                <w:lang w:val="en-GB"/>
              </w:rPr>
              <w:t>44,123</w:t>
            </w:r>
          </w:p>
        </w:tc>
      </w:tr>
      <w:tr w:rsidR="00AB5230" w:rsidRPr="00646999" w14:paraId="17C9F97F" w14:textId="77777777" w:rsidTr="001C227B">
        <w:trPr>
          <w:jc w:val="center"/>
        </w:trPr>
        <w:tc>
          <w:tcPr>
            <w:tcW w:w="2068" w:type="dxa"/>
            <w:tcBorders>
              <w:bottom w:val="single" w:sz="4" w:space="0" w:color="auto"/>
            </w:tcBorders>
          </w:tcPr>
          <w:p w14:paraId="37E88EDB" w14:textId="77777777" w:rsidR="00AB5230" w:rsidRPr="00646999" w:rsidRDefault="00AB5230" w:rsidP="005E4851">
            <w:pPr>
              <w:pStyle w:val="ExhibitText"/>
              <w:jc w:val="left"/>
              <w:rPr>
                <w:b/>
                <w:noProof/>
                <w:lang w:val="en-GB"/>
              </w:rPr>
            </w:pPr>
            <w:r w:rsidRPr="00646999">
              <w:rPr>
                <w:b/>
                <w:noProof/>
                <w:lang w:val="en-GB"/>
              </w:rPr>
              <w:t>Current Assets</w:t>
            </w:r>
          </w:p>
        </w:tc>
        <w:tc>
          <w:tcPr>
            <w:tcW w:w="989" w:type="dxa"/>
            <w:tcBorders>
              <w:bottom w:val="single" w:sz="4" w:space="0" w:color="auto"/>
            </w:tcBorders>
          </w:tcPr>
          <w:p w14:paraId="6FBD3448" w14:textId="77777777" w:rsidR="00AB5230" w:rsidRPr="00646999" w:rsidRDefault="00AB5230" w:rsidP="005E4851">
            <w:pPr>
              <w:pStyle w:val="ExhibitText"/>
              <w:jc w:val="right"/>
              <w:rPr>
                <w:noProof/>
                <w:lang w:val="en-GB"/>
              </w:rPr>
            </w:pPr>
            <w:r w:rsidRPr="00646999">
              <w:rPr>
                <w:noProof/>
                <w:lang w:val="en-GB"/>
              </w:rPr>
              <w:t>122,045</w:t>
            </w:r>
          </w:p>
        </w:tc>
        <w:tc>
          <w:tcPr>
            <w:tcW w:w="988" w:type="dxa"/>
            <w:tcBorders>
              <w:bottom w:val="single" w:sz="4" w:space="0" w:color="auto"/>
            </w:tcBorders>
          </w:tcPr>
          <w:p w14:paraId="488BAE5C" w14:textId="77777777" w:rsidR="00AB5230" w:rsidRPr="00646999" w:rsidRDefault="00AB5230" w:rsidP="005E4851">
            <w:pPr>
              <w:pStyle w:val="ExhibitText"/>
              <w:jc w:val="right"/>
              <w:rPr>
                <w:noProof/>
                <w:lang w:val="en-GB"/>
              </w:rPr>
            </w:pPr>
            <w:r w:rsidRPr="00646999">
              <w:rPr>
                <w:noProof/>
                <w:lang w:val="en-GB"/>
              </w:rPr>
              <w:t>140,211</w:t>
            </w:r>
          </w:p>
        </w:tc>
        <w:tc>
          <w:tcPr>
            <w:tcW w:w="988" w:type="dxa"/>
            <w:tcBorders>
              <w:bottom w:val="single" w:sz="4" w:space="0" w:color="auto"/>
            </w:tcBorders>
          </w:tcPr>
          <w:p w14:paraId="31ACD12B" w14:textId="77777777" w:rsidR="00AB5230" w:rsidRPr="00646999" w:rsidRDefault="00AB5230" w:rsidP="005E4851">
            <w:pPr>
              <w:pStyle w:val="ExhibitText"/>
              <w:jc w:val="right"/>
              <w:rPr>
                <w:noProof/>
                <w:lang w:val="en-GB"/>
              </w:rPr>
            </w:pPr>
            <w:r w:rsidRPr="00646999">
              <w:rPr>
                <w:noProof/>
                <w:lang w:val="en-GB"/>
              </w:rPr>
              <w:t>140,708</w:t>
            </w:r>
          </w:p>
        </w:tc>
        <w:tc>
          <w:tcPr>
            <w:tcW w:w="989" w:type="dxa"/>
            <w:tcBorders>
              <w:bottom w:val="single" w:sz="4" w:space="0" w:color="auto"/>
            </w:tcBorders>
          </w:tcPr>
          <w:p w14:paraId="4DE13EFA" w14:textId="77777777" w:rsidR="00AB5230" w:rsidRPr="00646999" w:rsidRDefault="00AB5230" w:rsidP="005E4851">
            <w:pPr>
              <w:pStyle w:val="ExhibitText"/>
              <w:jc w:val="right"/>
              <w:rPr>
                <w:noProof/>
                <w:lang w:val="en-GB"/>
              </w:rPr>
            </w:pPr>
            <w:r w:rsidRPr="00646999">
              <w:rPr>
                <w:noProof/>
                <w:lang w:val="en-GB"/>
              </w:rPr>
              <w:t>146,552</w:t>
            </w:r>
          </w:p>
        </w:tc>
        <w:tc>
          <w:tcPr>
            <w:tcW w:w="988" w:type="dxa"/>
            <w:tcBorders>
              <w:bottom w:val="single" w:sz="4" w:space="0" w:color="auto"/>
            </w:tcBorders>
          </w:tcPr>
          <w:p w14:paraId="5539ED49" w14:textId="77777777" w:rsidR="00AB5230" w:rsidRPr="00646999" w:rsidRDefault="00AB5230" w:rsidP="005E4851">
            <w:pPr>
              <w:pStyle w:val="ExhibitText"/>
              <w:jc w:val="right"/>
              <w:rPr>
                <w:noProof/>
                <w:lang w:val="en-GB"/>
              </w:rPr>
            </w:pPr>
            <w:r w:rsidRPr="00646999">
              <w:rPr>
                <w:noProof/>
                <w:lang w:val="en-GB"/>
              </w:rPr>
              <w:t>170,894</w:t>
            </w:r>
          </w:p>
        </w:tc>
        <w:tc>
          <w:tcPr>
            <w:tcW w:w="988" w:type="dxa"/>
            <w:tcBorders>
              <w:bottom w:val="single" w:sz="4" w:space="0" w:color="auto"/>
            </w:tcBorders>
          </w:tcPr>
          <w:p w14:paraId="2A50FC03" w14:textId="77777777" w:rsidR="00AB5230" w:rsidRPr="00646999" w:rsidRDefault="00AB5230" w:rsidP="005E4851">
            <w:pPr>
              <w:pStyle w:val="ExhibitText"/>
              <w:jc w:val="right"/>
              <w:rPr>
                <w:noProof/>
                <w:lang w:val="en-GB"/>
              </w:rPr>
            </w:pPr>
            <w:r w:rsidRPr="00646999">
              <w:rPr>
                <w:noProof/>
                <w:lang w:val="en-GB"/>
              </w:rPr>
              <w:t>131,923</w:t>
            </w:r>
          </w:p>
        </w:tc>
        <w:tc>
          <w:tcPr>
            <w:tcW w:w="940" w:type="dxa"/>
            <w:tcBorders>
              <w:bottom w:val="single" w:sz="4" w:space="0" w:color="auto"/>
            </w:tcBorders>
          </w:tcPr>
          <w:p w14:paraId="7FE0C78B" w14:textId="77777777" w:rsidR="00AB5230" w:rsidRPr="00646999" w:rsidRDefault="00AB5230" w:rsidP="005E4851">
            <w:pPr>
              <w:pStyle w:val="ExhibitText"/>
              <w:jc w:val="right"/>
              <w:rPr>
                <w:noProof/>
                <w:lang w:val="en-GB"/>
              </w:rPr>
            </w:pPr>
            <w:r w:rsidRPr="00646999">
              <w:rPr>
                <w:noProof/>
                <w:lang w:val="en-GB"/>
              </w:rPr>
              <w:t>100,653</w:t>
            </w:r>
          </w:p>
        </w:tc>
        <w:tc>
          <w:tcPr>
            <w:tcW w:w="1186" w:type="dxa"/>
            <w:tcBorders>
              <w:bottom w:val="single" w:sz="4" w:space="0" w:color="auto"/>
            </w:tcBorders>
          </w:tcPr>
          <w:p w14:paraId="6D541222" w14:textId="77777777" w:rsidR="00AB5230" w:rsidRPr="00646999" w:rsidRDefault="00AB5230" w:rsidP="005E4851">
            <w:pPr>
              <w:pStyle w:val="ExhibitText"/>
              <w:jc w:val="right"/>
              <w:rPr>
                <w:noProof/>
                <w:lang w:val="en-GB"/>
              </w:rPr>
            </w:pPr>
            <w:r w:rsidRPr="00646999">
              <w:rPr>
                <w:noProof/>
                <w:lang w:val="en-GB"/>
              </w:rPr>
              <w:t>70,871</w:t>
            </w:r>
          </w:p>
        </w:tc>
        <w:tc>
          <w:tcPr>
            <w:tcW w:w="940" w:type="dxa"/>
            <w:tcBorders>
              <w:bottom w:val="single" w:sz="4" w:space="0" w:color="auto"/>
            </w:tcBorders>
          </w:tcPr>
          <w:p w14:paraId="4D489F42" w14:textId="77777777" w:rsidR="00AB5230" w:rsidRPr="00646999" w:rsidRDefault="00AB5230" w:rsidP="005E4851">
            <w:pPr>
              <w:pStyle w:val="ExhibitText"/>
              <w:jc w:val="right"/>
              <w:rPr>
                <w:noProof/>
                <w:lang w:val="en-GB"/>
              </w:rPr>
            </w:pPr>
            <w:r w:rsidRPr="00646999">
              <w:rPr>
                <w:noProof/>
                <w:lang w:val="en-GB"/>
              </w:rPr>
              <w:t>63,770</w:t>
            </w:r>
          </w:p>
        </w:tc>
        <w:tc>
          <w:tcPr>
            <w:tcW w:w="943" w:type="dxa"/>
            <w:tcBorders>
              <w:bottom w:val="single" w:sz="4" w:space="0" w:color="auto"/>
            </w:tcBorders>
          </w:tcPr>
          <w:p w14:paraId="76127905" w14:textId="77777777" w:rsidR="00AB5230" w:rsidRPr="00646999" w:rsidRDefault="00AB5230" w:rsidP="005E4851">
            <w:pPr>
              <w:pStyle w:val="ExhibitText"/>
              <w:jc w:val="right"/>
              <w:rPr>
                <w:noProof/>
                <w:lang w:val="en-GB"/>
              </w:rPr>
            </w:pPr>
            <w:r w:rsidRPr="00646999">
              <w:rPr>
                <w:noProof/>
                <w:lang w:val="en-GB"/>
              </w:rPr>
              <w:t>54,645</w:t>
            </w:r>
          </w:p>
        </w:tc>
        <w:tc>
          <w:tcPr>
            <w:tcW w:w="943" w:type="dxa"/>
            <w:tcBorders>
              <w:bottom w:val="single" w:sz="4" w:space="0" w:color="auto"/>
            </w:tcBorders>
          </w:tcPr>
          <w:p w14:paraId="3DB9B10C" w14:textId="77777777" w:rsidR="00AB5230" w:rsidRPr="00646999" w:rsidRDefault="00AB5230" w:rsidP="005E4851">
            <w:pPr>
              <w:pStyle w:val="ExhibitText"/>
              <w:jc w:val="right"/>
              <w:rPr>
                <w:noProof/>
                <w:lang w:val="en-GB"/>
              </w:rPr>
            </w:pPr>
            <w:r w:rsidRPr="00646999">
              <w:rPr>
                <w:noProof/>
                <w:lang w:val="en-GB"/>
              </w:rPr>
              <w:t>47,892</w:t>
            </w:r>
          </w:p>
        </w:tc>
      </w:tr>
      <w:tr w:rsidR="00AB5230" w:rsidRPr="00646999" w14:paraId="093340C0" w14:textId="77777777" w:rsidTr="001C227B">
        <w:trPr>
          <w:jc w:val="center"/>
        </w:trPr>
        <w:tc>
          <w:tcPr>
            <w:tcW w:w="2068" w:type="dxa"/>
            <w:tcBorders>
              <w:bottom w:val="single" w:sz="4" w:space="0" w:color="auto"/>
            </w:tcBorders>
          </w:tcPr>
          <w:p w14:paraId="3A753256" w14:textId="77777777" w:rsidR="00AB5230" w:rsidRPr="00646999" w:rsidRDefault="00AB5230" w:rsidP="005E4851">
            <w:pPr>
              <w:pStyle w:val="ExhibitText"/>
              <w:jc w:val="left"/>
              <w:rPr>
                <w:b/>
                <w:noProof/>
                <w:lang w:val="en-GB"/>
              </w:rPr>
            </w:pPr>
            <w:r w:rsidRPr="00646999">
              <w:rPr>
                <w:b/>
                <w:noProof/>
                <w:lang w:val="en-GB"/>
              </w:rPr>
              <w:t>Total Assets</w:t>
            </w:r>
          </w:p>
        </w:tc>
        <w:tc>
          <w:tcPr>
            <w:tcW w:w="989" w:type="dxa"/>
            <w:tcBorders>
              <w:bottom w:val="single" w:sz="4" w:space="0" w:color="auto"/>
            </w:tcBorders>
          </w:tcPr>
          <w:p w14:paraId="3D18E5BC" w14:textId="77777777" w:rsidR="00AB5230" w:rsidRPr="00646999" w:rsidRDefault="00AB5230" w:rsidP="005E4851">
            <w:pPr>
              <w:pStyle w:val="ExhibitText"/>
              <w:jc w:val="right"/>
              <w:rPr>
                <w:noProof/>
                <w:lang w:val="en-GB"/>
              </w:rPr>
            </w:pPr>
            <w:r w:rsidRPr="00646999">
              <w:rPr>
                <w:noProof/>
                <w:lang w:val="en-GB"/>
              </w:rPr>
              <w:t>637,681</w:t>
            </w:r>
          </w:p>
        </w:tc>
        <w:tc>
          <w:tcPr>
            <w:tcW w:w="988" w:type="dxa"/>
            <w:tcBorders>
              <w:bottom w:val="single" w:sz="4" w:space="0" w:color="auto"/>
            </w:tcBorders>
          </w:tcPr>
          <w:p w14:paraId="7F3224A0" w14:textId="77777777" w:rsidR="00AB5230" w:rsidRPr="00646999" w:rsidRDefault="00AB5230" w:rsidP="005E4851">
            <w:pPr>
              <w:pStyle w:val="ExhibitText"/>
              <w:jc w:val="right"/>
              <w:rPr>
                <w:noProof/>
                <w:lang w:val="en-GB"/>
              </w:rPr>
            </w:pPr>
            <w:r w:rsidRPr="00646999">
              <w:rPr>
                <w:noProof/>
                <w:lang w:val="en-GB"/>
              </w:rPr>
              <w:t>664,362</w:t>
            </w:r>
          </w:p>
        </w:tc>
        <w:tc>
          <w:tcPr>
            <w:tcW w:w="988" w:type="dxa"/>
            <w:tcBorders>
              <w:bottom w:val="single" w:sz="4" w:space="0" w:color="auto"/>
            </w:tcBorders>
          </w:tcPr>
          <w:p w14:paraId="41B40B55" w14:textId="77777777" w:rsidR="00AB5230" w:rsidRPr="00646999" w:rsidRDefault="00AB5230" w:rsidP="005E4851">
            <w:pPr>
              <w:pStyle w:val="ExhibitText"/>
              <w:jc w:val="right"/>
              <w:rPr>
                <w:noProof/>
                <w:lang w:val="en-GB"/>
              </w:rPr>
            </w:pPr>
            <w:r w:rsidRPr="00646999">
              <w:rPr>
                <w:noProof/>
                <w:lang w:val="en-GB"/>
              </w:rPr>
              <w:t>662,859</w:t>
            </w:r>
          </w:p>
        </w:tc>
        <w:tc>
          <w:tcPr>
            <w:tcW w:w="989" w:type="dxa"/>
            <w:tcBorders>
              <w:bottom w:val="single" w:sz="4" w:space="0" w:color="auto"/>
            </w:tcBorders>
          </w:tcPr>
          <w:p w14:paraId="33238370" w14:textId="77777777" w:rsidR="00AB5230" w:rsidRPr="00646999" w:rsidRDefault="00AB5230" w:rsidP="005E4851">
            <w:pPr>
              <w:pStyle w:val="ExhibitText"/>
              <w:jc w:val="right"/>
              <w:rPr>
                <w:noProof/>
                <w:lang w:val="en-GB"/>
              </w:rPr>
            </w:pPr>
            <w:r w:rsidRPr="00646999">
              <w:rPr>
                <w:noProof/>
                <w:lang w:val="en-GB"/>
              </w:rPr>
              <w:t>621,473</w:t>
            </w:r>
          </w:p>
        </w:tc>
        <w:tc>
          <w:tcPr>
            <w:tcW w:w="988" w:type="dxa"/>
            <w:tcBorders>
              <w:bottom w:val="single" w:sz="4" w:space="0" w:color="auto"/>
            </w:tcBorders>
          </w:tcPr>
          <w:p w14:paraId="74762511" w14:textId="77777777" w:rsidR="00AB5230" w:rsidRPr="00646999" w:rsidRDefault="00AB5230" w:rsidP="005E4851">
            <w:pPr>
              <w:pStyle w:val="ExhibitText"/>
              <w:jc w:val="right"/>
              <w:rPr>
                <w:noProof/>
                <w:lang w:val="en-GB"/>
              </w:rPr>
            </w:pPr>
            <w:r w:rsidRPr="00646999">
              <w:rPr>
                <w:noProof/>
                <w:lang w:val="en-GB"/>
              </w:rPr>
              <w:t>456,070</w:t>
            </w:r>
          </w:p>
        </w:tc>
        <w:tc>
          <w:tcPr>
            <w:tcW w:w="988" w:type="dxa"/>
            <w:tcBorders>
              <w:bottom w:val="single" w:sz="4" w:space="0" w:color="auto"/>
            </w:tcBorders>
          </w:tcPr>
          <w:p w14:paraId="73790505" w14:textId="77777777" w:rsidR="00AB5230" w:rsidRPr="00646999" w:rsidRDefault="00AB5230" w:rsidP="005E4851">
            <w:pPr>
              <w:pStyle w:val="ExhibitText"/>
              <w:jc w:val="right"/>
              <w:rPr>
                <w:noProof/>
                <w:lang w:val="en-GB"/>
              </w:rPr>
            </w:pPr>
            <w:r w:rsidRPr="00646999">
              <w:rPr>
                <w:noProof/>
                <w:lang w:val="en-GB"/>
              </w:rPr>
              <w:t>384,264</w:t>
            </w:r>
          </w:p>
        </w:tc>
        <w:tc>
          <w:tcPr>
            <w:tcW w:w="940" w:type="dxa"/>
            <w:tcBorders>
              <w:bottom w:val="single" w:sz="4" w:space="0" w:color="auto"/>
            </w:tcBorders>
          </w:tcPr>
          <w:p w14:paraId="04C276CC" w14:textId="77777777" w:rsidR="00AB5230" w:rsidRPr="00646999" w:rsidRDefault="00AB5230" w:rsidP="005E4851">
            <w:pPr>
              <w:pStyle w:val="ExhibitText"/>
              <w:jc w:val="right"/>
              <w:rPr>
                <w:noProof/>
                <w:lang w:val="en-GB"/>
              </w:rPr>
            </w:pPr>
            <w:r w:rsidRPr="00646999">
              <w:rPr>
                <w:noProof/>
                <w:lang w:val="en-GB"/>
              </w:rPr>
              <w:t>327,926</w:t>
            </w:r>
          </w:p>
        </w:tc>
        <w:tc>
          <w:tcPr>
            <w:tcW w:w="1186" w:type="dxa"/>
            <w:tcBorders>
              <w:bottom w:val="single" w:sz="4" w:space="0" w:color="auto"/>
            </w:tcBorders>
          </w:tcPr>
          <w:p w14:paraId="33542BD4" w14:textId="77777777" w:rsidR="00AB5230" w:rsidRPr="00646999" w:rsidRDefault="00AB5230" w:rsidP="005E4851">
            <w:pPr>
              <w:pStyle w:val="ExhibitText"/>
              <w:jc w:val="right"/>
              <w:rPr>
                <w:noProof/>
                <w:lang w:val="en-GB"/>
              </w:rPr>
            </w:pPr>
            <w:r w:rsidRPr="00646999">
              <w:rPr>
                <w:noProof/>
                <w:lang w:val="en-GB"/>
              </w:rPr>
              <w:t>242,268</w:t>
            </w:r>
          </w:p>
        </w:tc>
        <w:tc>
          <w:tcPr>
            <w:tcW w:w="940" w:type="dxa"/>
            <w:tcBorders>
              <w:bottom w:val="single" w:sz="4" w:space="0" w:color="auto"/>
            </w:tcBorders>
          </w:tcPr>
          <w:p w14:paraId="3F2234F0" w14:textId="77777777" w:rsidR="00AB5230" w:rsidRPr="00646999" w:rsidRDefault="00AB5230" w:rsidP="005E4851">
            <w:pPr>
              <w:pStyle w:val="ExhibitText"/>
              <w:jc w:val="right"/>
              <w:rPr>
                <w:noProof/>
                <w:lang w:val="en-GB"/>
              </w:rPr>
            </w:pPr>
            <w:r w:rsidRPr="00646999">
              <w:rPr>
                <w:noProof/>
                <w:lang w:val="en-GB"/>
              </w:rPr>
              <w:t>206,669</w:t>
            </w:r>
          </w:p>
        </w:tc>
        <w:tc>
          <w:tcPr>
            <w:tcW w:w="943" w:type="dxa"/>
            <w:tcBorders>
              <w:bottom w:val="single" w:sz="4" w:space="0" w:color="auto"/>
            </w:tcBorders>
          </w:tcPr>
          <w:p w14:paraId="1E55BB9F" w14:textId="77777777" w:rsidR="00AB5230" w:rsidRPr="00646999" w:rsidRDefault="00AB5230" w:rsidP="005E4851">
            <w:pPr>
              <w:pStyle w:val="ExhibitText"/>
              <w:jc w:val="right"/>
              <w:rPr>
                <w:noProof/>
                <w:lang w:val="en-GB"/>
              </w:rPr>
            </w:pPr>
            <w:r w:rsidRPr="00646999">
              <w:rPr>
                <w:noProof/>
                <w:lang w:val="en-GB"/>
              </w:rPr>
              <w:t>179,793</w:t>
            </w:r>
          </w:p>
        </w:tc>
        <w:tc>
          <w:tcPr>
            <w:tcW w:w="943" w:type="dxa"/>
            <w:tcBorders>
              <w:bottom w:val="single" w:sz="4" w:space="0" w:color="auto"/>
            </w:tcBorders>
          </w:tcPr>
          <w:p w14:paraId="5A0B93D5" w14:textId="77777777" w:rsidR="00AB5230" w:rsidRPr="00646999" w:rsidRDefault="00AB5230" w:rsidP="005E4851">
            <w:pPr>
              <w:pStyle w:val="ExhibitText"/>
              <w:jc w:val="right"/>
              <w:rPr>
                <w:noProof/>
                <w:lang w:val="en-GB"/>
              </w:rPr>
            </w:pPr>
            <w:r w:rsidRPr="00646999">
              <w:rPr>
                <w:noProof/>
                <w:lang w:val="en-GB"/>
              </w:rPr>
              <w:t>155,268</w:t>
            </w:r>
          </w:p>
        </w:tc>
      </w:tr>
      <w:tr w:rsidR="00AB5230" w:rsidRPr="00646999" w14:paraId="47FA7AE2" w14:textId="77777777" w:rsidTr="001C227B">
        <w:trPr>
          <w:jc w:val="center"/>
        </w:trPr>
        <w:tc>
          <w:tcPr>
            <w:tcW w:w="2068" w:type="dxa"/>
            <w:tcBorders>
              <w:bottom w:val="single" w:sz="4" w:space="0" w:color="auto"/>
            </w:tcBorders>
          </w:tcPr>
          <w:p w14:paraId="0E47CE95" w14:textId="77777777" w:rsidR="00AB5230" w:rsidRPr="00646999" w:rsidRDefault="00AB5230" w:rsidP="005E4851">
            <w:pPr>
              <w:pStyle w:val="ExhibitText"/>
              <w:jc w:val="left"/>
              <w:rPr>
                <w:b/>
                <w:noProof/>
                <w:lang w:val="en-GB"/>
              </w:rPr>
            </w:pPr>
            <w:r w:rsidRPr="00646999">
              <w:rPr>
                <w:b/>
                <w:noProof/>
                <w:lang w:val="en-GB"/>
              </w:rPr>
              <w:t>Net Production of Crude in Canada (barrels/day)</w:t>
            </w:r>
          </w:p>
        </w:tc>
        <w:tc>
          <w:tcPr>
            <w:tcW w:w="989" w:type="dxa"/>
            <w:tcBorders>
              <w:bottom w:val="single" w:sz="4" w:space="0" w:color="auto"/>
            </w:tcBorders>
          </w:tcPr>
          <w:p w14:paraId="73CCF2E2" w14:textId="77777777" w:rsidR="00AB5230" w:rsidRPr="00646999" w:rsidRDefault="00AB5230" w:rsidP="005E4851">
            <w:pPr>
              <w:pStyle w:val="ExhibitText"/>
              <w:jc w:val="right"/>
              <w:rPr>
                <w:noProof/>
                <w:lang w:val="en-GB"/>
              </w:rPr>
            </w:pPr>
            <w:r w:rsidRPr="00646999">
              <w:rPr>
                <w:noProof/>
                <w:lang w:val="en-GB"/>
              </w:rPr>
              <w:t>40,304</w:t>
            </w:r>
          </w:p>
        </w:tc>
        <w:tc>
          <w:tcPr>
            <w:tcW w:w="988" w:type="dxa"/>
            <w:tcBorders>
              <w:bottom w:val="single" w:sz="4" w:space="0" w:color="auto"/>
            </w:tcBorders>
          </w:tcPr>
          <w:p w14:paraId="188EB041" w14:textId="77777777" w:rsidR="00AB5230" w:rsidRPr="00646999" w:rsidRDefault="00AB5230" w:rsidP="005E4851">
            <w:pPr>
              <w:pStyle w:val="ExhibitText"/>
              <w:jc w:val="right"/>
              <w:rPr>
                <w:noProof/>
                <w:lang w:val="en-GB"/>
              </w:rPr>
            </w:pPr>
            <w:r w:rsidRPr="00646999">
              <w:rPr>
                <w:noProof/>
                <w:lang w:val="en-GB"/>
              </w:rPr>
              <w:t>46,712</w:t>
            </w:r>
          </w:p>
        </w:tc>
        <w:tc>
          <w:tcPr>
            <w:tcW w:w="988" w:type="dxa"/>
            <w:tcBorders>
              <w:bottom w:val="single" w:sz="4" w:space="0" w:color="auto"/>
            </w:tcBorders>
          </w:tcPr>
          <w:p w14:paraId="350C73AC" w14:textId="77777777" w:rsidR="00AB5230" w:rsidRPr="00646999" w:rsidRDefault="00AB5230" w:rsidP="005E4851">
            <w:pPr>
              <w:pStyle w:val="ExhibitText"/>
              <w:jc w:val="right"/>
              <w:rPr>
                <w:noProof/>
                <w:lang w:val="en-GB"/>
              </w:rPr>
            </w:pPr>
            <w:r w:rsidRPr="00646999">
              <w:rPr>
                <w:noProof/>
                <w:lang w:val="en-GB"/>
              </w:rPr>
              <w:t>48,183</w:t>
            </w:r>
          </w:p>
        </w:tc>
        <w:tc>
          <w:tcPr>
            <w:tcW w:w="989" w:type="dxa"/>
            <w:tcBorders>
              <w:bottom w:val="single" w:sz="4" w:space="0" w:color="auto"/>
            </w:tcBorders>
          </w:tcPr>
          <w:p w14:paraId="39BE60F5" w14:textId="77777777" w:rsidR="00AB5230" w:rsidRPr="00646999" w:rsidRDefault="00AB5230" w:rsidP="005E4851">
            <w:pPr>
              <w:pStyle w:val="ExhibitText"/>
              <w:jc w:val="right"/>
              <w:rPr>
                <w:noProof/>
                <w:lang w:val="en-GB"/>
              </w:rPr>
            </w:pPr>
            <w:r w:rsidRPr="00646999">
              <w:rPr>
                <w:noProof/>
                <w:lang w:val="en-GB"/>
              </w:rPr>
              <w:t>39,872</w:t>
            </w:r>
          </w:p>
        </w:tc>
        <w:tc>
          <w:tcPr>
            <w:tcW w:w="988" w:type="dxa"/>
            <w:tcBorders>
              <w:bottom w:val="single" w:sz="4" w:space="0" w:color="auto"/>
            </w:tcBorders>
          </w:tcPr>
          <w:p w14:paraId="579A57D1" w14:textId="7BC2481A" w:rsidR="00AB5230" w:rsidRPr="00646999" w:rsidRDefault="00AF178E" w:rsidP="005E4851">
            <w:pPr>
              <w:pStyle w:val="ExhibitText"/>
              <w:jc w:val="right"/>
              <w:rPr>
                <w:noProof/>
                <w:lang w:val="en-GB"/>
              </w:rPr>
            </w:pPr>
            <w:r>
              <w:rPr>
                <w:noProof/>
                <w:lang w:val="en-GB"/>
              </w:rPr>
              <w:t>–</w:t>
            </w:r>
          </w:p>
        </w:tc>
        <w:tc>
          <w:tcPr>
            <w:tcW w:w="988" w:type="dxa"/>
            <w:tcBorders>
              <w:bottom w:val="single" w:sz="4" w:space="0" w:color="auto"/>
            </w:tcBorders>
          </w:tcPr>
          <w:p w14:paraId="5727CB56" w14:textId="67550DA5" w:rsidR="00AB5230" w:rsidRPr="00646999" w:rsidRDefault="00AF178E" w:rsidP="005E4851">
            <w:pPr>
              <w:pStyle w:val="ExhibitText"/>
              <w:jc w:val="right"/>
              <w:rPr>
                <w:noProof/>
                <w:lang w:val="en-GB"/>
              </w:rPr>
            </w:pPr>
            <w:r>
              <w:rPr>
                <w:noProof/>
                <w:lang w:val="en-GB"/>
              </w:rPr>
              <w:t>–</w:t>
            </w:r>
          </w:p>
        </w:tc>
        <w:tc>
          <w:tcPr>
            <w:tcW w:w="940" w:type="dxa"/>
            <w:tcBorders>
              <w:bottom w:val="single" w:sz="4" w:space="0" w:color="auto"/>
            </w:tcBorders>
          </w:tcPr>
          <w:p w14:paraId="2CB076FD" w14:textId="44F96B0D" w:rsidR="00AB5230" w:rsidRPr="00646999" w:rsidRDefault="00AF178E" w:rsidP="005E4851">
            <w:pPr>
              <w:pStyle w:val="ExhibitText"/>
              <w:jc w:val="right"/>
              <w:rPr>
                <w:noProof/>
                <w:lang w:val="en-GB"/>
              </w:rPr>
            </w:pPr>
            <w:r>
              <w:rPr>
                <w:noProof/>
                <w:lang w:val="en-GB"/>
              </w:rPr>
              <w:t>–</w:t>
            </w:r>
          </w:p>
        </w:tc>
        <w:tc>
          <w:tcPr>
            <w:tcW w:w="1186" w:type="dxa"/>
            <w:tcBorders>
              <w:bottom w:val="single" w:sz="4" w:space="0" w:color="auto"/>
            </w:tcBorders>
          </w:tcPr>
          <w:p w14:paraId="08D18C19" w14:textId="2F8CB215" w:rsidR="00AB5230" w:rsidRPr="00646999" w:rsidRDefault="00AF178E" w:rsidP="005E4851">
            <w:pPr>
              <w:pStyle w:val="ExhibitText"/>
              <w:jc w:val="right"/>
              <w:rPr>
                <w:noProof/>
                <w:lang w:val="en-GB"/>
              </w:rPr>
            </w:pPr>
            <w:r>
              <w:rPr>
                <w:noProof/>
                <w:lang w:val="en-GB"/>
              </w:rPr>
              <w:t>–</w:t>
            </w:r>
          </w:p>
        </w:tc>
        <w:tc>
          <w:tcPr>
            <w:tcW w:w="940" w:type="dxa"/>
            <w:tcBorders>
              <w:bottom w:val="single" w:sz="4" w:space="0" w:color="auto"/>
            </w:tcBorders>
          </w:tcPr>
          <w:p w14:paraId="69F859CB" w14:textId="439899BC" w:rsidR="00AB5230" w:rsidRPr="00646999" w:rsidRDefault="00AF178E" w:rsidP="005E4851">
            <w:pPr>
              <w:pStyle w:val="ExhibitText"/>
              <w:jc w:val="right"/>
              <w:rPr>
                <w:noProof/>
                <w:lang w:val="en-GB"/>
              </w:rPr>
            </w:pPr>
            <w:r>
              <w:rPr>
                <w:noProof/>
                <w:lang w:val="en-GB"/>
              </w:rPr>
              <w:t>–</w:t>
            </w:r>
          </w:p>
        </w:tc>
        <w:tc>
          <w:tcPr>
            <w:tcW w:w="943" w:type="dxa"/>
            <w:tcBorders>
              <w:bottom w:val="single" w:sz="4" w:space="0" w:color="auto"/>
            </w:tcBorders>
          </w:tcPr>
          <w:p w14:paraId="7799C238" w14:textId="504E8D6C" w:rsidR="00AB5230" w:rsidRPr="00646999" w:rsidRDefault="00AF178E" w:rsidP="005E4851">
            <w:pPr>
              <w:pStyle w:val="ExhibitText"/>
              <w:jc w:val="right"/>
              <w:rPr>
                <w:noProof/>
                <w:lang w:val="en-GB"/>
              </w:rPr>
            </w:pPr>
            <w:r>
              <w:rPr>
                <w:noProof/>
                <w:lang w:val="en-GB"/>
              </w:rPr>
              <w:t>–</w:t>
            </w:r>
          </w:p>
        </w:tc>
        <w:tc>
          <w:tcPr>
            <w:tcW w:w="943" w:type="dxa"/>
            <w:tcBorders>
              <w:bottom w:val="single" w:sz="4" w:space="0" w:color="auto"/>
            </w:tcBorders>
          </w:tcPr>
          <w:p w14:paraId="60BCD9C0" w14:textId="7094570D" w:rsidR="00AB5230" w:rsidRPr="00646999" w:rsidRDefault="00AF178E" w:rsidP="005E4851">
            <w:pPr>
              <w:pStyle w:val="ExhibitText"/>
              <w:jc w:val="right"/>
              <w:rPr>
                <w:noProof/>
                <w:lang w:val="en-GB"/>
              </w:rPr>
            </w:pPr>
            <w:r>
              <w:rPr>
                <w:noProof/>
                <w:lang w:val="en-GB"/>
              </w:rPr>
              <w:t>–</w:t>
            </w:r>
          </w:p>
        </w:tc>
      </w:tr>
      <w:tr w:rsidR="00AB5230" w:rsidRPr="00646999" w14:paraId="2B9AF2AB" w14:textId="77777777" w:rsidTr="001C227B">
        <w:trPr>
          <w:jc w:val="center"/>
        </w:trPr>
        <w:tc>
          <w:tcPr>
            <w:tcW w:w="2068" w:type="dxa"/>
            <w:tcBorders>
              <w:bottom w:val="single" w:sz="4" w:space="0" w:color="auto"/>
            </w:tcBorders>
          </w:tcPr>
          <w:p w14:paraId="6F490BA9" w14:textId="77777777" w:rsidR="00AB5230" w:rsidRPr="00646999" w:rsidRDefault="00AB5230" w:rsidP="005E4851">
            <w:pPr>
              <w:pStyle w:val="ExhibitText"/>
              <w:jc w:val="left"/>
              <w:rPr>
                <w:b/>
                <w:noProof/>
                <w:lang w:val="en-GB"/>
              </w:rPr>
            </w:pPr>
            <w:r w:rsidRPr="00646999">
              <w:rPr>
                <w:b/>
                <w:noProof/>
                <w:lang w:val="en-GB"/>
              </w:rPr>
              <w:t>Net Production of Natural Gas in Canada (mmcf/day)</w:t>
            </w:r>
          </w:p>
        </w:tc>
        <w:tc>
          <w:tcPr>
            <w:tcW w:w="989" w:type="dxa"/>
            <w:tcBorders>
              <w:bottom w:val="single" w:sz="4" w:space="0" w:color="auto"/>
            </w:tcBorders>
          </w:tcPr>
          <w:p w14:paraId="6051513F" w14:textId="77777777" w:rsidR="00AB5230" w:rsidRPr="00646999" w:rsidRDefault="00AB5230" w:rsidP="005E4851">
            <w:pPr>
              <w:pStyle w:val="ExhibitText"/>
              <w:jc w:val="right"/>
              <w:rPr>
                <w:noProof/>
                <w:lang w:val="en-GB"/>
              </w:rPr>
            </w:pPr>
            <w:r w:rsidRPr="00646999">
              <w:rPr>
                <w:noProof/>
                <w:lang w:val="en-GB"/>
              </w:rPr>
              <w:t>48.9</w:t>
            </w:r>
          </w:p>
        </w:tc>
        <w:tc>
          <w:tcPr>
            <w:tcW w:w="988" w:type="dxa"/>
            <w:tcBorders>
              <w:bottom w:val="single" w:sz="4" w:space="0" w:color="auto"/>
            </w:tcBorders>
          </w:tcPr>
          <w:p w14:paraId="2AA6CBA9" w14:textId="77777777" w:rsidR="00AB5230" w:rsidRPr="00646999" w:rsidRDefault="00AB5230" w:rsidP="005E4851">
            <w:pPr>
              <w:pStyle w:val="ExhibitText"/>
              <w:jc w:val="right"/>
              <w:rPr>
                <w:noProof/>
                <w:lang w:val="en-GB"/>
              </w:rPr>
            </w:pPr>
            <w:r w:rsidRPr="00646999">
              <w:rPr>
                <w:noProof/>
                <w:lang w:val="en-GB"/>
              </w:rPr>
              <w:t>68.4</w:t>
            </w:r>
          </w:p>
        </w:tc>
        <w:tc>
          <w:tcPr>
            <w:tcW w:w="988" w:type="dxa"/>
            <w:tcBorders>
              <w:bottom w:val="single" w:sz="4" w:space="0" w:color="auto"/>
            </w:tcBorders>
          </w:tcPr>
          <w:p w14:paraId="5BDFC9D7" w14:textId="77777777" w:rsidR="00AB5230" w:rsidRPr="00646999" w:rsidRDefault="00AB5230" w:rsidP="005E4851">
            <w:pPr>
              <w:pStyle w:val="ExhibitText"/>
              <w:jc w:val="right"/>
              <w:rPr>
                <w:noProof/>
                <w:lang w:val="en-GB"/>
              </w:rPr>
            </w:pPr>
            <w:r w:rsidRPr="00646999">
              <w:rPr>
                <w:noProof/>
                <w:lang w:val="en-GB"/>
              </w:rPr>
              <w:t>117.5</w:t>
            </w:r>
          </w:p>
        </w:tc>
        <w:tc>
          <w:tcPr>
            <w:tcW w:w="989" w:type="dxa"/>
            <w:tcBorders>
              <w:bottom w:val="single" w:sz="4" w:space="0" w:color="auto"/>
            </w:tcBorders>
          </w:tcPr>
          <w:p w14:paraId="334F26D5" w14:textId="77777777" w:rsidR="00AB5230" w:rsidRPr="00646999" w:rsidRDefault="00AB5230" w:rsidP="005E4851">
            <w:pPr>
              <w:pStyle w:val="ExhibitText"/>
              <w:jc w:val="right"/>
              <w:rPr>
                <w:noProof/>
                <w:lang w:val="en-GB"/>
              </w:rPr>
            </w:pPr>
            <w:r w:rsidRPr="00646999">
              <w:rPr>
                <w:noProof/>
                <w:lang w:val="en-GB"/>
              </w:rPr>
              <w:t>106.0</w:t>
            </w:r>
          </w:p>
        </w:tc>
        <w:tc>
          <w:tcPr>
            <w:tcW w:w="988" w:type="dxa"/>
            <w:tcBorders>
              <w:bottom w:val="single" w:sz="4" w:space="0" w:color="auto"/>
            </w:tcBorders>
          </w:tcPr>
          <w:p w14:paraId="7E91782A" w14:textId="05DC805E" w:rsidR="00AB5230" w:rsidRPr="00646999" w:rsidRDefault="00AF178E" w:rsidP="005E4851">
            <w:pPr>
              <w:pStyle w:val="ExhibitText"/>
              <w:jc w:val="right"/>
              <w:rPr>
                <w:noProof/>
                <w:lang w:val="en-GB"/>
              </w:rPr>
            </w:pPr>
            <w:r>
              <w:rPr>
                <w:noProof/>
                <w:lang w:val="en-GB"/>
              </w:rPr>
              <w:t>–</w:t>
            </w:r>
          </w:p>
        </w:tc>
        <w:tc>
          <w:tcPr>
            <w:tcW w:w="988" w:type="dxa"/>
            <w:tcBorders>
              <w:bottom w:val="single" w:sz="4" w:space="0" w:color="auto"/>
            </w:tcBorders>
          </w:tcPr>
          <w:p w14:paraId="2DBBEBB4" w14:textId="77354653" w:rsidR="00AB5230" w:rsidRPr="00646999" w:rsidRDefault="00AF178E" w:rsidP="005E4851">
            <w:pPr>
              <w:pStyle w:val="ExhibitText"/>
              <w:jc w:val="right"/>
              <w:rPr>
                <w:noProof/>
                <w:lang w:val="en-GB"/>
              </w:rPr>
            </w:pPr>
            <w:r>
              <w:rPr>
                <w:noProof/>
                <w:lang w:val="en-GB"/>
              </w:rPr>
              <w:t>–</w:t>
            </w:r>
          </w:p>
        </w:tc>
        <w:tc>
          <w:tcPr>
            <w:tcW w:w="940" w:type="dxa"/>
            <w:tcBorders>
              <w:bottom w:val="single" w:sz="4" w:space="0" w:color="auto"/>
            </w:tcBorders>
          </w:tcPr>
          <w:p w14:paraId="1D4E2964" w14:textId="51D7D67D" w:rsidR="00AB5230" w:rsidRPr="00646999" w:rsidRDefault="00AF178E" w:rsidP="005E4851">
            <w:pPr>
              <w:pStyle w:val="ExhibitText"/>
              <w:jc w:val="right"/>
              <w:rPr>
                <w:noProof/>
                <w:lang w:val="en-GB"/>
              </w:rPr>
            </w:pPr>
            <w:r>
              <w:rPr>
                <w:noProof/>
                <w:lang w:val="en-GB"/>
              </w:rPr>
              <w:t>–</w:t>
            </w:r>
          </w:p>
        </w:tc>
        <w:tc>
          <w:tcPr>
            <w:tcW w:w="1186" w:type="dxa"/>
            <w:tcBorders>
              <w:bottom w:val="single" w:sz="4" w:space="0" w:color="auto"/>
            </w:tcBorders>
          </w:tcPr>
          <w:p w14:paraId="5A96A25D" w14:textId="604C4875" w:rsidR="00AB5230" w:rsidRPr="00646999" w:rsidRDefault="00AF178E" w:rsidP="005E4851">
            <w:pPr>
              <w:pStyle w:val="ExhibitText"/>
              <w:jc w:val="right"/>
              <w:rPr>
                <w:noProof/>
                <w:lang w:val="en-GB"/>
              </w:rPr>
            </w:pPr>
            <w:r>
              <w:rPr>
                <w:noProof/>
                <w:lang w:val="en-GB"/>
              </w:rPr>
              <w:t>–</w:t>
            </w:r>
          </w:p>
        </w:tc>
        <w:tc>
          <w:tcPr>
            <w:tcW w:w="940" w:type="dxa"/>
            <w:tcBorders>
              <w:bottom w:val="single" w:sz="4" w:space="0" w:color="auto"/>
            </w:tcBorders>
          </w:tcPr>
          <w:p w14:paraId="5FDFBD19" w14:textId="6984A28B" w:rsidR="00AB5230" w:rsidRPr="00646999" w:rsidRDefault="00AF178E" w:rsidP="005E4851">
            <w:pPr>
              <w:pStyle w:val="ExhibitText"/>
              <w:jc w:val="right"/>
              <w:rPr>
                <w:noProof/>
                <w:lang w:val="en-GB"/>
              </w:rPr>
            </w:pPr>
            <w:r>
              <w:rPr>
                <w:noProof/>
                <w:lang w:val="en-GB"/>
              </w:rPr>
              <w:t>–</w:t>
            </w:r>
          </w:p>
        </w:tc>
        <w:tc>
          <w:tcPr>
            <w:tcW w:w="943" w:type="dxa"/>
            <w:tcBorders>
              <w:bottom w:val="single" w:sz="4" w:space="0" w:color="auto"/>
            </w:tcBorders>
          </w:tcPr>
          <w:p w14:paraId="256656D4" w14:textId="205C99DF" w:rsidR="00AB5230" w:rsidRPr="00646999" w:rsidRDefault="00AF178E" w:rsidP="005E4851">
            <w:pPr>
              <w:pStyle w:val="ExhibitText"/>
              <w:jc w:val="right"/>
              <w:rPr>
                <w:noProof/>
                <w:lang w:val="en-GB"/>
              </w:rPr>
            </w:pPr>
            <w:r>
              <w:rPr>
                <w:noProof/>
                <w:lang w:val="en-GB"/>
              </w:rPr>
              <w:t>–</w:t>
            </w:r>
          </w:p>
        </w:tc>
        <w:tc>
          <w:tcPr>
            <w:tcW w:w="943" w:type="dxa"/>
            <w:tcBorders>
              <w:bottom w:val="single" w:sz="4" w:space="0" w:color="auto"/>
            </w:tcBorders>
          </w:tcPr>
          <w:p w14:paraId="621DC853" w14:textId="1B87BEA8" w:rsidR="00AB5230" w:rsidRPr="00646999" w:rsidRDefault="00AF178E" w:rsidP="005E4851">
            <w:pPr>
              <w:pStyle w:val="ExhibitText"/>
              <w:jc w:val="right"/>
              <w:rPr>
                <w:noProof/>
                <w:lang w:val="en-GB"/>
              </w:rPr>
            </w:pPr>
            <w:r>
              <w:rPr>
                <w:noProof/>
                <w:lang w:val="en-GB"/>
              </w:rPr>
              <w:t>–</w:t>
            </w:r>
          </w:p>
        </w:tc>
      </w:tr>
      <w:tr w:rsidR="00AB5230" w:rsidRPr="00646999" w14:paraId="4CD4AA35" w14:textId="77777777" w:rsidTr="001C227B">
        <w:trPr>
          <w:jc w:val="center"/>
        </w:trPr>
        <w:tc>
          <w:tcPr>
            <w:tcW w:w="2068" w:type="dxa"/>
            <w:tcBorders>
              <w:bottom w:val="single" w:sz="4" w:space="0" w:color="auto"/>
            </w:tcBorders>
          </w:tcPr>
          <w:p w14:paraId="725C4DC7" w14:textId="77777777" w:rsidR="00AB5230" w:rsidRPr="00646999" w:rsidRDefault="00AB5230" w:rsidP="005E4851">
            <w:pPr>
              <w:pStyle w:val="ExhibitText"/>
              <w:jc w:val="left"/>
              <w:rPr>
                <w:b/>
                <w:noProof/>
                <w:lang w:val="en-GB"/>
              </w:rPr>
            </w:pPr>
            <w:r w:rsidRPr="00646999">
              <w:rPr>
                <w:b/>
                <w:noProof/>
                <w:lang w:val="en-GB"/>
              </w:rPr>
              <w:t>Total Net Proved Reserves (million BOE)</w:t>
            </w:r>
          </w:p>
        </w:tc>
        <w:tc>
          <w:tcPr>
            <w:tcW w:w="989" w:type="dxa"/>
            <w:tcBorders>
              <w:bottom w:val="single" w:sz="4" w:space="0" w:color="auto"/>
            </w:tcBorders>
          </w:tcPr>
          <w:p w14:paraId="5A20CC51" w14:textId="77777777" w:rsidR="00AB5230" w:rsidRPr="00646999" w:rsidRDefault="00AB5230" w:rsidP="005E4851">
            <w:pPr>
              <w:pStyle w:val="ExhibitText"/>
              <w:jc w:val="right"/>
              <w:rPr>
                <w:noProof/>
                <w:lang w:val="en-GB"/>
              </w:rPr>
            </w:pPr>
            <w:r w:rsidRPr="00646999">
              <w:rPr>
                <w:noProof/>
                <w:lang w:val="en-GB"/>
              </w:rPr>
              <w:t>300.5</w:t>
            </w:r>
          </w:p>
        </w:tc>
        <w:tc>
          <w:tcPr>
            <w:tcW w:w="988" w:type="dxa"/>
            <w:tcBorders>
              <w:bottom w:val="single" w:sz="4" w:space="0" w:color="auto"/>
            </w:tcBorders>
          </w:tcPr>
          <w:p w14:paraId="374B3789" w14:textId="77777777" w:rsidR="00AB5230" w:rsidRPr="00646999" w:rsidRDefault="00AB5230" w:rsidP="005E4851">
            <w:pPr>
              <w:pStyle w:val="ExhibitText"/>
              <w:jc w:val="right"/>
              <w:rPr>
                <w:noProof/>
                <w:lang w:val="en-GB"/>
              </w:rPr>
            </w:pPr>
            <w:r w:rsidRPr="00646999">
              <w:rPr>
                <w:noProof/>
                <w:lang w:val="en-GB"/>
              </w:rPr>
              <w:t>835.2</w:t>
            </w:r>
          </w:p>
        </w:tc>
        <w:tc>
          <w:tcPr>
            <w:tcW w:w="988" w:type="dxa"/>
            <w:tcBorders>
              <w:bottom w:val="single" w:sz="4" w:space="0" w:color="auto"/>
            </w:tcBorders>
          </w:tcPr>
          <w:p w14:paraId="5B9E6320" w14:textId="77777777" w:rsidR="00AB5230" w:rsidRPr="00646999" w:rsidRDefault="00AB5230" w:rsidP="005E4851">
            <w:pPr>
              <w:pStyle w:val="ExhibitText"/>
              <w:jc w:val="right"/>
              <w:rPr>
                <w:noProof/>
                <w:lang w:val="en-GB"/>
              </w:rPr>
            </w:pPr>
            <w:r w:rsidRPr="00646999">
              <w:rPr>
                <w:noProof/>
                <w:lang w:val="en-GB"/>
              </w:rPr>
              <w:t>820.2</w:t>
            </w:r>
          </w:p>
        </w:tc>
        <w:tc>
          <w:tcPr>
            <w:tcW w:w="989" w:type="dxa"/>
            <w:tcBorders>
              <w:bottom w:val="single" w:sz="4" w:space="0" w:color="auto"/>
            </w:tcBorders>
          </w:tcPr>
          <w:p w14:paraId="664DB317" w14:textId="77777777" w:rsidR="00AB5230" w:rsidRPr="00646999" w:rsidRDefault="00AB5230" w:rsidP="005E4851">
            <w:pPr>
              <w:pStyle w:val="ExhibitText"/>
              <w:jc w:val="right"/>
              <w:rPr>
                <w:noProof/>
                <w:lang w:val="en-GB"/>
              </w:rPr>
            </w:pPr>
            <w:r w:rsidRPr="00646999">
              <w:rPr>
                <w:noProof/>
                <w:lang w:val="en-GB"/>
              </w:rPr>
              <w:t>802.8</w:t>
            </w:r>
          </w:p>
        </w:tc>
        <w:tc>
          <w:tcPr>
            <w:tcW w:w="988" w:type="dxa"/>
            <w:tcBorders>
              <w:bottom w:val="single" w:sz="4" w:space="0" w:color="auto"/>
            </w:tcBorders>
          </w:tcPr>
          <w:p w14:paraId="4DDC6BD8" w14:textId="41A9E0D0" w:rsidR="00AB5230" w:rsidRPr="00646999" w:rsidRDefault="00AF178E" w:rsidP="005E4851">
            <w:pPr>
              <w:pStyle w:val="ExhibitText"/>
              <w:jc w:val="right"/>
              <w:rPr>
                <w:noProof/>
                <w:lang w:val="en-GB"/>
              </w:rPr>
            </w:pPr>
            <w:r>
              <w:rPr>
                <w:noProof/>
                <w:lang w:val="en-GB"/>
              </w:rPr>
              <w:t>–</w:t>
            </w:r>
          </w:p>
        </w:tc>
        <w:tc>
          <w:tcPr>
            <w:tcW w:w="988" w:type="dxa"/>
            <w:tcBorders>
              <w:bottom w:val="single" w:sz="4" w:space="0" w:color="auto"/>
            </w:tcBorders>
          </w:tcPr>
          <w:p w14:paraId="1C222C4A" w14:textId="2D2264BB" w:rsidR="00AB5230" w:rsidRPr="00646999" w:rsidRDefault="00AF178E" w:rsidP="005E4851">
            <w:pPr>
              <w:pStyle w:val="ExhibitText"/>
              <w:jc w:val="right"/>
              <w:rPr>
                <w:noProof/>
                <w:lang w:val="en-GB"/>
              </w:rPr>
            </w:pPr>
            <w:r>
              <w:rPr>
                <w:noProof/>
                <w:lang w:val="en-GB"/>
              </w:rPr>
              <w:t>–</w:t>
            </w:r>
          </w:p>
        </w:tc>
        <w:tc>
          <w:tcPr>
            <w:tcW w:w="940" w:type="dxa"/>
            <w:tcBorders>
              <w:bottom w:val="single" w:sz="4" w:space="0" w:color="auto"/>
            </w:tcBorders>
          </w:tcPr>
          <w:p w14:paraId="6609DF28" w14:textId="1B7F1342" w:rsidR="00AB5230" w:rsidRPr="00646999" w:rsidRDefault="00AF178E" w:rsidP="005E4851">
            <w:pPr>
              <w:pStyle w:val="ExhibitText"/>
              <w:jc w:val="right"/>
              <w:rPr>
                <w:noProof/>
                <w:lang w:val="en-GB"/>
              </w:rPr>
            </w:pPr>
            <w:r>
              <w:rPr>
                <w:noProof/>
                <w:lang w:val="en-GB"/>
              </w:rPr>
              <w:t>–</w:t>
            </w:r>
          </w:p>
        </w:tc>
        <w:tc>
          <w:tcPr>
            <w:tcW w:w="1186" w:type="dxa"/>
            <w:tcBorders>
              <w:bottom w:val="single" w:sz="4" w:space="0" w:color="auto"/>
            </w:tcBorders>
          </w:tcPr>
          <w:p w14:paraId="23C2FE4A" w14:textId="75127CBA" w:rsidR="00AB5230" w:rsidRPr="00646999" w:rsidRDefault="00AF178E" w:rsidP="005E4851">
            <w:pPr>
              <w:pStyle w:val="ExhibitText"/>
              <w:jc w:val="right"/>
              <w:rPr>
                <w:noProof/>
                <w:lang w:val="en-GB"/>
              </w:rPr>
            </w:pPr>
            <w:r>
              <w:rPr>
                <w:noProof/>
                <w:lang w:val="en-GB"/>
              </w:rPr>
              <w:t>–</w:t>
            </w:r>
          </w:p>
        </w:tc>
        <w:tc>
          <w:tcPr>
            <w:tcW w:w="940" w:type="dxa"/>
            <w:tcBorders>
              <w:bottom w:val="single" w:sz="4" w:space="0" w:color="auto"/>
            </w:tcBorders>
          </w:tcPr>
          <w:p w14:paraId="0AA220EC" w14:textId="6147DCC9" w:rsidR="00AB5230" w:rsidRPr="00646999" w:rsidRDefault="00AF178E" w:rsidP="005E4851">
            <w:pPr>
              <w:pStyle w:val="ExhibitText"/>
              <w:jc w:val="right"/>
              <w:rPr>
                <w:noProof/>
                <w:lang w:val="en-GB"/>
              </w:rPr>
            </w:pPr>
            <w:r>
              <w:rPr>
                <w:noProof/>
                <w:lang w:val="en-GB"/>
              </w:rPr>
              <w:t>–</w:t>
            </w:r>
          </w:p>
        </w:tc>
        <w:tc>
          <w:tcPr>
            <w:tcW w:w="943" w:type="dxa"/>
            <w:tcBorders>
              <w:bottom w:val="single" w:sz="4" w:space="0" w:color="auto"/>
            </w:tcBorders>
          </w:tcPr>
          <w:p w14:paraId="08D5AE84" w14:textId="1CEDF68B" w:rsidR="00AB5230" w:rsidRPr="00646999" w:rsidRDefault="00AF178E" w:rsidP="005E4851">
            <w:pPr>
              <w:pStyle w:val="ExhibitText"/>
              <w:jc w:val="right"/>
              <w:rPr>
                <w:noProof/>
                <w:lang w:val="en-GB"/>
              </w:rPr>
            </w:pPr>
            <w:r>
              <w:rPr>
                <w:noProof/>
                <w:lang w:val="en-GB"/>
              </w:rPr>
              <w:t>–</w:t>
            </w:r>
          </w:p>
        </w:tc>
        <w:tc>
          <w:tcPr>
            <w:tcW w:w="943" w:type="dxa"/>
            <w:tcBorders>
              <w:bottom w:val="single" w:sz="4" w:space="0" w:color="auto"/>
            </w:tcBorders>
          </w:tcPr>
          <w:p w14:paraId="0894BAF3" w14:textId="7017FF12" w:rsidR="00AB5230" w:rsidRPr="00646999" w:rsidRDefault="00AF178E" w:rsidP="005E4851">
            <w:pPr>
              <w:pStyle w:val="ExhibitText"/>
              <w:jc w:val="right"/>
              <w:rPr>
                <w:noProof/>
                <w:lang w:val="en-GB"/>
              </w:rPr>
            </w:pPr>
            <w:r>
              <w:rPr>
                <w:noProof/>
                <w:lang w:val="en-GB"/>
              </w:rPr>
              <w:t>–</w:t>
            </w:r>
          </w:p>
        </w:tc>
      </w:tr>
    </w:tbl>
    <w:p w14:paraId="6D44BBDE" w14:textId="77777777" w:rsidR="00AB5230" w:rsidRPr="00646999" w:rsidRDefault="00AB5230" w:rsidP="00AB5230">
      <w:pPr>
        <w:pStyle w:val="BodyTextMain"/>
        <w:rPr>
          <w:lang w:val="en-GB"/>
        </w:rPr>
      </w:pPr>
    </w:p>
    <w:p w14:paraId="62788ADE" w14:textId="1A055104" w:rsidR="005E4851" w:rsidRPr="00646999" w:rsidRDefault="005E4851" w:rsidP="005E4851">
      <w:pPr>
        <w:pStyle w:val="Footnote"/>
        <w:rPr>
          <w:noProof/>
          <w:lang w:val="en-GB"/>
        </w:rPr>
      </w:pPr>
      <w:r w:rsidRPr="00646999">
        <w:rPr>
          <w:noProof/>
          <w:lang w:val="en-GB"/>
        </w:rPr>
        <w:t xml:space="preserve">Note: </w:t>
      </w:r>
      <w:r w:rsidR="00A44828" w:rsidRPr="00646999">
        <w:rPr>
          <w:lang w:val="en-GB"/>
        </w:rPr>
        <w:t>¥</w:t>
      </w:r>
      <w:r w:rsidR="00646999" w:rsidRPr="00646999">
        <w:rPr>
          <w:lang w:val="en-GB"/>
        </w:rPr>
        <w:t xml:space="preserve"> </w:t>
      </w:r>
      <w:r w:rsidR="00A44828" w:rsidRPr="00646999">
        <w:rPr>
          <w:noProof/>
          <w:lang w:val="en-GB"/>
        </w:rPr>
        <w:t xml:space="preserve">= CNY = Chinese yuan renminbi; US$1 = </w:t>
      </w:r>
      <w:r w:rsidR="00A44828" w:rsidRPr="00646999">
        <w:rPr>
          <w:lang w:val="en-GB"/>
        </w:rPr>
        <w:t>¥6.6550</w:t>
      </w:r>
      <w:r w:rsidR="00A44828" w:rsidRPr="00646999">
        <w:rPr>
          <w:noProof/>
          <w:lang w:val="en-GB"/>
        </w:rPr>
        <w:t xml:space="preserve"> on June 30, 2016; mmcf = </w:t>
      </w:r>
      <w:r w:rsidR="00293A3C" w:rsidRPr="00646999">
        <w:rPr>
          <w:noProof/>
          <w:lang w:val="en-GB"/>
        </w:rPr>
        <w:t xml:space="preserve">million cubic feet; </w:t>
      </w:r>
      <w:r w:rsidR="00A44828" w:rsidRPr="00646999">
        <w:rPr>
          <w:noProof/>
          <w:lang w:val="en-GB"/>
        </w:rPr>
        <w:t xml:space="preserve">BOE = barrels of oil equivilant. </w:t>
      </w:r>
      <w:r w:rsidRPr="00646999">
        <w:rPr>
          <w:noProof/>
          <w:lang w:val="en-GB"/>
        </w:rPr>
        <w:t>As Canada’s proved reserves represent over 15</w:t>
      </w:r>
      <w:r w:rsidR="00293A3C" w:rsidRPr="00646999">
        <w:rPr>
          <w:noProof/>
          <w:lang w:val="en-GB"/>
        </w:rPr>
        <w:t xml:space="preserve"> per cent</w:t>
      </w:r>
      <w:r w:rsidRPr="00646999">
        <w:rPr>
          <w:noProof/>
          <w:lang w:val="en-GB"/>
        </w:rPr>
        <w:t xml:space="preserve"> of CNOOC’s total proved reserves since the end of 2013, production data are disclosed separately for Canada for year 2013 and on</w:t>
      </w:r>
      <w:r w:rsidR="00AF178E">
        <w:rPr>
          <w:noProof/>
          <w:lang w:val="en-GB"/>
        </w:rPr>
        <w:t>ward</w:t>
      </w:r>
      <w:r w:rsidRPr="00646999">
        <w:rPr>
          <w:noProof/>
          <w:lang w:val="en-GB"/>
        </w:rPr>
        <w:t xml:space="preserve">. Prior to 2013, Canada’s numbers were included in those for North America (if applicable) or overseas, and were disclosed on a combined basis in CNOOC’s annual reports. Therefore, we have not included the numbers of net production or net reserves of crude oil and natural gas in Canada prior to 2013. </w:t>
      </w:r>
    </w:p>
    <w:p w14:paraId="00E83009" w14:textId="1DD8F92E" w:rsidR="005E4851" w:rsidRPr="00646999" w:rsidRDefault="005E4851" w:rsidP="005E4851">
      <w:pPr>
        <w:pStyle w:val="Footnote"/>
        <w:rPr>
          <w:noProof/>
          <w:lang w:val="en-GB"/>
        </w:rPr>
      </w:pPr>
      <w:r w:rsidRPr="00646999">
        <w:rPr>
          <w:noProof/>
          <w:lang w:val="en-GB"/>
        </w:rPr>
        <w:t xml:space="preserve">Source: </w:t>
      </w:r>
      <w:r w:rsidR="00243C01" w:rsidRPr="00646999">
        <w:rPr>
          <w:noProof/>
          <w:lang w:val="en-GB"/>
        </w:rPr>
        <w:t>China National Offshore Oil Corporation</w:t>
      </w:r>
      <w:r w:rsidRPr="00646999">
        <w:rPr>
          <w:noProof/>
          <w:lang w:val="en-GB"/>
        </w:rPr>
        <w:t xml:space="preserve"> </w:t>
      </w:r>
      <w:r w:rsidR="00243C01" w:rsidRPr="00646999">
        <w:rPr>
          <w:noProof/>
          <w:lang w:val="en-GB"/>
        </w:rPr>
        <w:t>a</w:t>
      </w:r>
      <w:r w:rsidRPr="00646999">
        <w:rPr>
          <w:noProof/>
          <w:lang w:val="en-GB"/>
        </w:rPr>
        <w:t xml:space="preserve">nnual </w:t>
      </w:r>
      <w:r w:rsidR="00243C01" w:rsidRPr="00646999">
        <w:rPr>
          <w:noProof/>
          <w:lang w:val="en-GB"/>
        </w:rPr>
        <w:t>r</w:t>
      </w:r>
      <w:r w:rsidRPr="00646999">
        <w:rPr>
          <w:noProof/>
          <w:lang w:val="en-GB"/>
        </w:rPr>
        <w:t>eport</w:t>
      </w:r>
      <w:r w:rsidR="00243C01" w:rsidRPr="00646999">
        <w:rPr>
          <w:noProof/>
          <w:lang w:val="en-GB"/>
        </w:rPr>
        <w:t>s from</w:t>
      </w:r>
      <w:r w:rsidRPr="00646999">
        <w:rPr>
          <w:noProof/>
          <w:lang w:val="en-GB"/>
        </w:rPr>
        <w:t xml:space="preserve"> 2006</w:t>
      </w:r>
      <w:r w:rsidR="00243C01" w:rsidRPr="00646999">
        <w:rPr>
          <w:noProof/>
          <w:lang w:val="en-GB"/>
        </w:rPr>
        <w:t xml:space="preserve"> to </w:t>
      </w:r>
      <w:r w:rsidRPr="00646999">
        <w:rPr>
          <w:noProof/>
          <w:lang w:val="en-GB"/>
        </w:rPr>
        <w:t>2016</w:t>
      </w:r>
      <w:r w:rsidR="00243C01" w:rsidRPr="00646999">
        <w:rPr>
          <w:noProof/>
          <w:lang w:val="en-GB"/>
        </w:rPr>
        <w:t>.</w:t>
      </w:r>
    </w:p>
    <w:p w14:paraId="29E1B210" w14:textId="77777777" w:rsidR="005E4851" w:rsidRPr="00646999" w:rsidRDefault="005E4851">
      <w:pPr>
        <w:spacing w:after="200" w:line="276" w:lineRule="auto"/>
        <w:rPr>
          <w:rFonts w:ascii="Arial" w:hAnsi="Arial" w:cs="Arial"/>
          <w:noProof/>
          <w:sz w:val="17"/>
          <w:szCs w:val="17"/>
          <w:lang w:val="en-GB"/>
        </w:rPr>
      </w:pPr>
      <w:r w:rsidRPr="00646999">
        <w:rPr>
          <w:noProof/>
          <w:lang w:val="en-GB"/>
        </w:rPr>
        <w:br w:type="page"/>
      </w:r>
    </w:p>
    <w:p w14:paraId="21D771F7" w14:textId="77777777" w:rsidR="005E4851" w:rsidRPr="00646999" w:rsidRDefault="005E4851" w:rsidP="005E4851">
      <w:pPr>
        <w:pStyle w:val="Footnote"/>
        <w:rPr>
          <w:lang w:val="en-GB"/>
        </w:rPr>
        <w:sectPr w:rsidR="005E4851" w:rsidRPr="00646999" w:rsidSect="00AB5230">
          <w:headerReference w:type="default" r:id="rId13"/>
          <w:endnotePr>
            <w:numFmt w:val="decimal"/>
          </w:endnotePr>
          <w:pgSz w:w="15840" w:h="12240" w:orient="landscape" w:code="1"/>
          <w:pgMar w:top="1440" w:right="1440" w:bottom="1440" w:left="1440" w:header="1080" w:footer="720" w:gutter="0"/>
          <w:cols w:space="720"/>
          <w:docGrid w:linePitch="360"/>
        </w:sectPr>
      </w:pPr>
    </w:p>
    <w:p w14:paraId="76EF014D" w14:textId="7FB39FB6" w:rsidR="00AB5230" w:rsidRPr="00646999" w:rsidRDefault="005E4851" w:rsidP="005E4851">
      <w:pPr>
        <w:pStyle w:val="ExhibitHeading"/>
        <w:rPr>
          <w:rFonts w:eastAsiaTheme="minorEastAsia"/>
          <w:lang w:val="en-GB"/>
        </w:rPr>
      </w:pPr>
      <w:r w:rsidRPr="00646999">
        <w:rPr>
          <w:rFonts w:eastAsiaTheme="minorEastAsia"/>
          <w:lang w:val="en-GB"/>
        </w:rPr>
        <w:lastRenderedPageBreak/>
        <w:t>Exhibit 3: Crude oil prices</w:t>
      </w:r>
      <w:r w:rsidR="00243C01" w:rsidRPr="00646999">
        <w:rPr>
          <w:rFonts w:eastAsiaTheme="minorEastAsia"/>
          <w:lang w:val="en-GB"/>
        </w:rPr>
        <w:t>,</w:t>
      </w:r>
      <w:r w:rsidRPr="00646999">
        <w:rPr>
          <w:rFonts w:eastAsiaTheme="minorEastAsia"/>
          <w:lang w:val="en-GB"/>
        </w:rPr>
        <w:t xml:space="preserve"> 1994</w:t>
      </w:r>
      <w:r w:rsidR="00243C01" w:rsidRPr="00646999">
        <w:rPr>
          <w:rFonts w:eastAsiaTheme="minorEastAsia"/>
          <w:lang w:val="en-GB"/>
        </w:rPr>
        <w:t>–</w:t>
      </w:r>
      <w:r w:rsidRPr="00646999">
        <w:rPr>
          <w:rFonts w:eastAsiaTheme="minorEastAsia"/>
          <w:lang w:val="en-GB"/>
        </w:rPr>
        <w:t>2016 (us</w:t>
      </w:r>
      <w:r w:rsidR="00243C01" w:rsidRPr="00646999">
        <w:rPr>
          <w:rFonts w:eastAsiaTheme="minorEastAsia"/>
          <w:lang w:val="en-GB"/>
        </w:rPr>
        <w:t>$</w:t>
      </w:r>
      <w:r w:rsidRPr="00646999">
        <w:rPr>
          <w:rFonts w:eastAsiaTheme="minorEastAsia"/>
          <w:lang w:val="en-GB"/>
        </w:rPr>
        <w:t xml:space="preserve"> per barrel)</w:t>
      </w:r>
    </w:p>
    <w:p w14:paraId="50BD7848" w14:textId="77777777" w:rsidR="005E4851" w:rsidRPr="00646999" w:rsidRDefault="005E4851" w:rsidP="005E4851">
      <w:pPr>
        <w:pStyle w:val="BodyTextMain"/>
        <w:rPr>
          <w:rFonts w:eastAsiaTheme="minorEastAsia"/>
          <w:lang w:val="en-GB"/>
        </w:rPr>
      </w:pPr>
    </w:p>
    <w:p w14:paraId="0FBC3195" w14:textId="538B264E" w:rsidR="005E4851" w:rsidRPr="00646999" w:rsidRDefault="005E4851" w:rsidP="005E4851">
      <w:pPr>
        <w:pStyle w:val="BodyTextMain"/>
        <w:jc w:val="center"/>
        <w:rPr>
          <w:rFonts w:eastAsiaTheme="minorEastAsia"/>
          <w:lang w:val="en-GB"/>
        </w:rPr>
      </w:pPr>
      <w:r w:rsidRPr="00646999">
        <w:rPr>
          <w:noProof/>
        </w:rPr>
        <w:drawing>
          <wp:inline distT="0" distB="0" distL="0" distR="0" wp14:anchorId="1C496EF5" wp14:editId="259D1482">
            <wp:extent cx="4897755" cy="4357315"/>
            <wp:effectExtent l="0" t="0" r="17145" b="571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1C6E949" w14:textId="77777777" w:rsidR="005E4851" w:rsidRPr="00646999" w:rsidRDefault="005E4851" w:rsidP="005E4851">
      <w:pPr>
        <w:pStyle w:val="BodyTextMain"/>
        <w:rPr>
          <w:lang w:val="en-GB"/>
        </w:rPr>
      </w:pPr>
    </w:p>
    <w:p w14:paraId="66BB26CC" w14:textId="46E8E6CC" w:rsidR="005E4851" w:rsidRPr="00646999" w:rsidRDefault="005E4851" w:rsidP="005E4851">
      <w:pPr>
        <w:pStyle w:val="Footnote"/>
        <w:rPr>
          <w:lang w:val="en-GB"/>
        </w:rPr>
      </w:pPr>
      <w:r w:rsidRPr="00646999">
        <w:rPr>
          <w:lang w:val="en-GB"/>
        </w:rPr>
        <w:t xml:space="preserve">Source: Adapted </w:t>
      </w:r>
      <w:r w:rsidR="00243C01" w:rsidRPr="00646999">
        <w:rPr>
          <w:lang w:val="en-GB"/>
        </w:rPr>
        <w:t>f</w:t>
      </w:r>
      <w:r w:rsidRPr="00646999">
        <w:rPr>
          <w:lang w:val="en-GB"/>
        </w:rPr>
        <w:t xml:space="preserve">rom </w:t>
      </w:r>
      <w:r w:rsidR="00243C01" w:rsidRPr="00646999">
        <w:rPr>
          <w:lang w:val="en-GB"/>
        </w:rPr>
        <w:t xml:space="preserve">“Average Annual </w:t>
      </w:r>
      <w:r w:rsidRPr="00646999">
        <w:rPr>
          <w:lang w:val="en-GB"/>
        </w:rPr>
        <w:t xml:space="preserve">West Texas Intermediate </w:t>
      </w:r>
      <w:r w:rsidR="00243C01" w:rsidRPr="00646999">
        <w:rPr>
          <w:lang w:val="en-GB"/>
        </w:rPr>
        <w:t>(WTI) Crude</w:t>
      </w:r>
      <w:r w:rsidRPr="00646999">
        <w:rPr>
          <w:lang w:val="en-GB"/>
        </w:rPr>
        <w:t xml:space="preserve"> </w:t>
      </w:r>
      <w:r w:rsidR="00243C01" w:rsidRPr="00646999">
        <w:rPr>
          <w:lang w:val="en-GB"/>
        </w:rPr>
        <w:t>O</w:t>
      </w:r>
      <w:r w:rsidRPr="00646999">
        <w:rPr>
          <w:lang w:val="en-GB"/>
        </w:rPr>
        <w:t xml:space="preserve">il Price </w:t>
      </w:r>
      <w:r w:rsidR="00243C01" w:rsidRPr="00646999">
        <w:rPr>
          <w:lang w:val="en-GB"/>
        </w:rPr>
        <w:t xml:space="preserve">from </w:t>
      </w:r>
      <w:r w:rsidRPr="00646999">
        <w:rPr>
          <w:lang w:val="en-GB"/>
        </w:rPr>
        <w:t>1976</w:t>
      </w:r>
      <w:r w:rsidR="00243C01" w:rsidRPr="00646999">
        <w:rPr>
          <w:lang w:val="en-GB"/>
        </w:rPr>
        <w:t xml:space="preserve"> to </w:t>
      </w:r>
      <w:r w:rsidRPr="00646999">
        <w:rPr>
          <w:lang w:val="en-GB"/>
        </w:rPr>
        <w:t>201</w:t>
      </w:r>
      <w:r w:rsidR="00243C01" w:rsidRPr="00646999">
        <w:rPr>
          <w:lang w:val="en-GB"/>
        </w:rPr>
        <w:t>8 (in U.S. dollars per barrel</w:t>
      </w:r>
      <w:r w:rsidRPr="00646999">
        <w:rPr>
          <w:lang w:val="en-GB"/>
        </w:rPr>
        <w:t>)</w:t>
      </w:r>
      <w:r w:rsidR="00243C01" w:rsidRPr="00646999">
        <w:rPr>
          <w:lang w:val="en-GB"/>
        </w:rPr>
        <w:t xml:space="preserve">,” Statista, accessed </w:t>
      </w:r>
      <w:r w:rsidR="00BB1670" w:rsidRPr="00646999">
        <w:rPr>
          <w:lang w:val="en-GB"/>
        </w:rPr>
        <w:t>May 14, 2018</w:t>
      </w:r>
      <w:r w:rsidR="00243C01" w:rsidRPr="00646999">
        <w:rPr>
          <w:lang w:val="en-GB"/>
        </w:rPr>
        <w:t>, www.statista.com/statistics/266659/west-texas-intermediate-oil-prices/</w:t>
      </w:r>
      <w:r w:rsidRPr="00646999">
        <w:rPr>
          <w:lang w:val="en-GB"/>
        </w:rPr>
        <w:t>.</w:t>
      </w:r>
    </w:p>
    <w:p w14:paraId="6CD11593" w14:textId="77777777" w:rsidR="005E4851" w:rsidRPr="00646999" w:rsidRDefault="005E4851" w:rsidP="005E4851">
      <w:pPr>
        <w:pStyle w:val="BodyTextMain"/>
        <w:rPr>
          <w:lang w:val="en-GB"/>
        </w:rPr>
      </w:pPr>
    </w:p>
    <w:p w14:paraId="2C3599EC" w14:textId="77777777" w:rsidR="005E4851" w:rsidRPr="00646999" w:rsidRDefault="005E4851" w:rsidP="005E4851">
      <w:pPr>
        <w:pStyle w:val="BodyTextMain"/>
        <w:rPr>
          <w:lang w:val="en-GB"/>
        </w:rPr>
      </w:pPr>
    </w:p>
    <w:p w14:paraId="03A8B5E4" w14:textId="77777777" w:rsidR="00EC26AD" w:rsidRPr="00646999" w:rsidRDefault="00EC26AD">
      <w:pPr>
        <w:spacing w:after="200" w:line="276" w:lineRule="auto"/>
        <w:rPr>
          <w:rFonts w:ascii="Arial" w:hAnsi="Arial" w:cs="Arial"/>
          <w:b/>
          <w:caps/>
          <w:noProof/>
          <w:lang w:val="en-GB"/>
        </w:rPr>
      </w:pPr>
      <w:r w:rsidRPr="00646999">
        <w:rPr>
          <w:noProof/>
          <w:lang w:val="en-GB"/>
        </w:rPr>
        <w:br w:type="page"/>
      </w:r>
    </w:p>
    <w:p w14:paraId="5B045BA3" w14:textId="2718494B" w:rsidR="009557DA" w:rsidRPr="00646999" w:rsidRDefault="009557DA" w:rsidP="009557DA">
      <w:pPr>
        <w:pStyle w:val="ExhibitHeading"/>
        <w:rPr>
          <w:lang w:val="en-GB"/>
        </w:rPr>
      </w:pPr>
      <w:r w:rsidRPr="00646999">
        <w:rPr>
          <w:noProof/>
          <w:lang w:val="en-GB"/>
        </w:rPr>
        <w:lastRenderedPageBreak/>
        <w:t>EXHIBIT 4: BITUMEN PRODUCTION IN CANADIAN OIL SANDS INDUSTRY</w:t>
      </w:r>
      <w:r w:rsidR="00AF178E">
        <w:rPr>
          <w:noProof/>
          <w:lang w:val="en-GB"/>
        </w:rPr>
        <w:t>, 1994–2015</w:t>
      </w:r>
    </w:p>
    <w:p w14:paraId="1308E566" w14:textId="77777777" w:rsidR="009557DA" w:rsidRPr="00646999" w:rsidRDefault="009557DA" w:rsidP="009557DA">
      <w:pPr>
        <w:pStyle w:val="BodyTextMain"/>
        <w:rPr>
          <w:lang w:val="en-GB"/>
        </w:rPr>
      </w:pPr>
    </w:p>
    <w:p w14:paraId="57553506" w14:textId="75526850" w:rsidR="009557DA" w:rsidRPr="00646999" w:rsidRDefault="009557DA" w:rsidP="009557DA">
      <w:pPr>
        <w:pStyle w:val="BodyTextMain"/>
        <w:jc w:val="center"/>
        <w:rPr>
          <w:lang w:val="en-GB"/>
        </w:rPr>
      </w:pPr>
      <w:r w:rsidRPr="00646999">
        <w:rPr>
          <w:noProof/>
        </w:rPr>
        <w:drawing>
          <wp:inline distT="0" distB="0" distL="0" distR="0" wp14:anchorId="7578C410" wp14:editId="60401744">
            <wp:extent cx="4818490" cy="2830665"/>
            <wp:effectExtent l="0" t="0" r="1270" b="825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8F160D9" w14:textId="77777777" w:rsidR="009557DA" w:rsidRPr="00646999" w:rsidRDefault="009557DA" w:rsidP="009557DA">
      <w:pPr>
        <w:pStyle w:val="BodyTextMain"/>
        <w:jc w:val="center"/>
        <w:rPr>
          <w:lang w:val="en-GB"/>
        </w:rPr>
      </w:pPr>
    </w:p>
    <w:p w14:paraId="77B7F06C" w14:textId="414C7430" w:rsidR="009557DA" w:rsidRPr="00646999" w:rsidRDefault="009557DA" w:rsidP="009557DA">
      <w:pPr>
        <w:pStyle w:val="Footnote"/>
        <w:rPr>
          <w:lang w:val="en-GB"/>
        </w:rPr>
      </w:pPr>
      <w:r w:rsidRPr="00646999">
        <w:rPr>
          <w:noProof/>
          <w:lang w:val="en-GB"/>
        </w:rPr>
        <w:t xml:space="preserve">Source: </w:t>
      </w:r>
      <w:r w:rsidR="005C0F76" w:rsidRPr="00646999">
        <w:rPr>
          <w:noProof/>
          <w:lang w:val="en-GB"/>
        </w:rPr>
        <w:t>Alberta Government</w:t>
      </w:r>
      <w:r w:rsidR="00B76A7B" w:rsidRPr="00646999">
        <w:rPr>
          <w:noProof/>
          <w:lang w:val="en-GB"/>
        </w:rPr>
        <w:t xml:space="preserve">, </w:t>
      </w:r>
      <w:r w:rsidRPr="00646999">
        <w:rPr>
          <w:noProof/>
          <w:lang w:val="en-GB"/>
        </w:rPr>
        <w:t xml:space="preserve">Ministry of Energy </w:t>
      </w:r>
      <w:r w:rsidR="00C75656" w:rsidRPr="00646999">
        <w:rPr>
          <w:noProof/>
          <w:lang w:val="en-GB"/>
        </w:rPr>
        <w:t>a</w:t>
      </w:r>
      <w:r w:rsidRPr="00646999">
        <w:rPr>
          <w:noProof/>
          <w:lang w:val="en-GB"/>
        </w:rPr>
        <w:t xml:space="preserve">nnual </w:t>
      </w:r>
      <w:r w:rsidR="00C75656" w:rsidRPr="00646999">
        <w:rPr>
          <w:noProof/>
          <w:lang w:val="en-GB"/>
        </w:rPr>
        <w:t>r</w:t>
      </w:r>
      <w:r w:rsidRPr="00646999">
        <w:rPr>
          <w:noProof/>
          <w:lang w:val="en-GB"/>
        </w:rPr>
        <w:t xml:space="preserve">eports </w:t>
      </w:r>
      <w:r w:rsidR="00C75656" w:rsidRPr="00646999">
        <w:rPr>
          <w:noProof/>
          <w:lang w:val="en-GB"/>
        </w:rPr>
        <w:t xml:space="preserve">from </w:t>
      </w:r>
      <w:r w:rsidRPr="00646999">
        <w:rPr>
          <w:noProof/>
          <w:lang w:val="en-GB"/>
        </w:rPr>
        <w:t>1996 to 2016.</w:t>
      </w:r>
    </w:p>
    <w:p w14:paraId="1EC2E903" w14:textId="513C5800" w:rsidR="00AB5230" w:rsidRPr="00646999" w:rsidRDefault="00AB5230" w:rsidP="009557DA">
      <w:pPr>
        <w:pStyle w:val="ExhibitHeading"/>
        <w:rPr>
          <w:sz w:val="22"/>
          <w:szCs w:val="22"/>
          <w:lang w:val="en-GB"/>
        </w:rPr>
      </w:pPr>
      <w:r w:rsidRPr="00646999">
        <w:rPr>
          <w:lang w:val="en-GB"/>
        </w:rPr>
        <w:br w:type="page"/>
      </w:r>
    </w:p>
    <w:p w14:paraId="317E09FC" w14:textId="3671CFD6" w:rsidR="008577F6" w:rsidRPr="00646999" w:rsidRDefault="00AB5230" w:rsidP="00AB5230">
      <w:pPr>
        <w:pStyle w:val="Casehead1"/>
        <w:rPr>
          <w:lang w:val="en-GB"/>
        </w:rPr>
      </w:pPr>
      <w:r w:rsidRPr="00646999">
        <w:rPr>
          <w:lang w:val="en-GB"/>
        </w:rPr>
        <w:lastRenderedPageBreak/>
        <w:t>endnotes</w:t>
      </w:r>
    </w:p>
    <w:sectPr w:rsidR="008577F6" w:rsidRPr="00646999" w:rsidSect="005E4851">
      <w:headerReference w:type="default" r:id="rId16"/>
      <w:endnotePr>
        <w:numFmt w:val="decimal"/>
      </w:endnotePr>
      <w:pgSz w:w="12240" w:h="15840" w:code="1"/>
      <w:pgMar w:top="1080" w:right="1440" w:bottom="1440" w:left="1440" w:header="108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112CE7" w14:textId="77777777" w:rsidR="007F1079" w:rsidRDefault="007F1079" w:rsidP="00D75295">
      <w:r>
        <w:separator/>
      </w:r>
    </w:p>
  </w:endnote>
  <w:endnote w:type="continuationSeparator" w:id="0">
    <w:p w14:paraId="0B74B468" w14:textId="77777777" w:rsidR="007F1079" w:rsidRDefault="007F1079" w:rsidP="00D75295">
      <w:r>
        <w:continuationSeparator/>
      </w:r>
    </w:p>
  </w:endnote>
  <w:endnote w:id="1">
    <w:p w14:paraId="1915EF6C" w14:textId="3875B293" w:rsidR="009250FC" w:rsidRPr="009250FC" w:rsidRDefault="009250FC" w:rsidP="009250FC">
      <w:pPr>
        <w:pStyle w:val="Footnote"/>
      </w:pPr>
      <w:r>
        <w:rPr>
          <w:rStyle w:val="EndnoteReference"/>
        </w:rPr>
        <w:endnoteRef/>
      </w:r>
      <w:r>
        <w:t xml:space="preserve"> </w:t>
      </w:r>
      <w:r w:rsidRPr="00C74511">
        <w:rPr>
          <w:lang w:val="en-GB"/>
        </w:rPr>
        <w:t xml:space="preserve">This case has been written on the basis of published sources only. Consequently, the interpretation and perspectives presented in this case are not necessarily those of </w:t>
      </w:r>
      <w:r>
        <w:rPr>
          <w:lang w:val="en-GB"/>
        </w:rPr>
        <w:t>China National Offshore Oil Corporation</w:t>
      </w:r>
      <w:r w:rsidRPr="00C74511">
        <w:rPr>
          <w:lang w:val="en-GB"/>
        </w:rPr>
        <w:t xml:space="preserve"> or any of its employees.</w:t>
      </w:r>
    </w:p>
  </w:endnote>
  <w:endnote w:id="2">
    <w:p w14:paraId="7D7CAD06" w14:textId="63A147CE" w:rsidR="007F1079" w:rsidRPr="00646999" w:rsidRDefault="007F1079" w:rsidP="008577F6">
      <w:pPr>
        <w:pStyle w:val="Footnote"/>
        <w:rPr>
          <w:lang w:val="en-GB"/>
        </w:rPr>
      </w:pPr>
      <w:r w:rsidRPr="00646999">
        <w:rPr>
          <w:rStyle w:val="EndnoteReference"/>
          <w:lang w:val="en-GB"/>
        </w:rPr>
        <w:endnoteRef/>
      </w:r>
      <w:r w:rsidRPr="00646999">
        <w:rPr>
          <w:vertAlign w:val="superscript"/>
          <w:lang w:val="en-GB"/>
        </w:rPr>
        <w:t xml:space="preserve"> </w:t>
      </w:r>
      <w:r w:rsidRPr="00646999">
        <w:rPr>
          <w:lang w:val="en-GB"/>
        </w:rPr>
        <w:t xml:space="preserve">Philip Cheung, “China’s CNOOC Replaces CEO Who Led Company through Nexen Takeover,” </w:t>
      </w:r>
      <w:r w:rsidRPr="00646999">
        <w:rPr>
          <w:i/>
          <w:lang w:val="en-GB"/>
        </w:rPr>
        <w:t>Globe and Mail</w:t>
      </w:r>
      <w:r w:rsidRPr="00646999">
        <w:rPr>
          <w:lang w:val="en-GB"/>
        </w:rPr>
        <w:t xml:space="preserve">, June 15, 2016, accessed June 2, 2017, </w:t>
      </w:r>
      <w:r w:rsidRPr="00646999">
        <w:rPr>
          <w:rStyle w:val="Hyperlink"/>
          <w:color w:val="auto"/>
          <w:u w:val="none"/>
          <w:lang w:val="en-GB"/>
        </w:rPr>
        <w:t>www.theglobeandmail.com/report-on-business/industry-news/energy-and-resources/chinas-cnooc-replaces-ceo-who-led-company-through-nexen-takeover/article30463039/.</w:t>
      </w:r>
    </w:p>
  </w:endnote>
  <w:endnote w:id="3">
    <w:p w14:paraId="4B80CBCB" w14:textId="3D4C83D3" w:rsidR="007F1079" w:rsidRPr="00646999" w:rsidRDefault="007F1079" w:rsidP="00EC26AD">
      <w:pPr>
        <w:pStyle w:val="Footnote"/>
        <w:rPr>
          <w:lang w:val="en-GB"/>
        </w:rPr>
      </w:pPr>
      <w:r w:rsidRPr="00646999">
        <w:rPr>
          <w:rStyle w:val="EndnoteReference"/>
          <w:lang w:val="en-GB"/>
        </w:rPr>
        <w:endnoteRef/>
      </w:r>
      <w:r w:rsidRPr="00646999">
        <w:rPr>
          <w:lang w:val="en-GB"/>
        </w:rPr>
        <w:t xml:space="preserve"> All currency amounts are </w:t>
      </w:r>
      <w:r>
        <w:rPr>
          <w:lang w:val="en-GB"/>
        </w:rPr>
        <w:t xml:space="preserve">shown </w:t>
      </w:r>
      <w:r w:rsidRPr="00646999">
        <w:rPr>
          <w:lang w:val="en-GB"/>
        </w:rPr>
        <w:t>in U.S. dollars unless specified otherwise.</w:t>
      </w:r>
    </w:p>
  </w:endnote>
  <w:endnote w:id="4">
    <w:p w14:paraId="3306AE4D" w14:textId="0F704860" w:rsidR="007F1079" w:rsidRPr="00646999" w:rsidRDefault="007F1079" w:rsidP="008577F6">
      <w:pPr>
        <w:pStyle w:val="Footnote"/>
        <w:rPr>
          <w:lang w:val="en-GB"/>
        </w:rPr>
      </w:pPr>
      <w:r w:rsidRPr="00646999">
        <w:rPr>
          <w:rStyle w:val="EndnoteReference"/>
          <w:lang w:val="en-GB"/>
        </w:rPr>
        <w:endnoteRef/>
      </w:r>
      <w:r w:rsidRPr="00646999">
        <w:rPr>
          <w:lang w:val="en-GB"/>
        </w:rPr>
        <w:t xml:space="preserve"> Kenneth Rogoff, “What’s Behind the Drop in Oil Prices?,” World Economic Forum, March 2, 2016, accessed January 7, 2018, www.weforum.org/agenda/2016/03/what-s-behind-the-drop-in-oil-prices/</w:t>
      </w:r>
      <w:r w:rsidRPr="00646999">
        <w:rPr>
          <w:rStyle w:val="Hyperlink"/>
          <w:color w:val="auto"/>
          <w:u w:val="none"/>
          <w:lang w:val="en-GB"/>
        </w:rPr>
        <w:t>.</w:t>
      </w:r>
      <w:r w:rsidRPr="00646999">
        <w:rPr>
          <w:lang w:val="en-GB"/>
        </w:rPr>
        <w:t xml:space="preserve"> </w:t>
      </w:r>
    </w:p>
  </w:endnote>
  <w:endnote w:id="5">
    <w:p w14:paraId="225981D6" w14:textId="3B6A1543" w:rsidR="007F1079" w:rsidRPr="00646999" w:rsidRDefault="007F1079" w:rsidP="008577F6">
      <w:pPr>
        <w:pStyle w:val="Footnote"/>
        <w:rPr>
          <w:lang w:val="en-GB"/>
        </w:rPr>
      </w:pPr>
      <w:r w:rsidRPr="00646999">
        <w:rPr>
          <w:rStyle w:val="EndnoteReference"/>
          <w:lang w:val="en-GB"/>
        </w:rPr>
        <w:endnoteRef/>
      </w:r>
      <w:r w:rsidRPr="00646999">
        <w:rPr>
          <w:lang w:val="en-GB"/>
        </w:rPr>
        <w:t xml:space="preserve"> CNOOC, “Canada: CNOOC Buys into MEG Energy,”</w:t>
      </w:r>
      <w:r>
        <w:rPr>
          <w:lang w:val="en-GB"/>
        </w:rPr>
        <w:t xml:space="preserve"> press release</w:t>
      </w:r>
      <w:r w:rsidRPr="00646999">
        <w:rPr>
          <w:lang w:val="en-GB"/>
        </w:rPr>
        <w:t>, April 12, 2005, accessed May 1, 2017, www.prnewswire.com/news-releases/cnooc-ltd-acquired-a-stake-in-canada-based-meg-energy-54251172.html.</w:t>
      </w:r>
    </w:p>
  </w:endnote>
  <w:endnote w:id="6">
    <w:p w14:paraId="5ED6BB9E" w14:textId="12364E69" w:rsidR="007F1079" w:rsidRPr="00646999" w:rsidRDefault="007F1079" w:rsidP="008577F6">
      <w:pPr>
        <w:pStyle w:val="Footnote"/>
        <w:rPr>
          <w:lang w:val="en-GB"/>
        </w:rPr>
      </w:pPr>
      <w:r w:rsidRPr="00646999">
        <w:rPr>
          <w:rStyle w:val="EndnoteReference"/>
          <w:lang w:val="en-GB"/>
        </w:rPr>
        <w:endnoteRef/>
      </w:r>
      <w:r w:rsidRPr="00646999">
        <w:rPr>
          <w:lang w:val="en-GB"/>
        </w:rPr>
        <w:t xml:space="preserve"> Scott Haggett, “CNOOC Wraps up OPTI Deal to Expand in Oil Sands,” Reuters, November 28, 2011, accessed May 1, 2017, </w:t>
      </w:r>
      <w:hyperlink r:id="rId1" w:history="1">
        <w:r w:rsidRPr="00646999">
          <w:rPr>
            <w:rStyle w:val="Hyperlink"/>
            <w:color w:val="auto"/>
            <w:u w:val="none"/>
            <w:lang w:val="en-GB"/>
          </w:rPr>
          <w:t>http://ca.reuters.com/article/businessNews/idCATRE7AR1B020111128</w:t>
        </w:r>
      </w:hyperlink>
      <w:r w:rsidRPr="00646999">
        <w:rPr>
          <w:rStyle w:val="Hyperlink"/>
          <w:color w:val="auto"/>
          <w:u w:val="none"/>
          <w:lang w:val="en-GB"/>
        </w:rPr>
        <w:t>.</w:t>
      </w:r>
    </w:p>
  </w:endnote>
  <w:endnote w:id="7">
    <w:p w14:paraId="6EE8842C" w14:textId="6FBE7C7C" w:rsidR="007F1079" w:rsidRPr="00525F69" w:rsidRDefault="007F1079" w:rsidP="008577F6">
      <w:pPr>
        <w:pStyle w:val="Footnote"/>
        <w:rPr>
          <w:lang w:val="en-GB"/>
        </w:rPr>
      </w:pPr>
      <w:r w:rsidRPr="00525F69">
        <w:rPr>
          <w:rStyle w:val="EndnoteReference"/>
          <w:lang w:val="en-GB"/>
        </w:rPr>
        <w:endnoteRef/>
      </w:r>
      <w:r w:rsidRPr="00525F69">
        <w:rPr>
          <w:vertAlign w:val="superscript"/>
          <w:lang w:val="en-GB"/>
        </w:rPr>
        <w:t xml:space="preserve"> </w:t>
      </w:r>
      <w:r w:rsidRPr="00525F69">
        <w:rPr>
          <w:lang w:val="en-GB"/>
        </w:rPr>
        <w:t xml:space="preserve">Claudia Cattaneo, “Two Years In, Nexen Deal Still a Tough Swallow for State-Owned CNOOC,” </w:t>
      </w:r>
      <w:r w:rsidRPr="00525F69">
        <w:rPr>
          <w:i/>
          <w:lang w:val="en-GB"/>
        </w:rPr>
        <w:t>Financial Post</w:t>
      </w:r>
      <w:r w:rsidRPr="00525F69">
        <w:rPr>
          <w:lang w:val="en-GB"/>
        </w:rPr>
        <w:t xml:space="preserve">, December 13, 2014, accessed May 5, 2017, </w:t>
      </w:r>
      <w:r w:rsidRPr="00525F69">
        <w:rPr>
          <w:rStyle w:val="Hyperlink"/>
          <w:color w:val="auto"/>
          <w:u w:val="none"/>
          <w:lang w:val="en-GB"/>
        </w:rPr>
        <w:t>http://business.financialpost.com/commodities/energy/two-years-in-nexen-deal-still-a-tough-swallow-for-state-owned-cnooc.</w:t>
      </w:r>
    </w:p>
  </w:endnote>
  <w:endnote w:id="8">
    <w:p w14:paraId="69237BC6" w14:textId="63410FEC" w:rsidR="007F1079" w:rsidRPr="00646999" w:rsidRDefault="007F1079" w:rsidP="00E70583">
      <w:pPr>
        <w:pStyle w:val="Footnote"/>
        <w:rPr>
          <w:lang w:val="en-GB"/>
        </w:rPr>
      </w:pPr>
      <w:r w:rsidRPr="00646999">
        <w:rPr>
          <w:rStyle w:val="EndnoteReference"/>
          <w:lang w:val="en-GB"/>
        </w:rPr>
        <w:endnoteRef/>
      </w:r>
      <w:r w:rsidRPr="00646999">
        <w:rPr>
          <w:lang w:val="en-GB"/>
        </w:rPr>
        <w:t xml:space="preserve"> “Company Overview,” CNOOC, accessed March 11, 2017, </w:t>
      </w:r>
      <w:hyperlink r:id="rId2" w:history="1">
        <w:r w:rsidRPr="00646999">
          <w:rPr>
            <w:lang w:val="en-GB"/>
          </w:rPr>
          <w:t>www.cnooc.com.cn/col/col6141/index.html</w:t>
        </w:r>
      </w:hyperlink>
      <w:r w:rsidRPr="00646999">
        <w:rPr>
          <w:lang w:val="en-GB"/>
        </w:rPr>
        <w:t>.</w:t>
      </w:r>
    </w:p>
  </w:endnote>
  <w:endnote w:id="9">
    <w:p w14:paraId="11505B6F" w14:textId="589A33A7" w:rsidR="007F1079" w:rsidRPr="00646999" w:rsidRDefault="007F1079" w:rsidP="00E70583">
      <w:pPr>
        <w:pStyle w:val="Footnote"/>
        <w:rPr>
          <w:lang w:val="en-GB"/>
        </w:rPr>
      </w:pPr>
      <w:r w:rsidRPr="00646999">
        <w:rPr>
          <w:rStyle w:val="EndnoteReference"/>
          <w:lang w:val="en-GB"/>
        </w:rPr>
        <w:endnoteRef/>
      </w:r>
      <w:r w:rsidRPr="00646999">
        <w:rPr>
          <w:lang w:val="en-GB"/>
        </w:rPr>
        <w:t xml:space="preserve"> Ibid. </w:t>
      </w:r>
    </w:p>
  </w:endnote>
  <w:endnote w:id="10">
    <w:p w14:paraId="52D07881" w14:textId="690396A3" w:rsidR="007F1079" w:rsidRPr="008C2076" w:rsidRDefault="007F1079" w:rsidP="00E70583">
      <w:pPr>
        <w:pStyle w:val="Footnote"/>
      </w:pPr>
      <w:r w:rsidRPr="00646999">
        <w:rPr>
          <w:rStyle w:val="EndnoteReference"/>
          <w:lang w:val="en-GB"/>
        </w:rPr>
        <w:endnoteRef/>
      </w:r>
      <w:r w:rsidRPr="00646999">
        <w:rPr>
          <w:lang w:val="en-GB"/>
        </w:rPr>
        <w:t xml:space="preserve"> CNOOC, </w:t>
      </w:r>
      <w:r w:rsidRPr="00646999">
        <w:rPr>
          <w:i/>
          <w:lang w:val="en-GB"/>
        </w:rPr>
        <w:t>2015 Annual Report China National Offshore Oil Corp</w:t>
      </w:r>
      <w:r w:rsidRPr="00646999">
        <w:rPr>
          <w:lang w:val="en-GB"/>
        </w:rPr>
        <w:t>., April 6, 2016, accessed May 19, 2017</w:t>
      </w:r>
      <w:r w:rsidR="008C2076">
        <w:rPr>
          <w:lang w:val="en-GB"/>
        </w:rPr>
        <w:t xml:space="preserve">, </w:t>
      </w:r>
      <w:r w:rsidR="008C2076" w:rsidRPr="008C2076">
        <w:rPr>
          <w:lang w:val="en-GB"/>
        </w:rPr>
        <w:t>www.cnooc.com.cn/attach/0/1606121709183861352.pdf</w:t>
      </w:r>
      <w:r w:rsidR="008C2076">
        <w:rPr>
          <w:lang w:val="en-GB"/>
        </w:rPr>
        <w:t>.</w:t>
      </w:r>
    </w:p>
  </w:endnote>
  <w:endnote w:id="11">
    <w:p w14:paraId="22ABDC22" w14:textId="71ECA476" w:rsidR="007F1079" w:rsidRPr="00646999" w:rsidRDefault="007F1079" w:rsidP="00E70583">
      <w:pPr>
        <w:pStyle w:val="Footnote"/>
        <w:rPr>
          <w:lang w:val="en-GB"/>
        </w:rPr>
      </w:pPr>
      <w:r w:rsidRPr="00646999">
        <w:rPr>
          <w:rStyle w:val="EndnoteReference"/>
          <w:lang w:val="en-GB"/>
        </w:rPr>
        <w:endnoteRef/>
      </w:r>
      <w:r w:rsidRPr="00646999">
        <w:rPr>
          <w:lang w:val="en-GB"/>
        </w:rPr>
        <w:t xml:space="preserve"> “CNOOC 2016 Profit Down 97%,” The Oil &amp; Gas Year, March 23, 2017, accessed October 5, 2017, </w:t>
      </w:r>
      <w:hyperlink r:id="rId3" w:history="1">
        <w:r w:rsidRPr="00646999">
          <w:rPr>
            <w:lang w:val="en-GB"/>
          </w:rPr>
          <w:t>www.theoilandgasyear.com/news/cnooc-2016-profit-down-97/</w:t>
        </w:r>
      </w:hyperlink>
      <w:r w:rsidRPr="00646999">
        <w:rPr>
          <w:rStyle w:val="Hyperlink"/>
          <w:color w:val="auto"/>
          <w:u w:val="none"/>
          <w:lang w:val="en-GB"/>
        </w:rPr>
        <w:t>.</w:t>
      </w:r>
    </w:p>
  </w:endnote>
  <w:endnote w:id="12">
    <w:p w14:paraId="3628D414" w14:textId="2996A70E" w:rsidR="007F1079" w:rsidRPr="008F50F8" w:rsidRDefault="007F1079" w:rsidP="00E70583">
      <w:pPr>
        <w:pStyle w:val="Footnote"/>
        <w:rPr>
          <w:b/>
          <w:lang w:val="en-GB"/>
        </w:rPr>
      </w:pPr>
      <w:r w:rsidRPr="00646999">
        <w:rPr>
          <w:rStyle w:val="EndnoteReference"/>
          <w:lang w:val="en-GB"/>
        </w:rPr>
        <w:endnoteRef/>
      </w:r>
      <w:r w:rsidRPr="00646999">
        <w:rPr>
          <w:lang w:val="en-GB"/>
        </w:rPr>
        <w:t xml:space="preserve"> CNOOC, </w:t>
      </w:r>
      <w:r w:rsidRPr="00646999">
        <w:rPr>
          <w:i/>
          <w:lang w:val="en-GB"/>
        </w:rPr>
        <w:t>2016 Annual Report China National Offshore Oil Corp</w:t>
      </w:r>
      <w:r w:rsidRPr="00646999">
        <w:rPr>
          <w:lang w:val="en-GB"/>
        </w:rPr>
        <w:t>., April 21, 2017, accessed May 12, 2017</w:t>
      </w:r>
      <w:r w:rsidR="008C2076">
        <w:rPr>
          <w:lang w:val="en-GB"/>
        </w:rPr>
        <w:t xml:space="preserve">, </w:t>
      </w:r>
      <w:r w:rsidR="008C2076" w:rsidRPr="008C2076">
        <w:rPr>
          <w:lang w:val="en-GB"/>
        </w:rPr>
        <w:t>www.cnooc.com.cn/attach/0/1706141400351842136.pdf</w:t>
      </w:r>
      <w:r w:rsidR="008C2076">
        <w:rPr>
          <w:lang w:val="en-GB"/>
        </w:rPr>
        <w:t>.</w:t>
      </w:r>
    </w:p>
  </w:endnote>
  <w:endnote w:id="13">
    <w:p w14:paraId="575CC0EE" w14:textId="29AD6C3F" w:rsidR="007F1079" w:rsidRPr="00646999" w:rsidRDefault="007F1079" w:rsidP="00E70583">
      <w:pPr>
        <w:pStyle w:val="Footnote"/>
        <w:rPr>
          <w:lang w:val="en-GB"/>
        </w:rPr>
      </w:pPr>
      <w:r w:rsidRPr="00646999">
        <w:rPr>
          <w:rStyle w:val="EndnoteReference"/>
          <w:lang w:val="en-GB"/>
        </w:rPr>
        <w:endnoteRef/>
      </w:r>
      <w:r w:rsidRPr="00646999">
        <w:rPr>
          <w:lang w:val="en-GB"/>
        </w:rPr>
        <w:t xml:space="preserve"> Alberta Energy, </w:t>
      </w:r>
      <w:r w:rsidRPr="00646999">
        <w:rPr>
          <w:i/>
          <w:lang w:val="en-GB"/>
        </w:rPr>
        <w:t>Alberta Ministry of Energy 2005–2006 Annual Report</w:t>
      </w:r>
      <w:r w:rsidRPr="00646999">
        <w:rPr>
          <w:lang w:val="en-GB"/>
        </w:rPr>
        <w:t xml:space="preserve">, 2006, accessed May 3, 2017, </w:t>
      </w:r>
      <w:hyperlink r:id="rId4" w:history="1">
        <w:r w:rsidRPr="00646999">
          <w:rPr>
            <w:rStyle w:val="Hyperlink"/>
            <w:color w:val="auto"/>
            <w:u w:val="none"/>
            <w:lang w:val="en-GB"/>
          </w:rPr>
          <w:t>www.energy.alberta.ca/Org/Publications/AR2006.pdf</w:t>
        </w:r>
      </w:hyperlink>
      <w:r w:rsidRPr="00646999">
        <w:rPr>
          <w:lang w:val="en-GB"/>
        </w:rPr>
        <w:t>.</w:t>
      </w:r>
    </w:p>
  </w:endnote>
  <w:endnote w:id="14">
    <w:p w14:paraId="1C62571C" w14:textId="4016319F" w:rsidR="007F1079" w:rsidRPr="00646999" w:rsidRDefault="007F1079" w:rsidP="00E70583">
      <w:pPr>
        <w:pStyle w:val="Footnote"/>
        <w:rPr>
          <w:lang w:val="en-GB"/>
        </w:rPr>
      </w:pPr>
      <w:r w:rsidRPr="00646999">
        <w:rPr>
          <w:rStyle w:val="EndnoteReference"/>
          <w:lang w:val="en-GB"/>
        </w:rPr>
        <w:endnoteRef/>
      </w:r>
      <w:r w:rsidRPr="00646999">
        <w:rPr>
          <w:vertAlign w:val="superscript"/>
          <w:lang w:val="en-GB"/>
        </w:rPr>
        <w:t xml:space="preserve"> </w:t>
      </w:r>
      <w:r w:rsidRPr="00646999">
        <w:rPr>
          <w:lang w:val="en-GB"/>
        </w:rPr>
        <w:t xml:space="preserve">Romain H. Lacombe and John E. Parsons, “Technologies, Markets and Challenges for Development of the Canadian Oil Sands Industry,” Center for Energy and Environmental Policy Research, June 2007, accessed May 20, 2017, </w:t>
      </w:r>
      <w:r w:rsidRPr="00646999">
        <w:rPr>
          <w:rStyle w:val="Hyperlink"/>
          <w:color w:val="auto"/>
          <w:u w:val="none"/>
          <w:lang w:val="en-GB"/>
        </w:rPr>
        <w:t>http://ceepr.mit.edu/files/papers/2007-006.pdf.</w:t>
      </w:r>
    </w:p>
  </w:endnote>
  <w:endnote w:id="15">
    <w:p w14:paraId="03B48F30" w14:textId="6CFB6D7B" w:rsidR="007F1079" w:rsidRPr="00525F69" w:rsidRDefault="007F1079" w:rsidP="00E70583">
      <w:pPr>
        <w:pStyle w:val="Footnote"/>
        <w:rPr>
          <w:lang w:val="en-GB"/>
        </w:rPr>
      </w:pPr>
      <w:r w:rsidRPr="00525F69">
        <w:rPr>
          <w:rStyle w:val="EndnoteReference"/>
          <w:lang w:val="en-GB"/>
        </w:rPr>
        <w:endnoteRef/>
      </w:r>
      <w:r w:rsidRPr="00525F69">
        <w:rPr>
          <w:vertAlign w:val="superscript"/>
          <w:lang w:val="en-GB"/>
        </w:rPr>
        <w:t xml:space="preserve"> </w:t>
      </w:r>
      <w:r w:rsidRPr="00525F69">
        <w:rPr>
          <w:lang w:val="en-GB"/>
        </w:rPr>
        <w:t xml:space="preserve">Harrie Vredenburg and Xiaoyu Liu, “Canada and the United States: A New Era in Energy Security,” in </w:t>
      </w:r>
      <w:r w:rsidRPr="00525F69">
        <w:rPr>
          <w:i/>
          <w:lang w:val="en-GB"/>
        </w:rPr>
        <w:t>Energy Security and Environmental Policy in the Americas</w:t>
      </w:r>
      <w:r w:rsidRPr="00525F69">
        <w:rPr>
          <w:lang w:val="en-GB"/>
        </w:rPr>
        <w:t>, ed. Remi B. Piet, Bruce M. Bagley, and Marcelo R. S. Zorovich (Lanham, Maryland: Lexington Books, 2017).</w:t>
      </w:r>
    </w:p>
  </w:endnote>
  <w:endnote w:id="16">
    <w:p w14:paraId="40E5D8E3" w14:textId="4E167D1E" w:rsidR="007F1079" w:rsidRPr="00646999" w:rsidRDefault="007F1079" w:rsidP="00E70583">
      <w:pPr>
        <w:pStyle w:val="Footnote"/>
        <w:rPr>
          <w:lang w:val="en-GB"/>
        </w:rPr>
      </w:pPr>
      <w:r w:rsidRPr="00646999">
        <w:rPr>
          <w:rStyle w:val="EndnoteReference"/>
          <w:lang w:val="en-GB"/>
        </w:rPr>
        <w:endnoteRef/>
      </w:r>
      <w:r w:rsidRPr="00646999">
        <w:rPr>
          <w:lang w:val="en-GB"/>
        </w:rPr>
        <w:t xml:space="preserve"> Alberta Energy and Utilities Board, </w:t>
      </w:r>
      <w:r w:rsidRPr="00646999">
        <w:rPr>
          <w:i/>
          <w:lang w:val="en-GB"/>
        </w:rPr>
        <w:t>2005 Year in Review</w:t>
      </w:r>
      <w:r w:rsidRPr="00646999">
        <w:rPr>
          <w:lang w:val="en-GB"/>
        </w:rPr>
        <w:t xml:space="preserve">, 2005, accessed December 12, 2016, </w:t>
      </w:r>
      <w:hyperlink r:id="rId5" w:history="1">
        <w:r w:rsidRPr="00646999">
          <w:rPr>
            <w:rStyle w:val="Hyperlink"/>
            <w:color w:val="auto"/>
            <w:u w:val="none"/>
            <w:lang w:val="en-GB"/>
          </w:rPr>
          <w:t>www.assembly.ab.ca/lao/library/egovdocs/2005/aleub/67720_05.pdf</w:t>
        </w:r>
      </w:hyperlink>
      <w:r w:rsidRPr="00646999">
        <w:rPr>
          <w:lang w:val="en-GB"/>
        </w:rPr>
        <w:t>.</w:t>
      </w:r>
    </w:p>
  </w:endnote>
  <w:endnote w:id="17">
    <w:p w14:paraId="5A8310E7" w14:textId="154CA31A" w:rsidR="001C227B" w:rsidRPr="001C227B" w:rsidRDefault="007F1079" w:rsidP="00E70583">
      <w:pPr>
        <w:pStyle w:val="Footnote"/>
        <w:rPr>
          <w:spacing w:val="-2"/>
          <w:lang w:val="en-GB"/>
        </w:rPr>
      </w:pPr>
      <w:r w:rsidRPr="001C227B">
        <w:rPr>
          <w:rStyle w:val="EndnoteReference"/>
          <w:spacing w:val="-2"/>
          <w:lang w:val="en-GB"/>
        </w:rPr>
        <w:endnoteRef/>
      </w:r>
      <w:r w:rsidRPr="001C227B">
        <w:rPr>
          <w:spacing w:val="-2"/>
          <w:lang w:val="en-GB"/>
        </w:rPr>
        <w:t xml:space="preserve"> Government of Alberta, Ministry of Energy, </w:t>
      </w:r>
      <w:r w:rsidRPr="001C227B">
        <w:rPr>
          <w:i/>
          <w:spacing w:val="-2"/>
          <w:lang w:val="en-GB"/>
        </w:rPr>
        <w:t>Energy: Annual Report 2007–2008</w:t>
      </w:r>
      <w:r w:rsidRPr="001C227B">
        <w:rPr>
          <w:spacing w:val="-2"/>
          <w:lang w:val="en-GB"/>
        </w:rPr>
        <w:t xml:space="preserve">, accessed May 3, 2017, </w:t>
      </w:r>
      <w:r w:rsidR="001C227B" w:rsidRPr="001C227B">
        <w:rPr>
          <w:spacing w:val="-2"/>
          <w:lang w:val="en-GB"/>
        </w:rPr>
        <w:t>https://open.alberta.ca/dataset/cbd7147b-d304-4e3e-af28-78970c71232c/resource/145db0c6-3cab-433e-8888-dfc860ef538b/</w:t>
      </w:r>
    </w:p>
    <w:p w14:paraId="4CBE5BFF" w14:textId="712C571E" w:rsidR="007F1079" w:rsidRPr="001C227B" w:rsidRDefault="007F1079" w:rsidP="00E70583">
      <w:pPr>
        <w:pStyle w:val="Footnote"/>
        <w:rPr>
          <w:spacing w:val="-2"/>
          <w:lang w:val="en-GB"/>
        </w:rPr>
      </w:pPr>
      <w:r w:rsidRPr="001C227B">
        <w:rPr>
          <w:spacing w:val="-2"/>
          <w:lang w:val="en-GB"/>
        </w:rPr>
        <w:t>download/6847119-2007-2008-Alberta-Energy-Annual-Report.pdf.</w:t>
      </w:r>
    </w:p>
  </w:endnote>
  <w:endnote w:id="18">
    <w:p w14:paraId="3DDC362E" w14:textId="34122C79" w:rsidR="007F1079" w:rsidRPr="00646999" w:rsidRDefault="007F1079" w:rsidP="00E70583">
      <w:pPr>
        <w:pStyle w:val="Footnote"/>
        <w:rPr>
          <w:lang w:val="en-GB"/>
        </w:rPr>
      </w:pPr>
      <w:r w:rsidRPr="00646999">
        <w:rPr>
          <w:rStyle w:val="EndnoteReference"/>
          <w:lang w:val="en-GB"/>
        </w:rPr>
        <w:endnoteRef/>
      </w:r>
      <w:r w:rsidRPr="00646999">
        <w:rPr>
          <w:lang w:val="en-GB"/>
        </w:rPr>
        <w:t xml:space="preserve"> CNOOC, “Canada: CNOOC Buys into MEG Energy,” op. cit.</w:t>
      </w:r>
    </w:p>
  </w:endnote>
  <w:endnote w:id="19">
    <w:p w14:paraId="4E43AA89" w14:textId="0EC461EB" w:rsidR="007F1079" w:rsidRPr="00646999" w:rsidRDefault="007F1079" w:rsidP="00E70583">
      <w:pPr>
        <w:pStyle w:val="Footnote"/>
        <w:rPr>
          <w:rFonts w:eastAsiaTheme="minorEastAsia"/>
          <w:lang w:val="en-GB"/>
        </w:rPr>
      </w:pPr>
      <w:r w:rsidRPr="00646999">
        <w:rPr>
          <w:rStyle w:val="EndnoteReference"/>
          <w:lang w:val="en-GB"/>
        </w:rPr>
        <w:endnoteRef/>
      </w:r>
      <w:r w:rsidRPr="00646999">
        <w:rPr>
          <w:vertAlign w:val="superscript"/>
          <w:lang w:val="en-GB"/>
        </w:rPr>
        <w:t xml:space="preserve"> </w:t>
      </w:r>
      <w:r w:rsidRPr="00646999">
        <w:rPr>
          <w:lang w:val="en-GB"/>
        </w:rPr>
        <w:t xml:space="preserve">Ibid. </w:t>
      </w:r>
    </w:p>
  </w:endnote>
  <w:endnote w:id="20">
    <w:p w14:paraId="14F2166D" w14:textId="04A400FF" w:rsidR="007F1079" w:rsidRPr="00646999" w:rsidRDefault="007F1079" w:rsidP="00E70583">
      <w:pPr>
        <w:pStyle w:val="Footnote"/>
        <w:rPr>
          <w:rFonts w:eastAsiaTheme="minorEastAsia"/>
          <w:lang w:val="en-GB"/>
        </w:rPr>
      </w:pPr>
      <w:r w:rsidRPr="00646999">
        <w:rPr>
          <w:rStyle w:val="EndnoteReference"/>
          <w:lang w:val="en-GB"/>
        </w:rPr>
        <w:endnoteRef/>
      </w:r>
      <w:r w:rsidRPr="00646999">
        <w:rPr>
          <w:lang w:val="en-GB"/>
        </w:rPr>
        <w:t xml:space="preserve"> Haggett, op. cit. </w:t>
      </w:r>
    </w:p>
  </w:endnote>
  <w:endnote w:id="21">
    <w:p w14:paraId="41743CA0" w14:textId="77777777" w:rsidR="00525F69" w:rsidRPr="00646999" w:rsidRDefault="00525F69" w:rsidP="00525F69">
      <w:pPr>
        <w:pStyle w:val="Footnote"/>
        <w:rPr>
          <w:rFonts w:eastAsiaTheme="minorEastAsia"/>
          <w:lang w:val="en-GB"/>
        </w:rPr>
      </w:pPr>
      <w:r w:rsidRPr="00646999">
        <w:rPr>
          <w:rStyle w:val="EndnoteReference"/>
          <w:lang w:val="en-GB"/>
        </w:rPr>
        <w:endnoteRef/>
      </w:r>
      <w:r w:rsidRPr="00646999">
        <w:rPr>
          <w:lang w:val="en-GB"/>
        </w:rPr>
        <w:t xml:space="preserve"> Tim Kiladze, “OPTI</w:t>
      </w:r>
      <w:r>
        <w:rPr>
          <w:lang w:val="en-GB"/>
        </w:rPr>
        <w:t>’</w:t>
      </w:r>
      <w:r w:rsidRPr="00646999">
        <w:rPr>
          <w:lang w:val="en-GB"/>
        </w:rPr>
        <w:t xml:space="preserve">s Future Looking Bleak,” </w:t>
      </w:r>
      <w:r w:rsidRPr="00646999">
        <w:rPr>
          <w:i/>
          <w:lang w:val="en-GB"/>
        </w:rPr>
        <w:t>Globe and Mail</w:t>
      </w:r>
      <w:r w:rsidRPr="00646999">
        <w:rPr>
          <w:lang w:val="en-GB"/>
        </w:rPr>
        <w:t xml:space="preserve">, February 2, 2011, accessed May 2, 2017, </w:t>
      </w:r>
      <w:r w:rsidRPr="00646999">
        <w:rPr>
          <w:rStyle w:val="Hyperlink"/>
          <w:color w:val="auto"/>
          <w:u w:val="none"/>
          <w:lang w:val="en-GB"/>
        </w:rPr>
        <w:t>www.theglobeandmail.com/globe-investor/optis-future-looking-bleak/article587529/.</w:t>
      </w:r>
      <w:r w:rsidRPr="00646999">
        <w:rPr>
          <w:lang w:val="en-GB"/>
        </w:rPr>
        <w:t xml:space="preserve"> </w:t>
      </w:r>
    </w:p>
  </w:endnote>
  <w:endnote w:id="22">
    <w:p w14:paraId="4FD6A9F6" w14:textId="30A7E2A6" w:rsidR="007F1079" w:rsidRPr="00646999" w:rsidRDefault="007F1079" w:rsidP="00E70583">
      <w:pPr>
        <w:pStyle w:val="Footnote"/>
        <w:rPr>
          <w:rFonts w:eastAsiaTheme="minorEastAsia"/>
          <w:lang w:val="en-GB"/>
        </w:rPr>
      </w:pPr>
      <w:r w:rsidRPr="00646999">
        <w:rPr>
          <w:rStyle w:val="EndnoteReference"/>
          <w:lang w:val="en-GB"/>
        </w:rPr>
        <w:endnoteRef/>
      </w:r>
      <w:r w:rsidRPr="00646999">
        <w:rPr>
          <w:vertAlign w:val="superscript"/>
          <w:lang w:val="en-GB"/>
        </w:rPr>
        <w:t xml:space="preserve"> </w:t>
      </w:r>
      <w:r w:rsidRPr="00646999">
        <w:rPr>
          <w:lang w:val="en-GB"/>
        </w:rPr>
        <w:t xml:space="preserve">The Canadian Press, “China’s CNOOC Buying Canadian Oilsands Producer,” CBC News, July 20, 2011, accessed May 2, 2017, </w:t>
      </w:r>
      <w:hyperlink r:id="rId6" w:history="1">
        <w:r w:rsidRPr="00646999">
          <w:rPr>
            <w:lang w:val="en-GB"/>
          </w:rPr>
          <w:t>www.cbc.ca/news/business/china-s-cnooc-buying-canadian -oilsands-producer-1.1107410</w:t>
        </w:r>
      </w:hyperlink>
      <w:r w:rsidRPr="00646999">
        <w:rPr>
          <w:lang w:val="en-GB"/>
        </w:rPr>
        <w:t xml:space="preserve">. </w:t>
      </w:r>
    </w:p>
  </w:endnote>
  <w:endnote w:id="23">
    <w:p w14:paraId="7943141C" w14:textId="5DD9228F" w:rsidR="007F1079" w:rsidRPr="00646999" w:rsidRDefault="007F1079" w:rsidP="00E70583">
      <w:pPr>
        <w:pStyle w:val="Footnote"/>
        <w:rPr>
          <w:rFonts w:eastAsiaTheme="minorEastAsia"/>
          <w:lang w:val="en-GB"/>
        </w:rPr>
      </w:pPr>
      <w:r w:rsidRPr="00646999">
        <w:rPr>
          <w:rStyle w:val="EndnoteReference"/>
          <w:lang w:val="en-GB"/>
        </w:rPr>
        <w:endnoteRef/>
      </w:r>
      <w:r w:rsidRPr="00646999">
        <w:rPr>
          <w:lang w:val="en-GB"/>
        </w:rPr>
        <w:t xml:space="preserve"> Ibid. </w:t>
      </w:r>
    </w:p>
  </w:endnote>
  <w:endnote w:id="24">
    <w:p w14:paraId="1D677CE5" w14:textId="48E199E2" w:rsidR="007F1079" w:rsidRPr="00646999" w:rsidRDefault="007F1079" w:rsidP="00E70583">
      <w:pPr>
        <w:pStyle w:val="Footnote"/>
        <w:rPr>
          <w:rFonts w:eastAsiaTheme="minorEastAsia"/>
          <w:lang w:val="en-GB"/>
        </w:rPr>
      </w:pPr>
      <w:r w:rsidRPr="00646999">
        <w:rPr>
          <w:rStyle w:val="EndnoteReference"/>
          <w:lang w:val="en-GB"/>
        </w:rPr>
        <w:endnoteRef/>
      </w:r>
      <w:r w:rsidRPr="00646999">
        <w:rPr>
          <w:lang w:val="en-GB"/>
        </w:rPr>
        <w:t xml:space="preserve"> “About Us,” Nexen, accessed May 2, 2017, </w:t>
      </w:r>
      <w:hyperlink r:id="rId7" w:history="1">
        <w:r w:rsidRPr="00646999">
          <w:rPr>
            <w:lang w:val="en-GB"/>
          </w:rPr>
          <w:t>www.nexencnoocltd.com/</w:t>
        </w:r>
      </w:hyperlink>
      <w:r w:rsidRPr="00646999">
        <w:rPr>
          <w:lang w:val="en-GB"/>
        </w:rPr>
        <w:t xml:space="preserve">. </w:t>
      </w:r>
    </w:p>
  </w:endnote>
  <w:endnote w:id="25">
    <w:p w14:paraId="3DADC084" w14:textId="5E1FBA70" w:rsidR="007F1079" w:rsidRPr="00957041" w:rsidRDefault="007F1079" w:rsidP="008F50F8">
      <w:pPr>
        <w:pStyle w:val="Footnote"/>
      </w:pPr>
      <w:r w:rsidRPr="008F50F8">
        <w:rPr>
          <w:rStyle w:val="EndnoteReference"/>
          <w:lang w:val="en-GB"/>
        </w:rPr>
        <w:endnoteRef/>
      </w:r>
      <w:r>
        <w:t xml:space="preserve"> Claudia Cattaneo, “China’s CNOOC to Buy Nexen for $15.1-Billion,” </w:t>
      </w:r>
      <w:r>
        <w:rPr>
          <w:i/>
        </w:rPr>
        <w:t>National Post</w:t>
      </w:r>
      <w:r w:rsidRPr="008F50F8">
        <w:t xml:space="preserve">, </w:t>
      </w:r>
      <w:r>
        <w:t xml:space="preserve">July 23, 2012, accessed November 19, 2018, </w:t>
      </w:r>
      <w:r w:rsidRPr="00957041">
        <w:t>https://business.financialpost.com/commodities/energy/chinas-cnooc-to-buy-nexen-for-15-1-billion</w:t>
      </w:r>
      <w:r>
        <w:t>.</w:t>
      </w:r>
    </w:p>
  </w:endnote>
  <w:endnote w:id="26">
    <w:p w14:paraId="262F2772" w14:textId="10C27C51" w:rsidR="007F1079" w:rsidRPr="001C227B" w:rsidRDefault="007F1079" w:rsidP="00E70583">
      <w:pPr>
        <w:pStyle w:val="Footnote"/>
        <w:rPr>
          <w:rFonts w:eastAsiaTheme="minorEastAsia"/>
          <w:spacing w:val="-4"/>
          <w:lang w:val="en-GB"/>
        </w:rPr>
      </w:pPr>
      <w:r w:rsidRPr="001C227B">
        <w:rPr>
          <w:rStyle w:val="EndnoteReference"/>
          <w:spacing w:val="-4"/>
          <w:lang w:val="en-GB"/>
        </w:rPr>
        <w:endnoteRef/>
      </w:r>
      <w:r w:rsidRPr="001C227B">
        <w:rPr>
          <w:spacing w:val="-4"/>
          <w:vertAlign w:val="superscript"/>
          <w:lang w:val="en-GB"/>
        </w:rPr>
        <w:t xml:space="preserve"> </w:t>
      </w:r>
      <w:r w:rsidRPr="001C227B">
        <w:rPr>
          <w:spacing w:val="-4"/>
          <w:lang w:val="en-GB"/>
        </w:rPr>
        <w:t xml:space="preserve">Euan Rocha, “CNOOC Completes Contentious $15.1-billion Acquisition of Nexen,” </w:t>
      </w:r>
      <w:r w:rsidRPr="001C227B">
        <w:rPr>
          <w:i/>
          <w:spacing w:val="-4"/>
          <w:lang w:val="en-GB"/>
        </w:rPr>
        <w:t>Financial Post</w:t>
      </w:r>
      <w:r w:rsidRPr="001C227B">
        <w:rPr>
          <w:spacing w:val="-4"/>
          <w:lang w:val="en-GB"/>
        </w:rPr>
        <w:t xml:space="preserve">, February 25, 2013, accessed May 5, 2017, </w:t>
      </w:r>
      <w:r w:rsidRPr="001C227B">
        <w:rPr>
          <w:spacing w:val="-4"/>
        </w:rPr>
        <w:t>http://business.financialpost.com/news/energy/cnooc-completes-contentious-15-1-billion-acquisition-of-nexen</w:t>
      </w:r>
      <w:r w:rsidRPr="001C227B">
        <w:rPr>
          <w:rStyle w:val="Hyperlink"/>
          <w:color w:val="auto"/>
          <w:spacing w:val="-4"/>
          <w:u w:val="none"/>
          <w:lang w:val="en-GB"/>
        </w:rPr>
        <w:t>.</w:t>
      </w:r>
      <w:r w:rsidRPr="001C227B">
        <w:rPr>
          <w:spacing w:val="-4"/>
          <w:lang w:val="en-GB"/>
        </w:rPr>
        <w:t xml:space="preserve"> </w:t>
      </w:r>
    </w:p>
  </w:endnote>
  <w:endnote w:id="27">
    <w:p w14:paraId="7A091A7A" w14:textId="40C9FE47" w:rsidR="007F1079" w:rsidRPr="00646999" w:rsidRDefault="007F1079" w:rsidP="00E70583">
      <w:pPr>
        <w:pStyle w:val="Footnote"/>
        <w:rPr>
          <w:lang w:val="en-GB"/>
        </w:rPr>
      </w:pPr>
      <w:r w:rsidRPr="00646999">
        <w:rPr>
          <w:rStyle w:val="EndnoteReference"/>
          <w:lang w:val="en-GB"/>
        </w:rPr>
        <w:endnoteRef/>
      </w:r>
      <w:r w:rsidRPr="00646999">
        <w:rPr>
          <w:vertAlign w:val="superscript"/>
          <w:lang w:val="en-GB"/>
        </w:rPr>
        <w:t xml:space="preserve"> </w:t>
      </w:r>
      <w:r w:rsidRPr="00646999">
        <w:rPr>
          <w:lang w:val="en-GB"/>
        </w:rPr>
        <w:t>Jeffrey Jones, “China</w:t>
      </w:r>
      <w:r>
        <w:rPr>
          <w:lang w:val="en-GB"/>
        </w:rPr>
        <w:t>’</w:t>
      </w:r>
      <w:r w:rsidRPr="00646999">
        <w:rPr>
          <w:lang w:val="en-GB"/>
        </w:rPr>
        <w:t xml:space="preserve">s CNOOC Shutting Nexen’s Calgary-based Oil-trading Operation,” </w:t>
      </w:r>
      <w:r w:rsidRPr="00646999">
        <w:rPr>
          <w:i/>
          <w:lang w:val="en-GB"/>
        </w:rPr>
        <w:t>Globe and Mail</w:t>
      </w:r>
      <w:r w:rsidRPr="00646999">
        <w:rPr>
          <w:lang w:val="en-GB"/>
        </w:rPr>
        <w:t xml:space="preserve">, March 23, 2015, accessed May 2, 2017, </w:t>
      </w:r>
      <w:hyperlink r:id="rId8" w:history="1">
        <w:r w:rsidRPr="00646999">
          <w:rPr>
            <w:lang w:val="en-GB"/>
          </w:rPr>
          <w:t>www.theglobeandmail.com/report-on-business/industry-news/energy-and-resources/chinas-cnooc-shutting-nexen-oil-trading-operation/article23581788/</w:t>
        </w:r>
      </w:hyperlink>
      <w:r w:rsidRPr="00646999">
        <w:rPr>
          <w:lang w:val="en-GB"/>
        </w:rPr>
        <w:t xml:space="preserve">. </w:t>
      </w:r>
    </w:p>
  </w:endnote>
  <w:endnote w:id="28">
    <w:p w14:paraId="4A49A0E6" w14:textId="202CC223" w:rsidR="007F1079" w:rsidRPr="00646999" w:rsidRDefault="007F1079" w:rsidP="00E70583">
      <w:pPr>
        <w:pStyle w:val="Footnote"/>
        <w:rPr>
          <w:rFonts w:eastAsiaTheme="minorEastAsia"/>
          <w:lang w:val="en-GB"/>
        </w:rPr>
      </w:pPr>
      <w:r w:rsidRPr="00646999">
        <w:rPr>
          <w:rStyle w:val="EndnoteReference"/>
          <w:lang w:val="en-GB"/>
        </w:rPr>
        <w:endnoteRef/>
      </w:r>
      <w:r w:rsidRPr="00646999">
        <w:rPr>
          <w:vertAlign w:val="superscript"/>
          <w:lang w:val="en-GB"/>
        </w:rPr>
        <w:t xml:space="preserve"> </w:t>
      </w:r>
      <w:r w:rsidRPr="00646999">
        <w:rPr>
          <w:lang w:val="en-GB"/>
        </w:rPr>
        <w:t>Cheung, op. cit.</w:t>
      </w:r>
    </w:p>
  </w:endnote>
  <w:endnote w:id="29">
    <w:p w14:paraId="1E251500" w14:textId="77777777" w:rsidR="00525F69" w:rsidRPr="00646999" w:rsidRDefault="00525F69" w:rsidP="00525F69">
      <w:pPr>
        <w:pStyle w:val="Footnote"/>
        <w:rPr>
          <w:rFonts w:eastAsiaTheme="minorEastAsia"/>
          <w:lang w:val="en-GB"/>
        </w:rPr>
      </w:pPr>
      <w:r w:rsidRPr="00646999">
        <w:rPr>
          <w:rStyle w:val="EndnoteReference"/>
          <w:lang w:val="en-GB"/>
        </w:rPr>
        <w:endnoteRef/>
      </w:r>
      <w:r w:rsidRPr="00646999">
        <w:rPr>
          <w:lang w:val="en-GB"/>
        </w:rPr>
        <w:t xml:space="preserve"> Bo Kong, “China</w:t>
      </w:r>
      <w:r>
        <w:rPr>
          <w:lang w:val="en-GB"/>
        </w:rPr>
        <w:t>’</w:t>
      </w:r>
      <w:r w:rsidRPr="00646999">
        <w:rPr>
          <w:lang w:val="en-GB"/>
        </w:rPr>
        <w:t>s International Petroleum Policy,” ABC-CLIO, accessed May 13, 2017,</w:t>
      </w:r>
      <w:r w:rsidRPr="00646999">
        <w:rPr>
          <w:rStyle w:val="Hyperlink"/>
          <w:color w:val="auto"/>
          <w:u w:val="none"/>
          <w:lang w:val="en-GB"/>
        </w:rPr>
        <w:t xml:space="preserve"> www.abc-clio.com/ABC-CLIOCorporate/product.aspx?pc=C3803C.</w:t>
      </w:r>
      <w:r w:rsidRPr="00646999">
        <w:rPr>
          <w:lang w:val="en-GB"/>
        </w:rPr>
        <w:t xml:space="preserve"> </w:t>
      </w:r>
    </w:p>
  </w:endnote>
  <w:endnote w:id="30">
    <w:p w14:paraId="6E1BD4C2" w14:textId="71D8C827" w:rsidR="007F1079" w:rsidRPr="00646999" w:rsidRDefault="007F1079" w:rsidP="00E70583">
      <w:pPr>
        <w:pStyle w:val="Footnote"/>
        <w:rPr>
          <w:lang w:val="en-GB"/>
        </w:rPr>
      </w:pPr>
      <w:r w:rsidRPr="00646999">
        <w:rPr>
          <w:rStyle w:val="EndnoteReference"/>
          <w:lang w:val="en-GB"/>
        </w:rPr>
        <w:endnoteRef/>
      </w:r>
      <w:r w:rsidRPr="00646999">
        <w:rPr>
          <w:vertAlign w:val="superscript"/>
          <w:lang w:val="en-GB"/>
        </w:rPr>
        <w:t xml:space="preserve"> </w:t>
      </w:r>
      <w:r w:rsidRPr="00646999">
        <w:rPr>
          <w:lang w:val="en-GB"/>
        </w:rPr>
        <w:t xml:space="preserve">“Regulating and Monitoring,” Canada’s Oil Sands, accessed May 2, 2017, </w:t>
      </w:r>
      <w:hyperlink r:id="rId9" w:history="1">
        <w:r w:rsidRPr="00646999">
          <w:rPr>
            <w:lang w:val="en-GB"/>
          </w:rPr>
          <w:t>www.canadasoilsands.ca/en/explore-topics/regulation-and-monitoring</w:t>
        </w:r>
      </w:hyperlink>
      <w:r w:rsidRPr="00646999">
        <w:rPr>
          <w:lang w:val="en-GB"/>
        </w:rPr>
        <w:t xml:space="preserve">. </w:t>
      </w:r>
    </w:p>
  </w:endnote>
  <w:endnote w:id="31">
    <w:p w14:paraId="3CBE181A" w14:textId="603A2311" w:rsidR="007F1079" w:rsidRPr="00646999" w:rsidRDefault="007F1079" w:rsidP="00E70583">
      <w:pPr>
        <w:pStyle w:val="Footnote"/>
        <w:rPr>
          <w:lang w:val="en-GB"/>
        </w:rPr>
      </w:pPr>
      <w:r w:rsidRPr="00646999">
        <w:rPr>
          <w:rStyle w:val="EndnoteReference"/>
          <w:lang w:val="en-GB"/>
        </w:rPr>
        <w:endnoteRef/>
      </w:r>
      <w:r w:rsidRPr="00646999">
        <w:rPr>
          <w:vertAlign w:val="superscript"/>
          <w:lang w:val="en-GB"/>
        </w:rPr>
        <w:t xml:space="preserve"> </w:t>
      </w:r>
      <w:r w:rsidRPr="00646999">
        <w:rPr>
          <w:lang w:val="en-GB"/>
        </w:rPr>
        <w:t xml:space="preserve">Cecilia Jamasmie, “Nexen’s Oil Sands Pipeline Leak One of Canada’s Largest Ever,” Mining.com, July 17, 2015, accessed February 6, 2018, </w:t>
      </w:r>
      <w:hyperlink r:id="rId10" w:history="1">
        <w:r w:rsidRPr="00646999">
          <w:rPr>
            <w:rStyle w:val="Hyperlink"/>
            <w:color w:val="auto"/>
            <w:u w:val="none"/>
            <w:lang w:val="en-GB"/>
          </w:rPr>
          <w:t>www.mining.com/nexens-oil-sands-pipeline-leak-one-of-canadas-largest-ever/</w:t>
        </w:r>
      </w:hyperlink>
      <w:r w:rsidRPr="00646999">
        <w:rPr>
          <w:rStyle w:val="Hyperlink"/>
          <w:color w:val="auto"/>
          <w:u w:val="none"/>
          <w:lang w:val="en-GB"/>
        </w:rPr>
        <w:t>.</w:t>
      </w:r>
      <w:r w:rsidRPr="00646999">
        <w:rPr>
          <w:lang w:val="en-GB"/>
        </w:rPr>
        <w:t xml:space="preserve"> </w:t>
      </w:r>
    </w:p>
  </w:endnote>
  <w:endnote w:id="32">
    <w:p w14:paraId="63AF8093" w14:textId="002DA13C" w:rsidR="007F1079" w:rsidRPr="00646999" w:rsidRDefault="007F1079" w:rsidP="00E70583">
      <w:pPr>
        <w:pStyle w:val="Footnote"/>
        <w:rPr>
          <w:lang w:val="en-GB"/>
        </w:rPr>
      </w:pPr>
      <w:r w:rsidRPr="00646999">
        <w:rPr>
          <w:rStyle w:val="EndnoteReference"/>
          <w:lang w:val="en-GB"/>
        </w:rPr>
        <w:endnoteRef/>
      </w:r>
      <w:r w:rsidRPr="00646999">
        <w:rPr>
          <w:lang w:val="en-GB"/>
        </w:rPr>
        <w:t xml:space="preserve"> Ernst v. EnCana Corporation, “Nexen Blames Workers for Major Explosion that Killed Two at Tarsands SAGD Steam Injection Site near Fort McMurray,” July 13, 2016, accessed May 2, 2017, www.ernstversusencana.ca/major-explosion-1-dead-another-in-critical-condition-following-explosion-at-nexen-tarsands-sagd-steam-injection-site-near-fort-mcmurray/.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KaiTi_GB2312">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CD1DB3" w14:textId="77777777" w:rsidR="007F1079" w:rsidRDefault="007F1079" w:rsidP="00D75295">
      <w:r>
        <w:separator/>
      </w:r>
    </w:p>
  </w:footnote>
  <w:footnote w:type="continuationSeparator" w:id="0">
    <w:p w14:paraId="151D7791" w14:textId="77777777" w:rsidR="007F1079" w:rsidRDefault="007F1079" w:rsidP="00D752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A67142" w14:textId="3AAEED12" w:rsidR="007F1079" w:rsidRPr="00C92CC4" w:rsidRDefault="007F1079"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0F227F">
      <w:rPr>
        <w:rFonts w:ascii="Arial" w:hAnsi="Arial"/>
        <w:b/>
        <w:noProof/>
      </w:rPr>
      <w:t>6</w:t>
    </w:r>
    <w:r>
      <w:rPr>
        <w:rFonts w:ascii="Arial" w:hAnsi="Arial"/>
        <w:b/>
      </w:rPr>
      <w:fldChar w:fldCharType="end"/>
    </w:r>
    <w:r>
      <w:rPr>
        <w:rFonts w:ascii="Arial" w:hAnsi="Arial"/>
        <w:b/>
      </w:rPr>
      <w:tab/>
    </w:r>
    <w:r w:rsidR="005D47D5">
      <w:rPr>
        <w:rFonts w:ascii="Arial" w:hAnsi="Arial"/>
        <w:b/>
      </w:rPr>
      <w:t>9B18M182</w:t>
    </w:r>
  </w:p>
  <w:p w14:paraId="2B53C0A0" w14:textId="77777777" w:rsidR="007F1079" w:rsidRDefault="007F1079" w:rsidP="00D13667">
    <w:pPr>
      <w:pStyle w:val="Header"/>
      <w:tabs>
        <w:tab w:val="clear" w:pos="4680"/>
      </w:tabs>
      <w:rPr>
        <w:sz w:val="18"/>
        <w:szCs w:val="18"/>
      </w:rPr>
    </w:pPr>
  </w:p>
  <w:p w14:paraId="47119730" w14:textId="77777777" w:rsidR="007F1079" w:rsidRPr="00C92CC4" w:rsidRDefault="007F1079" w:rsidP="00D13667">
    <w:pPr>
      <w:pStyle w:val="Header"/>
      <w:tabs>
        <w:tab w:val="clear" w:pos="4680"/>
      </w:tabs>
      <w:rPr>
        <w:sz w:val="18"/>
        <w:szCs w:val="1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1DD8F9" w14:textId="272A32CA" w:rsidR="007F1079" w:rsidRPr="00C92CC4" w:rsidRDefault="007F1079" w:rsidP="00AB5230">
    <w:pPr>
      <w:pBdr>
        <w:bottom w:val="single" w:sz="18" w:space="1" w:color="auto"/>
      </w:pBdr>
      <w:tabs>
        <w:tab w:val="left" w:pos="-1440"/>
        <w:tab w:val="left" w:pos="-720"/>
        <w:tab w:val="right" w:pos="129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0F227F">
      <w:rPr>
        <w:rFonts w:ascii="Arial" w:hAnsi="Arial"/>
        <w:b/>
        <w:noProof/>
      </w:rPr>
      <w:t>7</w:t>
    </w:r>
    <w:r>
      <w:rPr>
        <w:rFonts w:ascii="Arial" w:hAnsi="Arial"/>
        <w:b/>
      </w:rPr>
      <w:fldChar w:fldCharType="end"/>
    </w:r>
    <w:r>
      <w:rPr>
        <w:rFonts w:ascii="Arial" w:hAnsi="Arial"/>
        <w:b/>
      </w:rPr>
      <w:tab/>
    </w:r>
    <w:r w:rsidR="00525F69">
      <w:rPr>
        <w:rFonts w:ascii="Arial" w:hAnsi="Arial"/>
        <w:b/>
      </w:rPr>
      <w:t>9B18M182</w:t>
    </w:r>
  </w:p>
  <w:p w14:paraId="3C19B015" w14:textId="77777777" w:rsidR="007F1079" w:rsidRDefault="007F1079" w:rsidP="00AB5230">
    <w:pPr>
      <w:pStyle w:val="Header"/>
      <w:tabs>
        <w:tab w:val="clear" w:pos="4680"/>
        <w:tab w:val="clear" w:pos="9360"/>
        <w:tab w:val="right" w:pos="12960"/>
      </w:tabs>
      <w:rPr>
        <w:sz w:val="18"/>
        <w:szCs w:val="18"/>
      </w:rPr>
    </w:pPr>
  </w:p>
  <w:p w14:paraId="4084F77C" w14:textId="77777777" w:rsidR="007F1079" w:rsidRPr="00C92CC4" w:rsidRDefault="007F1079" w:rsidP="00AB5230">
    <w:pPr>
      <w:pStyle w:val="Header"/>
      <w:tabs>
        <w:tab w:val="clear" w:pos="4680"/>
        <w:tab w:val="clear" w:pos="9360"/>
        <w:tab w:val="right" w:pos="12960"/>
      </w:tabs>
      <w:rPr>
        <w:sz w:val="18"/>
        <w:szCs w:val="18"/>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A4FB25" w14:textId="0F921C2C" w:rsidR="007F1079" w:rsidRPr="00C92CC4" w:rsidRDefault="007F1079" w:rsidP="005E4851">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0F227F">
      <w:rPr>
        <w:rFonts w:ascii="Arial" w:hAnsi="Arial"/>
        <w:b/>
        <w:noProof/>
      </w:rPr>
      <w:t>10</w:t>
    </w:r>
    <w:r>
      <w:rPr>
        <w:rFonts w:ascii="Arial" w:hAnsi="Arial"/>
        <w:b/>
      </w:rPr>
      <w:fldChar w:fldCharType="end"/>
    </w:r>
    <w:r>
      <w:rPr>
        <w:rFonts w:ascii="Arial" w:hAnsi="Arial"/>
        <w:b/>
      </w:rPr>
      <w:tab/>
    </w:r>
    <w:r w:rsidR="00525F69">
      <w:rPr>
        <w:rFonts w:ascii="Arial" w:hAnsi="Arial"/>
        <w:b/>
      </w:rPr>
      <w:t>9B18M182</w:t>
    </w:r>
  </w:p>
  <w:p w14:paraId="7E439AF2" w14:textId="77777777" w:rsidR="007F1079" w:rsidRDefault="007F1079" w:rsidP="005E4851">
    <w:pPr>
      <w:pStyle w:val="Header"/>
      <w:tabs>
        <w:tab w:val="clear" w:pos="4680"/>
      </w:tabs>
      <w:rPr>
        <w:sz w:val="18"/>
        <w:szCs w:val="18"/>
      </w:rPr>
    </w:pPr>
  </w:p>
  <w:p w14:paraId="029C3452" w14:textId="77777777" w:rsidR="007F1079" w:rsidRPr="00C92CC4" w:rsidRDefault="007F1079" w:rsidP="005E4851">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3"/>
  </w:num>
  <w:num w:numId="3">
    <w:abstractNumId w:val="1"/>
  </w:num>
  <w:num w:numId="4">
    <w:abstractNumId w:val="5"/>
  </w:num>
  <w:num w:numId="5">
    <w:abstractNumId w:val="2"/>
  </w:num>
  <w:num w:numId="6">
    <w:abstractNumId w:val="4"/>
  </w:num>
  <w:num w:numId="7">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8193"/>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IzMjWxNDQwMTWyMLVQ0lEKTi0uzszPAykwrAUA60pToiwAAAA="/>
  </w:docVars>
  <w:rsids>
    <w:rsidRoot w:val="008A4DC4"/>
    <w:rsid w:val="0000085A"/>
    <w:rsid w:val="00013360"/>
    <w:rsid w:val="00016759"/>
    <w:rsid w:val="000216CE"/>
    <w:rsid w:val="00024ED4"/>
    <w:rsid w:val="00025DC7"/>
    <w:rsid w:val="00035F09"/>
    <w:rsid w:val="00044ECC"/>
    <w:rsid w:val="000531D3"/>
    <w:rsid w:val="0005646B"/>
    <w:rsid w:val="00060D77"/>
    <w:rsid w:val="000643C3"/>
    <w:rsid w:val="0008102D"/>
    <w:rsid w:val="00086B26"/>
    <w:rsid w:val="00087730"/>
    <w:rsid w:val="00094C0E"/>
    <w:rsid w:val="000A146D"/>
    <w:rsid w:val="000B7D6E"/>
    <w:rsid w:val="000D7091"/>
    <w:rsid w:val="000F0C22"/>
    <w:rsid w:val="000F227F"/>
    <w:rsid w:val="000F6B09"/>
    <w:rsid w:val="000F6FDC"/>
    <w:rsid w:val="00104567"/>
    <w:rsid w:val="00104916"/>
    <w:rsid w:val="00104AA7"/>
    <w:rsid w:val="00124037"/>
    <w:rsid w:val="0012732D"/>
    <w:rsid w:val="00143F25"/>
    <w:rsid w:val="00146543"/>
    <w:rsid w:val="0014686A"/>
    <w:rsid w:val="00152682"/>
    <w:rsid w:val="00154FC9"/>
    <w:rsid w:val="00171B55"/>
    <w:rsid w:val="0019241A"/>
    <w:rsid w:val="00192A18"/>
    <w:rsid w:val="001A22D1"/>
    <w:rsid w:val="001A752D"/>
    <w:rsid w:val="001A757E"/>
    <w:rsid w:val="001B5032"/>
    <w:rsid w:val="001C227B"/>
    <w:rsid w:val="001C7777"/>
    <w:rsid w:val="001D344B"/>
    <w:rsid w:val="001E364F"/>
    <w:rsid w:val="001F4222"/>
    <w:rsid w:val="00203AA1"/>
    <w:rsid w:val="00213E98"/>
    <w:rsid w:val="0023081A"/>
    <w:rsid w:val="00232440"/>
    <w:rsid w:val="00233111"/>
    <w:rsid w:val="00243C01"/>
    <w:rsid w:val="00265FA8"/>
    <w:rsid w:val="002669AF"/>
    <w:rsid w:val="00293A3C"/>
    <w:rsid w:val="00294500"/>
    <w:rsid w:val="00296C40"/>
    <w:rsid w:val="002C4E29"/>
    <w:rsid w:val="002D722F"/>
    <w:rsid w:val="002F375E"/>
    <w:rsid w:val="002F44DE"/>
    <w:rsid w:val="002F460C"/>
    <w:rsid w:val="002F48D6"/>
    <w:rsid w:val="00302B28"/>
    <w:rsid w:val="0031664C"/>
    <w:rsid w:val="00317391"/>
    <w:rsid w:val="00326216"/>
    <w:rsid w:val="00336580"/>
    <w:rsid w:val="00354899"/>
    <w:rsid w:val="00355FD6"/>
    <w:rsid w:val="00364A5C"/>
    <w:rsid w:val="00373FB1"/>
    <w:rsid w:val="00375739"/>
    <w:rsid w:val="00384BE1"/>
    <w:rsid w:val="00396C76"/>
    <w:rsid w:val="003B2F79"/>
    <w:rsid w:val="003B30D8"/>
    <w:rsid w:val="003B7EF2"/>
    <w:rsid w:val="003C3FA4"/>
    <w:rsid w:val="003D0BA1"/>
    <w:rsid w:val="003F2B0C"/>
    <w:rsid w:val="004105B2"/>
    <w:rsid w:val="00412900"/>
    <w:rsid w:val="004221E4"/>
    <w:rsid w:val="00427237"/>
    <w:rsid w:val="004273F8"/>
    <w:rsid w:val="004355A3"/>
    <w:rsid w:val="00446546"/>
    <w:rsid w:val="00452769"/>
    <w:rsid w:val="00454FA7"/>
    <w:rsid w:val="00465348"/>
    <w:rsid w:val="00490451"/>
    <w:rsid w:val="004951F8"/>
    <w:rsid w:val="004979A5"/>
    <w:rsid w:val="004A01B9"/>
    <w:rsid w:val="004B1CCB"/>
    <w:rsid w:val="004B632F"/>
    <w:rsid w:val="004C0007"/>
    <w:rsid w:val="004D3FB1"/>
    <w:rsid w:val="004D6F21"/>
    <w:rsid w:val="004D73A5"/>
    <w:rsid w:val="004E2EB4"/>
    <w:rsid w:val="004E373C"/>
    <w:rsid w:val="005160F1"/>
    <w:rsid w:val="00524F2F"/>
    <w:rsid w:val="00525F69"/>
    <w:rsid w:val="00527E5C"/>
    <w:rsid w:val="00532CF5"/>
    <w:rsid w:val="005528CB"/>
    <w:rsid w:val="00566771"/>
    <w:rsid w:val="00581E2E"/>
    <w:rsid w:val="00584F15"/>
    <w:rsid w:val="0059514B"/>
    <w:rsid w:val="0059519E"/>
    <w:rsid w:val="005A1B0F"/>
    <w:rsid w:val="005C0F76"/>
    <w:rsid w:val="005D47D5"/>
    <w:rsid w:val="005E39B4"/>
    <w:rsid w:val="005E47AC"/>
    <w:rsid w:val="005E4851"/>
    <w:rsid w:val="006163F7"/>
    <w:rsid w:val="00624481"/>
    <w:rsid w:val="00627C63"/>
    <w:rsid w:val="0063350B"/>
    <w:rsid w:val="00646999"/>
    <w:rsid w:val="00652606"/>
    <w:rsid w:val="00687F10"/>
    <w:rsid w:val="006946EE"/>
    <w:rsid w:val="0069661A"/>
    <w:rsid w:val="00697663"/>
    <w:rsid w:val="006A5191"/>
    <w:rsid w:val="006A58A9"/>
    <w:rsid w:val="006A606D"/>
    <w:rsid w:val="006C0371"/>
    <w:rsid w:val="006C08B6"/>
    <w:rsid w:val="006C0B1A"/>
    <w:rsid w:val="006C6065"/>
    <w:rsid w:val="006C7F9F"/>
    <w:rsid w:val="006E2F6D"/>
    <w:rsid w:val="006E58F6"/>
    <w:rsid w:val="006E77E1"/>
    <w:rsid w:val="006F131D"/>
    <w:rsid w:val="00711642"/>
    <w:rsid w:val="00730F1D"/>
    <w:rsid w:val="007507C6"/>
    <w:rsid w:val="00751E0B"/>
    <w:rsid w:val="00752AE5"/>
    <w:rsid w:val="00752BCD"/>
    <w:rsid w:val="0076478F"/>
    <w:rsid w:val="00766DA1"/>
    <w:rsid w:val="00780D94"/>
    <w:rsid w:val="007866A6"/>
    <w:rsid w:val="007A130D"/>
    <w:rsid w:val="007D1A2D"/>
    <w:rsid w:val="007D4102"/>
    <w:rsid w:val="007E54A7"/>
    <w:rsid w:val="007F1079"/>
    <w:rsid w:val="007F43B7"/>
    <w:rsid w:val="00821FFC"/>
    <w:rsid w:val="0082392D"/>
    <w:rsid w:val="008271CA"/>
    <w:rsid w:val="00830438"/>
    <w:rsid w:val="008353D0"/>
    <w:rsid w:val="008467D5"/>
    <w:rsid w:val="00856808"/>
    <w:rsid w:val="008577F6"/>
    <w:rsid w:val="008679C9"/>
    <w:rsid w:val="008A4DC4"/>
    <w:rsid w:val="008A6FE7"/>
    <w:rsid w:val="008B438C"/>
    <w:rsid w:val="008C2076"/>
    <w:rsid w:val="008D06CA"/>
    <w:rsid w:val="008D3A46"/>
    <w:rsid w:val="008F2385"/>
    <w:rsid w:val="008F50F8"/>
    <w:rsid w:val="009067A4"/>
    <w:rsid w:val="00923E84"/>
    <w:rsid w:val="009250FC"/>
    <w:rsid w:val="0092774F"/>
    <w:rsid w:val="00930885"/>
    <w:rsid w:val="00933D68"/>
    <w:rsid w:val="009340DB"/>
    <w:rsid w:val="0093577B"/>
    <w:rsid w:val="0094618C"/>
    <w:rsid w:val="009557DA"/>
    <w:rsid w:val="0095684B"/>
    <w:rsid w:val="00957041"/>
    <w:rsid w:val="00972498"/>
    <w:rsid w:val="0097481F"/>
    <w:rsid w:val="00974CC6"/>
    <w:rsid w:val="00976AD4"/>
    <w:rsid w:val="00995547"/>
    <w:rsid w:val="009A1D9B"/>
    <w:rsid w:val="009A312F"/>
    <w:rsid w:val="009A5348"/>
    <w:rsid w:val="009B0AB7"/>
    <w:rsid w:val="009B3BC0"/>
    <w:rsid w:val="009C76D5"/>
    <w:rsid w:val="009D17C8"/>
    <w:rsid w:val="009F7AA4"/>
    <w:rsid w:val="00A10AD7"/>
    <w:rsid w:val="00A236C0"/>
    <w:rsid w:val="00A24364"/>
    <w:rsid w:val="00A3022C"/>
    <w:rsid w:val="00A44828"/>
    <w:rsid w:val="00A559DB"/>
    <w:rsid w:val="00A569EA"/>
    <w:rsid w:val="00A676A0"/>
    <w:rsid w:val="00A77D90"/>
    <w:rsid w:val="00A92C7B"/>
    <w:rsid w:val="00AA5A87"/>
    <w:rsid w:val="00AB5230"/>
    <w:rsid w:val="00AE6958"/>
    <w:rsid w:val="00AF178E"/>
    <w:rsid w:val="00AF35FC"/>
    <w:rsid w:val="00AF5556"/>
    <w:rsid w:val="00B0357E"/>
    <w:rsid w:val="00B03639"/>
    <w:rsid w:val="00B05209"/>
    <w:rsid w:val="00B0652A"/>
    <w:rsid w:val="00B40937"/>
    <w:rsid w:val="00B423EF"/>
    <w:rsid w:val="00B453DE"/>
    <w:rsid w:val="00B72597"/>
    <w:rsid w:val="00B736A6"/>
    <w:rsid w:val="00B75B84"/>
    <w:rsid w:val="00B76A7B"/>
    <w:rsid w:val="00B901F9"/>
    <w:rsid w:val="00B9400F"/>
    <w:rsid w:val="00B96751"/>
    <w:rsid w:val="00BB1670"/>
    <w:rsid w:val="00BC4D98"/>
    <w:rsid w:val="00BD1452"/>
    <w:rsid w:val="00BD333D"/>
    <w:rsid w:val="00BD6EFB"/>
    <w:rsid w:val="00BF5EAB"/>
    <w:rsid w:val="00C02410"/>
    <w:rsid w:val="00C1584D"/>
    <w:rsid w:val="00C15BE2"/>
    <w:rsid w:val="00C204B6"/>
    <w:rsid w:val="00C21FFD"/>
    <w:rsid w:val="00C32154"/>
    <w:rsid w:val="00C3447F"/>
    <w:rsid w:val="00C44714"/>
    <w:rsid w:val="00C67102"/>
    <w:rsid w:val="00C72469"/>
    <w:rsid w:val="00C75656"/>
    <w:rsid w:val="00C81491"/>
    <w:rsid w:val="00C81676"/>
    <w:rsid w:val="00C85C5D"/>
    <w:rsid w:val="00C92CC4"/>
    <w:rsid w:val="00CA0AFB"/>
    <w:rsid w:val="00CA2CE1"/>
    <w:rsid w:val="00CA3976"/>
    <w:rsid w:val="00CA50E3"/>
    <w:rsid w:val="00CA757B"/>
    <w:rsid w:val="00CB0FE2"/>
    <w:rsid w:val="00CC1787"/>
    <w:rsid w:val="00CC182C"/>
    <w:rsid w:val="00CD0700"/>
    <w:rsid w:val="00CD0824"/>
    <w:rsid w:val="00CD2908"/>
    <w:rsid w:val="00CE23C2"/>
    <w:rsid w:val="00D03A82"/>
    <w:rsid w:val="00D13667"/>
    <w:rsid w:val="00D14231"/>
    <w:rsid w:val="00D15344"/>
    <w:rsid w:val="00D23F4F"/>
    <w:rsid w:val="00D23F57"/>
    <w:rsid w:val="00D31BEC"/>
    <w:rsid w:val="00D6055E"/>
    <w:rsid w:val="00D63150"/>
    <w:rsid w:val="00D636BA"/>
    <w:rsid w:val="00D64A32"/>
    <w:rsid w:val="00D64EFC"/>
    <w:rsid w:val="00D75295"/>
    <w:rsid w:val="00D76CE9"/>
    <w:rsid w:val="00D94268"/>
    <w:rsid w:val="00D97F12"/>
    <w:rsid w:val="00DA1835"/>
    <w:rsid w:val="00DA6095"/>
    <w:rsid w:val="00DB42E7"/>
    <w:rsid w:val="00DB598E"/>
    <w:rsid w:val="00DC09D8"/>
    <w:rsid w:val="00DE01A6"/>
    <w:rsid w:val="00DE115E"/>
    <w:rsid w:val="00DE7A98"/>
    <w:rsid w:val="00DF32C2"/>
    <w:rsid w:val="00DF7A4B"/>
    <w:rsid w:val="00E0015F"/>
    <w:rsid w:val="00E01790"/>
    <w:rsid w:val="00E05B90"/>
    <w:rsid w:val="00E14C09"/>
    <w:rsid w:val="00E471A7"/>
    <w:rsid w:val="00E5727D"/>
    <w:rsid w:val="00E635CF"/>
    <w:rsid w:val="00E70583"/>
    <w:rsid w:val="00EC26AD"/>
    <w:rsid w:val="00EC6E0A"/>
    <w:rsid w:val="00ED4E18"/>
    <w:rsid w:val="00ED7922"/>
    <w:rsid w:val="00EE02C4"/>
    <w:rsid w:val="00EE1F37"/>
    <w:rsid w:val="00F00C43"/>
    <w:rsid w:val="00F0159C"/>
    <w:rsid w:val="00F105B7"/>
    <w:rsid w:val="00F13220"/>
    <w:rsid w:val="00F17A21"/>
    <w:rsid w:val="00F23ACF"/>
    <w:rsid w:val="00F2484C"/>
    <w:rsid w:val="00F256A4"/>
    <w:rsid w:val="00F37B27"/>
    <w:rsid w:val="00F46556"/>
    <w:rsid w:val="00F50E91"/>
    <w:rsid w:val="00F57D29"/>
    <w:rsid w:val="00F60786"/>
    <w:rsid w:val="00F91BC7"/>
    <w:rsid w:val="00F96201"/>
    <w:rsid w:val="00FB7FCD"/>
    <w:rsid w:val="00FD0B18"/>
    <w:rsid w:val="00FD2FAD"/>
    <w:rsid w:val="00FD5F71"/>
    <w:rsid w:val="00FE714F"/>
    <w:rsid w:val="00FF19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779AA937"/>
  <w15:docId w15:val="{FB931113-9495-4F24-AE30-926BA17D8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1"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1"/>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paragraph" w:styleId="HTMLPreformatted">
    <w:name w:val="HTML Preformatted"/>
    <w:basedOn w:val="Normal"/>
    <w:link w:val="HTMLPreformattedChar"/>
    <w:uiPriority w:val="99"/>
    <w:unhideWhenUsed/>
    <w:rsid w:val="00857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n-CA" w:eastAsia="zh-CN"/>
    </w:rPr>
  </w:style>
  <w:style w:type="character" w:customStyle="1" w:styleId="HTMLPreformattedChar">
    <w:name w:val="HTML Preformatted Char"/>
    <w:basedOn w:val="DefaultParagraphFont"/>
    <w:link w:val="HTMLPreformatted"/>
    <w:uiPriority w:val="99"/>
    <w:rsid w:val="008577F6"/>
    <w:rPr>
      <w:rFonts w:ascii="Courier New" w:eastAsia="Times New Roman" w:hAnsi="Courier New" w:cs="Courier New"/>
      <w:sz w:val="20"/>
      <w:szCs w:val="20"/>
      <w:lang w:val="en-CA" w:eastAsia="zh-CN"/>
    </w:rPr>
  </w:style>
  <w:style w:type="table" w:customStyle="1" w:styleId="PlainTable11">
    <w:name w:val="Plain Table 11"/>
    <w:basedOn w:val="TableNormal"/>
    <w:uiPriority w:val="41"/>
    <w:rsid w:val="00AB5230"/>
    <w:pPr>
      <w:spacing w:after="0" w:line="240" w:lineRule="auto"/>
    </w:pPr>
    <w:rPr>
      <w:rFonts w:eastAsiaTheme="minorEastAsia"/>
      <w:lang w:val="en-CA" w:eastAsia="zh-CN"/>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veycases.com" TargetMode="External"/><Relationship Id="rId5" Type="http://schemas.openxmlformats.org/officeDocument/2006/relationships/webSettings" Target="webSettings.xml"/><Relationship Id="rId15" Type="http://schemas.openxmlformats.org/officeDocument/2006/relationships/chart" Target="charts/chart2.xml"/><Relationship Id="rId10" Type="http://schemas.openxmlformats.org/officeDocument/2006/relationships/hyperlink" Target="mailto:cases@ivey.c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1.xml"/></Relationships>
</file>

<file path=word/_rels/endnotes.xml.rels><?xml version="1.0" encoding="UTF-8" standalone="yes"?>
<Relationships xmlns="http://schemas.openxmlformats.org/package/2006/relationships"><Relationship Id="rId8" Type="http://schemas.openxmlformats.org/officeDocument/2006/relationships/hyperlink" Target="http://www.theglobeandmail.com/report-on-business/industry-news/energy-and-resources/chinas-cnooc-shutting-nexen-oil-trading-operation/article23581788/" TargetMode="External"/><Relationship Id="rId3" Type="http://schemas.openxmlformats.org/officeDocument/2006/relationships/hyperlink" Target="http://www.theoilandgasyear.com/news/cnooc-2016-profit-down-97/" TargetMode="External"/><Relationship Id="rId7" Type="http://schemas.openxmlformats.org/officeDocument/2006/relationships/hyperlink" Target="http://www.nexencnoocltd.com/" TargetMode="External"/><Relationship Id="rId2" Type="http://schemas.openxmlformats.org/officeDocument/2006/relationships/hyperlink" Target="http://www.cnooc.com.cn/col/col6141/index.html" TargetMode="External"/><Relationship Id="rId1" Type="http://schemas.openxmlformats.org/officeDocument/2006/relationships/hyperlink" Target="http://ca.reuters.com/article/businessNews/idCATRE7AR1B020111128" TargetMode="External"/><Relationship Id="rId6" Type="http://schemas.openxmlformats.org/officeDocument/2006/relationships/hyperlink" Target="http://www.cbc.ca/news/business/china-s-cnooc-buying-canadian%20-oilsands-producer-1.1107410" TargetMode="External"/><Relationship Id="rId5" Type="http://schemas.openxmlformats.org/officeDocument/2006/relationships/hyperlink" Target="http://www.assembly.ab.ca/lao/library/egovdocs/2005/aleub/67720_05.pdf" TargetMode="External"/><Relationship Id="rId10" Type="http://schemas.openxmlformats.org/officeDocument/2006/relationships/hyperlink" Target="http://www.mining.com/nexens-oil-sands-pipeline-leak-one-of-canadas-largest-ever/" TargetMode="External"/><Relationship Id="rId4" Type="http://schemas.openxmlformats.org/officeDocument/2006/relationships/hyperlink" Target="http://www.energy.alberta.ca/Org/Publications/AR2006.pdf" TargetMode="External"/><Relationship Id="rId9" Type="http://schemas.openxmlformats.org/officeDocument/2006/relationships/hyperlink" Target="http://www.canadasoilsands.ca/en/explore-topics/regulation-and-monitoring"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embeddings/oleObject1.bin"/><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manualLayout>
          <c:layoutTarget val="inner"/>
          <c:xMode val="edge"/>
          <c:yMode val="edge"/>
          <c:x val="9.1165209853355494E-2"/>
          <c:y val="6.4061499039077499E-2"/>
          <c:w val="0.88454984681151205"/>
          <c:h val="0.80449842872779898"/>
        </c:manualLayout>
      </c:layout>
      <c:lineChart>
        <c:grouping val="standard"/>
        <c:varyColors val="0"/>
        <c:ser>
          <c:idx val="0"/>
          <c:order val="0"/>
          <c:tx>
            <c:strRef>
              <c:f>Sheet2!$B$1</c:f>
              <c:strCache>
                <c:ptCount val="1"/>
                <c:pt idx="0">
                  <c:v>Oil price</c:v>
                </c:pt>
              </c:strCache>
            </c:strRef>
          </c:tx>
          <c:spPr>
            <a:ln w="28575" cap="rnd">
              <a:solidFill>
                <a:schemeClr val="dk1">
                  <a:tint val="88500"/>
                </a:schemeClr>
              </a:solidFill>
              <a:round/>
            </a:ln>
            <a:effectLst/>
          </c:spPr>
          <c:marker>
            <c:symbol val="none"/>
          </c:marker>
          <c:cat>
            <c:numRef>
              <c:f>Sheet2!$A$2:$A$24</c:f>
              <c:numCache>
                <c:formatCode>General</c:formatCode>
                <c:ptCount val="23"/>
                <c:pt idx="0">
                  <c:v>1994</c:v>
                </c:pt>
                <c:pt idx="1">
                  <c:v>1995</c:v>
                </c:pt>
                <c:pt idx="2">
                  <c:v>1996</c:v>
                </c:pt>
                <c:pt idx="3">
                  <c:v>1997</c:v>
                </c:pt>
                <c:pt idx="4">
                  <c:v>1998</c:v>
                </c:pt>
                <c:pt idx="5">
                  <c:v>1999</c:v>
                </c:pt>
                <c:pt idx="6">
                  <c:v>2000</c:v>
                </c:pt>
                <c:pt idx="7">
                  <c:v>2001</c:v>
                </c:pt>
                <c:pt idx="8">
                  <c:v>2002</c:v>
                </c:pt>
                <c:pt idx="9">
                  <c:v>2003</c:v>
                </c:pt>
                <c:pt idx="10">
                  <c:v>2004</c:v>
                </c:pt>
                <c:pt idx="11">
                  <c:v>2005</c:v>
                </c:pt>
                <c:pt idx="12">
                  <c:v>2006</c:v>
                </c:pt>
                <c:pt idx="13">
                  <c:v>2007</c:v>
                </c:pt>
                <c:pt idx="14">
                  <c:v>2008</c:v>
                </c:pt>
                <c:pt idx="15">
                  <c:v>2009</c:v>
                </c:pt>
                <c:pt idx="16">
                  <c:v>2010</c:v>
                </c:pt>
                <c:pt idx="17">
                  <c:v>2011</c:v>
                </c:pt>
                <c:pt idx="18">
                  <c:v>2012</c:v>
                </c:pt>
                <c:pt idx="19">
                  <c:v>2013</c:v>
                </c:pt>
                <c:pt idx="20">
                  <c:v>2014</c:v>
                </c:pt>
                <c:pt idx="21">
                  <c:v>2015</c:v>
                </c:pt>
                <c:pt idx="22">
                  <c:v>2016</c:v>
                </c:pt>
              </c:numCache>
            </c:numRef>
          </c:cat>
          <c:val>
            <c:numRef>
              <c:f>Sheet2!$B$2:$B$24</c:f>
              <c:numCache>
                <c:formatCode>General</c:formatCode>
                <c:ptCount val="23"/>
                <c:pt idx="0">
                  <c:v>17.21</c:v>
                </c:pt>
                <c:pt idx="1">
                  <c:v>18.420000000000002</c:v>
                </c:pt>
                <c:pt idx="2">
                  <c:v>22.16</c:v>
                </c:pt>
                <c:pt idx="3">
                  <c:v>20.61</c:v>
                </c:pt>
                <c:pt idx="4">
                  <c:v>14.39</c:v>
                </c:pt>
                <c:pt idx="5">
                  <c:v>19.309999999999999</c:v>
                </c:pt>
                <c:pt idx="6">
                  <c:v>30.26</c:v>
                </c:pt>
                <c:pt idx="7">
                  <c:v>25.9</c:v>
                </c:pt>
                <c:pt idx="8">
                  <c:v>26.17</c:v>
                </c:pt>
                <c:pt idx="9">
                  <c:v>31.01</c:v>
                </c:pt>
                <c:pt idx="10">
                  <c:v>41.25</c:v>
                </c:pt>
                <c:pt idx="11">
                  <c:v>56.44</c:v>
                </c:pt>
                <c:pt idx="12">
                  <c:v>66</c:v>
                </c:pt>
                <c:pt idx="13">
                  <c:v>72.260000000000005</c:v>
                </c:pt>
                <c:pt idx="14">
                  <c:v>99.06</c:v>
                </c:pt>
                <c:pt idx="15">
                  <c:v>61.73</c:v>
                </c:pt>
                <c:pt idx="16">
                  <c:v>79.39</c:v>
                </c:pt>
                <c:pt idx="17">
                  <c:v>94.88</c:v>
                </c:pt>
                <c:pt idx="18">
                  <c:v>94.05</c:v>
                </c:pt>
                <c:pt idx="19">
                  <c:v>97.98</c:v>
                </c:pt>
                <c:pt idx="20">
                  <c:v>93.25</c:v>
                </c:pt>
                <c:pt idx="21">
                  <c:v>48.66</c:v>
                </c:pt>
                <c:pt idx="22">
                  <c:v>43.15</c:v>
                </c:pt>
              </c:numCache>
            </c:numRef>
          </c:val>
          <c:smooth val="0"/>
          <c:extLst xmlns:c16r2="http://schemas.microsoft.com/office/drawing/2015/06/chart">
            <c:ext xmlns:c16="http://schemas.microsoft.com/office/drawing/2014/chart" uri="{C3380CC4-5D6E-409C-BE32-E72D297353CC}">
              <c16:uniqueId val="{00000000-C93A-4B48-A208-E75B1B62FB34}"/>
            </c:ext>
          </c:extLst>
        </c:ser>
        <c:dLbls>
          <c:showLegendKey val="0"/>
          <c:showVal val="0"/>
          <c:showCatName val="0"/>
          <c:showSerName val="0"/>
          <c:showPercent val="0"/>
          <c:showBubbleSize val="0"/>
        </c:dLbls>
        <c:smooth val="0"/>
        <c:axId val="163959200"/>
        <c:axId val="162958496"/>
      </c:lineChart>
      <c:catAx>
        <c:axId val="1639592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atin typeface="Arial" panose="020B0604020202020204" pitchFamily="34" charset="0"/>
                    <a:cs typeface="Arial" panose="020B0604020202020204" pitchFamily="34" charset="0"/>
                  </a:rPr>
                  <a:t>Year</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162958496"/>
        <c:crosses val="autoZero"/>
        <c:auto val="1"/>
        <c:lblAlgn val="ctr"/>
        <c:lblOffset val="100"/>
        <c:noMultiLvlLbl val="0"/>
      </c:catAx>
      <c:valAx>
        <c:axId val="1629584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atin typeface="Arial" panose="020B0604020202020204" pitchFamily="34" charset="0"/>
                    <a:cs typeface="Arial" panose="020B0604020202020204" pitchFamily="34" charset="0"/>
                  </a:rPr>
                  <a:t>US$ Per Barrel</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16395920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lineChart>
        <c:grouping val="standard"/>
        <c:varyColors val="0"/>
        <c:ser>
          <c:idx val="0"/>
          <c:order val="0"/>
          <c:tx>
            <c:strRef>
              <c:f>Sheet1!$A$2</c:f>
              <c:strCache>
                <c:ptCount val="1"/>
                <c:pt idx="0">
                  <c:v>Total Bitumen Production (Million Barrels per Day)</c:v>
                </c:pt>
              </c:strCache>
            </c:strRef>
          </c:tx>
          <c:spPr>
            <a:ln w="28575" cap="rnd">
              <a:solidFill>
                <a:schemeClr val="dk1">
                  <a:tint val="88500"/>
                </a:schemeClr>
              </a:solidFill>
              <a:round/>
            </a:ln>
            <a:effectLst/>
          </c:spPr>
          <c:marker>
            <c:symbol val="none"/>
          </c:marker>
          <c:cat>
            <c:numRef>
              <c:f>Sheet1!$B$1:$W$1</c:f>
              <c:numCache>
                <c:formatCode>General</c:formatCode>
                <c:ptCount val="22"/>
                <c:pt idx="0">
                  <c:v>1994</c:v>
                </c:pt>
                <c:pt idx="1">
                  <c:v>1995</c:v>
                </c:pt>
                <c:pt idx="2">
                  <c:v>1996</c:v>
                </c:pt>
                <c:pt idx="3">
                  <c:v>1997</c:v>
                </c:pt>
                <c:pt idx="4">
                  <c:v>1998</c:v>
                </c:pt>
                <c:pt idx="5">
                  <c:v>1999</c:v>
                </c:pt>
                <c:pt idx="6">
                  <c:v>2000</c:v>
                </c:pt>
                <c:pt idx="7">
                  <c:v>2001</c:v>
                </c:pt>
                <c:pt idx="8">
                  <c:v>2002</c:v>
                </c:pt>
                <c:pt idx="9">
                  <c:v>2003</c:v>
                </c:pt>
                <c:pt idx="10">
                  <c:v>2004</c:v>
                </c:pt>
                <c:pt idx="11">
                  <c:v>2005</c:v>
                </c:pt>
                <c:pt idx="12">
                  <c:v>2006</c:v>
                </c:pt>
                <c:pt idx="13">
                  <c:v>2007</c:v>
                </c:pt>
                <c:pt idx="14">
                  <c:v>2008</c:v>
                </c:pt>
                <c:pt idx="15">
                  <c:v>2009</c:v>
                </c:pt>
                <c:pt idx="16">
                  <c:v>2010</c:v>
                </c:pt>
                <c:pt idx="17">
                  <c:v>2011</c:v>
                </c:pt>
                <c:pt idx="18">
                  <c:v>2012</c:v>
                </c:pt>
                <c:pt idx="19">
                  <c:v>2013</c:v>
                </c:pt>
                <c:pt idx="20">
                  <c:v>2014</c:v>
                </c:pt>
                <c:pt idx="21">
                  <c:v>2015</c:v>
                </c:pt>
              </c:numCache>
            </c:numRef>
          </c:cat>
          <c:val>
            <c:numRef>
              <c:f>Sheet1!$B$2:$W$2</c:f>
              <c:numCache>
                <c:formatCode>General</c:formatCode>
                <c:ptCount val="22"/>
                <c:pt idx="0">
                  <c:v>0.14099999999999999</c:v>
                </c:pt>
                <c:pt idx="1">
                  <c:v>0.15</c:v>
                </c:pt>
                <c:pt idx="2">
                  <c:v>0.16</c:v>
                </c:pt>
                <c:pt idx="3">
                  <c:v>0.2</c:v>
                </c:pt>
                <c:pt idx="4">
                  <c:v>0.30499999999999999</c:v>
                </c:pt>
                <c:pt idx="5">
                  <c:v>0.31900000000000001</c:v>
                </c:pt>
                <c:pt idx="6">
                  <c:v>0.60499999999999998</c:v>
                </c:pt>
                <c:pt idx="7">
                  <c:v>0.64500000000000002</c:v>
                </c:pt>
                <c:pt idx="8">
                  <c:v>0.74</c:v>
                </c:pt>
                <c:pt idx="9">
                  <c:v>0.82899999999999996</c:v>
                </c:pt>
                <c:pt idx="10">
                  <c:v>1.1000000000000001</c:v>
                </c:pt>
                <c:pt idx="11">
                  <c:v>1</c:v>
                </c:pt>
                <c:pt idx="12">
                  <c:v>1.25</c:v>
                </c:pt>
                <c:pt idx="13">
                  <c:v>1.321</c:v>
                </c:pt>
                <c:pt idx="14">
                  <c:v>1.3</c:v>
                </c:pt>
                <c:pt idx="15">
                  <c:v>1.49</c:v>
                </c:pt>
                <c:pt idx="16">
                  <c:v>1.61</c:v>
                </c:pt>
                <c:pt idx="17">
                  <c:v>1.74</c:v>
                </c:pt>
                <c:pt idx="18">
                  <c:v>1.92</c:v>
                </c:pt>
                <c:pt idx="19">
                  <c:v>2.09</c:v>
                </c:pt>
                <c:pt idx="20">
                  <c:v>2.2999999999999998</c:v>
                </c:pt>
                <c:pt idx="21">
                  <c:v>2.5299999999999998</c:v>
                </c:pt>
              </c:numCache>
            </c:numRef>
          </c:val>
          <c:smooth val="0"/>
          <c:extLst xmlns:c16r2="http://schemas.microsoft.com/office/drawing/2015/06/chart">
            <c:ext xmlns:c16="http://schemas.microsoft.com/office/drawing/2014/chart" uri="{C3380CC4-5D6E-409C-BE32-E72D297353CC}">
              <c16:uniqueId val="{00000000-49C6-4A6F-ABAE-EDED3C84A71A}"/>
            </c:ext>
          </c:extLst>
        </c:ser>
        <c:dLbls>
          <c:showLegendKey val="0"/>
          <c:showVal val="0"/>
          <c:showCatName val="0"/>
          <c:showSerName val="0"/>
          <c:showPercent val="0"/>
          <c:showBubbleSize val="0"/>
        </c:dLbls>
        <c:smooth val="0"/>
        <c:axId val="138463456"/>
        <c:axId val="163847624"/>
      </c:lineChart>
      <c:catAx>
        <c:axId val="1384634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US">
                    <a:latin typeface="Arial" panose="020B0604020202020204" pitchFamily="34" charset="0"/>
                    <a:cs typeface="Arial" panose="020B0604020202020204" pitchFamily="34" charset="0"/>
                  </a:rPr>
                  <a:t>Year</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163847624"/>
        <c:crosses val="autoZero"/>
        <c:auto val="1"/>
        <c:lblAlgn val="ctr"/>
        <c:lblOffset val="100"/>
        <c:noMultiLvlLbl val="0"/>
      </c:catAx>
      <c:valAx>
        <c:axId val="1638476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atin typeface="Arial" panose="020B0604020202020204" pitchFamily="34" charset="0"/>
                    <a:cs typeface="Arial" panose="020B0604020202020204" pitchFamily="34" charset="0"/>
                  </a:rPr>
                  <a:t>Barrels per</a:t>
                </a:r>
                <a:r>
                  <a:rPr lang="en-US" baseline="0">
                    <a:latin typeface="Arial" panose="020B0604020202020204" pitchFamily="34" charset="0"/>
                    <a:cs typeface="Arial" panose="020B0604020202020204" pitchFamily="34" charset="0"/>
                  </a:rPr>
                  <a:t> Day</a:t>
                </a:r>
                <a:endParaRPr lang="en-US">
                  <a:latin typeface="Arial" panose="020B0604020202020204" pitchFamily="34" charset="0"/>
                  <a:cs typeface="Arial" panose="020B0604020202020204" pitchFamily="34" charset="0"/>
                </a:endParaRPr>
              </a:p>
            </c:rich>
          </c:tx>
          <c:layout>
            <c:manualLayout>
              <c:xMode val="edge"/>
              <c:yMode val="edge"/>
              <c:x val="3.1628887717448602E-2"/>
              <c:y val="0.194783398317077"/>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138463456"/>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6FAA22-E60C-4FE5-980B-BF1C737170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2928</Words>
  <Characters>16693</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19582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McCutcheon, Amber</cp:lastModifiedBy>
  <cp:revision>3</cp:revision>
  <cp:lastPrinted>2015-03-04T20:34:00Z</cp:lastPrinted>
  <dcterms:created xsi:type="dcterms:W3CDTF">2018-12-04T17:30:00Z</dcterms:created>
  <dcterms:modified xsi:type="dcterms:W3CDTF">2018-12-04T22:05:00Z</dcterms:modified>
</cp:coreProperties>
</file>