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465"/>
        <w:gridCol w:w="4787"/>
      </w:tblGrid>
      <w:tr w:rsidR="004E241F" w:rsidRPr="0048352B" w14:paraId="61244EF0" w14:textId="77777777" w:rsidTr="0048352B">
        <w:tc>
          <w:tcPr>
            <w:tcW w:w="4680" w:type="dxa"/>
            <w:shd w:val="clear" w:color="auto" w:fill="auto"/>
          </w:tcPr>
          <w:p w14:paraId="2654EEE7" w14:textId="0F4D549F" w:rsidR="004E241F" w:rsidRPr="0048352B" w:rsidRDefault="004E241F" w:rsidP="0048352B">
            <w:pPr>
              <w:pStyle w:val="Casehead2"/>
              <w:rPr>
                <w:lang w:val="en-GB"/>
              </w:rPr>
            </w:pPr>
            <w:r w:rsidRPr="0048352B">
              <w:rPr>
                <w:noProof/>
              </w:rPr>
              <w:drawing>
                <wp:inline distT="0" distB="0" distL="0" distR="0" wp14:anchorId="6351B114" wp14:editId="6C0B79D2">
                  <wp:extent cx="2616200"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4788" w:type="dxa"/>
            <w:shd w:val="clear" w:color="auto" w:fill="auto"/>
          </w:tcPr>
          <w:p w14:paraId="235DD0E9" w14:textId="2DE65FDA" w:rsidR="004E241F" w:rsidRPr="0048352B" w:rsidRDefault="004E241F" w:rsidP="0048352B">
            <w:pPr>
              <w:tabs>
                <w:tab w:val="left" w:pos="-1440"/>
                <w:tab w:val="left" w:pos="-720"/>
                <w:tab w:val="left" w:pos="1"/>
              </w:tabs>
              <w:jc w:val="right"/>
              <w:rPr>
                <w:rFonts w:ascii="Arial" w:hAnsi="Arial" w:cs="Calibri"/>
                <w:b/>
                <w:sz w:val="24"/>
                <w:lang w:val="en-GB"/>
              </w:rPr>
            </w:pPr>
            <w:r w:rsidRPr="0048352B">
              <w:rPr>
                <w:rFonts w:ascii="Arial" w:hAnsi="Arial" w:cs="Calibri"/>
                <w:b/>
                <w:noProof/>
                <w:sz w:val="24"/>
              </w:rPr>
              <w:drawing>
                <wp:inline distT="0" distB="0" distL="0" distR="0" wp14:anchorId="500336AA" wp14:editId="50E2F539">
                  <wp:extent cx="2901950" cy="548640"/>
                  <wp:effectExtent l="0" t="0" r="0" b="3810"/>
                  <wp:docPr id="1" name="Picture 1" descr="UC-hashayn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ashayne-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1950" cy="548640"/>
                          </a:xfrm>
                          <a:prstGeom prst="rect">
                            <a:avLst/>
                          </a:prstGeom>
                          <a:noFill/>
                          <a:ln>
                            <a:noFill/>
                          </a:ln>
                        </pic:spPr>
                      </pic:pic>
                    </a:graphicData>
                  </a:graphic>
                </wp:inline>
              </w:drawing>
            </w:r>
          </w:p>
        </w:tc>
      </w:tr>
    </w:tbl>
    <w:p w14:paraId="48F5344A" w14:textId="77777777" w:rsidR="004E241F" w:rsidRPr="0048352B" w:rsidRDefault="004E241F" w:rsidP="004E241F">
      <w:pPr>
        <w:pBdr>
          <w:bottom w:val="single" w:sz="18" w:space="1" w:color="auto"/>
        </w:pBdr>
        <w:tabs>
          <w:tab w:val="left" w:pos="-1440"/>
          <w:tab w:val="left" w:pos="-720"/>
          <w:tab w:val="left" w:pos="1"/>
        </w:tabs>
        <w:jc w:val="both"/>
        <w:rPr>
          <w:rFonts w:ascii="Arial" w:hAnsi="Arial"/>
          <w:b/>
          <w:sz w:val="2"/>
          <w:szCs w:val="2"/>
          <w:lang w:val="en-GB"/>
        </w:rPr>
      </w:pPr>
    </w:p>
    <w:p w14:paraId="01E3D254" w14:textId="4C999E14" w:rsidR="004E241F" w:rsidRPr="0048352B" w:rsidRDefault="00E72A95" w:rsidP="004E241F">
      <w:pPr>
        <w:pStyle w:val="ProductNumber"/>
        <w:rPr>
          <w:lang w:val="en-GB"/>
        </w:rPr>
      </w:pPr>
      <w:r>
        <w:rPr>
          <w:lang w:val="en-GB"/>
        </w:rPr>
        <w:t>9B18M183</w:t>
      </w:r>
    </w:p>
    <w:p w14:paraId="4E057522" w14:textId="77777777" w:rsidR="00D75295" w:rsidRPr="0048352B" w:rsidRDefault="00D75295" w:rsidP="00D75295">
      <w:pPr>
        <w:jc w:val="right"/>
        <w:rPr>
          <w:rFonts w:ascii="Arial" w:hAnsi="Arial"/>
          <w:b/>
          <w:sz w:val="28"/>
          <w:szCs w:val="28"/>
          <w:lang w:val="en-GB"/>
        </w:rPr>
      </w:pPr>
    </w:p>
    <w:p w14:paraId="426B7211" w14:textId="77777777" w:rsidR="00013360" w:rsidRPr="0048352B" w:rsidRDefault="00013360" w:rsidP="00D75295">
      <w:pPr>
        <w:jc w:val="right"/>
        <w:rPr>
          <w:rFonts w:ascii="Arial" w:hAnsi="Arial"/>
          <w:b/>
          <w:sz w:val="28"/>
          <w:szCs w:val="28"/>
          <w:lang w:val="en-GB"/>
        </w:rPr>
      </w:pPr>
    </w:p>
    <w:p w14:paraId="2F03D26A" w14:textId="401BF897" w:rsidR="008204CC" w:rsidRPr="0048352B" w:rsidRDefault="00EB2894" w:rsidP="00013360">
      <w:pPr>
        <w:pStyle w:val="CaseTitle"/>
        <w:spacing w:after="0" w:line="240" w:lineRule="auto"/>
        <w:rPr>
          <w:sz w:val="20"/>
          <w:szCs w:val="20"/>
          <w:lang w:val="en-GB"/>
        </w:rPr>
      </w:pPr>
      <w:r w:rsidRPr="0048352B">
        <w:rPr>
          <w:rFonts w:eastAsia="Arial"/>
          <w:lang w:val="en-GB"/>
        </w:rPr>
        <w:t>TELUS: ethics and Cellphone tower sites</w:t>
      </w:r>
      <w:r w:rsidR="008204CC" w:rsidRPr="0048352B">
        <w:rPr>
          <w:rFonts w:eastAsia="Arial"/>
          <w:vertAlign w:val="superscript"/>
          <w:lang w:val="en-GB"/>
        </w:rPr>
        <w:endnoteReference w:id="1"/>
      </w:r>
    </w:p>
    <w:p w14:paraId="40ABF6FD" w14:textId="77777777" w:rsidR="008204CC" w:rsidRPr="0048352B" w:rsidRDefault="008204CC" w:rsidP="00013360">
      <w:pPr>
        <w:pStyle w:val="CaseTitle"/>
        <w:spacing w:after="0" w:line="240" w:lineRule="auto"/>
        <w:rPr>
          <w:sz w:val="20"/>
          <w:szCs w:val="20"/>
          <w:lang w:val="en-GB"/>
        </w:rPr>
      </w:pPr>
    </w:p>
    <w:p w14:paraId="202F1085" w14:textId="77777777" w:rsidR="008204CC" w:rsidRPr="0048352B" w:rsidRDefault="008204CC" w:rsidP="00013360">
      <w:pPr>
        <w:pStyle w:val="CaseTitle"/>
        <w:spacing w:after="0" w:line="240" w:lineRule="auto"/>
        <w:rPr>
          <w:sz w:val="20"/>
          <w:szCs w:val="20"/>
          <w:lang w:val="en-GB"/>
        </w:rPr>
      </w:pPr>
    </w:p>
    <w:p w14:paraId="58B0C73F" w14:textId="4B443AA1" w:rsidR="008204CC" w:rsidRPr="0048352B" w:rsidRDefault="008204CC" w:rsidP="00086B26">
      <w:pPr>
        <w:pStyle w:val="StyleCopyrightStatementAfter0ptBottomSinglesolidline1"/>
        <w:rPr>
          <w:lang w:val="en-GB"/>
        </w:rPr>
      </w:pPr>
      <w:r w:rsidRPr="0048352B">
        <w:rPr>
          <w:rFonts w:cs="Arial"/>
          <w:szCs w:val="16"/>
          <w:lang w:val="en-GB"/>
        </w:rPr>
        <w:t xml:space="preserve">Xiaoyu Liu and Hao Lu </w:t>
      </w:r>
      <w:r w:rsidRPr="0048352B">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8204CC" w:rsidRPr="0048352B" w:rsidRDefault="008204CC" w:rsidP="00086B26">
      <w:pPr>
        <w:pStyle w:val="StyleCopyrightStatementAfter0ptBottomSinglesolidline1"/>
        <w:rPr>
          <w:lang w:val="en-GB"/>
        </w:rPr>
      </w:pPr>
    </w:p>
    <w:p w14:paraId="2EA237B1" w14:textId="77777777" w:rsidR="008204CC" w:rsidRPr="0048352B" w:rsidRDefault="008204CC" w:rsidP="004E241F">
      <w:pPr>
        <w:jc w:val="both"/>
        <w:rPr>
          <w:rFonts w:ascii="Arial" w:hAnsi="Arial" w:cs="Arial"/>
          <w:i/>
          <w:iCs/>
          <w:sz w:val="16"/>
          <w:szCs w:val="16"/>
          <w:lang w:val="en-GB"/>
        </w:rPr>
      </w:pPr>
      <w:r w:rsidRPr="0048352B">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8352B">
          <w:rPr>
            <w:rFonts w:ascii="Arial" w:hAnsi="Arial" w:cs="Arial"/>
            <w:i/>
            <w:iCs/>
            <w:sz w:val="16"/>
            <w:szCs w:val="16"/>
            <w:lang w:val="en-GB"/>
          </w:rPr>
          <w:t>cases@ivey.ca</w:t>
        </w:r>
      </w:hyperlink>
      <w:r w:rsidRPr="0048352B">
        <w:rPr>
          <w:rFonts w:ascii="Arial" w:hAnsi="Arial" w:cs="Arial"/>
          <w:i/>
          <w:iCs/>
          <w:sz w:val="16"/>
          <w:szCs w:val="16"/>
          <w:lang w:val="en-GB"/>
        </w:rPr>
        <w:t xml:space="preserve">; </w:t>
      </w:r>
      <w:hyperlink r:id="rId11" w:history="1">
        <w:r w:rsidRPr="0048352B">
          <w:rPr>
            <w:rFonts w:ascii="Arial" w:hAnsi="Arial" w:cs="Arial"/>
            <w:i/>
            <w:iCs/>
            <w:sz w:val="16"/>
            <w:szCs w:val="16"/>
            <w:lang w:val="en-GB"/>
          </w:rPr>
          <w:t>www.iveycases.com</w:t>
        </w:r>
      </w:hyperlink>
      <w:r w:rsidRPr="0048352B">
        <w:rPr>
          <w:rFonts w:ascii="Arial" w:hAnsi="Arial" w:cs="Arial"/>
          <w:i/>
          <w:iCs/>
          <w:sz w:val="16"/>
          <w:szCs w:val="16"/>
          <w:lang w:val="en-GB"/>
        </w:rPr>
        <w:t>.</w:t>
      </w:r>
    </w:p>
    <w:p w14:paraId="203F4B2F" w14:textId="77777777" w:rsidR="008204CC" w:rsidRPr="0048352B" w:rsidRDefault="008204CC" w:rsidP="004E241F">
      <w:pPr>
        <w:jc w:val="both"/>
        <w:rPr>
          <w:rFonts w:ascii="Arial" w:hAnsi="Arial" w:cs="Arial"/>
          <w:i/>
          <w:iCs/>
          <w:sz w:val="16"/>
          <w:szCs w:val="16"/>
          <w:lang w:val="en-GB"/>
        </w:rPr>
      </w:pPr>
    </w:p>
    <w:p w14:paraId="3922E14F" w14:textId="15CCF98E" w:rsidR="008204CC" w:rsidRPr="0048352B" w:rsidRDefault="008204CC" w:rsidP="004E241F">
      <w:pPr>
        <w:pStyle w:val="StyleStyleCopyrightStatementAfter0ptBottomSinglesolid"/>
        <w:rPr>
          <w:rFonts w:cs="Arial"/>
          <w:szCs w:val="16"/>
          <w:lang w:val="en-GB"/>
        </w:rPr>
      </w:pPr>
      <w:r w:rsidRPr="0048352B">
        <w:rPr>
          <w:spacing w:val="-6"/>
          <w:lang w:val="en-GB"/>
        </w:rPr>
        <w:t>Copyright © 2018, Ivey Business School Foundation</w:t>
      </w:r>
      <w:r w:rsidRPr="0048352B">
        <w:rPr>
          <w:lang w:val="en-GB"/>
        </w:rPr>
        <w:tab/>
        <w:t>Version: 2018-</w:t>
      </w:r>
      <w:r w:rsidR="005F50E4">
        <w:rPr>
          <w:lang w:val="en-GB"/>
        </w:rPr>
        <w:t>12-03</w:t>
      </w:r>
    </w:p>
    <w:p w14:paraId="0A2A54E4" w14:textId="77777777" w:rsidR="008204CC" w:rsidRPr="0048352B" w:rsidRDefault="008204CC" w:rsidP="00751E0B">
      <w:pPr>
        <w:pStyle w:val="StyleCopyrightStatementAfter0ptBottomSinglesolidline1"/>
        <w:rPr>
          <w:rFonts w:ascii="Times New Roman" w:hAnsi="Times New Roman"/>
          <w:sz w:val="20"/>
          <w:lang w:val="en-GB"/>
        </w:rPr>
      </w:pPr>
    </w:p>
    <w:p w14:paraId="2C183161" w14:textId="77777777" w:rsidR="008204CC" w:rsidRPr="0048352B" w:rsidRDefault="008204CC" w:rsidP="004B632F">
      <w:pPr>
        <w:pStyle w:val="StyleCopyrightStatementAfter0ptBottomSinglesolidline1"/>
        <w:rPr>
          <w:rFonts w:ascii="Times New Roman" w:hAnsi="Times New Roman"/>
          <w:sz w:val="20"/>
          <w:lang w:val="en-GB"/>
        </w:rPr>
      </w:pPr>
      <w:bookmarkStart w:id="0" w:name="_GoBack"/>
      <w:bookmarkEnd w:id="0"/>
    </w:p>
    <w:p w14:paraId="413636D7" w14:textId="644C5FFA" w:rsidR="008204CC" w:rsidRPr="0048352B" w:rsidRDefault="008204CC" w:rsidP="00EB2894">
      <w:pPr>
        <w:pStyle w:val="BodyTextMain"/>
        <w:rPr>
          <w:lang w:val="en-GB"/>
        </w:rPr>
      </w:pPr>
      <w:r w:rsidRPr="0048352B">
        <w:rPr>
          <w:lang w:val="en-GB"/>
        </w:rPr>
        <w:t>Following its installation of a cellphone tower on the University of Calgary property near the West Campus Child Care Centre on June 11, 2015, TELUS Corporation (TELUS) faced protests from dozens of worried parents who petitioned to have the tower relocated.</w:t>
      </w:r>
      <w:r w:rsidRPr="0048352B">
        <w:rPr>
          <w:rStyle w:val="EndnoteReference"/>
          <w:lang w:val="en-GB"/>
        </w:rPr>
        <w:endnoteReference w:id="2"/>
      </w:r>
      <w:r w:rsidRPr="0048352B">
        <w:rPr>
          <w:lang w:val="en-GB"/>
        </w:rPr>
        <w:t xml:space="preserve"> The increase in demand for good cellphone reception in the University of Calgary area had resulted in TELUS’s decision to install a new cellphone tower near the university. The tower, which had yet to be activated, was installed according to all legal protocols, but its location near the </w:t>
      </w:r>
      <w:r>
        <w:rPr>
          <w:lang w:val="en-GB"/>
        </w:rPr>
        <w:t>c</w:t>
      </w:r>
      <w:r w:rsidRPr="0048352B">
        <w:rPr>
          <w:lang w:val="en-GB"/>
        </w:rPr>
        <w:t xml:space="preserve">hild </w:t>
      </w:r>
      <w:r>
        <w:rPr>
          <w:lang w:val="en-GB"/>
        </w:rPr>
        <w:t>c</w:t>
      </w:r>
      <w:r w:rsidRPr="0048352B">
        <w:rPr>
          <w:lang w:val="en-GB"/>
        </w:rPr>
        <w:t xml:space="preserve">are </w:t>
      </w:r>
      <w:r>
        <w:rPr>
          <w:lang w:val="en-GB"/>
        </w:rPr>
        <w:t>c</w:t>
      </w:r>
      <w:r w:rsidRPr="0048352B">
        <w:rPr>
          <w:lang w:val="en-GB"/>
        </w:rPr>
        <w:t>entre corresponded to the list of “discouraged locations” under the City of Calgary’s Telecommunication Antenna Structures Siting Protocols (the Protocols).</w:t>
      </w:r>
      <w:r w:rsidRPr="0048352B">
        <w:rPr>
          <w:rStyle w:val="EndnoteReference"/>
          <w:lang w:val="en-GB"/>
        </w:rPr>
        <w:endnoteReference w:id="3"/>
      </w:r>
      <w:r w:rsidRPr="0048352B">
        <w:rPr>
          <w:lang w:val="en-GB"/>
        </w:rPr>
        <w:t xml:space="preserve"> Facing the conflicts of interests from different stakeholder groups and considerable social media attention, TELUS and the University of Calgary </w:t>
      </w:r>
      <w:r>
        <w:rPr>
          <w:lang w:val="en-GB"/>
        </w:rPr>
        <w:t>needed</w:t>
      </w:r>
      <w:r w:rsidRPr="0048352B">
        <w:rPr>
          <w:lang w:val="en-GB"/>
        </w:rPr>
        <w:t xml:space="preserve"> to </w:t>
      </w:r>
      <w:r>
        <w:rPr>
          <w:lang w:val="en-GB"/>
        </w:rPr>
        <w:t xml:space="preserve">decide </w:t>
      </w:r>
      <w:r w:rsidRPr="0048352B">
        <w:rPr>
          <w:lang w:val="en-GB"/>
        </w:rPr>
        <w:t>what to do with the tower.</w:t>
      </w:r>
    </w:p>
    <w:p w14:paraId="28FB347C" w14:textId="77777777" w:rsidR="008204CC" w:rsidRPr="0048352B" w:rsidRDefault="008204CC" w:rsidP="00EB2894">
      <w:pPr>
        <w:pStyle w:val="BodyTextMain"/>
        <w:rPr>
          <w:sz w:val="20"/>
          <w:lang w:val="en-GB"/>
        </w:rPr>
      </w:pPr>
    </w:p>
    <w:p w14:paraId="4819433A" w14:textId="77777777" w:rsidR="008204CC" w:rsidRPr="0048352B" w:rsidRDefault="008204CC" w:rsidP="00EB2894">
      <w:pPr>
        <w:pStyle w:val="BodyTextMain"/>
        <w:rPr>
          <w:sz w:val="20"/>
          <w:lang w:val="en-GB"/>
        </w:rPr>
      </w:pPr>
    </w:p>
    <w:p w14:paraId="57E29BDD" w14:textId="77777777" w:rsidR="008204CC" w:rsidRPr="0048352B" w:rsidRDefault="008204CC" w:rsidP="00EB2894">
      <w:pPr>
        <w:pStyle w:val="Casehead1"/>
        <w:rPr>
          <w:lang w:val="en-GB"/>
        </w:rPr>
      </w:pPr>
      <w:r w:rsidRPr="0048352B">
        <w:rPr>
          <w:lang w:val="en-GB"/>
        </w:rPr>
        <w:t>BACKGROUND INFORMATION</w:t>
      </w:r>
    </w:p>
    <w:p w14:paraId="0C34DB2B" w14:textId="77777777" w:rsidR="008204CC" w:rsidRPr="0048352B" w:rsidRDefault="008204CC" w:rsidP="00EB2894">
      <w:pPr>
        <w:pStyle w:val="BodyTextMain"/>
        <w:rPr>
          <w:sz w:val="20"/>
          <w:lang w:val="en-GB"/>
        </w:rPr>
      </w:pPr>
    </w:p>
    <w:p w14:paraId="2B824B3F" w14:textId="6761874A" w:rsidR="008204CC" w:rsidRPr="0048352B" w:rsidRDefault="008204CC" w:rsidP="00EB2894">
      <w:pPr>
        <w:pStyle w:val="Casehead2"/>
        <w:rPr>
          <w:lang w:val="en-GB"/>
        </w:rPr>
      </w:pPr>
      <w:r w:rsidRPr="0048352B">
        <w:rPr>
          <w:lang w:val="en-GB"/>
        </w:rPr>
        <w:t>TELUS and the Telecommunications Industry</w:t>
      </w:r>
    </w:p>
    <w:p w14:paraId="62C8C4F4" w14:textId="77777777" w:rsidR="008204CC" w:rsidRPr="0048352B" w:rsidRDefault="008204CC" w:rsidP="00EB2894">
      <w:pPr>
        <w:pStyle w:val="BodyTextMain"/>
        <w:rPr>
          <w:sz w:val="20"/>
          <w:lang w:val="en-GB"/>
        </w:rPr>
      </w:pPr>
    </w:p>
    <w:p w14:paraId="408D812F" w14:textId="3ADE0271" w:rsidR="008204CC" w:rsidRPr="0048352B" w:rsidRDefault="008204CC" w:rsidP="00EB2894">
      <w:pPr>
        <w:pStyle w:val="BodyTextMain"/>
        <w:rPr>
          <w:lang w:val="en-GB"/>
        </w:rPr>
      </w:pPr>
      <w:r w:rsidRPr="0048352B">
        <w:rPr>
          <w:lang w:val="en-GB"/>
        </w:rPr>
        <w:t>All wireless service providers in Canada were regulated by the Canadian Radio-television and Telecommunications Commission (CRTC).</w:t>
      </w:r>
      <w:r w:rsidRPr="0048352B">
        <w:rPr>
          <w:rStyle w:val="EndnoteReference"/>
          <w:lang w:val="en-GB"/>
        </w:rPr>
        <w:endnoteReference w:id="4"/>
      </w:r>
      <w:r w:rsidRPr="0048352B">
        <w:rPr>
          <w:lang w:val="en-GB"/>
        </w:rPr>
        <w:t xml:space="preserve"> In the Canadian telecommunications industry, consumers’ choice of cellphone service was limited. Three mobile network operators owned and operated transmission facilities that covered most of the country, and approximately 90 per cent of Canadian cellphone users subscribed to one of the three largest national telecommunication companies, </w:t>
      </w:r>
      <w:r w:rsidR="005F50E4">
        <w:rPr>
          <w:lang w:val="en-GB"/>
        </w:rPr>
        <w:t>(</w:t>
      </w:r>
      <w:r w:rsidRPr="0048352B">
        <w:rPr>
          <w:lang w:val="en-GB"/>
        </w:rPr>
        <w:t>i.e., Rogers Communications, BCE Inc. (Bell), and TELUS</w:t>
      </w:r>
      <w:r w:rsidR="005F50E4">
        <w:rPr>
          <w:lang w:val="en-GB"/>
        </w:rPr>
        <w:t>)</w:t>
      </w:r>
      <w:r w:rsidRPr="0048352B">
        <w:rPr>
          <w:lang w:val="en-GB"/>
        </w:rPr>
        <w:t>.</w:t>
      </w:r>
      <w:r w:rsidRPr="0048352B">
        <w:rPr>
          <w:rStyle w:val="EndnoteReference"/>
          <w:lang w:val="en-GB"/>
        </w:rPr>
        <w:endnoteReference w:id="5"/>
      </w:r>
      <w:r w:rsidRPr="0048352B">
        <w:rPr>
          <w:lang w:val="en-GB"/>
        </w:rPr>
        <w:t xml:space="preserve"> Exhibit 1 lists the top five telecommunication companies and their business sectors and operating revenues in 2014. </w:t>
      </w:r>
    </w:p>
    <w:p w14:paraId="052CE55C" w14:textId="77777777" w:rsidR="008204CC" w:rsidRPr="0048352B" w:rsidRDefault="008204CC" w:rsidP="00EB2894">
      <w:pPr>
        <w:pStyle w:val="BodyTextMain"/>
        <w:rPr>
          <w:lang w:val="en-GB"/>
        </w:rPr>
      </w:pPr>
    </w:p>
    <w:p w14:paraId="3E848B38" w14:textId="77777777" w:rsidR="008204CC" w:rsidRDefault="008204CC" w:rsidP="00840DCE">
      <w:pPr>
        <w:pStyle w:val="Casehead2"/>
        <w:rPr>
          <w:lang w:val="en-GB"/>
        </w:rPr>
      </w:pPr>
    </w:p>
    <w:p w14:paraId="0FA1C4FD" w14:textId="68DD5B25" w:rsidR="008204CC" w:rsidRPr="0048352B" w:rsidRDefault="008204CC" w:rsidP="00840DCE">
      <w:pPr>
        <w:pStyle w:val="Casehead2"/>
        <w:rPr>
          <w:lang w:val="en-GB"/>
        </w:rPr>
      </w:pPr>
      <w:r w:rsidRPr="0048352B">
        <w:rPr>
          <w:lang w:val="en-GB"/>
        </w:rPr>
        <w:t>Cell</w:t>
      </w:r>
      <w:r>
        <w:rPr>
          <w:lang w:val="en-GB"/>
        </w:rPr>
        <w:t>p</w:t>
      </w:r>
      <w:r w:rsidRPr="0048352B">
        <w:rPr>
          <w:lang w:val="en-GB"/>
        </w:rPr>
        <w:t>hone Towers</w:t>
      </w:r>
    </w:p>
    <w:p w14:paraId="070B2AE6" w14:textId="77777777" w:rsidR="008204CC" w:rsidRPr="0048352B" w:rsidRDefault="008204CC" w:rsidP="00840DCE">
      <w:pPr>
        <w:pStyle w:val="BodyTextMain"/>
        <w:rPr>
          <w:sz w:val="20"/>
          <w:lang w:val="en-GB"/>
        </w:rPr>
      </w:pPr>
    </w:p>
    <w:p w14:paraId="4C0EDA60" w14:textId="14A9FDCC" w:rsidR="008204CC" w:rsidRPr="00840DCE" w:rsidRDefault="008204CC" w:rsidP="00840DCE">
      <w:pPr>
        <w:pStyle w:val="BodyTextMain"/>
        <w:rPr>
          <w:spacing w:val="-2"/>
          <w:lang w:val="en-GB"/>
        </w:rPr>
      </w:pPr>
      <w:r w:rsidRPr="00840DCE">
        <w:rPr>
          <w:spacing w:val="-2"/>
          <w:lang w:val="en-GB"/>
        </w:rPr>
        <w:t xml:space="preserve">Telecommunications companies needed to install cellphone towers to provide cellphone service and to improve reception quality in a large geographic area. </w:t>
      </w:r>
      <w:r w:rsidR="00662DA7" w:rsidRPr="00840DCE">
        <w:rPr>
          <w:spacing w:val="-2"/>
          <w:lang w:val="en-GB"/>
        </w:rPr>
        <w:t xml:space="preserve">Because of </w:t>
      </w:r>
      <w:r w:rsidRPr="00840DCE">
        <w:rPr>
          <w:spacing w:val="-2"/>
          <w:lang w:val="en-GB"/>
        </w:rPr>
        <w:t xml:space="preserve">the increasing number of cellphone users in the past 10 years, it was necessary to install cellphone towers in many residential communities to generate and enhance signals. A typical cellphone tower had electronic equipment and antennas that constantly received and transmitted signals at certain radio frequencies. The towers were usually </w:t>
      </w:r>
      <w:r w:rsidR="00522DCE" w:rsidRPr="00840DCE">
        <w:rPr>
          <w:spacing w:val="-2"/>
          <w:lang w:val="en-GB"/>
        </w:rPr>
        <w:t>15–60 metres</w:t>
      </w:r>
      <w:r w:rsidRPr="00840DCE">
        <w:rPr>
          <w:spacing w:val="-2"/>
          <w:lang w:val="en-GB"/>
        </w:rPr>
        <w:t xml:space="preserve"> tall, as the antennas needed to be placed high enough to adequately cover the area. It usually took a year or more to complete the installation of a cellphone tower, at a cost of approximately CA$150,000–$350,000.</w:t>
      </w:r>
      <w:r w:rsidRPr="00840DCE">
        <w:rPr>
          <w:rStyle w:val="EndnoteReference"/>
          <w:spacing w:val="-2"/>
          <w:lang w:val="en-GB"/>
        </w:rPr>
        <w:endnoteReference w:id="6"/>
      </w:r>
      <w:r w:rsidRPr="00840DCE">
        <w:rPr>
          <w:spacing w:val="-2"/>
          <w:vertAlign w:val="superscript"/>
          <w:lang w:val="en-GB"/>
        </w:rPr>
        <w:t xml:space="preserve"> </w:t>
      </w:r>
    </w:p>
    <w:p w14:paraId="70DC851D" w14:textId="6EBC0773" w:rsidR="008204CC" w:rsidRPr="0048352B" w:rsidRDefault="008204CC" w:rsidP="00EB2894">
      <w:pPr>
        <w:pStyle w:val="BodyTextMain"/>
        <w:rPr>
          <w:lang w:val="en-GB"/>
        </w:rPr>
      </w:pPr>
      <w:r w:rsidRPr="0048352B">
        <w:rPr>
          <w:lang w:val="en-GB"/>
        </w:rPr>
        <w:lastRenderedPageBreak/>
        <w:t>Generally, the construction process of a cellphone tower</w:t>
      </w:r>
      <w:r>
        <w:rPr>
          <w:lang w:val="en-GB"/>
        </w:rPr>
        <w:t xml:space="preserve"> comprised four steps</w:t>
      </w:r>
      <w:r w:rsidRPr="0048352B">
        <w:rPr>
          <w:lang w:val="en-GB"/>
        </w:rPr>
        <w:t>:</w:t>
      </w:r>
      <w:r w:rsidRPr="0048352B">
        <w:rPr>
          <w:rStyle w:val="EndnoteReference"/>
          <w:lang w:val="en-GB"/>
        </w:rPr>
        <w:endnoteReference w:id="7"/>
      </w:r>
      <w:r w:rsidRPr="0048352B">
        <w:rPr>
          <w:lang w:val="en-GB"/>
        </w:rPr>
        <w:t xml:space="preserve"> (1) power and phone services </w:t>
      </w:r>
      <w:r>
        <w:rPr>
          <w:lang w:val="en-GB"/>
        </w:rPr>
        <w:t>needed</w:t>
      </w:r>
      <w:r w:rsidRPr="0048352B">
        <w:rPr>
          <w:lang w:val="en-GB"/>
        </w:rPr>
        <w:t xml:space="preserve"> to be established before the construction of the tower; (2) equipment such as a base transmission station, transmitters, and receivers </w:t>
      </w:r>
      <w:r>
        <w:rPr>
          <w:lang w:val="en-GB"/>
        </w:rPr>
        <w:t>needed</w:t>
      </w:r>
      <w:r w:rsidRPr="0048352B">
        <w:rPr>
          <w:lang w:val="en-GB"/>
        </w:rPr>
        <w:t xml:space="preserve"> to be installed nearby; (3) the type of tower—lattice tower, monopole tower, guyed tower, or concealed tower—and its </w:t>
      </w:r>
      <w:r>
        <w:rPr>
          <w:lang w:val="en-GB"/>
        </w:rPr>
        <w:t>various</w:t>
      </w:r>
      <w:r w:rsidRPr="0048352B">
        <w:rPr>
          <w:lang w:val="en-GB"/>
        </w:rPr>
        <w:t xml:space="preserve"> requirements </w:t>
      </w:r>
      <w:r>
        <w:rPr>
          <w:lang w:val="en-GB"/>
        </w:rPr>
        <w:t>needed</w:t>
      </w:r>
      <w:r w:rsidRPr="0048352B">
        <w:rPr>
          <w:lang w:val="en-GB"/>
        </w:rPr>
        <w:t xml:space="preserve"> to be considered and constructed; and (4) antennas </w:t>
      </w:r>
      <w:r>
        <w:rPr>
          <w:lang w:val="en-GB"/>
        </w:rPr>
        <w:t>needed to be</w:t>
      </w:r>
      <w:r w:rsidRPr="0048352B">
        <w:rPr>
          <w:lang w:val="en-GB"/>
        </w:rPr>
        <w:t xml:space="preserve"> placed and activated to send signals. The </w:t>
      </w:r>
      <w:r>
        <w:rPr>
          <w:lang w:val="en-GB"/>
        </w:rPr>
        <w:t xml:space="preserve">higher the antennas, the better the </w:t>
      </w:r>
      <w:r w:rsidRPr="0048352B">
        <w:rPr>
          <w:lang w:val="en-GB"/>
        </w:rPr>
        <w:t xml:space="preserve">signal and </w:t>
      </w:r>
      <w:r>
        <w:rPr>
          <w:lang w:val="en-GB"/>
        </w:rPr>
        <w:t xml:space="preserve">the wider </w:t>
      </w:r>
      <w:r w:rsidRPr="0048352B">
        <w:rPr>
          <w:lang w:val="en-GB"/>
        </w:rPr>
        <w:t xml:space="preserve">the coverage. </w:t>
      </w:r>
    </w:p>
    <w:p w14:paraId="3E17A05C" w14:textId="77777777" w:rsidR="008204CC" w:rsidRPr="0048352B" w:rsidRDefault="008204CC" w:rsidP="00EB2894">
      <w:pPr>
        <w:pStyle w:val="BodyTextMain"/>
        <w:rPr>
          <w:sz w:val="20"/>
          <w:lang w:val="en-GB"/>
        </w:rPr>
      </w:pPr>
    </w:p>
    <w:p w14:paraId="2B6FB34E" w14:textId="77777777" w:rsidR="008204CC" w:rsidRPr="0048352B" w:rsidRDefault="008204CC" w:rsidP="00EB2894">
      <w:pPr>
        <w:pStyle w:val="BodyTextMain"/>
        <w:rPr>
          <w:sz w:val="20"/>
          <w:lang w:val="en-GB"/>
        </w:rPr>
      </w:pPr>
    </w:p>
    <w:p w14:paraId="56EBAD7C" w14:textId="3E76CB7A" w:rsidR="008204CC" w:rsidRPr="0048352B" w:rsidRDefault="008204CC" w:rsidP="00EB2894">
      <w:pPr>
        <w:pStyle w:val="Casehead2"/>
        <w:rPr>
          <w:lang w:val="en-GB"/>
        </w:rPr>
      </w:pPr>
      <w:r w:rsidRPr="0048352B">
        <w:rPr>
          <w:lang w:val="en-GB"/>
        </w:rPr>
        <w:t>Health Research Regarding Exposure to Radio</w:t>
      </w:r>
      <w:r>
        <w:rPr>
          <w:lang w:val="en-GB"/>
        </w:rPr>
        <w:t xml:space="preserve"> F</w:t>
      </w:r>
      <w:r w:rsidRPr="0048352B">
        <w:rPr>
          <w:lang w:val="en-GB"/>
        </w:rPr>
        <w:t>requency Waves</w:t>
      </w:r>
    </w:p>
    <w:p w14:paraId="773E6E8E" w14:textId="77777777" w:rsidR="008204CC" w:rsidRPr="0048352B" w:rsidRDefault="008204CC" w:rsidP="00EB2894">
      <w:pPr>
        <w:pStyle w:val="BodyTextMain"/>
        <w:rPr>
          <w:sz w:val="20"/>
          <w:lang w:val="en-GB"/>
        </w:rPr>
      </w:pPr>
    </w:p>
    <w:p w14:paraId="2A6B42F1" w14:textId="535B5356" w:rsidR="008204CC" w:rsidRPr="0048352B" w:rsidRDefault="00662DA7" w:rsidP="00EB2894">
      <w:pPr>
        <w:pStyle w:val="BodyTextMain"/>
        <w:rPr>
          <w:lang w:val="en-GB"/>
        </w:rPr>
      </w:pPr>
      <w:r>
        <w:rPr>
          <w:lang w:val="en-GB"/>
        </w:rPr>
        <w:t>T</w:t>
      </w:r>
      <w:r w:rsidRPr="0048352B">
        <w:rPr>
          <w:lang w:val="en-GB"/>
        </w:rPr>
        <w:t>o communicate with cellphones</w:t>
      </w:r>
      <w:r>
        <w:rPr>
          <w:lang w:val="en-GB"/>
        </w:rPr>
        <w:t>,</w:t>
      </w:r>
      <w:r w:rsidRPr="0048352B">
        <w:rPr>
          <w:lang w:val="en-GB"/>
        </w:rPr>
        <w:t xml:space="preserve"> </w:t>
      </w:r>
      <w:r>
        <w:rPr>
          <w:lang w:val="en-GB"/>
        </w:rPr>
        <w:t>c</w:t>
      </w:r>
      <w:r w:rsidR="008204CC" w:rsidRPr="0048352B">
        <w:rPr>
          <w:lang w:val="en-GB"/>
        </w:rPr>
        <w:t>ellphone towers sent out radio</w:t>
      </w:r>
      <w:r w:rsidR="008204CC">
        <w:rPr>
          <w:lang w:val="en-GB"/>
        </w:rPr>
        <w:t xml:space="preserve"> </w:t>
      </w:r>
      <w:r w:rsidR="008204CC" w:rsidRPr="0048352B">
        <w:rPr>
          <w:lang w:val="en-GB"/>
        </w:rPr>
        <w:t xml:space="preserve">frequency (RF) waves, a form of energy in the electromagnetic spectrum between FM radio waves and microwaves. The waves could be dangerous, as a high level of RF waves could heat up body tissues. However, the levels of energy used by cellphones and </w:t>
      </w:r>
      <w:r w:rsidR="008204CC">
        <w:rPr>
          <w:lang w:val="en-GB"/>
        </w:rPr>
        <w:t xml:space="preserve">cellphone </w:t>
      </w:r>
      <w:r w:rsidR="008204CC" w:rsidRPr="0048352B">
        <w:rPr>
          <w:lang w:val="en-GB"/>
        </w:rPr>
        <w:t>towers were much lower than the dangerous RF level. Nonetheless, scientific research suggested inconsistent results regarding the relationship between RF exposure and health issues.</w:t>
      </w:r>
      <w:r w:rsidR="008204CC" w:rsidRPr="0048352B">
        <w:rPr>
          <w:rStyle w:val="EndnoteReference"/>
          <w:lang w:val="en-GB"/>
        </w:rPr>
        <w:endnoteReference w:id="8"/>
      </w:r>
    </w:p>
    <w:p w14:paraId="312438C5" w14:textId="77777777" w:rsidR="008204CC" w:rsidRPr="0048352B" w:rsidRDefault="008204CC" w:rsidP="00EB2894">
      <w:pPr>
        <w:pStyle w:val="BodyTextMain"/>
        <w:rPr>
          <w:sz w:val="20"/>
          <w:lang w:val="en-GB"/>
        </w:rPr>
      </w:pPr>
    </w:p>
    <w:p w14:paraId="6FF3E9AB" w14:textId="6D051BDC" w:rsidR="008204CC" w:rsidRPr="00840DCE" w:rsidRDefault="008204CC" w:rsidP="00EB2894">
      <w:pPr>
        <w:pStyle w:val="BodyTextMain"/>
        <w:rPr>
          <w:spacing w:val="-2"/>
          <w:lang w:val="en-GB"/>
        </w:rPr>
      </w:pPr>
      <w:r w:rsidRPr="00840DCE">
        <w:rPr>
          <w:spacing w:val="-2"/>
          <w:lang w:val="en-GB"/>
        </w:rPr>
        <w:t>The World Health Organization (WHO) and the International Agency for Research on Cancer (IARC) classified exposure to RF waves as being “possibly carcinogenic.” In 2001, the WHO and the IARC reported an increased risk of brain tumours in people who used cellphones more often.</w:t>
      </w:r>
      <w:r w:rsidRPr="00840DCE">
        <w:rPr>
          <w:rStyle w:val="EndnoteReference"/>
          <w:spacing w:val="-2"/>
          <w:lang w:val="en-GB"/>
        </w:rPr>
        <w:endnoteReference w:id="9"/>
      </w:r>
      <w:r w:rsidRPr="00840DCE">
        <w:rPr>
          <w:spacing w:val="-2"/>
          <w:lang w:val="en-GB"/>
        </w:rPr>
        <w:t xml:space="preserve"> Although these researchers failed to find a consistent trend between the usage of cellphones and an increased health risk, the </w:t>
      </w:r>
      <w:r w:rsidR="001037DB" w:rsidRPr="00840DCE">
        <w:rPr>
          <w:spacing w:val="-2"/>
          <w:lang w:val="en-GB"/>
        </w:rPr>
        <w:t xml:space="preserve">risk of brain tumours </w:t>
      </w:r>
      <w:r w:rsidRPr="00840DCE">
        <w:rPr>
          <w:spacing w:val="-2"/>
          <w:lang w:val="en-GB"/>
        </w:rPr>
        <w:t>raised concerns for the public.</w:t>
      </w:r>
      <w:r w:rsidRPr="00840DCE">
        <w:rPr>
          <w:rStyle w:val="EndnoteReference"/>
          <w:spacing w:val="-2"/>
          <w:lang w:val="en-GB"/>
        </w:rPr>
        <w:endnoteReference w:id="10"/>
      </w:r>
      <w:r w:rsidRPr="00840DCE">
        <w:rPr>
          <w:spacing w:val="-2"/>
          <w:vertAlign w:val="superscript"/>
          <w:lang w:val="en-GB"/>
        </w:rPr>
        <w:t xml:space="preserve"> </w:t>
      </w:r>
      <w:r w:rsidRPr="00840DCE">
        <w:rPr>
          <w:spacing w:val="-2"/>
          <w:lang w:val="en-GB"/>
        </w:rPr>
        <w:t>Furthermore, RF waves could cause more damage to children than adults. The major reason for children’s greater vulnerability lay in the structure of children’s brains</w:t>
      </w:r>
      <w:r w:rsidR="001037DB" w:rsidRPr="00840DCE">
        <w:rPr>
          <w:spacing w:val="-2"/>
          <w:lang w:val="en-GB"/>
        </w:rPr>
        <w:t xml:space="preserve">: </w:t>
      </w:r>
      <w:r w:rsidRPr="00840DCE">
        <w:rPr>
          <w:spacing w:val="-2"/>
          <w:lang w:val="en-GB"/>
        </w:rPr>
        <w:t>compared with adults’ brains, children’s brains were smaller and more absorbent because their skulls were thinner. For example, given the same amount of exposure, the brain of a 10-year-old child could absorb two times more RF waves</w:t>
      </w:r>
      <w:r w:rsidR="001037DB" w:rsidRPr="00840DCE">
        <w:rPr>
          <w:spacing w:val="-2"/>
          <w:lang w:val="en-GB"/>
        </w:rPr>
        <w:t xml:space="preserve"> than an adult brain</w:t>
      </w:r>
      <w:r w:rsidRPr="00840DCE">
        <w:rPr>
          <w:spacing w:val="-2"/>
          <w:lang w:val="en-GB"/>
        </w:rPr>
        <w:t>.</w:t>
      </w:r>
      <w:r w:rsidRPr="00840DCE">
        <w:rPr>
          <w:rStyle w:val="EndnoteReference"/>
          <w:spacing w:val="-2"/>
          <w:lang w:val="en-GB"/>
        </w:rPr>
        <w:endnoteReference w:id="11"/>
      </w:r>
      <w:r w:rsidRPr="00840DCE">
        <w:rPr>
          <w:spacing w:val="-2"/>
          <w:lang w:val="en-GB"/>
        </w:rPr>
        <w:t xml:space="preserve"> To address the public’s increasing concerns, the WHO made research on the long-term effects of children’s exposure to RF waves a high priority.</w:t>
      </w:r>
      <w:r w:rsidRPr="00840DCE">
        <w:rPr>
          <w:rStyle w:val="EndnoteReference"/>
          <w:spacing w:val="-2"/>
          <w:lang w:val="en-GB"/>
        </w:rPr>
        <w:endnoteReference w:id="12"/>
      </w:r>
      <w:r w:rsidRPr="00840DCE">
        <w:rPr>
          <w:spacing w:val="-2"/>
          <w:vertAlign w:val="superscript"/>
          <w:lang w:val="en-GB"/>
        </w:rPr>
        <w:t xml:space="preserve"> </w:t>
      </w:r>
      <w:r w:rsidRPr="00840DCE">
        <w:rPr>
          <w:spacing w:val="-2"/>
          <w:lang w:val="en-GB"/>
        </w:rPr>
        <w:t>In 2015, the House of Commons’ Standing Committee on Health called for more research by the federal government and research institutions to examine the effects of radiation on children.</w:t>
      </w:r>
      <w:r w:rsidRPr="00840DCE">
        <w:rPr>
          <w:rStyle w:val="EndnoteReference"/>
          <w:spacing w:val="-2"/>
          <w:lang w:val="en-GB"/>
        </w:rPr>
        <w:endnoteReference w:id="13"/>
      </w:r>
    </w:p>
    <w:p w14:paraId="33508A28" w14:textId="77777777" w:rsidR="008204CC" w:rsidRPr="00840DCE" w:rsidRDefault="008204CC" w:rsidP="00EB2894">
      <w:pPr>
        <w:pStyle w:val="BodyTextMain"/>
        <w:rPr>
          <w:rFonts w:eastAsiaTheme="minorEastAsia"/>
          <w:spacing w:val="-2"/>
          <w:sz w:val="20"/>
          <w:lang w:val="en-GB"/>
        </w:rPr>
      </w:pPr>
    </w:p>
    <w:p w14:paraId="33D0FD12" w14:textId="77777777" w:rsidR="008204CC" w:rsidRPr="0048352B" w:rsidRDefault="008204CC" w:rsidP="00EB2894">
      <w:pPr>
        <w:pStyle w:val="BodyTextMain"/>
        <w:rPr>
          <w:rFonts w:eastAsiaTheme="minorEastAsia"/>
          <w:sz w:val="20"/>
          <w:lang w:val="en-GB"/>
        </w:rPr>
      </w:pPr>
    </w:p>
    <w:p w14:paraId="7B584851" w14:textId="77777777" w:rsidR="008204CC" w:rsidRPr="0048352B" w:rsidRDefault="008204CC" w:rsidP="00EB2894">
      <w:pPr>
        <w:pStyle w:val="Casehead2"/>
        <w:rPr>
          <w:rFonts w:eastAsiaTheme="minorEastAsia"/>
          <w:lang w:val="en-GB"/>
        </w:rPr>
      </w:pPr>
      <w:r w:rsidRPr="0048352B">
        <w:rPr>
          <w:rFonts w:eastAsiaTheme="minorEastAsia"/>
          <w:lang w:val="en-GB"/>
        </w:rPr>
        <w:t>Regulations on Telecommunication Antenna Structures</w:t>
      </w:r>
    </w:p>
    <w:p w14:paraId="73895B86" w14:textId="77777777" w:rsidR="008204CC" w:rsidRPr="0048352B" w:rsidRDefault="008204CC" w:rsidP="00EB2894">
      <w:pPr>
        <w:pStyle w:val="BodyTextMain"/>
        <w:rPr>
          <w:rFonts w:eastAsiaTheme="minorEastAsia"/>
          <w:sz w:val="20"/>
          <w:lang w:val="en-GB"/>
        </w:rPr>
      </w:pPr>
    </w:p>
    <w:p w14:paraId="04DB4DBB" w14:textId="4EF09AAE" w:rsidR="008204CC" w:rsidRPr="0048352B" w:rsidRDefault="001037DB" w:rsidP="00EB2894">
      <w:pPr>
        <w:pStyle w:val="BodyTextMain"/>
        <w:rPr>
          <w:rFonts w:eastAsiaTheme="minorEastAsia"/>
          <w:lang w:val="en-GB"/>
        </w:rPr>
      </w:pPr>
      <w:r>
        <w:rPr>
          <w:rFonts w:eastAsiaTheme="minorEastAsia"/>
          <w:lang w:val="en-GB"/>
        </w:rPr>
        <w:t>Various</w:t>
      </w:r>
      <w:r w:rsidR="008204CC" w:rsidRPr="0048352B">
        <w:rPr>
          <w:rFonts w:eastAsiaTheme="minorEastAsia"/>
          <w:lang w:val="en-GB"/>
        </w:rPr>
        <w:t xml:space="preserve"> protocols from Health Canada, Industry Canada, the provincial governments, and the municipality regulated the placement of cellphone towers. The generally accepted requirements were documented in Safety Code 6 (SC6), which was issued by Health Canada to protect the public. SC6 regulated the maximum level of human exposure to RF fields, but allowed some flexibility for companies. For example, SC6 suggested that “in a field where technology is advancing rapidly and where unexpected and unique exposure scenarios may occur, this code cannot cover all possible situations.”</w:t>
      </w:r>
      <w:r w:rsidR="008204CC" w:rsidRPr="0048352B">
        <w:rPr>
          <w:rStyle w:val="EndnoteReference"/>
          <w:rFonts w:eastAsiaTheme="minorEastAsia"/>
          <w:lang w:val="en-GB"/>
        </w:rPr>
        <w:endnoteReference w:id="14"/>
      </w:r>
    </w:p>
    <w:p w14:paraId="54344145" w14:textId="77777777" w:rsidR="008204CC" w:rsidRPr="0048352B" w:rsidRDefault="008204CC" w:rsidP="00EB2894">
      <w:pPr>
        <w:pStyle w:val="BodyTextMain"/>
        <w:rPr>
          <w:rFonts w:eastAsiaTheme="minorEastAsia"/>
          <w:sz w:val="20"/>
          <w:lang w:val="en-GB"/>
        </w:rPr>
      </w:pPr>
    </w:p>
    <w:p w14:paraId="6C41AD9D" w14:textId="39872B3E" w:rsidR="008204CC" w:rsidRPr="0048352B" w:rsidRDefault="008204CC" w:rsidP="00EB2894">
      <w:pPr>
        <w:pStyle w:val="BodyTextMain"/>
        <w:rPr>
          <w:rFonts w:eastAsiaTheme="minorEastAsia"/>
          <w:lang w:val="en-GB"/>
        </w:rPr>
      </w:pPr>
      <w:r w:rsidRPr="0048352B">
        <w:rPr>
          <w:rFonts w:eastAsiaTheme="minorEastAsia"/>
          <w:lang w:val="en-GB"/>
        </w:rPr>
        <w:t>In 2014, the City of Calgary also released the Protocols</w:t>
      </w:r>
      <w:r w:rsidR="001037DB">
        <w:rPr>
          <w:rFonts w:eastAsiaTheme="minorEastAsia"/>
          <w:lang w:val="en-GB"/>
        </w:rPr>
        <w:t>, which</w:t>
      </w:r>
      <w:r w:rsidRPr="0048352B">
        <w:rPr>
          <w:rFonts w:eastAsiaTheme="minorEastAsia"/>
          <w:lang w:val="en-GB"/>
        </w:rPr>
        <w:t xml:space="preserve"> proposed guidelines for the minimum distance between a cellphone tower and any residential development (see Exhibit 2). In particular, the Protocols categorized locations within 100 metres of the nearest portion of a school building or the nearest classroom as “discouraged locations.”</w:t>
      </w:r>
      <w:r w:rsidRPr="0048352B">
        <w:rPr>
          <w:rStyle w:val="EndnoteReference"/>
          <w:rFonts w:eastAsiaTheme="minorEastAsia"/>
          <w:lang w:val="en-GB"/>
        </w:rPr>
        <w:endnoteReference w:id="15"/>
      </w:r>
      <w:r w:rsidRPr="0048352B">
        <w:rPr>
          <w:rFonts w:eastAsiaTheme="minorEastAsia"/>
          <w:lang w:val="en-GB"/>
        </w:rPr>
        <w:t xml:space="preserve"> </w:t>
      </w:r>
    </w:p>
    <w:p w14:paraId="73B8D120" w14:textId="77777777" w:rsidR="008204CC" w:rsidRPr="0048352B" w:rsidRDefault="008204CC" w:rsidP="00EB2894">
      <w:pPr>
        <w:pStyle w:val="BodyTextMain"/>
        <w:rPr>
          <w:rFonts w:eastAsiaTheme="minorEastAsia"/>
          <w:sz w:val="20"/>
          <w:lang w:val="en-GB"/>
        </w:rPr>
      </w:pPr>
    </w:p>
    <w:p w14:paraId="2EAE4018" w14:textId="68A50720" w:rsidR="008204CC" w:rsidRPr="0048352B" w:rsidRDefault="008204CC" w:rsidP="00EB2894">
      <w:pPr>
        <w:pStyle w:val="BodyTextMain"/>
        <w:rPr>
          <w:rFonts w:eastAsiaTheme="minorEastAsia"/>
          <w:spacing w:val="-2"/>
          <w:lang w:val="en-GB"/>
        </w:rPr>
      </w:pPr>
      <w:r w:rsidRPr="0048352B">
        <w:rPr>
          <w:rFonts w:eastAsiaTheme="minorEastAsia"/>
          <w:spacing w:val="-2"/>
          <w:lang w:val="en-GB"/>
        </w:rPr>
        <w:t>The procedure to implement such a protocol had its limitations. According to the Protocols, the City of Calgary would issue a letter showing its attitude of either support or non-support after evaluating a proposal for a telecommunication antenna structure. However, even if the City of Calgary issued a non-support letter when the structure violated the Protocols, it could not prevent a proponent from receiving permission from Industry Canada to install the structure. As clearly acknowledged by the Protocols, the City of Calgary “is not the approving authority for telecommunication antenna structures” (cell tower) submissions.</w:t>
      </w:r>
      <w:r w:rsidRPr="0048352B">
        <w:rPr>
          <w:rStyle w:val="EndnoteReference"/>
          <w:rFonts w:eastAsiaTheme="minorEastAsia"/>
          <w:spacing w:val="-2"/>
          <w:lang w:val="en-GB"/>
        </w:rPr>
        <w:endnoteReference w:id="16"/>
      </w:r>
    </w:p>
    <w:p w14:paraId="6DDDAD76" w14:textId="1192B282" w:rsidR="008204CC" w:rsidRPr="0048352B" w:rsidRDefault="008204CC" w:rsidP="00EB2894">
      <w:pPr>
        <w:pStyle w:val="BodyTextMain"/>
        <w:rPr>
          <w:lang w:val="en-GB"/>
        </w:rPr>
      </w:pPr>
      <w:r w:rsidRPr="0048352B">
        <w:rPr>
          <w:lang w:val="en-GB"/>
        </w:rPr>
        <w:lastRenderedPageBreak/>
        <w:t xml:space="preserve">In 2013, Noor Javed, a reporter with the </w:t>
      </w:r>
      <w:r w:rsidRPr="0048352B">
        <w:rPr>
          <w:i/>
          <w:lang w:val="en-GB"/>
        </w:rPr>
        <w:t>Toronto Star</w:t>
      </w:r>
      <w:r w:rsidRPr="0048352B">
        <w:rPr>
          <w:lang w:val="en-GB"/>
        </w:rPr>
        <w:t>, said that nobody in the neighbourhood wanted the cellphone towers, but “local governments have long been frustrated that they have almost no say in where a cellphone tower can go or not go, since approval fell under the jurisdiction of Industry Canada.”</w:t>
      </w:r>
      <w:r w:rsidRPr="0048352B">
        <w:rPr>
          <w:rStyle w:val="EndnoteReference"/>
          <w:lang w:val="en-GB"/>
        </w:rPr>
        <w:endnoteReference w:id="17"/>
      </w:r>
      <w:r w:rsidRPr="0048352B">
        <w:rPr>
          <w:vertAlign w:val="superscript"/>
          <w:lang w:val="en-GB"/>
        </w:rPr>
        <w:t xml:space="preserve"> </w:t>
      </w:r>
    </w:p>
    <w:p w14:paraId="5FB1B7C7" w14:textId="77777777" w:rsidR="008204CC" w:rsidRPr="0048352B" w:rsidRDefault="008204CC" w:rsidP="00EB2894">
      <w:pPr>
        <w:pStyle w:val="BodyTextMain"/>
        <w:rPr>
          <w:rFonts w:eastAsiaTheme="minorEastAsia"/>
          <w:sz w:val="20"/>
          <w:lang w:val="en-GB"/>
        </w:rPr>
      </w:pPr>
    </w:p>
    <w:p w14:paraId="2C5EA297" w14:textId="77777777" w:rsidR="008204CC" w:rsidRPr="0048352B" w:rsidRDefault="008204CC" w:rsidP="00EB2894">
      <w:pPr>
        <w:pStyle w:val="BodyTextMain"/>
        <w:rPr>
          <w:rFonts w:eastAsiaTheme="minorEastAsia"/>
          <w:sz w:val="20"/>
          <w:lang w:val="en-GB"/>
        </w:rPr>
      </w:pPr>
    </w:p>
    <w:p w14:paraId="6C54726A" w14:textId="402655C7" w:rsidR="008204CC" w:rsidRPr="0048352B" w:rsidRDefault="008204CC" w:rsidP="00B42A58">
      <w:pPr>
        <w:pStyle w:val="Casehead1"/>
        <w:rPr>
          <w:rFonts w:eastAsiaTheme="minorEastAsia"/>
          <w:lang w:val="en-GB"/>
        </w:rPr>
      </w:pPr>
      <w:r w:rsidRPr="0048352B">
        <w:rPr>
          <w:rFonts w:eastAsiaTheme="minorEastAsia"/>
          <w:lang w:val="en-GB"/>
        </w:rPr>
        <w:t>THE SITUATION</w:t>
      </w:r>
    </w:p>
    <w:p w14:paraId="3FE43093" w14:textId="77777777" w:rsidR="008204CC" w:rsidRPr="0048352B" w:rsidRDefault="008204CC" w:rsidP="00EB2894">
      <w:pPr>
        <w:pStyle w:val="BodyTextMain"/>
        <w:rPr>
          <w:rFonts w:eastAsiaTheme="minorEastAsia"/>
          <w:sz w:val="20"/>
          <w:lang w:val="en-GB"/>
        </w:rPr>
      </w:pPr>
    </w:p>
    <w:p w14:paraId="7EB631BC" w14:textId="77777777" w:rsidR="008204CC" w:rsidRPr="0048352B" w:rsidRDefault="008204CC" w:rsidP="00B42A58">
      <w:pPr>
        <w:pStyle w:val="Casehead2"/>
        <w:rPr>
          <w:rFonts w:eastAsiaTheme="minorEastAsia"/>
          <w:lang w:val="en-GB"/>
        </w:rPr>
      </w:pPr>
      <w:r w:rsidRPr="0048352B">
        <w:rPr>
          <w:rFonts w:eastAsiaTheme="minorEastAsia"/>
          <w:lang w:val="en-GB"/>
        </w:rPr>
        <w:t>The Choice of Location</w:t>
      </w:r>
    </w:p>
    <w:p w14:paraId="7C39C200" w14:textId="77777777" w:rsidR="008204CC" w:rsidRPr="0048352B" w:rsidRDefault="008204CC" w:rsidP="00EB2894">
      <w:pPr>
        <w:pStyle w:val="BodyTextMain"/>
        <w:rPr>
          <w:sz w:val="20"/>
          <w:lang w:val="en-GB"/>
        </w:rPr>
      </w:pPr>
    </w:p>
    <w:p w14:paraId="2E9EE26C" w14:textId="524036CB" w:rsidR="008204CC" w:rsidRPr="0048352B" w:rsidRDefault="008204CC" w:rsidP="00EB2894">
      <w:pPr>
        <w:pStyle w:val="BodyTextMain"/>
        <w:rPr>
          <w:lang w:val="en-GB"/>
        </w:rPr>
      </w:pPr>
      <w:r w:rsidRPr="0048352B">
        <w:rPr>
          <w:lang w:val="en-GB"/>
        </w:rPr>
        <w:t>In Canada, residents had the right to protest against cellphone towers when they had concerns over the installation of the towers within their communities. When TELUS first initiated its new cellphone tower project and chose a location in a community near the university, residents in that community expressed their concerns over the tower’s appearance and objected to the installation in a consultation meeting. Bart Becker, vice-president of Facilities at the University of Calgary, said</w:t>
      </w:r>
      <w:r>
        <w:rPr>
          <w:lang w:val="en-GB"/>
        </w:rPr>
        <w:t>,</w:t>
      </w:r>
      <w:r w:rsidRPr="0048352B">
        <w:rPr>
          <w:lang w:val="en-GB"/>
        </w:rPr>
        <w:t xml:space="preserve"> “There were a number of aesthetic issues . . . as it [the tower]’s very close to family housing units,” referring to the University of Calgary’s residential accommodations for students and faculty members with families.</w:t>
      </w:r>
      <w:r w:rsidRPr="0048352B">
        <w:rPr>
          <w:rStyle w:val="EndnoteReference"/>
          <w:lang w:val="en-GB"/>
        </w:rPr>
        <w:endnoteReference w:id="18"/>
      </w:r>
    </w:p>
    <w:p w14:paraId="4ED46885" w14:textId="77777777" w:rsidR="008204CC" w:rsidRPr="0048352B" w:rsidRDefault="008204CC" w:rsidP="00EB2894">
      <w:pPr>
        <w:pStyle w:val="BodyTextMain"/>
        <w:rPr>
          <w:sz w:val="20"/>
          <w:lang w:val="en-GB"/>
        </w:rPr>
      </w:pPr>
    </w:p>
    <w:p w14:paraId="20611D15" w14:textId="377BD898" w:rsidR="008204CC" w:rsidRPr="005F50E4" w:rsidRDefault="008204CC" w:rsidP="00EB2894">
      <w:pPr>
        <w:pStyle w:val="BodyTextMain"/>
        <w:rPr>
          <w:lang w:val="en-GB"/>
        </w:rPr>
      </w:pPr>
      <w:r w:rsidRPr="005F50E4">
        <w:rPr>
          <w:lang w:val="en-GB"/>
        </w:rPr>
        <w:t>After reviewing potential site locations, TELUS chose a new location at the University of Calgary that was 90 metres from the West Campus Child Care Centre</w:t>
      </w:r>
      <w:r w:rsidR="00622CCA">
        <w:rPr>
          <w:lang w:val="en-GB"/>
        </w:rPr>
        <w:t xml:space="preserve"> despite protests from concerned parents.</w:t>
      </w:r>
      <w:r w:rsidRPr="005F50E4">
        <w:rPr>
          <w:lang w:val="en-GB"/>
        </w:rPr>
        <w:t xml:space="preserve"> According to TELUS, the current location had two major advantages for the establishment of cellphone towers. First, the population density was very high in that area. Second, students and faculty members had a great need for high-quality signals. As indicated by TELUS’s spokeswoman, Liz Sauve, “It’s critical that we relocate it [the tower] to ensure that students, staff and visitors to the campus have wireless service. . . . They need to stay connected, not only to study and make phone calls home, but also in the case of an emergency. . . . </w:t>
      </w:r>
      <w:r w:rsidRPr="005F50E4">
        <w:rPr>
          <w:rFonts w:eastAsiaTheme="minorEastAsia"/>
          <w:lang w:val="en-GB"/>
        </w:rPr>
        <w:t>The current location was the only best option</w:t>
      </w:r>
      <w:r w:rsidRPr="005F50E4">
        <w:rPr>
          <w:lang w:val="en-GB"/>
        </w:rPr>
        <w:t>.” Sauve further announced, “</w:t>
      </w:r>
      <w:r w:rsidRPr="005F50E4">
        <w:rPr>
          <w:rFonts w:eastAsiaTheme="minorEastAsia"/>
          <w:lang w:val="en-GB"/>
        </w:rPr>
        <w:t>Our sites come hundreds, if not thousands, of times below what’s deemed safe by Health Canada . . . because they are low-powered.”</w:t>
      </w:r>
      <w:r w:rsidRPr="005F50E4">
        <w:rPr>
          <w:rStyle w:val="EndnoteReference"/>
          <w:lang w:val="en-GB"/>
        </w:rPr>
        <w:endnoteReference w:id="19"/>
      </w:r>
      <w:r w:rsidRPr="005F50E4">
        <w:rPr>
          <w:vertAlign w:val="superscript"/>
          <w:lang w:val="en-GB"/>
        </w:rPr>
        <w:t xml:space="preserve"> </w:t>
      </w:r>
    </w:p>
    <w:p w14:paraId="48A56BEC" w14:textId="33C27C6D" w:rsidR="008204CC" w:rsidRDefault="008204CC" w:rsidP="00EB2894">
      <w:pPr>
        <w:pStyle w:val="BodyTextMain"/>
        <w:rPr>
          <w:sz w:val="20"/>
          <w:lang w:val="en-GB"/>
        </w:rPr>
      </w:pPr>
    </w:p>
    <w:p w14:paraId="6C94B8A7" w14:textId="77777777" w:rsidR="008204CC" w:rsidRPr="0048352B" w:rsidRDefault="008204CC" w:rsidP="00EB2894">
      <w:pPr>
        <w:pStyle w:val="BodyTextMain"/>
        <w:rPr>
          <w:sz w:val="20"/>
          <w:lang w:val="en-GB"/>
        </w:rPr>
      </w:pPr>
    </w:p>
    <w:p w14:paraId="0D2A068B" w14:textId="77777777" w:rsidR="008204CC" w:rsidRPr="0048352B" w:rsidRDefault="008204CC" w:rsidP="00B42A58">
      <w:pPr>
        <w:pStyle w:val="Casehead1"/>
        <w:rPr>
          <w:rFonts w:eastAsiaTheme="minorEastAsia"/>
          <w:lang w:val="en-GB"/>
        </w:rPr>
      </w:pPr>
      <w:r w:rsidRPr="0048352B">
        <w:rPr>
          <w:rFonts w:eastAsiaTheme="minorEastAsia"/>
          <w:lang w:val="en-GB"/>
        </w:rPr>
        <w:t>Parents’ Concerns</w:t>
      </w:r>
    </w:p>
    <w:p w14:paraId="207CC446" w14:textId="77777777" w:rsidR="008204CC" w:rsidRPr="0048352B" w:rsidRDefault="008204CC" w:rsidP="00EB2894">
      <w:pPr>
        <w:pStyle w:val="BodyTextMain"/>
        <w:rPr>
          <w:rFonts w:eastAsiaTheme="minorEastAsia"/>
          <w:sz w:val="20"/>
          <w:lang w:val="en-GB"/>
        </w:rPr>
      </w:pPr>
    </w:p>
    <w:p w14:paraId="2049B2C1" w14:textId="60B35176" w:rsidR="008204CC" w:rsidRPr="0048352B" w:rsidRDefault="008204CC" w:rsidP="00EB2894">
      <w:pPr>
        <w:pStyle w:val="BodyTextMain"/>
        <w:rPr>
          <w:rFonts w:eastAsiaTheme="minorEastAsia"/>
          <w:lang w:val="en-GB"/>
        </w:rPr>
      </w:pPr>
      <w:r w:rsidRPr="0048352B">
        <w:rPr>
          <w:rFonts w:eastAsiaTheme="minorEastAsia"/>
          <w:lang w:val="en-GB"/>
        </w:rPr>
        <w:t xml:space="preserve">The location of the tower was 90 metres from the </w:t>
      </w:r>
      <w:r>
        <w:rPr>
          <w:rFonts w:eastAsiaTheme="minorEastAsia"/>
          <w:lang w:val="en-GB"/>
        </w:rPr>
        <w:t xml:space="preserve">West Campus </w:t>
      </w:r>
      <w:r w:rsidRPr="0048352B">
        <w:rPr>
          <w:rFonts w:eastAsiaTheme="minorEastAsia"/>
          <w:lang w:val="en-GB"/>
        </w:rPr>
        <w:t>Child Care Centre, and the centre’s nearest playground was only 84 metres away.</w:t>
      </w:r>
      <w:r w:rsidRPr="0048352B">
        <w:rPr>
          <w:rStyle w:val="EndnoteReference"/>
          <w:rFonts w:eastAsiaTheme="minorEastAsia"/>
          <w:lang w:val="en-GB"/>
        </w:rPr>
        <w:endnoteReference w:id="20"/>
      </w:r>
      <w:r w:rsidRPr="0048352B">
        <w:rPr>
          <w:rFonts w:eastAsiaTheme="minorEastAsia"/>
          <w:vertAlign w:val="superscript"/>
          <w:lang w:val="en-GB"/>
        </w:rPr>
        <w:t xml:space="preserve"> </w:t>
      </w:r>
      <w:r w:rsidR="00622CCA">
        <w:rPr>
          <w:rFonts w:eastAsiaTheme="minorEastAsia"/>
          <w:lang w:val="en-GB"/>
        </w:rPr>
        <w:t>T</w:t>
      </w:r>
      <w:r w:rsidRPr="0048352B">
        <w:rPr>
          <w:rFonts w:eastAsiaTheme="minorEastAsia"/>
          <w:lang w:val="en-GB"/>
        </w:rPr>
        <w:t xml:space="preserve">he parents of children in the centre </w:t>
      </w:r>
      <w:r w:rsidR="00622CCA">
        <w:rPr>
          <w:rFonts w:eastAsiaTheme="minorEastAsia"/>
          <w:lang w:val="en-GB"/>
        </w:rPr>
        <w:t>included</w:t>
      </w:r>
      <w:r w:rsidRPr="0048352B">
        <w:rPr>
          <w:rFonts w:eastAsiaTheme="minorEastAsia"/>
          <w:lang w:val="en-GB"/>
        </w:rPr>
        <w:t xml:space="preserve"> professors and students </w:t>
      </w:r>
      <w:r w:rsidR="00622CCA">
        <w:rPr>
          <w:rFonts w:eastAsiaTheme="minorEastAsia"/>
          <w:lang w:val="en-GB"/>
        </w:rPr>
        <w:t xml:space="preserve">and students along with </w:t>
      </w:r>
      <w:r w:rsidRPr="0048352B">
        <w:rPr>
          <w:rFonts w:eastAsiaTheme="minorEastAsia"/>
          <w:lang w:val="en-GB"/>
        </w:rPr>
        <w:t>medical doctors.</w:t>
      </w:r>
      <w:r w:rsidR="00622CCA" w:rsidRPr="0048352B">
        <w:rPr>
          <w:rStyle w:val="EndnoteReference"/>
          <w:rFonts w:eastAsiaTheme="minorEastAsia"/>
          <w:lang w:val="en-GB"/>
        </w:rPr>
        <w:endnoteReference w:id="21"/>
      </w:r>
    </w:p>
    <w:p w14:paraId="6D827097" w14:textId="77777777" w:rsidR="008204CC" w:rsidRPr="0048352B" w:rsidRDefault="008204CC" w:rsidP="00EB2894">
      <w:pPr>
        <w:pStyle w:val="BodyTextMain"/>
        <w:rPr>
          <w:rFonts w:eastAsiaTheme="minorEastAsia"/>
          <w:sz w:val="20"/>
          <w:lang w:val="en-GB"/>
        </w:rPr>
      </w:pPr>
    </w:p>
    <w:p w14:paraId="465B48B1" w14:textId="115D2E59" w:rsidR="008204CC" w:rsidRPr="0048352B" w:rsidRDefault="008204CC" w:rsidP="00EB2894">
      <w:pPr>
        <w:pStyle w:val="BodyTextMain"/>
        <w:rPr>
          <w:spacing w:val="-2"/>
          <w:lang w:val="en-GB"/>
        </w:rPr>
      </w:pPr>
      <w:r w:rsidRPr="0048352B">
        <w:rPr>
          <w:rFonts w:eastAsiaTheme="minorEastAsia"/>
          <w:spacing w:val="-2"/>
          <w:lang w:val="en-GB"/>
        </w:rPr>
        <w:t xml:space="preserve">After they received notice of the activation of the cellphone tower, the parents had expressed concern. They had not </w:t>
      </w:r>
      <w:r w:rsidR="00622CCA">
        <w:rPr>
          <w:rFonts w:eastAsiaTheme="minorEastAsia"/>
          <w:spacing w:val="-2"/>
          <w:lang w:val="en-GB"/>
        </w:rPr>
        <w:t>been consulted or notified of the tower</w:t>
      </w:r>
      <w:r w:rsidR="00D50645">
        <w:rPr>
          <w:rFonts w:eastAsiaTheme="minorEastAsia"/>
          <w:spacing w:val="-2"/>
          <w:lang w:val="en-GB"/>
        </w:rPr>
        <w:t xml:space="preserve"> prior to its construction</w:t>
      </w:r>
      <w:r w:rsidRPr="0048352B">
        <w:rPr>
          <w:rFonts w:eastAsiaTheme="minorEastAsia"/>
          <w:spacing w:val="-2"/>
          <w:lang w:val="en-GB"/>
        </w:rPr>
        <w:t xml:space="preserve">. They organized parents’ meetings </w:t>
      </w:r>
      <w:r w:rsidR="00522DCE">
        <w:rPr>
          <w:rFonts w:eastAsiaTheme="minorEastAsia"/>
          <w:spacing w:val="-2"/>
          <w:lang w:val="en-GB"/>
        </w:rPr>
        <w:t>at</w:t>
      </w:r>
      <w:r w:rsidR="00522DCE" w:rsidRPr="0048352B">
        <w:rPr>
          <w:rFonts w:eastAsiaTheme="minorEastAsia"/>
          <w:spacing w:val="-2"/>
          <w:lang w:val="en-GB"/>
        </w:rPr>
        <w:t xml:space="preserve"> </w:t>
      </w:r>
      <w:r w:rsidRPr="0048352B">
        <w:rPr>
          <w:rFonts w:eastAsiaTheme="minorEastAsia"/>
          <w:spacing w:val="-2"/>
          <w:lang w:val="en-GB"/>
        </w:rPr>
        <w:t xml:space="preserve">the </w:t>
      </w:r>
      <w:r>
        <w:rPr>
          <w:rFonts w:eastAsiaTheme="minorEastAsia"/>
          <w:spacing w:val="-2"/>
          <w:lang w:val="en-GB"/>
        </w:rPr>
        <w:t>c</w:t>
      </w:r>
      <w:r w:rsidRPr="0048352B">
        <w:rPr>
          <w:rFonts w:eastAsiaTheme="minorEastAsia"/>
          <w:spacing w:val="-2"/>
          <w:lang w:val="en-GB"/>
        </w:rPr>
        <w:t xml:space="preserve">hild </w:t>
      </w:r>
      <w:r>
        <w:rPr>
          <w:rFonts w:eastAsiaTheme="minorEastAsia"/>
          <w:spacing w:val="-2"/>
          <w:lang w:val="en-GB"/>
        </w:rPr>
        <w:t>c</w:t>
      </w:r>
      <w:r w:rsidRPr="0048352B">
        <w:rPr>
          <w:rFonts w:eastAsiaTheme="minorEastAsia"/>
          <w:spacing w:val="-2"/>
          <w:lang w:val="en-GB"/>
        </w:rPr>
        <w:t xml:space="preserve">are </w:t>
      </w:r>
      <w:r>
        <w:rPr>
          <w:rFonts w:eastAsiaTheme="minorEastAsia"/>
          <w:spacing w:val="-2"/>
          <w:lang w:val="en-GB"/>
        </w:rPr>
        <w:t>c</w:t>
      </w:r>
      <w:r w:rsidRPr="0048352B">
        <w:rPr>
          <w:rFonts w:eastAsiaTheme="minorEastAsia"/>
          <w:spacing w:val="-2"/>
          <w:lang w:val="en-GB"/>
        </w:rPr>
        <w:t>entre and drafted pleading letters, calling for attention from the City, the university, and the media. In the</w:t>
      </w:r>
      <w:r w:rsidR="00D50645">
        <w:rPr>
          <w:rFonts w:eastAsiaTheme="minorEastAsia"/>
          <w:spacing w:val="-2"/>
          <w:lang w:val="en-GB"/>
        </w:rPr>
        <w:t>ir outreach</w:t>
      </w:r>
      <w:r w:rsidRPr="0048352B">
        <w:rPr>
          <w:rFonts w:eastAsiaTheme="minorEastAsia"/>
          <w:spacing w:val="-2"/>
          <w:lang w:val="en-GB"/>
        </w:rPr>
        <w:t xml:space="preserve">, </w:t>
      </w:r>
      <w:r w:rsidR="00D50645">
        <w:rPr>
          <w:rFonts w:eastAsiaTheme="minorEastAsia"/>
          <w:spacing w:val="-2"/>
          <w:lang w:val="en-GB"/>
        </w:rPr>
        <w:t xml:space="preserve">parents </w:t>
      </w:r>
      <w:r w:rsidRPr="0048352B">
        <w:rPr>
          <w:rFonts w:eastAsiaTheme="minorEastAsia"/>
          <w:spacing w:val="-2"/>
          <w:lang w:val="en-GB"/>
        </w:rPr>
        <w:t xml:space="preserve">mentioned that the scientific uncertainty regarding the safety and health issues brought about by cellphone towers was an ethical issue if the tower was placed so closely to </w:t>
      </w:r>
      <w:r>
        <w:rPr>
          <w:rFonts w:eastAsiaTheme="minorEastAsia"/>
          <w:spacing w:val="-2"/>
          <w:lang w:val="en-GB"/>
        </w:rPr>
        <w:t>young</w:t>
      </w:r>
      <w:r w:rsidRPr="0048352B">
        <w:rPr>
          <w:rFonts w:eastAsiaTheme="minorEastAsia"/>
          <w:spacing w:val="-2"/>
          <w:lang w:val="en-GB"/>
        </w:rPr>
        <w:t xml:space="preserve"> children, a group of particularly vulnerable stakeholders.</w:t>
      </w:r>
      <w:r w:rsidR="00D50645">
        <w:rPr>
          <w:rStyle w:val="EndnoteReference"/>
          <w:rFonts w:eastAsiaTheme="minorEastAsia"/>
          <w:spacing w:val="-2"/>
          <w:lang w:val="en-GB"/>
        </w:rPr>
        <w:endnoteReference w:id="22"/>
      </w:r>
    </w:p>
    <w:p w14:paraId="29FA29BD" w14:textId="77777777" w:rsidR="008204CC" w:rsidRPr="0048352B" w:rsidRDefault="008204CC" w:rsidP="00EB2894">
      <w:pPr>
        <w:pStyle w:val="BodyTextMain"/>
        <w:rPr>
          <w:rFonts w:eastAsiaTheme="minorEastAsia"/>
          <w:sz w:val="20"/>
          <w:lang w:val="en-GB"/>
        </w:rPr>
      </w:pPr>
    </w:p>
    <w:p w14:paraId="37007915" w14:textId="28D4F28D" w:rsidR="008204CC" w:rsidRPr="00840DCE" w:rsidRDefault="008204CC" w:rsidP="00EB2894">
      <w:pPr>
        <w:pStyle w:val="BodyTextMain"/>
        <w:rPr>
          <w:rFonts w:eastAsiaTheme="minorEastAsia"/>
          <w:spacing w:val="-4"/>
          <w:lang w:val="en-GB"/>
        </w:rPr>
      </w:pPr>
      <w:r w:rsidRPr="00840DCE">
        <w:rPr>
          <w:rFonts w:eastAsiaTheme="minorEastAsia"/>
          <w:spacing w:val="-4"/>
          <w:lang w:val="en-GB"/>
        </w:rPr>
        <w:t>As listed in the City of Calgary’s Protocols, a public consultation meeting was required only when residential properties were situated within a 300-metre radius of a proposed telecommunication antenna structure. The current location did not meet this requirement; hence, a public consultation meeting was not required.</w:t>
      </w:r>
      <w:r w:rsidRPr="00840DCE">
        <w:rPr>
          <w:rStyle w:val="EndnoteReference"/>
          <w:rFonts w:eastAsiaTheme="minorEastAsia"/>
          <w:spacing w:val="-4"/>
          <w:lang w:val="en-GB"/>
        </w:rPr>
        <w:endnoteReference w:id="23"/>
      </w:r>
    </w:p>
    <w:p w14:paraId="4D9D831A" w14:textId="77777777" w:rsidR="008204CC" w:rsidRPr="00840DCE" w:rsidRDefault="008204CC" w:rsidP="00EB2894">
      <w:pPr>
        <w:pStyle w:val="BodyTextMain"/>
        <w:rPr>
          <w:rFonts w:eastAsiaTheme="minorEastAsia"/>
          <w:spacing w:val="-4"/>
          <w:sz w:val="20"/>
          <w:lang w:val="en-GB"/>
        </w:rPr>
      </w:pPr>
    </w:p>
    <w:p w14:paraId="2831D8BF" w14:textId="07AF791A" w:rsidR="008204CC" w:rsidRPr="00840DCE" w:rsidRDefault="008204CC" w:rsidP="00EB2894">
      <w:pPr>
        <w:pStyle w:val="BodyTextMain"/>
        <w:rPr>
          <w:rFonts w:eastAsiaTheme="minorEastAsia"/>
          <w:spacing w:val="-4"/>
          <w:lang w:val="en-GB"/>
        </w:rPr>
      </w:pPr>
      <w:r w:rsidRPr="00840DCE">
        <w:rPr>
          <w:rFonts w:eastAsiaTheme="minorEastAsia"/>
          <w:spacing w:val="-4"/>
          <w:lang w:val="en-GB"/>
        </w:rPr>
        <w:t>The university’s representatives asserted that the university had made every possible effort to locate the cellphone tower “as far away from the Child Care Centre as possible.”</w:t>
      </w:r>
      <w:r w:rsidRPr="00840DCE">
        <w:rPr>
          <w:rStyle w:val="EndnoteReference"/>
          <w:rFonts w:eastAsiaTheme="minorEastAsia"/>
          <w:spacing w:val="-4"/>
          <w:lang w:val="en-GB"/>
        </w:rPr>
        <w:endnoteReference w:id="24"/>
      </w:r>
      <w:r w:rsidRPr="00840DCE">
        <w:rPr>
          <w:rFonts w:eastAsiaTheme="minorEastAsia"/>
          <w:spacing w:val="-4"/>
          <w:vertAlign w:val="superscript"/>
          <w:lang w:val="en-GB"/>
        </w:rPr>
        <w:t xml:space="preserve"> </w:t>
      </w:r>
      <w:r w:rsidRPr="00840DCE">
        <w:rPr>
          <w:rFonts w:eastAsiaTheme="minorEastAsia"/>
          <w:spacing w:val="-4"/>
          <w:lang w:val="en-GB"/>
        </w:rPr>
        <w:t>Before the establishment of the tower, the University of Calgary had consulted the City and obtained approval for its proposal.</w:t>
      </w:r>
      <w:r w:rsidRPr="00840DCE">
        <w:rPr>
          <w:rStyle w:val="EndnoteReference"/>
          <w:rFonts w:eastAsiaTheme="minorEastAsia"/>
          <w:spacing w:val="-4"/>
          <w:lang w:val="en-GB"/>
        </w:rPr>
        <w:endnoteReference w:id="25"/>
      </w:r>
      <w:r w:rsidRPr="00840DCE">
        <w:rPr>
          <w:rFonts w:eastAsiaTheme="minorEastAsia"/>
          <w:spacing w:val="-4"/>
          <w:vertAlign w:val="superscript"/>
          <w:lang w:val="en-GB"/>
        </w:rPr>
        <w:t xml:space="preserve"> </w:t>
      </w:r>
    </w:p>
    <w:p w14:paraId="2EBB4E0B" w14:textId="77777777" w:rsidR="008204CC" w:rsidRPr="00840DCE" w:rsidRDefault="008204CC" w:rsidP="00EB2894">
      <w:pPr>
        <w:pStyle w:val="BodyTextMain"/>
        <w:rPr>
          <w:rFonts w:eastAsiaTheme="minorEastAsia"/>
          <w:spacing w:val="-4"/>
          <w:sz w:val="20"/>
          <w:lang w:val="en-GB"/>
        </w:rPr>
      </w:pPr>
    </w:p>
    <w:p w14:paraId="1B54E11E" w14:textId="71C59855" w:rsidR="008204CC" w:rsidRPr="00840DCE" w:rsidRDefault="008204CC" w:rsidP="00EB2894">
      <w:pPr>
        <w:pStyle w:val="BodyTextMain"/>
        <w:rPr>
          <w:spacing w:val="-4"/>
          <w:lang w:val="en-GB"/>
        </w:rPr>
      </w:pPr>
      <w:r w:rsidRPr="00840DCE">
        <w:rPr>
          <w:rFonts w:eastAsiaTheme="minorEastAsia"/>
          <w:spacing w:val="-4"/>
          <w:lang w:val="en-GB"/>
        </w:rPr>
        <w:t xml:space="preserve">Many parents, who were well educated and understood the potential risk, were concerned for their children’s health, especially when the tower would emit RF waves 24 hours a day and seven days a week. One mother said, </w:t>
      </w:r>
      <w:r w:rsidRPr="00840DCE">
        <w:rPr>
          <w:rFonts w:eastAsiaTheme="minorEastAsia"/>
          <w:spacing w:val="-4"/>
          <w:lang w:val="en-GB"/>
        </w:rPr>
        <w:lastRenderedPageBreak/>
        <w:t xml:space="preserve">“We don’t have a problem with what it looks like. It’s a tower. We have problems with what it’s doing, potentially, to our children who are right here.” She added, </w:t>
      </w:r>
      <w:r w:rsidRPr="00840DCE">
        <w:rPr>
          <w:spacing w:val="-4"/>
          <w:lang w:val="en-GB"/>
        </w:rPr>
        <w:t>“Even if the tower is legal, it’s not ethical.”</w:t>
      </w:r>
      <w:r w:rsidRPr="00840DCE">
        <w:rPr>
          <w:rStyle w:val="EndnoteReference"/>
          <w:rFonts w:eastAsiaTheme="minorEastAsia"/>
          <w:spacing w:val="-4"/>
          <w:lang w:val="en-GB"/>
        </w:rPr>
        <w:endnoteReference w:id="26"/>
      </w:r>
      <w:r w:rsidRPr="00840DCE">
        <w:rPr>
          <w:rFonts w:eastAsiaTheme="minorEastAsia"/>
          <w:spacing w:val="-4"/>
          <w:lang w:val="en-GB"/>
        </w:rPr>
        <w:t xml:space="preserve"> Another stated, </w:t>
      </w:r>
      <w:r w:rsidRPr="00840DCE">
        <w:rPr>
          <w:spacing w:val="-4"/>
          <w:lang w:val="en-GB"/>
        </w:rPr>
        <w:t>“It is bad public relations. You will have a lot of parents with advanced education pushing back very hard.”</w:t>
      </w:r>
      <w:r w:rsidRPr="00840DCE">
        <w:rPr>
          <w:rStyle w:val="EndnoteReference"/>
          <w:spacing w:val="-4"/>
          <w:lang w:val="en-GB"/>
        </w:rPr>
        <w:endnoteReference w:id="27"/>
      </w:r>
      <w:r w:rsidRPr="00840DCE">
        <w:rPr>
          <w:spacing w:val="-4"/>
          <w:lang w:val="en-GB"/>
        </w:rPr>
        <w:t xml:space="preserve"> In a letter sent to the Canadian Charger, another mother asserted, “If they need to put ‘it in my backyard,’ then at least they could put it further than 84 metres away (the West Campus is mostly empty land).”</w:t>
      </w:r>
      <w:r w:rsidRPr="00840DCE">
        <w:rPr>
          <w:rStyle w:val="EndnoteReference"/>
          <w:spacing w:val="-4"/>
          <w:lang w:val="en-GB"/>
        </w:rPr>
        <w:endnoteReference w:id="28"/>
      </w:r>
    </w:p>
    <w:p w14:paraId="46D5B2E1" w14:textId="77777777" w:rsidR="00B42A58" w:rsidRPr="0048352B" w:rsidRDefault="00B42A58" w:rsidP="00EB2894">
      <w:pPr>
        <w:pStyle w:val="BodyTextMain"/>
        <w:rPr>
          <w:rFonts w:eastAsiaTheme="minorEastAsia"/>
          <w:sz w:val="20"/>
          <w:lang w:val="en-GB"/>
        </w:rPr>
      </w:pPr>
    </w:p>
    <w:p w14:paraId="43E9614A" w14:textId="2174674D" w:rsidR="00B9391A" w:rsidRPr="0048352B" w:rsidRDefault="00EB2894" w:rsidP="00EB2894">
      <w:pPr>
        <w:pStyle w:val="BodyTextMain"/>
        <w:rPr>
          <w:rFonts w:eastAsiaTheme="minorEastAsia"/>
          <w:spacing w:val="-2"/>
          <w:lang w:val="en-GB"/>
        </w:rPr>
      </w:pPr>
      <w:r w:rsidRPr="0048352B">
        <w:rPr>
          <w:rFonts w:eastAsiaTheme="minorEastAsia"/>
          <w:spacing w:val="-2"/>
          <w:lang w:val="en-GB"/>
        </w:rPr>
        <w:t xml:space="preserve">Given the controversy over the placement of the tower, what should TELUS and the University of Calgary do? What choices did TELUS have in this situation? What were the costs and benefits associated with </w:t>
      </w:r>
      <w:r w:rsidR="00384413" w:rsidRPr="0048352B">
        <w:rPr>
          <w:rFonts w:eastAsiaTheme="minorEastAsia"/>
          <w:spacing w:val="-2"/>
          <w:lang w:val="en-GB"/>
        </w:rPr>
        <w:t xml:space="preserve">the </w:t>
      </w:r>
      <w:r w:rsidRPr="0048352B">
        <w:rPr>
          <w:rFonts w:eastAsiaTheme="minorEastAsia"/>
          <w:spacing w:val="-2"/>
          <w:lang w:val="en-GB"/>
        </w:rPr>
        <w:t>different choices? Was the socially responsible way the best way of addressing th</w:t>
      </w:r>
      <w:r w:rsidR="00384413" w:rsidRPr="0048352B">
        <w:rPr>
          <w:rFonts w:eastAsiaTheme="minorEastAsia"/>
          <w:spacing w:val="-2"/>
          <w:lang w:val="en-GB"/>
        </w:rPr>
        <w:t>e</w:t>
      </w:r>
      <w:r w:rsidRPr="0048352B">
        <w:rPr>
          <w:rFonts w:eastAsiaTheme="minorEastAsia"/>
          <w:spacing w:val="-2"/>
          <w:lang w:val="en-GB"/>
        </w:rPr>
        <w:t xml:space="preserve"> situation?</w:t>
      </w:r>
    </w:p>
    <w:p w14:paraId="2F3ECA54" w14:textId="77777777" w:rsidR="00B9391A" w:rsidRPr="0048352B" w:rsidRDefault="00B9391A">
      <w:pPr>
        <w:spacing w:after="200" w:line="276" w:lineRule="auto"/>
        <w:rPr>
          <w:rFonts w:eastAsiaTheme="minorEastAsia"/>
          <w:spacing w:val="-2"/>
          <w:sz w:val="22"/>
          <w:szCs w:val="22"/>
          <w:lang w:val="en-GB"/>
        </w:rPr>
      </w:pPr>
      <w:r w:rsidRPr="0048352B">
        <w:rPr>
          <w:rFonts w:eastAsiaTheme="minorEastAsia"/>
          <w:spacing w:val="-2"/>
          <w:lang w:val="en-GB"/>
        </w:rPr>
        <w:br w:type="page"/>
      </w:r>
    </w:p>
    <w:p w14:paraId="13C5BB81" w14:textId="334ABB07" w:rsidR="00B9391A" w:rsidRPr="0048352B" w:rsidRDefault="00B9391A" w:rsidP="00B9391A">
      <w:pPr>
        <w:pStyle w:val="ExhibitHeading"/>
        <w:rPr>
          <w:spacing w:val="-4"/>
          <w:lang w:val="en-GB"/>
        </w:rPr>
      </w:pPr>
      <w:r w:rsidRPr="0048352B">
        <w:rPr>
          <w:spacing w:val="-4"/>
          <w:lang w:val="en-GB"/>
        </w:rPr>
        <w:lastRenderedPageBreak/>
        <w:t>Exhibit 1</w:t>
      </w:r>
      <w:r w:rsidR="00A356F9" w:rsidRPr="0048352B">
        <w:rPr>
          <w:spacing w:val="-4"/>
          <w:lang w:val="en-GB"/>
        </w:rPr>
        <w:t>:</w:t>
      </w:r>
      <w:r w:rsidRPr="0048352B">
        <w:rPr>
          <w:spacing w:val="-4"/>
          <w:lang w:val="en-GB"/>
        </w:rPr>
        <w:t xml:space="preserve"> Five Biggest Companies in Canada</w:t>
      </w:r>
      <w:r w:rsidR="00A356F9" w:rsidRPr="0048352B">
        <w:rPr>
          <w:spacing w:val="-4"/>
          <w:lang w:val="en-GB"/>
        </w:rPr>
        <w:t>’s</w:t>
      </w:r>
      <w:r w:rsidRPr="0048352B">
        <w:rPr>
          <w:spacing w:val="-4"/>
          <w:lang w:val="en-GB"/>
        </w:rPr>
        <w:t xml:space="preserve"> Telecommunication</w:t>
      </w:r>
      <w:r w:rsidR="00A356F9" w:rsidRPr="0048352B">
        <w:rPr>
          <w:spacing w:val="-4"/>
          <w:lang w:val="en-GB"/>
        </w:rPr>
        <w:t>S</w:t>
      </w:r>
      <w:r w:rsidRPr="0048352B">
        <w:rPr>
          <w:spacing w:val="-4"/>
          <w:lang w:val="en-GB"/>
        </w:rPr>
        <w:t xml:space="preserve"> Industry (2014)</w:t>
      </w:r>
    </w:p>
    <w:p w14:paraId="1A2D75DD" w14:textId="77777777" w:rsidR="00B9391A" w:rsidRPr="0048352B" w:rsidRDefault="00B9391A" w:rsidP="00B9391A">
      <w:pPr>
        <w:pStyle w:val="BodyTextMain"/>
        <w:rPr>
          <w:sz w:val="20"/>
          <w:lang w:val="en-GB"/>
        </w:rPr>
      </w:pPr>
    </w:p>
    <w:tbl>
      <w:tblPr>
        <w:tblStyle w:val="TableGrid1"/>
        <w:tblW w:w="0" w:type="auto"/>
        <w:jc w:val="center"/>
        <w:tblLayout w:type="fixed"/>
        <w:tblLook w:val="04A0" w:firstRow="1" w:lastRow="0" w:firstColumn="1" w:lastColumn="0" w:noHBand="0" w:noVBand="1"/>
      </w:tblPr>
      <w:tblGrid>
        <w:gridCol w:w="1728"/>
        <w:gridCol w:w="1349"/>
        <w:gridCol w:w="3038"/>
        <w:gridCol w:w="1406"/>
      </w:tblGrid>
      <w:tr w:rsidR="006F0B63" w:rsidRPr="00036B07" w14:paraId="2B391519" w14:textId="77777777" w:rsidTr="00036B07">
        <w:trPr>
          <w:trHeight w:val="60"/>
          <w:jc w:val="center"/>
        </w:trPr>
        <w:tc>
          <w:tcPr>
            <w:tcW w:w="1728" w:type="dxa"/>
            <w:vAlign w:val="center"/>
            <w:hideMark/>
          </w:tcPr>
          <w:p w14:paraId="23B6F76A" w14:textId="77777777" w:rsidR="00B9391A" w:rsidRPr="00036B07" w:rsidRDefault="00B9391A" w:rsidP="00772664">
            <w:pPr>
              <w:pStyle w:val="ExhibitText"/>
              <w:jc w:val="center"/>
              <w:rPr>
                <w:lang w:val="en-GB"/>
              </w:rPr>
            </w:pPr>
            <w:r w:rsidRPr="00036B07">
              <w:rPr>
                <w:lang w:val="en-GB"/>
              </w:rPr>
              <w:t>Company</w:t>
            </w:r>
          </w:p>
        </w:tc>
        <w:tc>
          <w:tcPr>
            <w:tcW w:w="1349" w:type="dxa"/>
            <w:vAlign w:val="center"/>
          </w:tcPr>
          <w:p w14:paraId="3D3E7626" w14:textId="2AD19FBE" w:rsidR="00B9391A" w:rsidRPr="00036B07" w:rsidRDefault="00B9391A" w:rsidP="00B9391A">
            <w:pPr>
              <w:pStyle w:val="ExhibitText"/>
              <w:jc w:val="center"/>
              <w:rPr>
                <w:lang w:val="en-GB"/>
              </w:rPr>
            </w:pPr>
            <w:r w:rsidRPr="00036B07">
              <w:rPr>
                <w:lang w:val="en-GB"/>
              </w:rPr>
              <w:t>Market Share (%)</w:t>
            </w:r>
          </w:p>
        </w:tc>
        <w:tc>
          <w:tcPr>
            <w:tcW w:w="3038" w:type="dxa"/>
            <w:vAlign w:val="center"/>
          </w:tcPr>
          <w:p w14:paraId="20476513" w14:textId="77777777" w:rsidR="00B9391A" w:rsidRPr="00036B07" w:rsidRDefault="00B9391A" w:rsidP="00B9391A">
            <w:pPr>
              <w:pStyle w:val="ExhibitText"/>
              <w:jc w:val="center"/>
              <w:rPr>
                <w:lang w:val="en-GB"/>
              </w:rPr>
            </w:pPr>
            <w:r w:rsidRPr="00036B07">
              <w:rPr>
                <w:lang w:val="en-GB"/>
              </w:rPr>
              <w:t>Subscribers (Millions)</w:t>
            </w:r>
          </w:p>
        </w:tc>
        <w:tc>
          <w:tcPr>
            <w:tcW w:w="1406" w:type="dxa"/>
            <w:vAlign w:val="center"/>
          </w:tcPr>
          <w:p w14:paraId="6DFD5880" w14:textId="36FD2022" w:rsidR="00B9391A" w:rsidRPr="00036B07" w:rsidRDefault="00B9391A" w:rsidP="00B9391A">
            <w:pPr>
              <w:pStyle w:val="ExhibitText"/>
              <w:jc w:val="center"/>
              <w:rPr>
                <w:lang w:val="en-GB"/>
              </w:rPr>
            </w:pPr>
            <w:r w:rsidRPr="00036B07">
              <w:rPr>
                <w:lang w:val="en-GB"/>
              </w:rPr>
              <w:t>Operating Revenue (</w:t>
            </w:r>
            <w:r w:rsidR="005F108B" w:rsidRPr="00036B07">
              <w:rPr>
                <w:lang w:val="en-GB"/>
              </w:rPr>
              <w:t xml:space="preserve">CA$ </w:t>
            </w:r>
            <w:r w:rsidRPr="00036B07">
              <w:rPr>
                <w:lang w:val="en-GB"/>
              </w:rPr>
              <w:t>Millions)</w:t>
            </w:r>
          </w:p>
        </w:tc>
      </w:tr>
      <w:tr w:rsidR="006F0B63" w:rsidRPr="00036B07" w14:paraId="38F10923" w14:textId="77777777" w:rsidTr="00036B07">
        <w:trPr>
          <w:jc w:val="center"/>
        </w:trPr>
        <w:tc>
          <w:tcPr>
            <w:tcW w:w="1728" w:type="dxa"/>
            <w:vAlign w:val="center"/>
            <w:hideMark/>
          </w:tcPr>
          <w:p w14:paraId="47EB1774" w14:textId="77777777" w:rsidR="00B9391A" w:rsidRPr="00036B07" w:rsidRDefault="00B9391A" w:rsidP="00B9391A">
            <w:pPr>
              <w:pStyle w:val="ExhibitText"/>
              <w:jc w:val="left"/>
              <w:rPr>
                <w:lang w:val="en-GB"/>
              </w:rPr>
            </w:pPr>
            <w:r w:rsidRPr="00036B07">
              <w:rPr>
                <w:lang w:val="en-GB"/>
              </w:rPr>
              <w:t>BCE Inc. (</w:t>
            </w:r>
            <w:hyperlink r:id="rId12" w:tooltip="BCE Inc." w:history="1">
              <w:r w:rsidRPr="00036B07">
                <w:rPr>
                  <w:lang w:val="en-GB"/>
                </w:rPr>
                <w:t>Bell</w:t>
              </w:r>
            </w:hyperlink>
            <w:hyperlink r:id="rId13" w:tooltip="Rogers Communications" w:history="1">
              <w:r w:rsidRPr="00036B07">
                <w:rPr>
                  <w:lang w:val="en-GB"/>
                </w:rPr>
                <w:t>)</w:t>
              </w:r>
            </w:hyperlink>
          </w:p>
        </w:tc>
        <w:tc>
          <w:tcPr>
            <w:tcW w:w="1349" w:type="dxa"/>
            <w:vAlign w:val="center"/>
          </w:tcPr>
          <w:p w14:paraId="20EF9FE6" w14:textId="46EA041B" w:rsidR="00B9391A" w:rsidRPr="00036B07" w:rsidRDefault="00B9391A" w:rsidP="00840DCE">
            <w:pPr>
              <w:pStyle w:val="ExhibitText"/>
              <w:tabs>
                <w:tab w:val="decimal" w:pos="639"/>
              </w:tabs>
              <w:rPr>
                <w:lang w:val="en-GB"/>
              </w:rPr>
            </w:pPr>
            <w:r w:rsidRPr="00036B07">
              <w:rPr>
                <w:lang w:val="en-GB"/>
              </w:rPr>
              <w:t>27.9</w:t>
            </w:r>
          </w:p>
        </w:tc>
        <w:tc>
          <w:tcPr>
            <w:tcW w:w="3038" w:type="dxa"/>
            <w:vAlign w:val="center"/>
          </w:tcPr>
          <w:p w14:paraId="23D5FD78" w14:textId="77777777" w:rsidR="00B9391A" w:rsidRPr="00036B07" w:rsidRDefault="00B9391A" w:rsidP="00B9391A">
            <w:pPr>
              <w:pStyle w:val="ExhibitText"/>
              <w:jc w:val="center"/>
              <w:rPr>
                <w:lang w:val="en-GB"/>
              </w:rPr>
            </w:pPr>
            <w:r w:rsidRPr="00036B07">
              <w:rPr>
                <w:lang w:val="en-GB"/>
              </w:rPr>
              <w:t>Wireless: 8.1</w:t>
            </w:r>
          </w:p>
          <w:p w14:paraId="63699FEF" w14:textId="77777777" w:rsidR="00B9391A" w:rsidRPr="00036B07" w:rsidRDefault="00B9391A" w:rsidP="00B9391A">
            <w:pPr>
              <w:pStyle w:val="ExhibitText"/>
              <w:jc w:val="center"/>
              <w:rPr>
                <w:lang w:val="en-GB"/>
              </w:rPr>
            </w:pPr>
            <w:r w:rsidRPr="00036B07">
              <w:rPr>
                <w:lang w:val="en-GB"/>
              </w:rPr>
              <w:t>High-Speed Internet: 3.3</w:t>
            </w:r>
          </w:p>
          <w:p w14:paraId="66298EA1" w14:textId="77777777" w:rsidR="00B9391A" w:rsidRPr="00036B07" w:rsidRDefault="00B9391A" w:rsidP="00B9391A">
            <w:pPr>
              <w:pStyle w:val="ExhibitText"/>
              <w:jc w:val="center"/>
              <w:rPr>
                <w:lang w:val="en-GB"/>
              </w:rPr>
            </w:pPr>
            <w:r w:rsidRPr="00036B07">
              <w:rPr>
                <w:lang w:val="en-GB"/>
              </w:rPr>
              <w:t>Television: 2.6</w:t>
            </w:r>
          </w:p>
          <w:p w14:paraId="6351AB86" w14:textId="77777777" w:rsidR="00B9391A" w:rsidRPr="00036B07" w:rsidRDefault="00B9391A" w:rsidP="00B9391A">
            <w:pPr>
              <w:pStyle w:val="ExhibitText"/>
              <w:jc w:val="center"/>
              <w:rPr>
                <w:lang w:val="en-GB"/>
              </w:rPr>
            </w:pPr>
            <w:r w:rsidRPr="00036B07">
              <w:rPr>
                <w:lang w:val="en-GB"/>
              </w:rPr>
              <w:t>Local Telephone Services: 7.1</w:t>
            </w:r>
          </w:p>
        </w:tc>
        <w:tc>
          <w:tcPr>
            <w:tcW w:w="1406" w:type="dxa"/>
            <w:vAlign w:val="center"/>
          </w:tcPr>
          <w:p w14:paraId="4F2E293E" w14:textId="596A2B54" w:rsidR="00B9391A" w:rsidRPr="00036B07" w:rsidRDefault="00B9391A" w:rsidP="00840DCE">
            <w:pPr>
              <w:pStyle w:val="ExhibitText"/>
              <w:tabs>
                <w:tab w:val="decimal" w:pos="1238"/>
              </w:tabs>
              <w:rPr>
                <w:lang w:val="en-GB"/>
              </w:rPr>
            </w:pPr>
            <w:r w:rsidRPr="00036B07">
              <w:rPr>
                <w:lang w:val="en-GB"/>
              </w:rPr>
              <w:t xml:space="preserve">$21,042 </w:t>
            </w:r>
          </w:p>
        </w:tc>
      </w:tr>
      <w:tr w:rsidR="006F0B63" w:rsidRPr="00036B07" w14:paraId="51625D8B" w14:textId="77777777" w:rsidTr="00036B07">
        <w:trPr>
          <w:jc w:val="center"/>
        </w:trPr>
        <w:tc>
          <w:tcPr>
            <w:tcW w:w="1728" w:type="dxa"/>
            <w:vAlign w:val="center"/>
            <w:hideMark/>
          </w:tcPr>
          <w:p w14:paraId="11F866D9" w14:textId="54F5C891" w:rsidR="00B9391A" w:rsidRPr="00036B07" w:rsidRDefault="00B9391A" w:rsidP="00765951">
            <w:pPr>
              <w:pStyle w:val="ExhibitText"/>
              <w:jc w:val="left"/>
              <w:rPr>
                <w:lang w:val="en-GB"/>
              </w:rPr>
            </w:pPr>
            <w:r w:rsidRPr="00036B07">
              <w:rPr>
                <w:lang w:val="en-GB"/>
              </w:rPr>
              <w:t>Rogers Communications Inc.</w:t>
            </w:r>
          </w:p>
        </w:tc>
        <w:tc>
          <w:tcPr>
            <w:tcW w:w="1349" w:type="dxa"/>
            <w:vAlign w:val="center"/>
          </w:tcPr>
          <w:p w14:paraId="018E523A" w14:textId="1AAC4F9C" w:rsidR="00B9391A" w:rsidRPr="00036B07" w:rsidRDefault="00B9391A" w:rsidP="00840DCE">
            <w:pPr>
              <w:pStyle w:val="ExhibitText"/>
              <w:tabs>
                <w:tab w:val="decimal" w:pos="639"/>
              </w:tabs>
              <w:rPr>
                <w:lang w:val="en-GB"/>
              </w:rPr>
            </w:pPr>
            <w:r w:rsidRPr="00036B07">
              <w:rPr>
                <w:lang w:val="en-GB"/>
              </w:rPr>
              <w:t>16.4</w:t>
            </w:r>
          </w:p>
        </w:tc>
        <w:tc>
          <w:tcPr>
            <w:tcW w:w="3038" w:type="dxa"/>
            <w:vAlign w:val="center"/>
          </w:tcPr>
          <w:p w14:paraId="4BF521CF" w14:textId="77777777" w:rsidR="00B9391A" w:rsidRPr="00036B07" w:rsidRDefault="00B9391A" w:rsidP="00B9391A">
            <w:pPr>
              <w:pStyle w:val="ExhibitText"/>
              <w:jc w:val="center"/>
              <w:rPr>
                <w:lang w:val="en-GB"/>
              </w:rPr>
            </w:pPr>
            <w:r w:rsidRPr="00036B07">
              <w:rPr>
                <w:lang w:val="en-GB"/>
              </w:rPr>
              <w:t>Wireless: 9.45</w:t>
            </w:r>
          </w:p>
          <w:p w14:paraId="161ED885" w14:textId="77777777" w:rsidR="00B9391A" w:rsidRPr="00036B07" w:rsidRDefault="00B9391A" w:rsidP="00B9391A">
            <w:pPr>
              <w:pStyle w:val="ExhibitText"/>
              <w:jc w:val="center"/>
              <w:rPr>
                <w:lang w:val="en-GB"/>
              </w:rPr>
            </w:pPr>
            <w:r w:rsidRPr="00036B07">
              <w:rPr>
                <w:lang w:val="en-GB"/>
              </w:rPr>
              <w:t>Internet: 2.011</w:t>
            </w:r>
          </w:p>
          <w:p w14:paraId="38652ED9" w14:textId="77777777" w:rsidR="00B9391A" w:rsidRPr="00036B07" w:rsidRDefault="00B9391A" w:rsidP="00B9391A">
            <w:pPr>
              <w:pStyle w:val="ExhibitText"/>
              <w:jc w:val="center"/>
              <w:rPr>
                <w:lang w:val="en-GB"/>
              </w:rPr>
            </w:pPr>
            <w:r w:rsidRPr="00036B07">
              <w:rPr>
                <w:lang w:val="en-GB"/>
              </w:rPr>
              <w:t>Television: 2.024</w:t>
            </w:r>
          </w:p>
          <w:p w14:paraId="1CC30E14" w14:textId="77777777" w:rsidR="00B9391A" w:rsidRPr="00036B07" w:rsidRDefault="00B9391A" w:rsidP="00B9391A">
            <w:pPr>
              <w:pStyle w:val="ExhibitText"/>
              <w:jc w:val="center"/>
              <w:rPr>
                <w:lang w:val="en-GB"/>
              </w:rPr>
            </w:pPr>
            <w:r w:rsidRPr="00036B07">
              <w:rPr>
                <w:lang w:val="en-GB"/>
              </w:rPr>
              <w:t>Telephone: 1.15</w:t>
            </w:r>
          </w:p>
        </w:tc>
        <w:tc>
          <w:tcPr>
            <w:tcW w:w="1406" w:type="dxa"/>
            <w:vAlign w:val="center"/>
          </w:tcPr>
          <w:p w14:paraId="01FFE78A" w14:textId="229E5C58" w:rsidR="00B9391A" w:rsidRPr="00036B07" w:rsidRDefault="00B9391A" w:rsidP="00840DCE">
            <w:pPr>
              <w:pStyle w:val="ExhibitText"/>
              <w:tabs>
                <w:tab w:val="decimal" w:pos="1238"/>
              </w:tabs>
              <w:rPr>
                <w:lang w:val="en-GB"/>
              </w:rPr>
            </w:pPr>
            <w:r w:rsidRPr="00036B07">
              <w:rPr>
                <w:lang w:val="en-GB"/>
              </w:rPr>
              <w:t xml:space="preserve">$12,900 </w:t>
            </w:r>
          </w:p>
        </w:tc>
      </w:tr>
      <w:tr w:rsidR="006F0B63" w:rsidRPr="00036B07" w14:paraId="2FA7A001" w14:textId="77777777" w:rsidTr="00036B07">
        <w:trPr>
          <w:jc w:val="center"/>
        </w:trPr>
        <w:tc>
          <w:tcPr>
            <w:tcW w:w="1728" w:type="dxa"/>
            <w:vAlign w:val="center"/>
            <w:hideMark/>
          </w:tcPr>
          <w:p w14:paraId="45AB711E" w14:textId="741C5863" w:rsidR="00B9391A" w:rsidRPr="00036B07" w:rsidRDefault="00036B07" w:rsidP="00A23095">
            <w:pPr>
              <w:pStyle w:val="ExhibitText"/>
              <w:jc w:val="left"/>
              <w:rPr>
                <w:lang w:val="en-GB"/>
              </w:rPr>
            </w:pPr>
            <w:hyperlink r:id="rId14" w:tooltip="Telus" w:history="1">
              <w:r w:rsidR="00B9391A" w:rsidRPr="00036B07">
                <w:rPr>
                  <w:lang w:val="en-GB"/>
                </w:rPr>
                <w:t>T</w:t>
              </w:r>
              <w:r w:rsidR="008A283B" w:rsidRPr="00036B07">
                <w:rPr>
                  <w:lang w:val="en-GB"/>
                </w:rPr>
                <w:t>ELUS</w:t>
              </w:r>
              <w:r w:rsidR="00B9391A" w:rsidRPr="00036B07">
                <w:rPr>
                  <w:lang w:val="en-GB"/>
                </w:rPr>
                <w:t xml:space="preserve"> </w:t>
              </w:r>
            </w:hyperlink>
            <w:r w:rsidR="005F108B" w:rsidRPr="00036B07">
              <w:rPr>
                <w:lang w:val="en-GB"/>
              </w:rPr>
              <w:t>Corporation</w:t>
            </w:r>
          </w:p>
        </w:tc>
        <w:tc>
          <w:tcPr>
            <w:tcW w:w="1349" w:type="dxa"/>
            <w:vAlign w:val="center"/>
          </w:tcPr>
          <w:p w14:paraId="5D1F71A6" w14:textId="5F76D84E" w:rsidR="00B9391A" w:rsidRPr="00036B07" w:rsidRDefault="00B9391A" w:rsidP="00840DCE">
            <w:pPr>
              <w:pStyle w:val="ExhibitText"/>
              <w:tabs>
                <w:tab w:val="decimal" w:pos="639"/>
              </w:tabs>
              <w:rPr>
                <w:lang w:val="en-GB"/>
              </w:rPr>
            </w:pPr>
            <w:r w:rsidRPr="00036B07">
              <w:rPr>
                <w:lang w:val="en-GB"/>
              </w:rPr>
              <w:t>15.9</w:t>
            </w:r>
          </w:p>
        </w:tc>
        <w:tc>
          <w:tcPr>
            <w:tcW w:w="3038" w:type="dxa"/>
            <w:vAlign w:val="center"/>
          </w:tcPr>
          <w:p w14:paraId="1A57E0C6" w14:textId="77777777" w:rsidR="00B9391A" w:rsidRPr="00036B07" w:rsidRDefault="00B9391A" w:rsidP="00B9391A">
            <w:pPr>
              <w:pStyle w:val="ExhibitText"/>
              <w:jc w:val="center"/>
              <w:rPr>
                <w:lang w:val="en-GB"/>
              </w:rPr>
            </w:pPr>
            <w:r w:rsidRPr="00036B07">
              <w:rPr>
                <w:lang w:val="en-GB"/>
              </w:rPr>
              <w:t>Wireless: 8.1</w:t>
            </w:r>
          </w:p>
          <w:p w14:paraId="3856BBE2" w14:textId="77777777" w:rsidR="00B9391A" w:rsidRPr="00036B07" w:rsidRDefault="00B9391A" w:rsidP="00B9391A">
            <w:pPr>
              <w:pStyle w:val="ExhibitText"/>
              <w:jc w:val="center"/>
              <w:rPr>
                <w:lang w:val="en-GB"/>
              </w:rPr>
            </w:pPr>
            <w:r w:rsidRPr="00036B07">
              <w:rPr>
                <w:lang w:val="en-GB"/>
              </w:rPr>
              <w:t>Internet: 1.49</w:t>
            </w:r>
          </w:p>
          <w:p w14:paraId="7272B087" w14:textId="77777777" w:rsidR="00B9391A" w:rsidRPr="00036B07" w:rsidRDefault="00B9391A" w:rsidP="00B9391A">
            <w:pPr>
              <w:pStyle w:val="ExhibitText"/>
              <w:jc w:val="center"/>
              <w:rPr>
                <w:lang w:val="en-GB"/>
              </w:rPr>
            </w:pPr>
            <w:r w:rsidRPr="00036B07">
              <w:rPr>
                <w:lang w:val="en-GB"/>
              </w:rPr>
              <w:t>Television: 0.916</w:t>
            </w:r>
          </w:p>
          <w:p w14:paraId="34EB2CAC" w14:textId="517B63FE" w:rsidR="00B9391A" w:rsidRPr="00036B07" w:rsidRDefault="00B9391A" w:rsidP="00765951">
            <w:pPr>
              <w:pStyle w:val="ExhibitText"/>
              <w:jc w:val="center"/>
              <w:rPr>
                <w:lang w:val="en-GB"/>
              </w:rPr>
            </w:pPr>
            <w:r w:rsidRPr="00036B07">
              <w:rPr>
                <w:lang w:val="en-GB"/>
              </w:rPr>
              <w:t xml:space="preserve">Network </w:t>
            </w:r>
            <w:r w:rsidR="005F108B" w:rsidRPr="00036B07">
              <w:rPr>
                <w:lang w:val="en-GB"/>
              </w:rPr>
              <w:t>A</w:t>
            </w:r>
            <w:r w:rsidRPr="00036B07">
              <w:rPr>
                <w:lang w:val="en-GB"/>
              </w:rPr>
              <w:t xml:space="preserve">ccess </w:t>
            </w:r>
            <w:r w:rsidR="005F108B" w:rsidRPr="00036B07">
              <w:rPr>
                <w:lang w:val="en-GB"/>
              </w:rPr>
              <w:t>L</w:t>
            </w:r>
            <w:r w:rsidRPr="00036B07">
              <w:rPr>
                <w:lang w:val="en-GB"/>
              </w:rPr>
              <w:t>ines: 3.2</w:t>
            </w:r>
          </w:p>
        </w:tc>
        <w:tc>
          <w:tcPr>
            <w:tcW w:w="1406" w:type="dxa"/>
            <w:vAlign w:val="center"/>
          </w:tcPr>
          <w:p w14:paraId="3D1D7F40" w14:textId="30495810" w:rsidR="00B9391A" w:rsidRPr="00036B07" w:rsidRDefault="00B9391A" w:rsidP="00840DCE">
            <w:pPr>
              <w:pStyle w:val="ExhibitText"/>
              <w:tabs>
                <w:tab w:val="decimal" w:pos="1238"/>
              </w:tabs>
              <w:rPr>
                <w:lang w:val="en-GB"/>
              </w:rPr>
            </w:pPr>
            <w:r w:rsidRPr="00036B07">
              <w:rPr>
                <w:lang w:val="en-GB"/>
              </w:rPr>
              <w:t xml:space="preserve">$12,000 </w:t>
            </w:r>
          </w:p>
        </w:tc>
      </w:tr>
      <w:tr w:rsidR="006F0B63" w:rsidRPr="00036B07" w14:paraId="529ED311" w14:textId="77777777" w:rsidTr="00036B07">
        <w:trPr>
          <w:jc w:val="center"/>
        </w:trPr>
        <w:tc>
          <w:tcPr>
            <w:tcW w:w="1728" w:type="dxa"/>
            <w:vAlign w:val="center"/>
            <w:hideMark/>
          </w:tcPr>
          <w:p w14:paraId="4CB21377" w14:textId="05B7D56D" w:rsidR="00B9391A" w:rsidRPr="00036B07" w:rsidRDefault="00036B07" w:rsidP="00765951">
            <w:pPr>
              <w:pStyle w:val="ExhibitText"/>
              <w:jc w:val="left"/>
              <w:rPr>
                <w:lang w:val="en-GB"/>
              </w:rPr>
            </w:pPr>
            <w:hyperlink r:id="rId15" w:tooltip="Shaw Communications" w:history="1">
              <w:r w:rsidR="00B9391A" w:rsidRPr="00036B07">
                <w:rPr>
                  <w:lang w:val="en-GB"/>
                </w:rPr>
                <w:t>Shaw Communications Inc.</w:t>
              </w:r>
            </w:hyperlink>
          </w:p>
        </w:tc>
        <w:tc>
          <w:tcPr>
            <w:tcW w:w="1349" w:type="dxa"/>
            <w:vAlign w:val="center"/>
          </w:tcPr>
          <w:p w14:paraId="66A1928C" w14:textId="6D5510DC" w:rsidR="00B9391A" w:rsidRPr="00036B07" w:rsidRDefault="00B9391A" w:rsidP="00840DCE">
            <w:pPr>
              <w:pStyle w:val="ExhibitText"/>
              <w:tabs>
                <w:tab w:val="decimal" w:pos="639"/>
              </w:tabs>
              <w:rPr>
                <w:lang w:val="en-GB"/>
              </w:rPr>
            </w:pPr>
            <w:r w:rsidRPr="00036B07">
              <w:rPr>
                <w:lang w:val="en-GB"/>
              </w:rPr>
              <w:t>7.8</w:t>
            </w:r>
          </w:p>
        </w:tc>
        <w:tc>
          <w:tcPr>
            <w:tcW w:w="3038" w:type="dxa"/>
            <w:vAlign w:val="center"/>
          </w:tcPr>
          <w:p w14:paraId="5F7FE84A" w14:textId="77777777" w:rsidR="00B9391A" w:rsidRPr="00036B07" w:rsidRDefault="00B9391A" w:rsidP="00B9391A">
            <w:pPr>
              <w:pStyle w:val="ExhibitText"/>
              <w:jc w:val="center"/>
              <w:rPr>
                <w:rFonts w:eastAsiaTheme="minorEastAsia"/>
                <w:lang w:val="en-GB"/>
              </w:rPr>
            </w:pPr>
            <w:r w:rsidRPr="00036B07">
              <w:rPr>
                <w:rFonts w:eastAsiaTheme="minorEastAsia"/>
                <w:lang w:val="en-GB"/>
              </w:rPr>
              <w:t>Internet: 1.93</w:t>
            </w:r>
          </w:p>
          <w:p w14:paraId="48FF3A25" w14:textId="77777777" w:rsidR="00B9391A" w:rsidRPr="00036B07" w:rsidRDefault="00B9391A" w:rsidP="00B9391A">
            <w:pPr>
              <w:pStyle w:val="ExhibitText"/>
              <w:jc w:val="center"/>
              <w:rPr>
                <w:rFonts w:eastAsiaTheme="minorEastAsia"/>
                <w:lang w:val="en-GB"/>
              </w:rPr>
            </w:pPr>
            <w:r w:rsidRPr="00036B07">
              <w:rPr>
                <w:rFonts w:eastAsiaTheme="minorEastAsia"/>
                <w:lang w:val="en-GB"/>
              </w:rPr>
              <w:t>Phone: 1.375</w:t>
            </w:r>
          </w:p>
          <w:p w14:paraId="0266806D" w14:textId="77777777" w:rsidR="00B9391A" w:rsidRPr="00036B07" w:rsidRDefault="00B9391A" w:rsidP="00B9391A">
            <w:pPr>
              <w:pStyle w:val="ExhibitText"/>
              <w:jc w:val="center"/>
              <w:rPr>
                <w:rFonts w:eastAsiaTheme="minorEastAsia"/>
                <w:lang w:val="en-GB"/>
              </w:rPr>
            </w:pPr>
            <w:r w:rsidRPr="00036B07">
              <w:rPr>
                <w:rFonts w:eastAsiaTheme="minorEastAsia"/>
                <w:lang w:val="en-GB"/>
              </w:rPr>
              <w:t>Video: 1.957</w:t>
            </w:r>
          </w:p>
        </w:tc>
        <w:tc>
          <w:tcPr>
            <w:tcW w:w="1406" w:type="dxa"/>
            <w:vAlign w:val="center"/>
          </w:tcPr>
          <w:p w14:paraId="3159870D" w14:textId="08C42B38" w:rsidR="00B9391A" w:rsidRPr="00036B07" w:rsidRDefault="00B9391A" w:rsidP="00840DCE">
            <w:pPr>
              <w:pStyle w:val="ExhibitText"/>
              <w:tabs>
                <w:tab w:val="decimal" w:pos="1238"/>
              </w:tabs>
              <w:rPr>
                <w:rFonts w:eastAsiaTheme="minorEastAsia"/>
                <w:lang w:val="en-GB"/>
              </w:rPr>
            </w:pPr>
            <w:r w:rsidRPr="00036B07">
              <w:rPr>
                <w:rFonts w:eastAsiaTheme="minorEastAsia"/>
                <w:lang w:val="en-GB"/>
              </w:rPr>
              <w:t xml:space="preserve">$878 </w:t>
            </w:r>
          </w:p>
        </w:tc>
      </w:tr>
      <w:tr w:rsidR="006F0B63" w:rsidRPr="00036B07" w14:paraId="5C400808" w14:textId="77777777" w:rsidTr="00036B07">
        <w:trPr>
          <w:jc w:val="center"/>
        </w:trPr>
        <w:tc>
          <w:tcPr>
            <w:tcW w:w="1728" w:type="dxa"/>
            <w:vAlign w:val="center"/>
          </w:tcPr>
          <w:p w14:paraId="32141FC0" w14:textId="77777777" w:rsidR="00B9391A" w:rsidRPr="00036B07" w:rsidRDefault="00B9391A" w:rsidP="00B9391A">
            <w:pPr>
              <w:pStyle w:val="ExhibitText"/>
              <w:jc w:val="left"/>
              <w:rPr>
                <w:lang w:val="en-GB"/>
              </w:rPr>
            </w:pPr>
            <w:r w:rsidRPr="00036B07">
              <w:rPr>
                <w:lang w:val="en-GB"/>
              </w:rPr>
              <w:t>Quebecor Inc.</w:t>
            </w:r>
          </w:p>
        </w:tc>
        <w:tc>
          <w:tcPr>
            <w:tcW w:w="1349" w:type="dxa"/>
            <w:vAlign w:val="center"/>
          </w:tcPr>
          <w:p w14:paraId="4912C3CB" w14:textId="7374B0AB" w:rsidR="00B9391A" w:rsidRPr="00036B07" w:rsidRDefault="00B9391A" w:rsidP="00840DCE">
            <w:pPr>
              <w:pStyle w:val="ExhibitText"/>
              <w:tabs>
                <w:tab w:val="decimal" w:pos="639"/>
              </w:tabs>
              <w:rPr>
                <w:lang w:val="en-GB"/>
              </w:rPr>
            </w:pPr>
            <w:r w:rsidRPr="00036B07">
              <w:rPr>
                <w:lang w:val="en-GB"/>
              </w:rPr>
              <w:t>5.3</w:t>
            </w:r>
          </w:p>
        </w:tc>
        <w:tc>
          <w:tcPr>
            <w:tcW w:w="3038" w:type="dxa"/>
            <w:vAlign w:val="center"/>
          </w:tcPr>
          <w:p w14:paraId="6FEE21AD" w14:textId="77777777" w:rsidR="00B9391A" w:rsidRPr="00036B07" w:rsidRDefault="00B9391A" w:rsidP="00B9391A">
            <w:pPr>
              <w:pStyle w:val="ExhibitText"/>
              <w:jc w:val="center"/>
              <w:rPr>
                <w:lang w:val="en-GB"/>
              </w:rPr>
            </w:pPr>
            <w:r w:rsidRPr="00036B07">
              <w:rPr>
                <w:lang w:val="en-GB"/>
              </w:rPr>
              <w:t>Internet: 1.538</w:t>
            </w:r>
          </w:p>
          <w:p w14:paraId="1D8EEF5F" w14:textId="77777777" w:rsidR="00B9391A" w:rsidRPr="00036B07" w:rsidRDefault="00B9391A" w:rsidP="00B9391A">
            <w:pPr>
              <w:pStyle w:val="ExhibitText"/>
              <w:jc w:val="center"/>
              <w:rPr>
                <w:lang w:val="en-GB"/>
              </w:rPr>
            </w:pPr>
            <w:r w:rsidRPr="00036B07">
              <w:rPr>
                <w:lang w:val="en-GB"/>
              </w:rPr>
              <w:t>Television: 1.56</w:t>
            </w:r>
          </w:p>
          <w:p w14:paraId="0F81DD5E" w14:textId="77777777" w:rsidR="00B9391A" w:rsidRPr="00036B07" w:rsidRDefault="00B9391A" w:rsidP="00B9391A">
            <w:pPr>
              <w:pStyle w:val="ExhibitText"/>
              <w:jc w:val="center"/>
              <w:rPr>
                <w:lang w:val="en-GB"/>
              </w:rPr>
            </w:pPr>
            <w:r w:rsidRPr="00036B07">
              <w:rPr>
                <w:lang w:val="en-GB"/>
              </w:rPr>
              <w:t>Telephone: 1.349</w:t>
            </w:r>
          </w:p>
        </w:tc>
        <w:tc>
          <w:tcPr>
            <w:tcW w:w="1406" w:type="dxa"/>
            <w:vAlign w:val="center"/>
          </w:tcPr>
          <w:p w14:paraId="04160810" w14:textId="68BAA8CE" w:rsidR="00B9391A" w:rsidRPr="00036B07" w:rsidRDefault="00B9391A" w:rsidP="00840DCE">
            <w:pPr>
              <w:pStyle w:val="ExhibitText"/>
              <w:tabs>
                <w:tab w:val="decimal" w:pos="1238"/>
              </w:tabs>
              <w:rPr>
                <w:lang w:val="en-GB"/>
              </w:rPr>
            </w:pPr>
            <w:r w:rsidRPr="00036B07">
              <w:rPr>
                <w:lang w:val="en-GB"/>
              </w:rPr>
              <w:t xml:space="preserve">$444.8 </w:t>
            </w:r>
          </w:p>
        </w:tc>
      </w:tr>
    </w:tbl>
    <w:p w14:paraId="608A17D6" w14:textId="77777777" w:rsidR="00B9391A" w:rsidRPr="0048352B" w:rsidRDefault="00B9391A" w:rsidP="00B9391A">
      <w:pPr>
        <w:pStyle w:val="FootnoteText"/>
        <w:rPr>
          <w:lang w:val="en-GB"/>
        </w:rPr>
      </w:pPr>
    </w:p>
    <w:p w14:paraId="6C6457D3" w14:textId="7C648488" w:rsidR="00B9391A" w:rsidRPr="0048352B" w:rsidRDefault="00B9391A" w:rsidP="00B9391A">
      <w:pPr>
        <w:pStyle w:val="Footnote"/>
        <w:rPr>
          <w:spacing w:val="-2"/>
          <w:lang w:val="en-GB"/>
        </w:rPr>
      </w:pPr>
      <w:r w:rsidRPr="0048352B">
        <w:rPr>
          <w:spacing w:val="-2"/>
          <w:lang w:val="en-GB"/>
        </w:rPr>
        <w:t>Source: BCE Inc.</w:t>
      </w:r>
      <w:r w:rsidR="005F108B" w:rsidRPr="0048352B">
        <w:rPr>
          <w:spacing w:val="-2"/>
          <w:lang w:val="en-GB"/>
        </w:rPr>
        <w:t>,</w:t>
      </w:r>
      <w:r w:rsidRPr="0048352B">
        <w:rPr>
          <w:spacing w:val="-2"/>
          <w:lang w:val="en-GB"/>
        </w:rPr>
        <w:t xml:space="preserve"> </w:t>
      </w:r>
      <w:r w:rsidR="00765951" w:rsidRPr="0048352B">
        <w:rPr>
          <w:i/>
          <w:spacing w:val="-2"/>
          <w:lang w:val="en-GB"/>
        </w:rPr>
        <w:t xml:space="preserve">BCE Inc. </w:t>
      </w:r>
      <w:r w:rsidRPr="0048352B">
        <w:rPr>
          <w:i/>
          <w:spacing w:val="-2"/>
          <w:lang w:val="en-GB"/>
        </w:rPr>
        <w:t>2014 Annual Report</w:t>
      </w:r>
      <w:r w:rsidR="005F108B" w:rsidRPr="0048352B">
        <w:rPr>
          <w:spacing w:val="-2"/>
          <w:lang w:val="en-GB"/>
        </w:rPr>
        <w:t>,</w:t>
      </w:r>
      <w:r w:rsidRPr="0048352B">
        <w:rPr>
          <w:spacing w:val="-2"/>
          <w:lang w:val="en-GB"/>
        </w:rPr>
        <w:t xml:space="preserve"> 2014</w:t>
      </w:r>
      <w:r w:rsidR="005F108B" w:rsidRPr="0048352B">
        <w:rPr>
          <w:spacing w:val="-2"/>
          <w:lang w:val="en-GB"/>
        </w:rPr>
        <w:t>,</w:t>
      </w:r>
      <w:r w:rsidRPr="0048352B">
        <w:rPr>
          <w:spacing w:val="-2"/>
          <w:lang w:val="en-GB"/>
        </w:rPr>
        <w:t xml:space="preserve"> </w:t>
      </w:r>
      <w:r w:rsidR="005F108B" w:rsidRPr="0048352B">
        <w:rPr>
          <w:spacing w:val="-2"/>
          <w:lang w:val="en-GB"/>
        </w:rPr>
        <w:t>a</w:t>
      </w:r>
      <w:r w:rsidRPr="0048352B">
        <w:rPr>
          <w:spacing w:val="-2"/>
          <w:lang w:val="en-GB"/>
        </w:rPr>
        <w:t>ccessed February 8, 2018, www.annualreports.com/HostedData/AnnualReportArchive/b/NYSE_BCE_2014.pdf; Rogers Communication</w:t>
      </w:r>
      <w:r w:rsidR="00765951" w:rsidRPr="0048352B">
        <w:rPr>
          <w:spacing w:val="-2"/>
          <w:lang w:val="en-GB"/>
        </w:rPr>
        <w:t>s</w:t>
      </w:r>
      <w:r w:rsidRPr="0048352B">
        <w:rPr>
          <w:spacing w:val="-2"/>
          <w:lang w:val="en-GB"/>
        </w:rPr>
        <w:t xml:space="preserve"> Inc.</w:t>
      </w:r>
      <w:r w:rsidR="00765951" w:rsidRPr="0048352B">
        <w:rPr>
          <w:spacing w:val="-2"/>
          <w:lang w:val="en-GB"/>
        </w:rPr>
        <w:t>,</w:t>
      </w:r>
      <w:r w:rsidRPr="0048352B">
        <w:rPr>
          <w:spacing w:val="-2"/>
          <w:lang w:val="en-GB"/>
        </w:rPr>
        <w:t xml:space="preserve"> </w:t>
      </w:r>
      <w:r w:rsidR="00765951" w:rsidRPr="0048352B">
        <w:rPr>
          <w:i/>
          <w:spacing w:val="-2"/>
          <w:lang w:val="en-GB"/>
        </w:rPr>
        <w:t xml:space="preserve">Rogers Communications Inc. </w:t>
      </w:r>
      <w:r w:rsidRPr="0048352B">
        <w:rPr>
          <w:i/>
          <w:spacing w:val="-2"/>
          <w:lang w:val="en-GB"/>
        </w:rPr>
        <w:t>2014 Annual Report</w:t>
      </w:r>
      <w:r w:rsidR="00765951" w:rsidRPr="0048352B">
        <w:rPr>
          <w:spacing w:val="-2"/>
          <w:lang w:val="en-GB"/>
        </w:rPr>
        <w:t>,</w:t>
      </w:r>
      <w:r w:rsidRPr="0048352B">
        <w:rPr>
          <w:spacing w:val="-2"/>
          <w:lang w:val="en-GB"/>
        </w:rPr>
        <w:t xml:space="preserve"> 2014</w:t>
      </w:r>
      <w:r w:rsidR="005F108B" w:rsidRPr="0048352B">
        <w:rPr>
          <w:spacing w:val="-2"/>
          <w:lang w:val="en-GB"/>
        </w:rPr>
        <w:t>,</w:t>
      </w:r>
      <w:r w:rsidRPr="0048352B">
        <w:rPr>
          <w:spacing w:val="-2"/>
          <w:lang w:val="en-GB"/>
        </w:rPr>
        <w:t xml:space="preserve"> </w:t>
      </w:r>
      <w:r w:rsidR="005F108B" w:rsidRPr="0048352B">
        <w:rPr>
          <w:spacing w:val="-2"/>
          <w:lang w:val="en-GB"/>
        </w:rPr>
        <w:t>a</w:t>
      </w:r>
      <w:r w:rsidRPr="0048352B">
        <w:rPr>
          <w:spacing w:val="-2"/>
          <w:lang w:val="en-GB"/>
        </w:rPr>
        <w:t xml:space="preserve">ccessed February 8, 2018, </w:t>
      </w:r>
      <w:r w:rsidR="00772664" w:rsidRPr="0048352B">
        <w:rPr>
          <w:spacing w:val="-2"/>
          <w:lang w:val="en-GB"/>
        </w:rPr>
        <w:t>www.annualreports.com/HostedData/</w:t>
      </w:r>
      <w:r w:rsidRPr="0048352B">
        <w:rPr>
          <w:spacing w:val="-2"/>
          <w:lang w:val="en-GB"/>
        </w:rPr>
        <w:t xml:space="preserve">AnnualReportArchive/r/NYSE_RCI_2014.pdf; </w:t>
      </w:r>
      <w:r w:rsidR="00765951" w:rsidRPr="0048352B">
        <w:rPr>
          <w:spacing w:val="-2"/>
          <w:lang w:val="en-GB"/>
        </w:rPr>
        <w:t xml:space="preserve">TELUS Corporation, </w:t>
      </w:r>
      <w:r w:rsidRPr="0048352B">
        <w:rPr>
          <w:i/>
          <w:spacing w:val="-2"/>
          <w:lang w:val="en-GB"/>
        </w:rPr>
        <w:t>T</w:t>
      </w:r>
      <w:r w:rsidR="00765951" w:rsidRPr="0048352B">
        <w:rPr>
          <w:i/>
          <w:spacing w:val="-2"/>
          <w:lang w:val="en-GB"/>
        </w:rPr>
        <w:t>ELUS</w:t>
      </w:r>
      <w:r w:rsidRPr="0048352B">
        <w:rPr>
          <w:spacing w:val="-2"/>
          <w:lang w:val="en-GB"/>
        </w:rPr>
        <w:t xml:space="preserve"> </w:t>
      </w:r>
      <w:r w:rsidRPr="0048352B">
        <w:rPr>
          <w:i/>
          <w:spacing w:val="-2"/>
          <w:lang w:val="en-GB"/>
        </w:rPr>
        <w:t>2014 Annual Report</w:t>
      </w:r>
      <w:r w:rsidR="00765951" w:rsidRPr="0048352B">
        <w:rPr>
          <w:spacing w:val="-2"/>
          <w:lang w:val="en-GB"/>
        </w:rPr>
        <w:t>,</w:t>
      </w:r>
      <w:r w:rsidRPr="0048352B">
        <w:rPr>
          <w:spacing w:val="-2"/>
          <w:lang w:val="en-GB"/>
        </w:rPr>
        <w:t xml:space="preserve"> 2014</w:t>
      </w:r>
      <w:r w:rsidR="005F108B" w:rsidRPr="0048352B">
        <w:rPr>
          <w:spacing w:val="-2"/>
          <w:lang w:val="en-GB"/>
        </w:rPr>
        <w:t>,</w:t>
      </w:r>
      <w:r w:rsidRPr="0048352B">
        <w:rPr>
          <w:spacing w:val="-2"/>
          <w:lang w:val="en-GB"/>
        </w:rPr>
        <w:t xml:space="preserve"> </w:t>
      </w:r>
      <w:r w:rsidR="005F108B" w:rsidRPr="0048352B">
        <w:rPr>
          <w:spacing w:val="-2"/>
          <w:lang w:val="en-GB"/>
        </w:rPr>
        <w:t>a</w:t>
      </w:r>
      <w:r w:rsidRPr="0048352B">
        <w:rPr>
          <w:spacing w:val="-2"/>
          <w:lang w:val="en-GB"/>
        </w:rPr>
        <w:t xml:space="preserve">ccessed February 8, 2018, </w:t>
      </w:r>
      <w:hyperlink r:id="rId16" w:history="1">
        <w:r w:rsidRPr="0048352B">
          <w:rPr>
            <w:rStyle w:val="Hyperlink"/>
            <w:color w:val="auto"/>
            <w:spacing w:val="-2"/>
            <w:u w:val="none"/>
            <w:lang w:val="en-GB"/>
          </w:rPr>
          <w:t>http://about.telus.com/servlet/JiveServlet/previewBody/5696-102-2-6257/TELUS%202014%20Annual%20Report.pdf</w:t>
        </w:r>
      </w:hyperlink>
      <w:r w:rsidRPr="0048352B">
        <w:rPr>
          <w:rStyle w:val="Hyperlink"/>
          <w:color w:val="auto"/>
          <w:spacing w:val="-2"/>
          <w:u w:val="none"/>
          <w:lang w:val="en-GB"/>
        </w:rPr>
        <w:t>;</w:t>
      </w:r>
      <w:r w:rsidRPr="0048352B">
        <w:rPr>
          <w:spacing w:val="-2"/>
          <w:lang w:val="en-GB"/>
        </w:rPr>
        <w:t xml:space="preserve"> Shaw</w:t>
      </w:r>
      <w:r w:rsidR="00765951" w:rsidRPr="0048352B">
        <w:rPr>
          <w:spacing w:val="-2"/>
          <w:lang w:val="en-GB"/>
        </w:rPr>
        <w:t xml:space="preserve"> Communications Inc.,</w:t>
      </w:r>
      <w:r w:rsidRPr="0048352B">
        <w:rPr>
          <w:spacing w:val="-2"/>
          <w:lang w:val="en-GB"/>
        </w:rPr>
        <w:t xml:space="preserve"> </w:t>
      </w:r>
      <w:r w:rsidRPr="0048352B">
        <w:rPr>
          <w:i/>
          <w:spacing w:val="-2"/>
          <w:lang w:val="en-GB"/>
        </w:rPr>
        <w:t>2014 Annual Report</w:t>
      </w:r>
      <w:r w:rsidR="005F108B" w:rsidRPr="0048352B">
        <w:rPr>
          <w:spacing w:val="-2"/>
          <w:lang w:val="en-GB"/>
        </w:rPr>
        <w:t>,</w:t>
      </w:r>
      <w:r w:rsidRPr="0048352B">
        <w:rPr>
          <w:spacing w:val="-2"/>
          <w:lang w:val="en-GB"/>
        </w:rPr>
        <w:t xml:space="preserve"> 2014</w:t>
      </w:r>
      <w:r w:rsidR="005F108B" w:rsidRPr="0048352B">
        <w:rPr>
          <w:spacing w:val="-2"/>
          <w:lang w:val="en-GB"/>
        </w:rPr>
        <w:t>,</w:t>
      </w:r>
      <w:r w:rsidRPr="0048352B">
        <w:rPr>
          <w:spacing w:val="-2"/>
          <w:lang w:val="en-GB"/>
        </w:rPr>
        <w:t xml:space="preserve"> </w:t>
      </w:r>
      <w:r w:rsidR="005F108B" w:rsidRPr="0048352B">
        <w:rPr>
          <w:spacing w:val="-2"/>
          <w:lang w:val="en-GB"/>
        </w:rPr>
        <w:t>a</w:t>
      </w:r>
      <w:r w:rsidRPr="0048352B">
        <w:rPr>
          <w:spacing w:val="-2"/>
          <w:lang w:val="en-GB"/>
        </w:rPr>
        <w:t>ccessed February 8, 2018, www.annualreports.com/HostedData/AnnualReportArchive/s/TSX_SJR-B_2014.pdf</w:t>
      </w:r>
      <w:r w:rsidRPr="0048352B">
        <w:rPr>
          <w:rStyle w:val="Hyperlink"/>
          <w:color w:val="auto"/>
          <w:spacing w:val="-2"/>
          <w:u w:val="none"/>
          <w:lang w:val="en-GB"/>
        </w:rPr>
        <w:t xml:space="preserve">; </w:t>
      </w:r>
      <w:r w:rsidRPr="0048352B">
        <w:rPr>
          <w:spacing w:val="-2"/>
          <w:lang w:val="en-GB"/>
        </w:rPr>
        <w:t>Quebecor</w:t>
      </w:r>
      <w:r w:rsidR="00765951" w:rsidRPr="0048352B">
        <w:rPr>
          <w:spacing w:val="-2"/>
          <w:lang w:val="en-GB"/>
        </w:rPr>
        <w:t xml:space="preserve"> Inc.,</w:t>
      </w:r>
      <w:r w:rsidRPr="0048352B">
        <w:rPr>
          <w:spacing w:val="-2"/>
          <w:lang w:val="en-GB"/>
        </w:rPr>
        <w:t xml:space="preserve"> </w:t>
      </w:r>
      <w:r w:rsidRPr="0048352B">
        <w:rPr>
          <w:i/>
          <w:spacing w:val="-2"/>
          <w:lang w:val="en-GB"/>
        </w:rPr>
        <w:t>Annual Information Form</w:t>
      </w:r>
      <w:r w:rsidR="00765951" w:rsidRPr="0048352B">
        <w:rPr>
          <w:i/>
          <w:spacing w:val="-2"/>
          <w:lang w:val="en-GB"/>
        </w:rPr>
        <w:t>: Financial Year Ended December 31, 2014</w:t>
      </w:r>
      <w:r w:rsidR="005F108B" w:rsidRPr="0048352B">
        <w:rPr>
          <w:spacing w:val="-2"/>
          <w:lang w:val="en-GB"/>
        </w:rPr>
        <w:t>,</w:t>
      </w:r>
      <w:r w:rsidRPr="0048352B">
        <w:rPr>
          <w:spacing w:val="-2"/>
          <w:lang w:val="en-GB"/>
        </w:rPr>
        <w:t xml:space="preserve"> </w:t>
      </w:r>
      <w:r w:rsidR="00765951" w:rsidRPr="0048352B">
        <w:rPr>
          <w:spacing w:val="-2"/>
          <w:lang w:val="en-GB"/>
        </w:rPr>
        <w:t>March 31, 2015</w:t>
      </w:r>
      <w:r w:rsidR="005F108B" w:rsidRPr="0048352B">
        <w:rPr>
          <w:spacing w:val="-2"/>
          <w:lang w:val="en-GB"/>
        </w:rPr>
        <w:t>,</w:t>
      </w:r>
      <w:r w:rsidRPr="0048352B">
        <w:rPr>
          <w:spacing w:val="-2"/>
          <w:lang w:val="en-GB"/>
        </w:rPr>
        <w:t xml:space="preserve"> </w:t>
      </w:r>
      <w:r w:rsidR="005F108B" w:rsidRPr="0048352B">
        <w:rPr>
          <w:spacing w:val="-2"/>
          <w:lang w:val="en-GB"/>
        </w:rPr>
        <w:t>a</w:t>
      </w:r>
      <w:r w:rsidRPr="0048352B">
        <w:rPr>
          <w:spacing w:val="-2"/>
          <w:lang w:val="en-GB"/>
        </w:rPr>
        <w:t>ccessed February 8, 2018, www.quebecor.com/documents/20143/72775/QI_Notice_2014_EN.pdf/9d0ecee1-4c26-2846-cf37-4e285c139957</w:t>
      </w:r>
      <w:r w:rsidR="00765951" w:rsidRPr="0048352B">
        <w:rPr>
          <w:spacing w:val="-2"/>
          <w:lang w:val="en-GB"/>
        </w:rPr>
        <w:t>.</w:t>
      </w:r>
      <w:r w:rsidRPr="0048352B">
        <w:rPr>
          <w:spacing w:val="-2"/>
          <w:lang w:val="en-GB"/>
        </w:rPr>
        <w:t xml:space="preserve"> </w:t>
      </w:r>
    </w:p>
    <w:p w14:paraId="1F80F9EB" w14:textId="36CC6BCA" w:rsidR="00B9391A" w:rsidRPr="0048352B" w:rsidRDefault="00B9391A" w:rsidP="00B9391A">
      <w:pPr>
        <w:pStyle w:val="BodyTextMain"/>
        <w:rPr>
          <w:sz w:val="18"/>
          <w:lang w:val="en-GB"/>
        </w:rPr>
      </w:pPr>
    </w:p>
    <w:p w14:paraId="5541444B" w14:textId="77777777" w:rsidR="00B9391A" w:rsidRPr="0048352B" w:rsidRDefault="00B9391A" w:rsidP="00B9391A">
      <w:pPr>
        <w:pStyle w:val="BodyTextMain"/>
        <w:rPr>
          <w:sz w:val="20"/>
          <w:szCs w:val="24"/>
          <w:lang w:val="en-GB"/>
        </w:rPr>
      </w:pPr>
    </w:p>
    <w:p w14:paraId="2972E78A" w14:textId="77777777" w:rsidR="006F0B63" w:rsidRPr="0048352B" w:rsidRDefault="006F0B63">
      <w:pPr>
        <w:spacing w:after="200" w:line="276" w:lineRule="auto"/>
        <w:rPr>
          <w:rFonts w:ascii="Arial" w:hAnsi="Arial" w:cs="Arial"/>
          <w:b/>
          <w:caps/>
          <w:lang w:val="en-GB"/>
        </w:rPr>
      </w:pPr>
      <w:r w:rsidRPr="0048352B">
        <w:rPr>
          <w:lang w:val="en-GB"/>
        </w:rPr>
        <w:br w:type="page"/>
      </w:r>
    </w:p>
    <w:p w14:paraId="0E53048B" w14:textId="7F941DCA" w:rsidR="00765951" w:rsidRPr="0048352B" w:rsidRDefault="00B9391A" w:rsidP="00B9391A">
      <w:pPr>
        <w:pStyle w:val="ExhibitHeading"/>
        <w:rPr>
          <w:lang w:val="en-GB"/>
        </w:rPr>
      </w:pPr>
      <w:r w:rsidRPr="0048352B">
        <w:rPr>
          <w:lang w:val="en-GB"/>
        </w:rPr>
        <w:lastRenderedPageBreak/>
        <w:t>Exhibit 2: Guidelines</w:t>
      </w:r>
      <w:r w:rsidR="00765951" w:rsidRPr="0048352B">
        <w:rPr>
          <w:lang w:val="en-GB"/>
        </w:rPr>
        <w:t>—</w:t>
      </w:r>
      <w:r w:rsidRPr="0048352B">
        <w:rPr>
          <w:lang w:val="en-GB"/>
        </w:rPr>
        <w:t xml:space="preserve">Distance to Residential Developments </w:t>
      </w:r>
    </w:p>
    <w:p w14:paraId="43E5D952" w14:textId="21E1FB86" w:rsidR="00B9391A" w:rsidRPr="0048352B" w:rsidRDefault="00B9391A" w:rsidP="00B9391A">
      <w:pPr>
        <w:pStyle w:val="ExhibitHeading"/>
        <w:rPr>
          <w:lang w:val="en-GB"/>
        </w:rPr>
      </w:pPr>
      <w:r w:rsidRPr="0048352B">
        <w:rPr>
          <w:lang w:val="en-GB"/>
        </w:rPr>
        <w:t>and Discouraged Locations</w:t>
      </w:r>
    </w:p>
    <w:p w14:paraId="5B5CBCC2" w14:textId="77777777" w:rsidR="006F0B63" w:rsidRPr="0048352B" w:rsidRDefault="006F0B63" w:rsidP="00B9391A">
      <w:pPr>
        <w:pStyle w:val="ExhibitHeading"/>
        <w:rPr>
          <w:lang w:val="en-GB"/>
        </w:rPr>
      </w:pPr>
    </w:p>
    <w:p w14:paraId="63CF0417" w14:textId="76BAA596" w:rsidR="00B9391A" w:rsidRPr="0048352B" w:rsidRDefault="00B9391A" w:rsidP="006F0B63">
      <w:pPr>
        <w:pStyle w:val="ExhibitText"/>
        <w:numPr>
          <w:ilvl w:val="0"/>
          <w:numId w:val="10"/>
        </w:numPr>
        <w:rPr>
          <w:lang w:val="en-GB"/>
        </w:rPr>
      </w:pPr>
      <w:r w:rsidRPr="0048352B">
        <w:rPr>
          <w:lang w:val="en-GB"/>
        </w:rPr>
        <w:t xml:space="preserve">As a guideline, it is recommended that any tower proposed to be placed on a site abutting existing dwellings should be located: </w:t>
      </w:r>
    </w:p>
    <w:p w14:paraId="716F750F" w14:textId="77777777" w:rsidR="006F0B63" w:rsidRPr="0048352B" w:rsidRDefault="006F0B63" w:rsidP="006F0B63">
      <w:pPr>
        <w:pStyle w:val="ExhibitText"/>
        <w:rPr>
          <w:lang w:val="en-GB"/>
        </w:rPr>
      </w:pPr>
    </w:p>
    <w:p w14:paraId="17DCD660" w14:textId="77777777" w:rsidR="00B9391A" w:rsidRPr="0048352B" w:rsidRDefault="00B9391A" w:rsidP="006F0B63">
      <w:pPr>
        <w:pStyle w:val="ExhibitText"/>
        <w:numPr>
          <w:ilvl w:val="0"/>
          <w:numId w:val="11"/>
        </w:numPr>
        <w:rPr>
          <w:lang w:val="en-GB"/>
        </w:rPr>
      </w:pPr>
      <w:r w:rsidRPr="0048352B">
        <w:rPr>
          <w:lang w:val="en-GB"/>
        </w:rPr>
        <w:t xml:space="preserve">at least three times the height of the proposed tower away from those dwellings for towers less than 15 </w:t>
      </w:r>
      <w:r w:rsidRPr="0048352B">
        <w:rPr>
          <w:noProof/>
          <w:lang w:val="en-GB"/>
        </w:rPr>
        <w:t>metres</w:t>
      </w:r>
      <w:r w:rsidRPr="0048352B">
        <w:rPr>
          <w:lang w:val="en-GB"/>
        </w:rPr>
        <w:t xml:space="preserve"> in height; </w:t>
      </w:r>
    </w:p>
    <w:p w14:paraId="0E18E98F" w14:textId="77777777" w:rsidR="00B9391A" w:rsidRPr="0048352B" w:rsidRDefault="00B9391A" w:rsidP="006F0B63">
      <w:pPr>
        <w:pStyle w:val="ExhibitText"/>
        <w:numPr>
          <w:ilvl w:val="0"/>
          <w:numId w:val="11"/>
        </w:numPr>
        <w:rPr>
          <w:lang w:val="en-GB"/>
        </w:rPr>
      </w:pPr>
      <w:r w:rsidRPr="0048352B">
        <w:rPr>
          <w:lang w:val="en-GB"/>
        </w:rPr>
        <w:t xml:space="preserve">at least 75 </w:t>
      </w:r>
      <w:r w:rsidRPr="0048352B">
        <w:rPr>
          <w:noProof/>
          <w:lang w:val="en-GB"/>
        </w:rPr>
        <w:t>metres</w:t>
      </w:r>
      <w:r w:rsidRPr="0048352B">
        <w:rPr>
          <w:lang w:val="en-GB"/>
        </w:rPr>
        <w:t xml:space="preserve"> away from those dwellings for towers 15 to 30 </w:t>
      </w:r>
      <w:r w:rsidRPr="0048352B">
        <w:rPr>
          <w:noProof/>
          <w:lang w:val="en-GB"/>
        </w:rPr>
        <w:t>metres</w:t>
      </w:r>
      <w:r w:rsidRPr="0048352B">
        <w:rPr>
          <w:lang w:val="en-GB"/>
        </w:rPr>
        <w:t xml:space="preserve"> in height; </w:t>
      </w:r>
    </w:p>
    <w:p w14:paraId="6CC4CDC4" w14:textId="77777777" w:rsidR="00B9391A" w:rsidRPr="0048352B" w:rsidRDefault="00B9391A" w:rsidP="006F0B63">
      <w:pPr>
        <w:pStyle w:val="ExhibitText"/>
        <w:numPr>
          <w:ilvl w:val="0"/>
          <w:numId w:val="11"/>
        </w:numPr>
        <w:rPr>
          <w:lang w:val="en-GB"/>
        </w:rPr>
      </w:pPr>
      <w:r w:rsidRPr="0048352B">
        <w:rPr>
          <w:lang w:val="en-GB"/>
        </w:rPr>
        <w:t xml:space="preserve">at least 100 </w:t>
      </w:r>
      <w:r w:rsidRPr="0048352B">
        <w:rPr>
          <w:noProof/>
          <w:lang w:val="en-GB"/>
        </w:rPr>
        <w:t>metres</w:t>
      </w:r>
      <w:r w:rsidRPr="0048352B">
        <w:rPr>
          <w:lang w:val="en-GB"/>
        </w:rPr>
        <w:t xml:space="preserve"> away from those dwellings for towers 31 to 45 </w:t>
      </w:r>
      <w:r w:rsidRPr="0048352B">
        <w:rPr>
          <w:noProof/>
          <w:lang w:val="en-GB"/>
        </w:rPr>
        <w:t>metres</w:t>
      </w:r>
      <w:r w:rsidRPr="0048352B">
        <w:rPr>
          <w:lang w:val="en-GB"/>
        </w:rPr>
        <w:t xml:space="preserve"> in height; </w:t>
      </w:r>
    </w:p>
    <w:p w14:paraId="5516C898" w14:textId="77777777" w:rsidR="00B9391A" w:rsidRPr="0048352B" w:rsidRDefault="00B9391A" w:rsidP="006F0B63">
      <w:pPr>
        <w:pStyle w:val="ExhibitText"/>
        <w:numPr>
          <w:ilvl w:val="0"/>
          <w:numId w:val="11"/>
        </w:numPr>
        <w:rPr>
          <w:lang w:val="en-GB"/>
        </w:rPr>
      </w:pPr>
      <w:r w:rsidRPr="0048352B">
        <w:rPr>
          <w:lang w:val="en-GB"/>
        </w:rPr>
        <w:t xml:space="preserve">at least 122 </w:t>
      </w:r>
      <w:r w:rsidRPr="0048352B">
        <w:rPr>
          <w:noProof/>
          <w:lang w:val="en-GB"/>
        </w:rPr>
        <w:t>metres</w:t>
      </w:r>
      <w:r w:rsidRPr="0048352B">
        <w:rPr>
          <w:lang w:val="en-GB"/>
        </w:rPr>
        <w:t xml:space="preserve"> away from those dwelling units for towers 46 to 55 </w:t>
      </w:r>
      <w:r w:rsidRPr="0048352B">
        <w:rPr>
          <w:noProof/>
          <w:lang w:val="en-GB"/>
        </w:rPr>
        <w:t>metres</w:t>
      </w:r>
      <w:r w:rsidRPr="0048352B">
        <w:rPr>
          <w:lang w:val="en-GB"/>
        </w:rPr>
        <w:t xml:space="preserve"> in height; and </w:t>
      </w:r>
    </w:p>
    <w:p w14:paraId="661A5ABD" w14:textId="77777777" w:rsidR="00B9391A" w:rsidRPr="0048352B" w:rsidRDefault="00B9391A" w:rsidP="006F0B63">
      <w:pPr>
        <w:pStyle w:val="ExhibitText"/>
        <w:numPr>
          <w:ilvl w:val="0"/>
          <w:numId w:val="11"/>
        </w:numPr>
        <w:rPr>
          <w:lang w:val="en-GB"/>
        </w:rPr>
      </w:pPr>
      <w:r w:rsidRPr="0048352B">
        <w:rPr>
          <w:lang w:val="en-GB"/>
        </w:rPr>
        <w:t xml:space="preserve">at least three times the height of the proposed tower away from those dwellings for towers 56 </w:t>
      </w:r>
      <w:r w:rsidRPr="0048352B">
        <w:rPr>
          <w:noProof/>
          <w:lang w:val="en-GB"/>
        </w:rPr>
        <w:t>metres</w:t>
      </w:r>
      <w:r w:rsidRPr="0048352B">
        <w:rPr>
          <w:lang w:val="en-GB"/>
        </w:rPr>
        <w:t xml:space="preserve"> or greater in height.</w:t>
      </w:r>
    </w:p>
    <w:p w14:paraId="60475723" w14:textId="77777777" w:rsidR="006F0B63" w:rsidRPr="0048352B" w:rsidRDefault="006F0B63" w:rsidP="006F0B63">
      <w:pPr>
        <w:pStyle w:val="ExhibitText"/>
        <w:rPr>
          <w:lang w:val="en-GB"/>
        </w:rPr>
      </w:pPr>
    </w:p>
    <w:p w14:paraId="2BE6B44E" w14:textId="77777777" w:rsidR="006F0B63" w:rsidRPr="0048352B" w:rsidRDefault="006F0B63" w:rsidP="006F0B63">
      <w:pPr>
        <w:pStyle w:val="ExhibitText"/>
        <w:rPr>
          <w:lang w:val="en-GB"/>
        </w:rPr>
      </w:pPr>
    </w:p>
    <w:p w14:paraId="1C17F79A" w14:textId="34FACF67" w:rsidR="00B9391A" w:rsidRPr="0048352B" w:rsidRDefault="00B9391A" w:rsidP="006F0B63">
      <w:pPr>
        <w:pStyle w:val="ExhibitText"/>
        <w:numPr>
          <w:ilvl w:val="0"/>
          <w:numId w:val="10"/>
        </w:numPr>
        <w:rPr>
          <w:lang w:val="en-GB"/>
        </w:rPr>
      </w:pPr>
      <w:r w:rsidRPr="0048352B">
        <w:rPr>
          <w:lang w:val="en-GB"/>
        </w:rPr>
        <w:t xml:space="preserve">Discouraged Locations </w:t>
      </w:r>
    </w:p>
    <w:p w14:paraId="26D372A9" w14:textId="77777777" w:rsidR="006F0B63" w:rsidRPr="0048352B" w:rsidRDefault="006F0B63" w:rsidP="006F0B63">
      <w:pPr>
        <w:pStyle w:val="ExhibitText"/>
        <w:rPr>
          <w:lang w:val="en-GB"/>
        </w:rPr>
      </w:pPr>
    </w:p>
    <w:p w14:paraId="5E829AD9" w14:textId="77777777" w:rsidR="00B9391A" w:rsidRPr="0048352B" w:rsidRDefault="00B9391A" w:rsidP="006F0B63">
      <w:pPr>
        <w:pStyle w:val="ExhibitText"/>
        <w:numPr>
          <w:ilvl w:val="0"/>
          <w:numId w:val="12"/>
        </w:numPr>
        <w:rPr>
          <w:lang w:val="en-GB"/>
        </w:rPr>
      </w:pPr>
      <w:r w:rsidRPr="0048352B">
        <w:rPr>
          <w:lang w:val="en-GB"/>
        </w:rPr>
        <w:t xml:space="preserve">Close proximity to residences (see subsection 7.6 Residential Development Setback Guidelines) </w:t>
      </w:r>
    </w:p>
    <w:p w14:paraId="537B50BF" w14:textId="77777777" w:rsidR="00B9391A" w:rsidRPr="0048352B" w:rsidRDefault="00B9391A" w:rsidP="006F0B63">
      <w:pPr>
        <w:pStyle w:val="ExhibitText"/>
        <w:numPr>
          <w:ilvl w:val="0"/>
          <w:numId w:val="12"/>
        </w:numPr>
        <w:rPr>
          <w:lang w:val="en-GB"/>
        </w:rPr>
      </w:pPr>
      <w:r w:rsidRPr="0048352B">
        <w:rPr>
          <w:lang w:val="en-GB"/>
        </w:rPr>
        <w:t xml:space="preserve">Ecologically significant natural lands </w:t>
      </w:r>
    </w:p>
    <w:p w14:paraId="3CD58807" w14:textId="77777777" w:rsidR="00B9391A" w:rsidRPr="0048352B" w:rsidRDefault="00B9391A" w:rsidP="006F0B63">
      <w:pPr>
        <w:pStyle w:val="ExhibitText"/>
        <w:numPr>
          <w:ilvl w:val="0"/>
          <w:numId w:val="12"/>
        </w:numPr>
        <w:rPr>
          <w:lang w:val="en-GB"/>
        </w:rPr>
      </w:pPr>
      <w:r w:rsidRPr="0048352B">
        <w:rPr>
          <w:lang w:val="en-GB"/>
        </w:rPr>
        <w:t xml:space="preserve">Riverbank lands </w:t>
      </w:r>
    </w:p>
    <w:p w14:paraId="66D049CF" w14:textId="77777777" w:rsidR="00B9391A" w:rsidRPr="0048352B" w:rsidRDefault="00B9391A" w:rsidP="006F0B63">
      <w:pPr>
        <w:pStyle w:val="ExhibitText"/>
        <w:numPr>
          <w:ilvl w:val="0"/>
          <w:numId w:val="12"/>
        </w:numPr>
        <w:rPr>
          <w:lang w:val="en-GB"/>
        </w:rPr>
      </w:pPr>
      <w:r w:rsidRPr="0048352B">
        <w:rPr>
          <w:lang w:val="en-GB"/>
        </w:rPr>
        <w:t xml:space="preserve">Sites of topographical prominence </w:t>
      </w:r>
    </w:p>
    <w:p w14:paraId="5FAC7F29" w14:textId="77777777" w:rsidR="00B9391A" w:rsidRPr="0048352B" w:rsidRDefault="00B9391A" w:rsidP="006F0B63">
      <w:pPr>
        <w:pStyle w:val="ExhibitText"/>
        <w:numPr>
          <w:ilvl w:val="0"/>
          <w:numId w:val="12"/>
        </w:numPr>
        <w:rPr>
          <w:lang w:val="en-GB"/>
        </w:rPr>
      </w:pPr>
      <w:r w:rsidRPr="0048352B">
        <w:rPr>
          <w:lang w:val="en-GB"/>
        </w:rPr>
        <w:t xml:space="preserve">Heritage areas </w:t>
      </w:r>
    </w:p>
    <w:p w14:paraId="7797367C" w14:textId="1EF72F0A" w:rsidR="00B9391A" w:rsidRPr="0048352B" w:rsidRDefault="00B9391A" w:rsidP="006F0B63">
      <w:pPr>
        <w:pStyle w:val="ExhibitText"/>
        <w:numPr>
          <w:ilvl w:val="0"/>
          <w:numId w:val="12"/>
        </w:numPr>
        <w:rPr>
          <w:lang w:val="en-GB"/>
        </w:rPr>
      </w:pPr>
      <w:r w:rsidRPr="0048352B">
        <w:rPr>
          <w:lang w:val="en-GB"/>
        </w:rPr>
        <w:t xml:space="preserve">Heritage structures (unless forming an integrated part of that structure’s overall design through the use of camouflaging or other hidden stealth structures, </w:t>
      </w:r>
      <w:r w:rsidRPr="0048352B">
        <w:rPr>
          <w:noProof/>
          <w:lang w:val="en-GB"/>
        </w:rPr>
        <w:t>features</w:t>
      </w:r>
      <w:r w:rsidRPr="0048352B">
        <w:rPr>
          <w:lang w:val="en-GB"/>
        </w:rPr>
        <w:t xml:space="preserve"> and forms) </w:t>
      </w:r>
    </w:p>
    <w:p w14:paraId="7F123724" w14:textId="77777777" w:rsidR="00B9391A" w:rsidRPr="0048352B" w:rsidRDefault="00B9391A" w:rsidP="006F0B63">
      <w:pPr>
        <w:pStyle w:val="ExhibitText"/>
        <w:numPr>
          <w:ilvl w:val="0"/>
          <w:numId w:val="12"/>
        </w:numPr>
        <w:rPr>
          <w:lang w:val="en-GB"/>
        </w:rPr>
      </w:pPr>
      <w:r w:rsidRPr="0048352B">
        <w:rPr>
          <w:lang w:val="en-GB"/>
        </w:rPr>
        <w:t xml:space="preserve">Pitched roofs (unless screened or housed to hide the antenna array) </w:t>
      </w:r>
    </w:p>
    <w:p w14:paraId="78DA6945" w14:textId="77777777" w:rsidR="00B9391A" w:rsidRPr="0048352B" w:rsidRDefault="00B9391A" w:rsidP="006F0B63">
      <w:pPr>
        <w:pStyle w:val="ExhibitText"/>
        <w:numPr>
          <w:ilvl w:val="0"/>
          <w:numId w:val="12"/>
        </w:numPr>
        <w:rPr>
          <w:lang w:val="en-GB"/>
        </w:rPr>
      </w:pPr>
      <w:r w:rsidRPr="0048352B">
        <w:rPr>
          <w:lang w:val="en-GB"/>
        </w:rPr>
        <w:t xml:space="preserve">Proximity to schools (towers should be no closer than 100 </w:t>
      </w:r>
      <w:r w:rsidRPr="0048352B">
        <w:rPr>
          <w:noProof/>
          <w:lang w:val="en-GB"/>
        </w:rPr>
        <w:t>metres</w:t>
      </w:r>
      <w:r w:rsidRPr="0048352B">
        <w:rPr>
          <w:lang w:val="en-GB"/>
        </w:rPr>
        <w:t xml:space="preserve"> away from the nearest portion of a school building or the nearest portable classroom, whichever is closer to the proposed installation)</w:t>
      </w:r>
    </w:p>
    <w:p w14:paraId="19511E20" w14:textId="77777777" w:rsidR="006F0B63" w:rsidRPr="0048352B" w:rsidRDefault="006F0B63" w:rsidP="006F0B63">
      <w:pPr>
        <w:pStyle w:val="Footnote"/>
        <w:rPr>
          <w:lang w:val="en-GB"/>
        </w:rPr>
      </w:pPr>
    </w:p>
    <w:p w14:paraId="6E056C62" w14:textId="4337DABE" w:rsidR="008204CC" w:rsidRDefault="00B9391A" w:rsidP="006F0B63">
      <w:pPr>
        <w:pStyle w:val="Footnote"/>
        <w:rPr>
          <w:rStyle w:val="Hyperlink"/>
          <w:color w:val="auto"/>
          <w:spacing w:val="-6"/>
          <w:u w:val="none"/>
          <w:lang w:val="en-GB"/>
        </w:rPr>
      </w:pPr>
      <w:r w:rsidRPr="0048352B">
        <w:rPr>
          <w:spacing w:val="-6"/>
          <w:lang w:val="en-GB"/>
        </w:rPr>
        <w:t xml:space="preserve">Source: </w:t>
      </w:r>
      <w:r w:rsidR="006F0B63" w:rsidRPr="0048352B">
        <w:rPr>
          <w:spacing w:val="-6"/>
          <w:lang w:val="en-GB"/>
        </w:rPr>
        <w:t xml:space="preserve">City of Calgary, </w:t>
      </w:r>
      <w:r w:rsidR="006F0B63" w:rsidRPr="0048352B">
        <w:rPr>
          <w:i/>
          <w:spacing w:val="-6"/>
          <w:lang w:val="en-GB"/>
        </w:rPr>
        <w:t>Telecommunication Antenna Structures Siting Protocols</w:t>
      </w:r>
      <w:r w:rsidR="00765951" w:rsidRPr="0048352B">
        <w:rPr>
          <w:spacing w:val="-6"/>
          <w:lang w:val="en-GB"/>
        </w:rPr>
        <w:t>,</w:t>
      </w:r>
      <w:r w:rsidR="006F0B63" w:rsidRPr="0048352B">
        <w:rPr>
          <w:spacing w:val="-6"/>
          <w:lang w:val="en-GB"/>
        </w:rPr>
        <w:t xml:space="preserve"> November 17, 2014, accessed November 10, 2017, www.calgary.ca/PDA/pd/Documents/development/telecommunication_antenna_structures_siting_protocols.pdf?noredirect=1</w:t>
      </w:r>
      <w:r w:rsidR="006F0B63" w:rsidRPr="0048352B">
        <w:rPr>
          <w:rStyle w:val="Hyperlink"/>
          <w:color w:val="auto"/>
          <w:spacing w:val="-6"/>
          <w:u w:val="none"/>
          <w:lang w:val="en-GB"/>
        </w:rPr>
        <w:t>.</w:t>
      </w:r>
    </w:p>
    <w:p w14:paraId="50CF817D" w14:textId="77777777" w:rsidR="008204CC" w:rsidRDefault="008204CC">
      <w:pPr>
        <w:spacing w:after="200" w:line="276" w:lineRule="auto"/>
        <w:rPr>
          <w:rStyle w:val="Hyperlink"/>
          <w:rFonts w:ascii="Arial" w:hAnsi="Arial" w:cs="Arial"/>
          <w:color w:val="auto"/>
          <w:spacing w:val="-6"/>
          <w:sz w:val="17"/>
          <w:szCs w:val="17"/>
          <w:u w:val="none"/>
          <w:lang w:val="en-GB"/>
        </w:rPr>
      </w:pPr>
      <w:r>
        <w:rPr>
          <w:rStyle w:val="Hyperlink"/>
          <w:color w:val="auto"/>
          <w:spacing w:val="-6"/>
          <w:u w:val="none"/>
          <w:lang w:val="en-GB"/>
        </w:rPr>
        <w:br w:type="page"/>
      </w:r>
    </w:p>
    <w:p w14:paraId="16981EF2" w14:textId="43A789C7" w:rsidR="00EB2894" w:rsidRPr="0048352B" w:rsidRDefault="008204CC" w:rsidP="00840DCE">
      <w:pPr>
        <w:pStyle w:val="Casehead1"/>
        <w:rPr>
          <w:lang w:val="en-GB"/>
        </w:rPr>
      </w:pPr>
      <w:r>
        <w:rPr>
          <w:lang w:val="en-GB"/>
        </w:rPr>
        <w:lastRenderedPageBreak/>
        <w:t>ENDNOTES</w:t>
      </w:r>
    </w:p>
    <w:sectPr w:rsidR="00EB2894" w:rsidRPr="0048352B" w:rsidSect="00751E0B">
      <w:headerReference w:type="default" r:id="rId17"/>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0CDCF" w14:textId="77777777" w:rsidR="001037DB" w:rsidRDefault="001037DB" w:rsidP="00D75295">
      <w:r>
        <w:separator/>
      </w:r>
    </w:p>
  </w:endnote>
  <w:endnote w:type="continuationSeparator" w:id="0">
    <w:p w14:paraId="36154E89" w14:textId="77777777" w:rsidR="001037DB" w:rsidRDefault="001037DB" w:rsidP="00D75295">
      <w:r>
        <w:continuationSeparator/>
      </w:r>
    </w:p>
  </w:endnote>
  <w:endnote w:id="1">
    <w:p w14:paraId="10851323" w14:textId="126B2EF4" w:rsidR="001037DB" w:rsidRPr="00EB2894" w:rsidRDefault="001037DB" w:rsidP="00EB2894">
      <w:pPr>
        <w:pStyle w:val="Footnote"/>
      </w:pPr>
      <w:r w:rsidRPr="00EB2894">
        <w:rPr>
          <w:rStyle w:val="EndnoteReference"/>
        </w:rPr>
        <w:endnoteRef/>
      </w:r>
      <w:r w:rsidRPr="00EB2894">
        <w:t xml:space="preserve"> This case has been written on the basis of published sources only. Consequently, the interpretation and perspectives presented in this case are not necessarily those of TELUS</w:t>
      </w:r>
      <w:r>
        <w:t xml:space="preserve"> Corporation</w:t>
      </w:r>
      <w:r w:rsidRPr="00EB2894">
        <w:t xml:space="preserve"> or any of its employees.</w:t>
      </w:r>
    </w:p>
  </w:endnote>
  <w:endnote w:id="2">
    <w:p w14:paraId="0101E624" w14:textId="7098BE9B" w:rsidR="001037DB" w:rsidRPr="00EB2894" w:rsidRDefault="001037DB" w:rsidP="00EB2894">
      <w:pPr>
        <w:pStyle w:val="Footnote"/>
      </w:pPr>
      <w:r w:rsidRPr="00772664">
        <w:rPr>
          <w:rStyle w:val="EndnoteReference"/>
          <w:spacing w:val="-2"/>
        </w:rPr>
        <w:endnoteRef/>
      </w:r>
      <w:r w:rsidRPr="00772664">
        <w:rPr>
          <w:spacing w:val="-2"/>
        </w:rPr>
        <w:t xml:space="preserve"> Emma McIntosh, “Parents Push Back against Cellphone Tower Next to Daycare,” </w:t>
      </w:r>
      <w:r w:rsidRPr="00772664">
        <w:rPr>
          <w:i/>
          <w:spacing w:val="-2"/>
        </w:rPr>
        <w:t>Calgary Herald</w:t>
      </w:r>
      <w:r w:rsidRPr="00772664">
        <w:rPr>
          <w:spacing w:val="-2"/>
        </w:rPr>
        <w:t xml:space="preserve">, July 17, 2015, accessed November 10, 2017, </w:t>
      </w:r>
      <w:hyperlink r:id="rId1" w:history="1">
        <w:r w:rsidRPr="00772664">
          <w:rPr>
            <w:rStyle w:val="Hyperlink"/>
            <w:color w:val="auto"/>
            <w:spacing w:val="-2"/>
            <w:u w:val="none"/>
          </w:rPr>
          <w:t>http://calgaryherald.com/news/local-news/parents-push-back-against-cellphone-tower-next-to-daycare</w:t>
        </w:r>
      </w:hyperlink>
      <w:r w:rsidRPr="00EB2894">
        <w:t xml:space="preserve">. </w:t>
      </w:r>
    </w:p>
  </w:endnote>
  <w:endnote w:id="3">
    <w:p w14:paraId="40E6B4B7" w14:textId="5C09D57E" w:rsidR="001037DB" w:rsidRPr="00EB2894" w:rsidRDefault="001037DB" w:rsidP="00EB2894">
      <w:pPr>
        <w:pStyle w:val="Footnote"/>
        <w:rPr>
          <w:spacing w:val="-6"/>
        </w:rPr>
      </w:pPr>
      <w:r w:rsidRPr="00EB2894">
        <w:rPr>
          <w:rStyle w:val="EndnoteReference"/>
          <w:spacing w:val="-6"/>
        </w:rPr>
        <w:endnoteRef/>
      </w:r>
      <w:r w:rsidRPr="00EB2894">
        <w:rPr>
          <w:spacing w:val="-6"/>
        </w:rPr>
        <w:t xml:space="preserve"> City of Calgary, </w:t>
      </w:r>
      <w:r w:rsidRPr="00772664">
        <w:rPr>
          <w:i/>
          <w:spacing w:val="-6"/>
        </w:rPr>
        <w:t>Telecommunication Antenna Structures Siting Protocols 2014</w:t>
      </w:r>
      <w:r w:rsidRPr="00EB2894">
        <w:rPr>
          <w:spacing w:val="-6"/>
        </w:rPr>
        <w:t>, November 17, 2014, accessed November 10, 2017, www.calgary.ca/PDA/pd/Documents/development/telecommunication_antenna_structures_siting_protocols.pdf?noredirect=1.</w:t>
      </w:r>
    </w:p>
  </w:endnote>
  <w:endnote w:id="4">
    <w:p w14:paraId="6DAFBA50" w14:textId="2ED5362C" w:rsidR="001037DB" w:rsidRPr="00EB2894" w:rsidRDefault="001037DB" w:rsidP="00EB2894">
      <w:pPr>
        <w:pStyle w:val="Footnote"/>
      </w:pPr>
      <w:r w:rsidRPr="00EB2894">
        <w:rPr>
          <w:rStyle w:val="EndnoteReference"/>
        </w:rPr>
        <w:endnoteRef/>
      </w:r>
      <w:r>
        <w:t xml:space="preserve"> </w:t>
      </w:r>
      <w:r w:rsidRPr="00EB2894">
        <w:t>Michael Geist, “CRTC Falls Short on True Wireless Co</w:t>
      </w:r>
      <w:r>
        <w:t>m</w:t>
      </w:r>
      <w:r w:rsidRPr="00EB2894">
        <w:t xml:space="preserve">petition,” </w:t>
      </w:r>
      <w:r>
        <w:rPr>
          <w:i/>
        </w:rPr>
        <w:t xml:space="preserve">Toronto </w:t>
      </w:r>
      <w:r w:rsidRPr="00772664">
        <w:rPr>
          <w:i/>
        </w:rPr>
        <w:t>Star</w:t>
      </w:r>
      <w:r w:rsidRPr="00EB2894">
        <w:t>, May 8, 2015, accessed October 5, 2017, www.thestar.com/business/2015/05/08/crtc-falls-short-on-true-wireless-competition-geist.html</w:t>
      </w:r>
      <w:r>
        <w:t xml:space="preserve">. </w:t>
      </w:r>
    </w:p>
  </w:endnote>
  <w:endnote w:id="5">
    <w:p w14:paraId="098B7AE3" w14:textId="2052EC6A" w:rsidR="001037DB" w:rsidRPr="00EB2894" w:rsidRDefault="001037DB" w:rsidP="00EB2894">
      <w:pPr>
        <w:pStyle w:val="Footnote"/>
      </w:pPr>
      <w:r w:rsidRPr="00EB2894">
        <w:rPr>
          <w:rStyle w:val="EndnoteReference"/>
        </w:rPr>
        <w:endnoteRef/>
      </w:r>
      <w:r>
        <w:t xml:space="preserve"> </w:t>
      </w:r>
      <w:r w:rsidRPr="00EB2894">
        <w:t>Emily Jackson, “</w:t>
      </w:r>
      <w:r>
        <w:t>‘</w:t>
      </w:r>
      <w:r w:rsidRPr="00EB2894">
        <w:t xml:space="preserve">Insatiable </w:t>
      </w:r>
      <w:r>
        <w:t>A</w:t>
      </w:r>
      <w:r w:rsidRPr="00EB2894">
        <w:t xml:space="preserve">ppetite’: Canada’s </w:t>
      </w:r>
      <w:r>
        <w:t>B</w:t>
      </w:r>
      <w:r w:rsidRPr="00EB2894">
        <w:t xml:space="preserve">ig </w:t>
      </w:r>
      <w:r>
        <w:t>T</w:t>
      </w:r>
      <w:r w:rsidRPr="00EB2894">
        <w:t xml:space="preserve">hree </w:t>
      </w:r>
      <w:r>
        <w:t>T</w:t>
      </w:r>
      <w:r w:rsidRPr="00EB2894">
        <w:t xml:space="preserve">elecoms </w:t>
      </w:r>
      <w:r>
        <w:t>E</w:t>
      </w:r>
      <w:r w:rsidRPr="00EB2894">
        <w:t xml:space="preserve">nd 2016 with </w:t>
      </w:r>
      <w:r>
        <w:t>S</w:t>
      </w:r>
      <w:r w:rsidRPr="00EB2894">
        <w:t xml:space="preserve">trong </w:t>
      </w:r>
      <w:r>
        <w:t>W</w:t>
      </w:r>
      <w:r w:rsidRPr="00EB2894">
        <w:t xml:space="preserve">ireless </w:t>
      </w:r>
      <w:r>
        <w:t>R</w:t>
      </w:r>
      <w:r w:rsidRPr="00EB2894">
        <w:t>esults</w:t>
      </w:r>
      <w:r>
        <w:t>,</w:t>
      </w:r>
      <w:r w:rsidRPr="00EB2894">
        <w:t xml:space="preserve">” </w:t>
      </w:r>
      <w:r w:rsidRPr="00772664">
        <w:rPr>
          <w:i/>
        </w:rPr>
        <w:t>Financial Post</w:t>
      </w:r>
      <w:r w:rsidRPr="00EB2894">
        <w:t xml:space="preserve">, February 9, 2017, accessed February 8, 2018, </w:t>
      </w:r>
      <w:hyperlink r:id="rId2" w:history="1">
        <w:r w:rsidRPr="00EB2894">
          <w:rPr>
            <w:rStyle w:val="Hyperlink"/>
            <w:color w:val="auto"/>
            <w:u w:val="none"/>
          </w:rPr>
          <w:t>http://business.financialpost.com/technology/insatiable-appetite-canadas-big-three-telecoms-end-2016-with-strong-wireless-results</w:t>
        </w:r>
      </w:hyperlink>
      <w:r>
        <w:rPr>
          <w:rStyle w:val="Hyperlink"/>
          <w:color w:val="auto"/>
          <w:u w:val="none"/>
        </w:rPr>
        <w:t>.</w:t>
      </w:r>
      <w:r w:rsidRPr="00EB2894">
        <w:t xml:space="preserve"> </w:t>
      </w:r>
    </w:p>
  </w:endnote>
  <w:endnote w:id="6">
    <w:p w14:paraId="46F618A0" w14:textId="448C052F" w:rsidR="001037DB" w:rsidRPr="00EB2894" w:rsidRDefault="001037DB" w:rsidP="00EB2894">
      <w:pPr>
        <w:pStyle w:val="Footnote"/>
      </w:pPr>
      <w:r w:rsidRPr="00EB2894">
        <w:rPr>
          <w:rStyle w:val="EndnoteReference"/>
        </w:rPr>
        <w:endnoteRef/>
      </w:r>
      <w:r>
        <w:t xml:space="preserve"> </w:t>
      </w:r>
      <w:r w:rsidRPr="00EB2894">
        <w:t xml:space="preserve">Nick Foster, “How Much Does </w:t>
      </w:r>
      <w:r>
        <w:t>a</w:t>
      </w:r>
      <w:r w:rsidRPr="00EB2894">
        <w:t xml:space="preserve"> Cell Tower Cost?</w:t>
      </w:r>
      <w:r>
        <w:t>,</w:t>
      </w:r>
      <w:r w:rsidRPr="00EB2894">
        <w:t xml:space="preserve">” Airwave Advisors, June 9, 2015, accessed October 6, 2017, </w:t>
      </w:r>
      <w:r w:rsidRPr="00772664">
        <w:t>www.airwaveadvisors.com/how-much-does-a-cell-tower-cost/</w:t>
      </w:r>
      <w:r w:rsidRPr="00EB2894">
        <w:t xml:space="preserve"> .</w:t>
      </w:r>
    </w:p>
  </w:endnote>
  <w:endnote w:id="7">
    <w:p w14:paraId="6A1B9ADF" w14:textId="6C1D4D2A" w:rsidR="001037DB" w:rsidRPr="00EB2894" w:rsidRDefault="001037DB" w:rsidP="00EB2894">
      <w:pPr>
        <w:pStyle w:val="Footnote"/>
      </w:pPr>
      <w:r w:rsidRPr="00EB2894">
        <w:rPr>
          <w:rStyle w:val="EndnoteReference"/>
        </w:rPr>
        <w:endnoteRef/>
      </w:r>
      <w:r>
        <w:t xml:space="preserve"> “</w:t>
      </w:r>
      <w:r w:rsidRPr="00EB2894">
        <w:t>Cell Phone Tower Construction</w:t>
      </w:r>
      <w:r>
        <w:t>,”</w:t>
      </w:r>
      <w:r w:rsidRPr="00EB2894">
        <w:t xml:space="preserve"> Tower Point Capital, accessed October 6, 2017, </w:t>
      </w:r>
      <w:hyperlink r:id="rId3" w:history="1">
        <w:r w:rsidRPr="00EB2894">
          <w:rPr>
            <w:rStyle w:val="Hyperlink"/>
            <w:color w:val="auto"/>
            <w:u w:val="none"/>
          </w:rPr>
          <w:t>http://towerpoint.com/cell-phone-tower-construction/</w:t>
        </w:r>
      </w:hyperlink>
      <w:r w:rsidRPr="00EB2894">
        <w:t xml:space="preserve">. </w:t>
      </w:r>
    </w:p>
  </w:endnote>
  <w:endnote w:id="8">
    <w:p w14:paraId="40115AAB" w14:textId="24BD7266" w:rsidR="001037DB" w:rsidRPr="00EB2894" w:rsidRDefault="001037DB" w:rsidP="00EB2894">
      <w:pPr>
        <w:pStyle w:val="Footnote"/>
      </w:pPr>
      <w:r w:rsidRPr="00EB2894">
        <w:rPr>
          <w:rStyle w:val="EndnoteReference"/>
        </w:rPr>
        <w:endnoteRef/>
      </w:r>
      <w:r>
        <w:t xml:space="preserve"> </w:t>
      </w:r>
      <w:r w:rsidRPr="00EB2894">
        <w:t xml:space="preserve">The American Cancer Society Medical and Editorial Content Team, “Cellular Phone Towers,” American Cancer Society, May 31, 2016, accessed 2017 October 5, </w:t>
      </w:r>
      <w:r w:rsidRPr="00772664">
        <w:t>www.cancer.org/cancer/cancer-causes/radiation-exposure/cellular-phone-towers.html</w:t>
      </w:r>
      <w:r>
        <w:rPr>
          <w:rStyle w:val="Hyperlink"/>
          <w:color w:val="auto"/>
          <w:u w:val="none"/>
        </w:rPr>
        <w:t>.</w:t>
      </w:r>
      <w:r>
        <w:t xml:space="preserve"> </w:t>
      </w:r>
    </w:p>
  </w:endnote>
  <w:endnote w:id="9">
    <w:p w14:paraId="6EF747C6" w14:textId="6220241B" w:rsidR="001037DB" w:rsidRPr="00EB2894" w:rsidRDefault="001037DB" w:rsidP="00EB2894">
      <w:pPr>
        <w:pStyle w:val="Footnote"/>
      </w:pPr>
      <w:r w:rsidRPr="00EB2894">
        <w:rPr>
          <w:rStyle w:val="EndnoteReference"/>
        </w:rPr>
        <w:endnoteRef/>
      </w:r>
      <w:r w:rsidRPr="00EB2894">
        <w:t xml:space="preserve"> “Electromagnetic Fields and Public Health: Mobile Phones,” World Health Organization, October 2014, accessed November 11, 2017, </w:t>
      </w:r>
      <w:hyperlink r:id="rId4" w:history="1">
        <w:r w:rsidRPr="00772664">
          <w:t>www.who.int/mediacentre/factsheets/fs193/en/index.html</w:t>
        </w:r>
      </w:hyperlink>
      <w:r>
        <w:t xml:space="preserve">. </w:t>
      </w:r>
    </w:p>
  </w:endnote>
  <w:endnote w:id="10">
    <w:p w14:paraId="1F895EDC" w14:textId="47AD5AB6" w:rsidR="001037DB" w:rsidRPr="00EB2894" w:rsidRDefault="001037DB" w:rsidP="00EB2894">
      <w:pPr>
        <w:pStyle w:val="Footnote"/>
      </w:pPr>
      <w:r w:rsidRPr="00EB2894">
        <w:rPr>
          <w:rStyle w:val="EndnoteReference"/>
        </w:rPr>
        <w:endnoteRef/>
      </w:r>
      <w:r>
        <w:t xml:space="preserve"> </w:t>
      </w:r>
      <w:r w:rsidRPr="00EB2894">
        <w:t xml:space="preserve">The American Cancer Society Medical and Editorial Content Team, </w:t>
      </w:r>
      <w:r>
        <w:t>op. cit.</w:t>
      </w:r>
    </w:p>
  </w:endnote>
  <w:endnote w:id="11">
    <w:p w14:paraId="467BE054" w14:textId="243E476D" w:rsidR="001037DB" w:rsidRDefault="001037DB" w:rsidP="00EB2894">
      <w:pPr>
        <w:pStyle w:val="Footnote"/>
        <w:rPr>
          <w:spacing w:val="-4"/>
        </w:rPr>
      </w:pPr>
      <w:r w:rsidRPr="00772664">
        <w:rPr>
          <w:rStyle w:val="EndnoteReference"/>
          <w:spacing w:val="-4"/>
        </w:rPr>
        <w:endnoteRef/>
      </w:r>
      <w:r w:rsidRPr="00772664">
        <w:rPr>
          <w:spacing w:val="-4"/>
        </w:rPr>
        <w:t xml:space="preserve"> BC Centre for Disease Control and National Collaborating Centre for Environmental Health, </w:t>
      </w:r>
      <w:r w:rsidRPr="00772664">
        <w:rPr>
          <w:i/>
          <w:spacing w:val="-4"/>
        </w:rPr>
        <w:t>2016 Review: Radiofrequency and Health</w:t>
      </w:r>
      <w:r w:rsidRPr="00772664">
        <w:rPr>
          <w:spacing w:val="-4"/>
        </w:rPr>
        <w:t>, BC Centre for Disease Control, April 14, 2016, accessed November 10, 2017, www.bccdc.ca/resource-gallery/Documents/</w:t>
      </w:r>
    </w:p>
    <w:p w14:paraId="7408CEFF" w14:textId="1959D707" w:rsidR="001037DB" w:rsidRPr="00772664" w:rsidRDefault="001037DB" w:rsidP="00EB2894">
      <w:pPr>
        <w:pStyle w:val="Footnote"/>
        <w:rPr>
          <w:spacing w:val="-4"/>
        </w:rPr>
      </w:pPr>
      <w:r w:rsidRPr="00772664">
        <w:rPr>
          <w:spacing w:val="-4"/>
        </w:rPr>
        <w:t>Guidelines%20and%20Forms/Guidelines%20and%20Manuals/EH/RPS/BCCDC%20RF%20Health%20Report.pdf.</w:t>
      </w:r>
    </w:p>
  </w:endnote>
  <w:endnote w:id="12">
    <w:p w14:paraId="10FA0BDE" w14:textId="1969A9AE" w:rsidR="001037DB" w:rsidRPr="00EB2894" w:rsidRDefault="001037DB" w:rsidP="00EB2894">
      <w:pPr>
        <w:pStyle w:val="Footnote"/>
      </w:pPr>
      <w:r w:rsidRPr="00B42A58">
        <w:rPr>
          <w:rStyle w:val="EndnoteReference"/>
          <w:spacing w:val="-2"/>
        </w:rPr>
        <w:endnoteRef/>
      </w:r>
      <w:r>
        <w:t xml:space="preserve"> </w:t>
      </w:r>
      <w:r w:rsidRPr="00EB2894">
        <w:t xml:space="preserve">“Electromagnetic Fields and Public Health: Mobile Phones,” </w:t>
      </w:r>
      <w:r>
        <w:t xml:space="preserve">op. cit. </w:t>
      </w:r>
    </w:p>
  </w:endnote>
  <w:endnote w:id="13">
    <w:p w14:paraId="63A6079B" w14:textId="36137A0C" w:rsidR="001037DB" w:rsidRPr="00772664" w:rsidRDefault="001037DB" w:rsidP="00EB2894">
      <w:pPr>
        <w:pStyle w:val="Footnote"/>
        <w:rPr>
          <w:spacing w:val="2"/>
        </w:rPr>
      </w:pPr>
      <w:r w:rsidRPr="00772664">
        <w:rPr>
          <w:rStyle w:val="EndnoteReference"/>
          <w:spacing w:val="2"/>
        </w:rPr>
        <w:endnoteRef/>
      </w:r>
      <w:r w:rsidRPr="00772664">
        <w:rPr>
          <w:spacing w:val="2"/>
        </w:rPr>
        <w:t xml:space="preserve"> Ben Lobb, The Standing Committee on Health, </w:t>
      </w:r>
      <w:r w:rsidRPr="00772664">
        <w:rPr>
          <w:i/>
          <w:spacing w:val="2"/>
        </w:rPr>
        <w:t>Radiofrequency Electromagnetic Radiation and The Health of Canadians</w:t>
      </w:r>
      <w:r w:rsidRPr="00772664">
        <w:rPr>
          <w:spacing w:val="2"/>
        </w:rPr>
        <w:t>, House of Commons Canada, June 2015, accessed November 10, 2017, www.c4st.org/images/hesa-2015/412_HESA_Rpt13-e.pdf.</w:t>
      </w:r>
    </w:p>
  </w:endnote>
  <w:endnote w:id="14">
    <w:p w14:paraId="737EBBD8" w14:textId="6D804DDC" w:rsidR="001037DB" w:rsidRPr="00EB2894" w:rsidRDefault="001037DB" w:rsidP="00EB2894">
      <w:pPr>
        <w:pStyle w:val="Footnote"/>
      </w:pPr>
      <w:r w:rsidRPr="00B42A58">
        <w:rPr>
          <w:rStyle w:val="EndnoteReference"/>
        </w:rPr>
        <w:endnoteRef/>
      </w:r>
      <w:r>
        <w:t xml:space="preserve"> </w:t>
      </w:r>
      <w:r w:rsidRPr="00EB2894">
        <w:t>Health Canada, “Safety Code 6: Health Canada</w:t>
      </w:r>
      <w:r>
        <w:t>’</w:t>
      </w:r>
      <w:r w:rsidRPr="00EB2894">
        <w:t xml:space="preserve">s Radiofrequency Exposure Guidelines,” Government of Canada, June 3, 2015, accessed November 11, 2017, </w:t>
      </w:r>
      <w:r w:rsidRPr="004E241F">
        <w:t>www.canada.ca/en/health-canada/services/environmental-workplace-health/reports-publications/radiation/safety-code-6-health-canada-radiofrequency-exposure-guidelines-environmental-workplace-health-health-canada.html</w:t>
      </w:r>
      <w:r w:rsidRPr="00EB2894">
        <w:t xml:space="preserve">. </w:t>
      </w:r>
    </w:p>
  </w:endnote>
  <w:endnote w:id="15">
    <w:p w14:paraId="5FF934F1" w14:textId="5A5672A1" w:rsidR="001037DB" w:rsidRPr="00B42A58" w:rsidRDefault="001037DB" w:rsidP="00EB2894">
      <w:pPr>
        <w:pStyle w:val="Footnote"/>
        <w:rPr>
          <w:spacing w:val="-6"/>
        </w:rPr>
      </w:pPr>
      <w:r w:rsidRPr="00B42A58">
        <w:rPr>
          <w:rStyle w:val="EndnoteReference"/>
          <w:spacing w:val="-6"/>
        </w:rPr>
        <w:endnoteRef/>
      </w:r>
      <w:r w:rsidRPr="00B42A58">
        <w:rPr>
          <w:spacing w:val="-6"/>
        </w:rPr>
        <w:t xml:space="preserve"> City of Calgary,</w:t>
      </w:r>
      <w:hyperlink w:history="1"/>
      <w:r>
        <w:rPr>
          <w:spacing w:val="-6"/>
        </w:rPr>
        <w:t xml:space="preserve"> op. cit</w:t>
      </w:r>
      <w:r w:rsidRPr="00B42A58">
        <w:rPr>
          <w:spacing w:val="-6"/>
        </w:rPr>
        <w:t>.</w:t>
      </w:r>
    </w:p>
  </w:endnote>
  <w:endnote w:id="16">
    <w:p w14:paraId="7670FBE8" w14:textId="305DE94E" w:rsidR="001037DB" w:rsidRPr="00EB2894" w:rsidRDefault="001037DB" w:rsidP="00EB2894">
      <w:pPr>
        <w:pStyle w:val="Footnote"/>
      </w:pPr>
      <w:r w:rsidRPr="00B42A58">
        <w:rPr>
          <w:rStyle w:val="EndnoteReference"/>
        </w:rPr>
        <w:endnoteRef/>
      </w:r>
      <w:r>
        <w:t xml:space="preserve"> </w:t>
      </w:r>
      <w:r>
        <w:rPr>
          <w:spacing w:val="-6"/>
        </w:rPr>
        <w:t>Ibid.</w:t>
      </w:r>
    </w:p>
  </w:endnote>
  <w:endnote w:id="17">
    <w:p w14:paraId="677CE4DF" w14:textId="41786DEB" w:rsidR="001037DB" w:rsidRPr="00EB2894" w:rsidRDefault="001037DB" w:rsidP="00EB2894">
      <w:pPr>
        <w:pStyle w:val="Footnote"/>
      </w:pPr>
      <w:r w:rsidRPr="00B42A58">
        <w:rPr>
          <w:rStyle w:val="EndnoteReference"/>
        </w:rPr>
        <w:endnoteRef/>
      </w:r>
      <w:r w:rsidRPr="00B42A58">
        <w:rPr>
          <w:vertAlign w:val="superscript"/>
        </w:rPr>
        <w:t xml:space="preserve"> </w:t>
      </w:r>
      <w:r w:rsidRPr="00EB2894">
        <w:t xml:space="preserve">Noor Javed, “Cellphone Towers Often Unwelcome Neighbours,” </w:t>
      </w:r>
      <w:r w:rsidRPr="00772664">
        <w:rPr>
          <w:i/>
        </w:rPr>
        <w:t>Toronto Star</w:t>
      </w:r>
      <w:r w:rsidRPr="00EB2894">
        <w:t xml:space="preserve">, June 17, 2013, accessed November 10, 2017, </w:t>
      </w:r>
      <w:r w:rsidRPr="004E241F">
        <w:t>www.thestar.com/news/insight/2013/06/17/cellphone_towers_often_unwelcome_neighbours.html</w:t>
      </w:r>
      <w:r>
        <w:rPr>
          <w:rStyle w:val="Hyperlink"/>
          <w:color w:val="auto"/>
          <w:u w:val="none"/>
        </w:rPr>
        <w:t>.</w:t>
      </w:r>
      <w:r>
        <w:t xml:space="preserve"> </w:t>
      </w:r>
    </w:p>
  </w:endnote>
  <w:endnote w:id="18">
    <w:p w14:paraId="3D6526F0" w14:textId="441DABA2" w:rsidR="001037DB" w:rsidRPr="00B42A58" w:rsidRDefault="001037DB" w:rsidP="00EB2894">
      <w:pPr>
        <w:pStyle w:val="Footnote"/>
        <w:rPr>
          <w:spacing w:val="-2"/>
        </w:rPr>
      </w:pPr>
      <w:r w:rsidRPr="00B42A58">
        <w:rPr>
          <w:rStyle w:val="EndnoteReference"/>
        </w:rPr>
        <w:endnoteRef/>
      </w:r>
      <w:r>
        <w:t xml:space="preserve"> </w:t>
      </w:r>
      <w:r w:rsidRPr="00B42A58">
        <w:rPr>
          <w:spacing w:val="-2"/>
        </w:rPr>
        <w:t>Mc</w:t>
      </w:r>
      <w:r>
        <w:rPr>
          <w:spacing w:val="-2"/>
        </w:rPr>
        <w:t>I</w:t>
      </w:r>
      <w:r w:rsidRPr="00B42A58">
        <w:rPr>
          <w:spacing w:val="-2"/>
        </w:rPr>
        <w:t xml:space="preserve">ntosh, </w:t>
      </w:r>
      <w:r>
        <w:rPr>
          <w:spacing w:val="-2"/>
        </w:rPr>
        <w:t xml:space="preserve">op. cit. </w:t>
      </w:r>
    </w:p>
  </w:endnote>
  <w:endnote w:id="19">
    <w:p w14:paraId="6C939C8D" w14:textId="26EC3EE7" w:rsidR="001037DB" w:rsidRPr="00B42A58" w:rsidRDefault="001037DB" w:rsidP="00EB2894">
      <w:pPr>
        <w:pStyle w:val="Footnote"/>
        <w:rPr>
          <w:spacing w:val="-2"/>
        </w:rPr>
      </w:pPr>
      <w:r w:rsidRPr="00B42A58">
        <w:rPr>
          <w:rStyle w:val="EndnoteReference"/>
          <w:spacing w:val="-2"/>
        </w:rPr>
        <w:endnoteRef/>
      </w:r>
      <w:r w:rsidRPr="00B42A58">
        <w:rPr>
          <w:spacing w:val="-2"/>
          <w:vertAlign w:val="superscript"/>
        </w:rPr>
        <w:t xml:space="preserve"> </w:t>
      </w:r>
      <w:r>
        <w:rPr>
          <w:spacing w:val="-2"/>
        </w:rPr>
        <w:t>Ibid.</w:t>
      </w:r>
      <w:r w:rsidRPr="00B42A58">
        <w:rPr>
          <w:spacing w:val="-2"/>
        </w:rPr>
        <w:t xml:space="preserve"> </w:t>
      </w:r>
    </w:p>
  </w:endnote>
  <w:endnote w:id="20">
    <w:p w14:paraId="75E9C57B" w14:textId="05CE0F94" w:rsidR="001037DB" w:rsidRPr="00B42A58" w:rsidRDefault="001037DB" w:rsidP="00EB2894">
      <w:pPr>
        <w:pStyle w:val="Footnote"/>
        <w:rPr>
          <w:spacing w:val="-2"/>
        </w:rPr>
      </w:pPr>
      <w:r w:rsidRPr="00B42A58">
        <w:rPr>
          <w:rStyle w:val="EndnoteReference"/>
          <w:spacing w:val="-2"/>
        </w:rPr>
        <w:endnoteRef/>
      </w:r>
      <w:r w:rsidRPr="00B42A58">
        <w:rPr>
          <w:spacing w:val="-2"/>
        </w:rPr>
        <w:t xml:space="preserve"> Carol, “Cell </w:t>
      </w:r>
      <w:r>
        <w:rPr>
          <w:spacing w:val="-2"/>
        </w:rPr>
        <w:t>T</w:t>
      </w:r>
      <w:r w:rsidRPr="00B42A58">
        <w:rPr>
          <w:spacing w:val="-2"/>
        </w:rPr>
        <w:t xml:space="preserve">ower 84 Meters from Daycare at The University of Calgary,” The Canadian Charger, August 11, 2015, accessed November 10, 2017, </w:t>
      </w:r>
      <w:hyperlink r:id="rId5" w:history="1">
        <w:r w:rsidRPr="00B42A58">
          <w:rPr>
            <w:rStyle w:val="Hyperlink"/>
            <w:color w:val="auto"/>
            <w:spacing w:val="-2"/>
            <w:u w:val="none"/>
          </w:rPr>
          <w:t>www.thecanadiancharger.com/page.php?id=5&amp;a=1908</w:t>
        </w:r>
      </w:hyperlink>
      <w:r>
        <w:rPr>
          <w:rStyle w:val="Hyperlink"/>
          <w:color w:val="auto"/>
          <w:spacing w:val="-2"/>
          <w:u w:val="none"/>
        </w:rPr>
        <w:t>.</w:t>
      </w:r>
      <w:r>
        <w:rPr>
          <w:spacing w:val="-2"/>
        </w:rPr>
        <w:t xml:space="preserve"> </w:t>
      </w:r>
    </w:p>
  </w:endnote>
  <w:endnote w:id="21">
    <w:p w14:paraId="48954777" w14:textId="77777777" w:rsidR="00622CCA" w:rsidRPr="00B42A58" w:rsidRDefault="00622CCA" w:rsidP="00622CCA">
      <w:pPr>
        <w:pStyle w:val="Footnote"/>
        <w:rPr>
          <w:spacing w:val="-2"/>
        </w:rPr>
      </w:pPr>
      <w:r w:rsidRPr="00B42A58">
        <w:rPr>
          <w:rStyle w:val="EndnoteReference"/>
          <w:spacing w:val="-2"/>
        </w:rPr>
        <w:endnoteRef/>
      </w:r>
      <w:r w:rsidRPr="00B42A58">
        <w:rPr>
          <w:spacing w:val="-2"/>
          <w:vertAlign w:val="superscript"/>
        </w:rPr>
        <w:t xml:space="preserve"> </w:t>
      </w:r>
      <w:r w:rsidRPr="00B42A58">
        <w:rPr>
          <w:spacing w:val="-2"/>
        </w:rPr>
        <w:t>Mc</w:t>
      </w:r>
      <w:r>
        <w:rPr>
          <w:spacing w:val="-2"/>
        </w:rPr>
        <w:t>I</w:t>
      </w:r>
      <w:r w:rsidRPr="00B42A58">
        <w:rPr>
          <w:spacing w:val="-2"/>
        </w:rPr>
        <w:t xml:space="preserve">ntosh, </w:t>
      </w:r>
      <w:r>
        <w:rPr>
          <w:spacing w:val="-2"/>
        </w:rPr>
        <w:t>op. cit.</w:t>
      </w:r>
      <w:r w:rsidRPr="00B42A58">
        <w:rPr>
          <w:spacing w:val="-2"/>
        </w:rPr>
        <w:t xml:space="preserve"> </w:t>
      </w:r>
    </w:p>
  </w:endnote>
  <w:endnote w:id="22">
    <w:p w14:paraId="65A13125" w14:textId="12EB6DCB" w:rsidR="00D50645" w:rsidRPr="00D50645" w:rsidRDefault="00D50645" w:rsidP="00D50645">
      <w:pPr>
        <w:pStyle w:val="Footnote"/>
      </w:pPr>
      <w:r>
        <w:rPr>
          <w:rStyle w:val="EndnoteReference"/>
        </w:rPr>
        <w:endnoteRef/>
      </w:r>
      <w:r>
        <w:t xml:space="preserve"> Ibid; </w:t>
      </w:r>
      <w:r w:rsidRPr="00B42A58">
        <w:t>Mc</w:t>
      </w:r>
      <w:r>
        <w:t>I</w:t>
      </w:r>
      <w:r w:rsidRPr="00B42A58">
        <w:t xml:space="preserve">ntosh, </w:t>
      </w:r>
      <w:r>
        <w:t>op. cit.</w:t>
      </w:r>
    </w:p>
  </w:endnote>
  <w:endnote w:id="23">
    <w:p w14:paraId="433E57FE" w14:textId="04B423D2" w:rsidR="001037DB" w:rsidRPr="00EB2894" w:rsidRDefault="001037DB" w:rsidP="00EB2894">
      <w:pPr>
        <w:pStyle w:val="Footnote"/>
      </w:pPr>
      <w:r w:rsidRPr="00B42A58">
        <w:rPr>
          <w:rStyle w:val="EndnoteReference"/>
        </w:rPr>
        <w:endnoteRef/>
      </w:r>
      <w:r>
        <w:t xml:space="preserve"> </w:t>
      </w:r>
      <w:r w:rsidRPr="00EB2894">
        <w:t xml:space="preserve">Carol, </w:t>
      </w:r>
      <w:r>
        <w:t xml:space="preserve">op. cit. </w:t>
      </w:r>
    </w:p>
  </w:endnote>
  <w:endnote w:id="24">
    <w:p w14:paraId="49C27AFF" w14:textId="5035DAEA" w:rsidR="001037DB" w:rsidRPr="00EB2894" w:rsidRDefault="001037DB" w:rsidP="00EB2894">
      <w:pPr>
        <w:pStyle w:val="Footnote"/>
      </w:pPr>
      <w:r w:rsidRPr="00B42A58">
        <w:rPr>
          <w:rStyle w:val="EndnoteReference"/>
        </w:rPr>
        <w:endnoteRef/>
      </w:r>
      <w:r>
        <w:t xml:space="preserve"> Ibid.</w:t>
      </w:r>
      <w:r w:rsidRPr="00EB2894">
        <w:t xml:space="preserve"> </w:t>
      </w:r>
    </w:p>
  </w:endnote>
  <w:endnote w:id="25">
    <w:p w14:paraId="44F56CAA" w14:textId="53465E21" w:rsidR="001037DB" w:rsidRPr="00B42A58" w:rsidRDefault="001037DB" w:rsidP="00EB2894">
      <w:pPr>
        <w:pStyle w:val="Footnote"/>
        <w:rPr>
          <w:spacing w:val="-6"/>
        </w:rPr>
      </w:pPr>
      <w:r w:rsidRPr="00B42A58">
        <w:rPr>
          <w:rStyle w:val="EndnoteReference"/>
          <w:spacing w:val="-6"/>
        </w:rPr>
        <w:endnoteRef/>
      </w:r>
      <w:r w:rsidRPr="00B42A58">
        <w:rPr>
          <w:spacing w:val="-6"/>
        </w:rPr>
        <w:t xml:space="preserve"> City of Calgary, </w:t>
      </w:r>
      <w:r>
        <w:rPr>
          <w:spacing w:val="-6"/>
        </w:rPr>
        <w:t>op. cit.</w:t>
      </w:r>
      <w:r w:rsidRPr="00B42A58">
        <w:rPr>
          <w:spacing w:val="-6"/>
        </w:rPr>
        <w:t xml:space="preserve"> </w:t>
      </w:r>
    </w:p>
  </w:endnote>
  <w:endnote w:id="26">
    <w:p w14:paraId="1656A268" w14:textId="5DF7CAE0" w:rsidR="001037DB" w:rsidRPr="00B42A58" w:rsidRDefault="001037DB" w:rsidP="00EB2894">
      <w:pPr>
        <w:pStyle w:val="Footnote"/>
        <w:rPr>
          <w:spacing w:val="-2"/>
        </w:rPr>
      </w:pPr>
      <w:r w:rsidRPr="00B42A58">
        <w:rPr>
          <w:rStyle w:val="EndnoteReference"/>
          <w:spacing w:val="-2"/>
        </w:rPr>
        <w:endnoteRef/>
      </w:r>
      <w:r w:rsidRPr="00B42A58">
        <w:rPr>
          <w:spacing w:val="-2"/>
        </w:rPr>
        <w:t xml:space="preserve"> Mc</w:t>
      </w:r>
      <w:r>
        <w:rPr>
          <w:spacing w:val="-2"/>
        </w:rPr>
        <w:t>I</w:t>
      </w:r>
      <w:r w:rsidRPr="00B42A58">
        <w:rPr>
          <w:spacing w:val="-2"/>
        </w:rPr>
        <w:t xml:space="preserve">ntosh, </w:t>
      </w:r>
      <w:r>
        <w:rPr>
          <w:spacing w:val="-2"/>
        </w:rPr>
        <w:t>op. cit</w:t>
      </w:r>
      <w:r w:rsidRPr="00B42A58">
        <w:rPr>
          <w:rStyle w:val="Hyperlink"/>
          <w:color w:val="auto"/>
          <w:spacing w:val="-2"/>
          <w:u w:val="none"/>
        </w:rPr>
        <w:t>.</w:t>
      </w:r>
    </w:p>
  </w:endnote>
  <w:endnote w:id="27">
    <w:p w14:paraId="14A131CC" w14:textId="7C200816" w:rsidR="001037DB" w:rsidRPr="00B42A58" w:rsidRDefault="001037DB" w:rsidP="00EB2894">
      <w:pPr>
        <w:pStyle w:val="Footnote"/>
        <w:rPr>
          <w:spacing w:val="-2"/>
        </w:rPr>
      </w:pPr>
      <w:r w:rsidRPr="00B42A58">
        <w:rPr>
          <w:rStyle w:val="EndnoteReference"/>
          <w:spacing w:val="-2"/>
        </w:rPr>
        <w:endnoteRef/>
      </w:r>
      <w:r w:rsidRPr="00B42A58">
        <w:rPr>
          <w:spacing w:val="-2"/>
        </w:rPr>
        <w:t xml:space="preserve"> </w:t>
      </w:r>
      <w:r>
        <w:rPr>
          <w:spacing w:val="-2"/>
        </w:rPr>
        <w:t xml:space="preserve">Ibid. </w:t>
      </w:r>
    </w:p>
  </w:endnote>
  <w:endnote w:id="28">
    <w:p w14:paraId="07001390" w14:textId="45FE088D" w:rsidR="001037DB" w:rsidRPr="00EB2894" w:rsidRDefault="001037DB" w:rsidP="00EB2894">
      <w:pPr>
        <w:pStyle w:val="Footnote"/>
      </w:pPr>
      <w:r w:rsidRPr="00B42A58">
        <w:rPr>
          <w:rStyle w:val="EndnoteReference"/>
        </w:rPr>
        <w:endnoteRef/>
      </w:r>
      <w:r>
        <w:t xml:space="preserve"> </w:t>
      </w:r>
      <w:r w:rsidRPr="00EB2894">
        <w:t xml:space="preserve">Carol, </w:t>
      </w:r>
      <w:r>
        <w:t>op. cit.</w:t>
      </w:r>
      <w:r w:rsidRPr="00EB2894">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6BA85" w14:textId="77777777" w:rsidR="001037DB" w:rsidRDefault="001037DB" w:rsidP="00D75295">
      <w:r>
        <w:separator/>
      </w:r>
    </w:p>
  </w:footnote>
  <w:footnote w:type="continuationSeparator" w:id="0">
    <w:p w14:paraId="25830E29" w14:textId="77777777" w:rsidR="001037DB" w:rsidRDefault="001037D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0C9C9B3C" w:rsidR="001037DB" w:rsidRPr="00C92CC4" w:rsidRDefault="001037D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36B07">
      <w:rPr>
        <w:rFonts w:ascii="Arial" w:hAnsi="Arial"/>
        <w:b/>
        <w:noProof/>
      </w:rPr>
      <w:t>6</w:t>
    </w:r>
    <w:r>
      <w:rPr>
        <w:rFonts w:ascii="Arial" w:hAnsi="Arial"/>
        <w:b/>
      </w:rPr>
      <w:fldChar w:fldCharType="end"/>
    </w:r>
    <w:r>
      <w:rPr>
        <w:rFonts w:ascii="Arial" w:hAnsi="Arial"/>
        <w:b/>
      </w:rPr>
      <w:tab/>
    </w:r>
    <w:r w:rsidR="004A0C3F">
      <w:rPr>
        <w:rFonts w:ascii="Arial" w:hAnsi="Arial"/>
        <w:b/>
      </w:rPr>
      <w:t>9B18M183</w:t>
    </w:r>
  </w:p>
  <w:p w14:paraId="2B53C0A0" w14:textId="77777777" w:rsidR="001037DB" w:rsidRDefault="001037DB" w:rsidP="00D13667">
    <w:pPr>
      <w:pStyle w:val="Header"/>
      <w:tabs>
        <w:tab w:val="clear" w:pos="4680"/>
      </w:tabs>
      <w:rPr>
        <w:sz w:val="18"/>
        <w:szCs w:val="18"/>
      </w:rPr>
    </w:pPr>
  </w:p>
  <w:p w14:paraId="47119730" w14:textId="77777777" w:rsidR="001037DB" w:rsidRPr="00C92CC4" w:rsidRDefault="001037D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B8E0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538880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AA40C0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8782F7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56689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5AE2E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3C2E76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E60679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7244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7E4846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A837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E2439F"/>
    <w:multiLevelType w:val="hybridMultilevel"/>
    <w:tmpl w:val="FD1E0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9B6D9E"/>
    <w:multiLevelType w:val="hybridMultilevel"/>
    <w:tmpl w:val="355EB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1922EE"/>
    <w:multiLevelType w:val="hybridMultilevel"/>
    <w:tmpl w:val="88AE24E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834CFE"/>
    <w:multiLevelType w:val="hybridMultilevel"/>
    <w:tmpl w:val="DF7C4724"/>
    <w:lvl w:ilvl="0" w:tplc="10090011">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D4515FB"/>
    <w:multiLevelType w:val="hybridMultilevel"/>
    <w:tmpl w:val="29E6B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7"/>
  </w:num>
  <w:num w:numId="3">
    <w:abstractNumId w:val="14"/>
  </w:num>
  <w:num w:numId="4">
    <w:abstractNumId w:val="20"/>
  </w:num>
  <w:num w:numId="5">
    <w:abstractNumId w:val="15"/>
  </w:num>
  <w:num w:numId="6">
    <w:abstractNumId w:val="19"/>
  </w:num>
  <w:num w:numId="7">
    <w:abstractNumId w:val="11"/>
  </w:num>
  <w:num w:numId="8">
    <w:abstractNumId w:val="16"/>
  </w:num>
  <w:num w:numId="9">
    <w:abstractNumId w:val="18"/>
  </w:num>
  <w:num w:numId="10">
    <w:abstractNumId w:val="22"/>
  </w:num>
  <w:num w:numId="11">
    <w:abstractNumId w:val="13"/>
  </w:num>
  <w:num w:numId="12">
    <w:abstractNumId w:val="12"/>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77B"/>
    <w:rsid w:val="00016759"/>
    <w:rsid w:val="000216CE"/>
    <w:rsid w:val="00024ED4"/>
    <w:rsid w:val="00025DC7"/>
    <w:rsid w:val="00035F09"/>
    <w:rsid w:val="00036B07"/>
    <w:rsid w:val="00044ECC"/>
    <w:rsid w:val="000531D3"/>
    <w:rsid w:val="0005646B"/>
    <w:rsid w:val="0008102D"/>
    <w:rsid w:val="00086B26"/>
    <w:rsid w:val="00094C0E"/>
    <w:rsid w:val="000A146D"/>
    <w:rsid w:val="000B7858"/>
    <w:rsid w:val="000D2A2F"/>
    <w:rsid w:val="000D7091"/>
    <w:rsid w:val="000F0C22"/>
    <w:rsid w:val="000F6B09"/>
    <w:rsid w:val="000F6FDC"/>
    <w:rsid w:val="001037DB"/>
    <w:rsid w:val="00104567"/>
    <w:rsid w:val="00104916"/>
    <w:rsid w:val="00104AA7"/>
    <w:rsid w:val="0012732D"/>
    <w:rsid w:val="00143F25"/>
    <w:rsid w:val="00152682"/>
    <w:rsid w:val="00154DCE"/>
    <w:rsid w:val="00154FC9"/>
    <w:rsid w:val="0019241A"/>
    <w:rsid w:val="00192A18"/>
    <w:rsid w:val="001A0104"/>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C4E29"/>
    <w:rsid w:val="002F460C"/>
    <w:rsid w:val="002F48D6"/>
    <w:rsid w:val="002F5C2F"/>
    <w:rsid w:val="00317391"/>
    <w:rsid w:val="00326216"/>
    <w:rsid w:val="00336580"/>
    <w:rsid w:val="00343C59"/>
    <w:rsid w:val="00354899"/>
    <w:rsid w:val="00355FD6"/>
    <w:rsid w:val="00364A5C"/>
    <w:rsid w:val="00373FB1"/>
    <w:rsid w:val="00384413"/>
    <w:rsid w:val="00396C76"/>
    <w:rsid w:val="003B30D8"/>
    <w:rsid w:val="003B7EF2"/>
    <w:rsid w:val="003C3FA4"/>
    <w:rsid w:val="003C7DCB"/>
    <w:rsid w:val="003D04D6"/>
    <w:rsid w:val="003D0BA1"/>
    <w:rsid w:val="003F2B0C"/>
    <w:rsid w:val="004105B2"/>
    <w:rsid w:val="0041145A"/>
    <w:rsid w:val="00412900"/>
    <w:rsid w:val="004221E4"/>
    <w:rsid w:val="004273F8"/>
    <w:rsid w:val="004355A3"/>
    <w:rsid w:val="00444064"/>
    <w:rsid w:val="00446546"/>
    <w:rsid w:val="00452769"/>
    <w:rsid w:val="00454FA7"/>
    <w:rsid w:val="00465348"/>
    <w:rsid w:val="00467982"/>
    <w:rsid w:val="0048352B"/>
    <w:rsid w:val="004979A5"/>
    <w:rsid w:val="004A0C3F"/>
    <w:rsid w:val="004A25E0"/>
    <w:rsid w:val="004B1CCB"/>
    <w:rsid w:val="004B632F"/>
    <w:rsid w:val="004D3FB1"/>
    <w:rsid w:val="004D6F21"/>
    <w:rsid w:val="004D73A5"/>
    <w:rsid w:val="004E241F"/>
    <w:rsid w:val="00503DCB"/>
    <w:rsid w:val="005160F1"/>
    <w:rsid w:val="00522DCE"/>
    <w:rsid w:val="00524F2F"/>
    <w:rsid w:val="00527E5C"/>
    <w:rsid w:val="00532CF5"/>
    <w:rsid w:val="005528CB"/>
    <w:rsid w:val="00566771"/>
    <w:rsid w:val="00581E2E"/>
    <w:rsid w:val="00584F15"/>
    <w:rsid w:val="0059514B"/>
    <w:rsid w:val="005A1B0F"/>
    <w:rsid w:val="005B5EFE"/>
    <w:rsid w:val="005C5DB7"/>
    <w:rsid w:val="005F108B"/>
    <w:rsid w:val="005F50E4"/>
    <w:rsid w:val="006163F7"/>
    <w:rsid w:val="00622CCA"/>
    <w:rsid w:val="00627C63"/>
    <w:rsid w:val="0063350B"/>
    <w:rsid w:val="00641E00"/>
    <w:rsid w:val="00652606"/>
    <w:rsid w:val="00662DA7"/>
    <w:rsid w:val="00682129"/>
    <w:rsid w:val="006946EE"/>
    <w:rsid w:val="006A58A9"/>
    <w:rsid w:val="006A606D"/>
    <w:rsid w:val="006C0371"/>
    <w:rsid w:val="006C08B6"/>
    <w:rsid w:val="006C0B1A"/>
    <w:rsid w:val="006C6065"/>
    <w:rsid w:val="006C7F9F"/>
    <w:rsid w:val="006E2F6D"/>
    <w:rsid w:val="006E58F6"/>
    <w:rsid w:val="006E77E1"/>
    <w:rsid w:val="006F0B63"/>
    <w:rsid w:val="006F131D"/>
    <w:rsid w:val="006F365E"/>
    <w:rsid w:val="00701D3B"/>
    <w:rsid w:val="00711642"/>
    <w:rsid w:val="007507C6"/>
    <w:rsid w:val="00751E0B"/>
    <w:rsid w:val="00752BCD"/>
    <w:rsid w:val="00755DCA"/>
    <w:rsid w:val="00765951"/>
    <w:rsid w:val="00766DA1"/>
    <w:rsid w:val="00772664"/>
    <w:rsid w:val="00780D94"/>
    <w:rsid w:val="007866A6"/>
    <w:rsid w:val="00790EBA"/>
    <w:rsid w:val="007A130D"/>
    <w:rsid w:val="007D1A2D"/>
    <w:rsid w:val="007D4102"/>
    <w:rsid w:val="007E31E9"/>
    <w:rsid w:val="007E54A7"/>
    <w:rsid w:val="007F43B7"/>
    <w:rsid w:val="008204CC"/>
    <w:rsid w:val="00821FFC"/>
    <w:rsid w:val="00822542"/>
    <w:rsid w:val="008271CA"/>
    <w:rsid w:val="00840DCE"/>
    <w:rsid w:val="008419A0"/>
    <w:rsid w:val="008467D5"/>
    <w:rsid w:val="008A283B"/>
    <w:rsid w:val="008A4DC4"/>
    <w:rsid w:val="008B438C"/>
    <w:rsid w:val="008D06CA"/>
    <w:rsid w:val="008D3A46"/>
    <w:rsid w:val="008F2385"/>
    <w:rsid w:val="00900A1D"/>
    <w:rsid w:val="00904C04"/>
    <w:rsid w:val="009067A4"/>
    <w:rsid w:val="00930885"/>
    <w:rsid w:val="00933D68"/>
    <w:rsid w:val="009340DB"/>
    <w:rsid w:val="0094618C"/>
    <w:rsid w:val="00952741"/>
    <w:rsid w:val="0095684B"/>
    <w:rsid w:val="00972498"/>
    <w:rsid w:val="0097481F"/>
    <w:rsid w:val="00974CC6"/>
    <w:rsid w:val="00976AD4"/>
    <w:rsid w:val="00995547"/>
    <w:rsid w:val="009A312F"/>
    <w:rsid w:val="009A4FC8"/>
    <w:rsid w:val="009A5348"/>
    <w:rsid w:val="009B0AB7"/>
    <w:rsid w:val="009C76D5"/>
    <w:rsid w:val="009F7AA4"/>
    <w:rsid w:val="00A10AD7"/>
    <w:rsid w:val="00A23095"/>
    <w:rsid w:val="00A356F9"/>
    <w:rsid w:val="00A559DB"/>
    <w:rsid w:val="00A569EA"/>
    <w:rsid w:val="00A676A0"/>
    <w:rsid w:val="00AB4A3E"/>
    <w:rsid w:val="00AF35FC"/>
    <w:rsid w:val="00AF5556"/>
    <w:rsid w:val="00B03639"/>
    <w:rsid w:val="00B0652A"/>
    <w:rsid w:val="00B10F43"/>
    <w:rsid w:val="00B40937"/>
    <w:rsid w:val="00B423EF"/>
    <w:rsid w:val="00B42A58"/>
    <w:rsid w:val="00B453DE"/>
    <w:rsid w:val="00B62497"/>
    <w:rsid w:val="00B64230"/>
    <w:rsid w:val="00B72597"/>
    <w:rsid w:val="00B87DC0"/>
    <w:rsid w:val="00B901F9"/>
    <w:rsid w:val="00B9391A"/>
    <w:rsid w:val="00BC4D98"/>
    <w:rsid w:val="00BD6EFB"/>
    <w:rsid w:val="00BE3DF5"/>
    <w:rsid w:val="00BF5EAB"/>
    <w:rsid w:val="00C02410"/>
    <w:rsid w:val="00C05F2B"/>
    <w:rsid w:val="00C1584D"/>
    <w:rsid w:val="00C15B71"/>
    <w:rsid w:val="00C15BE2"/>
    <w:rsid w:val="00C3447F"/>
    <w:rsid w:val="00C44714"/>
    <w:rsid w:val="00C542BC"/>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E046D"/>
    <w:rsid w:val="00D03A82"/>
    <w:rsid w:val="00D13667"/>
    <w:rsid w:val="00D15344"/>
    <w:rsid w:val="00D23F57"/>
    <w:rsid w:val="00D31BEC"/>
    <w:rsid w:val="00D50645"/>
    <w:rsid w:val="00D63150"/>
    <w:rsid w:val="00D636BA"/>
    <w:rsid w:val="00D64A32"/>
    <w:rsid w:val="00D64EFC"/>
    <w:rsid w:val="00D75295"/>
    <w:rsid w:val="00D76CE9"/>
    <w:rsid w:val="00D97F12"/>
    <w:rsid w:val="00DA6095"/>
    <w:rsid w:val="00DB42E7"/>
    <w:rsid w:val="00DC09D8"/>
    <w:rsid w:val="00DE01A6"/>
    <w:rsid w:val="00DE7A98"/>
    <w:rsid w:val="00DF32C2"/>
    <w:rsid w:val="00E420A2"/>
    <w:rsid w:val="00E471A7"/>
    <w:rsid w:val="00E635CF"/>
    <w:rsid w:val="00E72A95"/>
    <w:rsid w:val="00EB1E3B"/>
    <w:rsid w:val="00EB2894"/>
    <w:rsid w:val="00EC6E0A"/>
    <w:rsid w:val="00ED4E18"/>
    <w:rsid w:val="00ED7922"/>
    <w:rsid w:val="00EE02C4"/>
    <w:rsid w:val="00EE1F37"/>
    <w:rsid w:val="00EF1B32"/>
    <w:rsid w:val="00F0159C"/>
    <w:rsid w:val="00F105B7"/>
    <w:rsid w:val="00F13220"/>
    <w:rsid w:val="00F17A21"/>
    <w:rsid w:val="00F37B27"/>
    <w:rsid w:val="00F46556"/>
    <w:rsid w:val="00F50E91"/>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9AA937"/>
  <w15:docId w15:val="{D97CEE01-A8A7-4CBC-A559-A36F3B6A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rsid w:val="00B9391A"/>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Rogers_Communica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BCE_Inc."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bout.telus.com/servlet/JiveServlet/previewBody/5696-102-2-6257/TELUS%202014%20Annual%20Repor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yperlink" Target="https://en.wikipedia.org/wiki/Shaw_Communications" TargetMode="External"/><Relationship Id="rId10" Type="http://schemas.openxmlformats.org/officeDocument/2006/relationships/hyperlink" Target="mailto:cases@ivey.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Telus"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towerpoint.com/cell-phone-tower-construction/" TargetMode="External"/><Relationship Id="rId2" Type="http://schemas.openxmlformats.org/officeDocument/2006/relationships/hyperlink" Target="http://business.financialpost.com/technology/insatiable-appetite-canadas-big-three-telecoms-end-2016-with-strong-wireless-results" TargetMode="External"/><Relationship Id="rId1" Type="http://schemas.openxmlformats.org/officeDocument/2006/relationships/hyperlink" Target="http://calgaryherald.com/news/local-news/parents-push-back-against-cellphone-tower-next-to-daycare" TargetMode="External"/><Relationship Id="rId5" Type="http://schemas.openxmlformats.org/officeDocument/2006/relationships/hyperlink" Target="http://www.thecanadiancharger.com/page.php?id=5&amp;a=1908" TargetMode="External"/><Relationship Id="rId4" Type="http://schemas.openxmlformats.org/officeDocument/2006/relationships/hyperlink" Target="http://www.who.int/mediacentre/factsheets/fs193/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BE55C-A8F4-4A75-9F01-415F7CBC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2018-11-27T15:31:00Z</dcterms:created>
  <dcterms:modified xsi:type="dcterms:W3CDTF">2018-12-03T22:46:00Z</dcterms:modified>
</cp:coreProperties>
</file>