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8E7BFC" w:rsidRPr="00A71B1D" w14:paraId="160B4D2E" w14:textId="77777777" w:rsidTr="00DC4D5B">
        <w:trPr>
          <w:jc w:val="center"/>
        </w:trPr>
        <w:tc>
          <w:tcPr>
            <w:tcW w:w="4755" w:type="dxa"/>
          </w:tcPr>
          <w:p w14:paraId="2C5C7780" w14:textId="77777777" w:rsidR="008E7BFC" w:rsidRPr="00A71B1D" w:rsidRDefault="008E7BFC" w:rsidP="00DC4D5B">
            <w:pPr>
              <w:tabs>
                <w:tab w:val="left" w:pos="-1440"/>
                <w:tab w:val="left" w:pos="-720"/>
                <w:tab w:val="left" w:pos="1"/>
              </w:tabs>
              <w:jc w:val="both"/>
              <w:rPr>
                <w:rFonts w:ascii="Arial" w:hAnsi="Arial"/>
                <w:b/>
                <w:sz w:val="24"/>
              </w:rPr>
            </w:pPr>
            <w:bookmarkStart w:id="0" w:name="_Hlk85698315"/>
            <w:r w:rsidRPr="00A71B1D">
              <w:rPr>
                <w:rFonts w:ascii="Arial" w:hAnsi="Arial"/>
                <w:b/>
                <w:noProof/>
                <w:sz w:val="24"/>
                <w:lang w:val="en-GB" w:eastAsia="en-GB"/>
              </w:rPr>
              <w:drawing>
                <wp:anchor distT="0" distB="0" distL="114300" distR="114300" simplePos="0" relativeHeight="251659264" behindDoc="0" locked="0" layoutInCell="1" allowOverlap="1" wp14:anchorId="083F2B93" wp14:editId="7A776976">
                  <wp:simplePos x="0" y="0"/>
                  <wp:positionH relativeFrom="column">
                    <wp:posOffset>-25400</wp:posOffset>
                  </wp:positionH>
                  <wp:positionV relativeFrom="paragraph">
                    <wp:posOffset>0</wp:posOffset>
                  </wp:positionV>
                  <wp:extent cx="2613660" cy="551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anchor>
              </w:drawing>
            </w:r>
          </w:p>
        </w:tc>
        <w:tc>
          <w:tcPr>
            <w:tcW w:w="4591" w:type="dxa"/>
          </w:tcPr>
          <w:p w14:paraId="726133C0" w14:textId="77777777" w:rsidR="008E7BFC" w:rsidRPr="00A71B1D" w:rsidRDefault="008E7BFC" w:rsidP="00DC4D5B">
            <w:pPr>
              <w:tabs>
                <w:tab w:val="left" w:pos="-1440"/>
                <w:tab w:val="left" w:pos="-720"/>
                <w:tab w:val="left" w:pos="1"/>
              </w:tabs>
              <w:jc w:val="right"/>
              <w:rPr>
                <w:rFonts w:ascii="Arial" w:hAnsi="Arial"/>
                <w:b/>
                <w:sz w:val="24"/>
              </w:rPr>
            </w:pPr>
            <w:r>
              <w:rPr>
                <w:noProof/>
              </w:rPr>
              <w:drawing>
                <wp:inline distT="0" distB="0" distL="0" distR="0" wp14:anchorId="5215C382" wp14:editId="27FA44F2">
                  <wp:extent cx="1733550" cy="649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85" cy="666095"/>
                          </a:xfrm>
                          <a:prstGeom prst="rect">
                            <a:avLst/>
                          </a:prstGeom>
                          <a:noFill/>
                          <a:ln>
                            <a:noFill/>
                          </a:ln>
                        </pic:spPr>
                      </pic:pic>
                    </a:graphicData>
                  </a:graphic>
                </wp:inline>
              </w:drawing>
            </w:r>
          </w:p>
        </w:tc>
      </w:tr>
    </w:tbl>
    <w:p w14:paraId="4A9C9E13" w14:textId="77777777" w:rsidR="008E7BFC" w:rsidRPr="00A5652A" w:rsidRDefault="008E7BFC" w:rsidP="008E7BFC">
      <w:pPr>
        <w:pBdr>
          <w:bottom w:val="single" w:sz="18" w:space="0" w:color="auto"/>
        </w:pBdr>
        <w:tabs>
          <w:tab w:val="left" w:pos="-1440"/>
          <w:tab w:val="left" w:pos="-720"/>
          <w:tab w:val="left" w:pos="1"/>
        </w:tabs>
        <w:jc w:val="both"/>
        <w:rPr>
          <w:rFonts w:ascii="Arial" w:hAnsi="Arial"/>
          <w:b/>
          <w:sz w:val="4"/>
          <w:szCs w:val="4"/>
        </w:rPr>
      </w:pPr>
    </w:p>
    <w:p w14:paraId="756919DD" w14:textId="77777777" w:rsidR="008E7BFC" w:rsidRDefault="008E7BFC" w:rsidP="008E7BFC">
      <w:pPr>
        <w:pStyle w:val="ProductNumber"/>
      </w:pPr>
      <w:r w:rsidRPr="00FA6DE5">
        <w:t>9B18M185</w:t>
      </w:r>
    </w:p>
    <w:p w14:paraId="5C1220C1" w14:textId="77777777" w:rsidR="008E7BFC" w:rsidRDefault="008E7BFC" w:rsidP="008E7BFC">
      <w:pPr>
        <w:jc w:val="right"/>
        <w:rPr>
          <w:rFonts w:ascii="Arial" w:hAnsi="Arial"/>
          <w:b/>
        </w:rPr>
      </w:pPr>
    </w:p>
    <w:p w14:paraId="3E7F747D" w14:textId="77777777" w:rsidR="008E7BFC" w:rsidRPr="001901C0" w:rsidRDefault="008E7BFC" w:rsidP="008E7BFC">
      <w:pPr>
        <w:jc w:val="right"/>
        <w:rPr>
          <w:rFonts w:ascii="Arial" w:hAnsi="Arial"/>
          <w:b/>
        </w:rPr>
      </w:pPr>
    </w:p>
    <w:p w14:paraId="3AA4BA39" w14:textId="77777777" w:rsidR="008E7BFC" w:rsidRPr="00CE411B" w:rsidRDefault="008E7BFC" w:rsidP="008E7BFC">
      <w:pPr>
        <w:pStyle w:val="CaseTitle"/>
        <w:spacing w:after="0" w:line="240" w:lineRule="auto"/>
        <w:rPr>
          <w:sz w:val="20"/>
          <w:szCs w:val="20"/>
          <w:lang w:val="en-GB"/>
        </w:rPr>
      </w:pPr>
      <w:r w:rsidRPr="00CE411B">
        <w:rPr>
          <w:lang w:val="en-GB"/>
        </w:rPr>
        <w:t>GEELY V</w:t>
      </w:r>
      <w:r>
        <w:rPr>
          <w:lang w:val="en-GB"/>
        </w:rPr>
        <w:t>ersu</w:t>
      </w:r>
      <w:r w:rsidRPr="00CE411B">
        <w:rPr>
          <w:lang w:val="en-GB"/>
        </w:rPr>
        <w:t>S FORD</w:t>
      </w:r>
      <w:r>
        <w:rPr>
          <w:lang w:val="en-GB"/>
        </w:rPr>
        <w:t>:</w:t>
      </w:r>
      <w:r w:rsidRPr="00CE411B">
        <w:rPr>
          <w:lang w:val="en-GB"/>
        </w:rPr>
        <w:t xml:space="preserve"> Threat f</w:t>
      </w:r>
      <w:r>
        <w:rPr>
          <w:lang w:val="en-GB"/>
        </w:rPr>
        <w:t>rom</w:t>
      </w:r>
      <w:r w:rsidRPr="00CE411B">
        <w:rPr>
          <w:lang w:val="en-GB"/>
        </w:rPr>
        <w:t xml:space="preserve"> AN EMERGING MARKET MULTINATIONAL TO A MARKET LEADER</w:t>
      </w:r>
      <w:r w:rsidRPr="00CE411B">
        <w:rPr>
          <w:rStyle w:val="EndnoteReference"/>
          <w:lang w:val="en-GB"/>
        </w:rPr>
        <w:endnoteReference w:id="1"/>
      </w:r>
    </w:p>
    <w:p w14:paraId="5C88FC3D" w14:textId="77777777" w:rsidR="008E7BFC" w:rsidRDefault="008E7BFC" w:rsidP="008E7BFC">
      <w:pPr>
        <w:pStyle w:val="CaseTitle"/>
        <w:spacing w:after="0" w:line="240" w:lineRule="auto"/>
        <w:rPr>
          <w:sz w:val="20"/>
          <w:szCs w:val="20"/>
        </w:rPr>
      </w:pPr>
    </w:p>
    <w:p w14:paraId="0E41A0B5" w14:textId="77777777" w:rsidR="008E7BFC" w:rsidRPr="00013360" w:rsidRDefault="008E7BFC" w:rsidP="008E7BFC">
      <w:pPr>
        <w:pStyle w:val="CaseTitle"/>
        <w:spacing w:after="0" w:line="240" w:lineRule="auto"/>
        <w:rPr>
          <w:sz w:val="20"/>
          <w:szCs w:val="20"/>
        </w:rPr>
      </w:pPr>
    </w:p>
    <w:p w14:paraId="06BEEC7D" w14:textId="77777777" w:rsidR="008E7BFC" w:rsidRPr="00287D6F" w:rsidRDefault="008E7BFC" w:rsidP="008E7BFC">
      <w:pPr>
        <w:pStyle w:val="StyleCopyrightStatementAfter0ptBottomSinglesolidline1"/>
        <w:rPr>
          <w:lang w:val="en-GB"/>
        </w:rPr>
      </w:pPr>
      <w:r w:rsidRPr="00FA6DE5">
        <w:t xml:space="preserve">Bertrand </w:t>
      </w:r>
      <w:proofErr w:type="spellStart"/>
      <w:r w:rsidRPr="00FA6DE5">
        <w:t>Guillotin</w:t>
      </w:r>
      <w:proofErr w:type="spellEnd"/>
      <w:r w:rsidRPr="00FA6DE5">
        <w:t xml:space="preserve"> </w:t>
      </w:r>
      <w:r w:rsidRPr="00287D6F">
        <w:rPr>
          <w:lang w:val="en-GB"/>
        </w:rPr>
        <w:t>wrote this case solely to provide material for class discussion. The author do</w:t>
      </w:r>
      <w:r>
        <w:rPr>
          <w:lang w:val="en-GB"/>
        </w:rPr>
        <w:t>es</w:t>
      </w:r>
      <w:r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65833BBE" w14:textId="77777777" w:rsidR="008E7BFC" w:rsidRDefault="008E7BFC" w:rsidP="008E7BFC">
      <w:pPr>
        <w:pStyle w:val="StyleCopyrightStatementAfter0ptBottomSinglesolidline1"/>
        <w:rPr>
          <w:lang w:val="en-GB"/>
        </w:rPr>
      </w:pPr>
    </w:p>
    <w:p w14:paraId="7697DB09" w14:textId="77777777" w:rsidR="008E7BFC" w:rsidRPr="00A323B0" w:rsidRDefault="008E7BFC" w:rsidP="008E7BFC">
      <w:pPr>
        <w:pStyle w:val="StyleStyleCopyrightStatementAfter0ptBottomSinglesolid"/>
        <w:rPr>
          <w:rFonts w:cs="Arial"/>
          <w:szCs w:val="16"/>
        </w:rPr>
      </w:pPr>
      <w:bookmarkStart w:id="1" w:name="_Hlk85703772"/>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bookmarkEnd w:id="1"/>
    <w:p w14:paraId="3ABAE181" w14:textId="77777777" w:rsidR="008E7BFC" w:rsidRPr="00A323B0" w:rsidRDefault="008E7BFC" w:rsidP="008E7BFC">
      <w:pPr>
        <w:pStyle w:val="StyleStyleCopyrightStatementAfter0ptBottomSinglesolid"/>
        <w:rPr>
          <w:rFonts w:cs="Arial"/>
          <w:szCs w:val="16"/>
        </w:rPr>
      </w:pPr>
    </w:p>
    <w:p w14:paraId="2E69E7CF" w14:textId="77777777" w:rsidR="008E7BFC" w:rsidRPr="00C02410" w:rsidRDefault="008E7BFC" w:rsidP="008E7BFC">
      <w:pPr>
        <w:pStyle w:val="StyleStyleCopyrightStatementAfter0ptBottomSinglesolid"/>
        <w:rPr>
          <w:rFonts w:cs="Arial"/>
          <w:szCs w:val="16"/>
        </w:rPr>
      </w:pPr>
      <w:r w:rsidRPr="00A323B0">
        <w:rPr>
          <w:rFonts w:cs="Arial"/>
          <w:iCs w:val="0"/>
          <w:color w:val="auto"/>
          <w:szCs w:val="16"/>
        </w:rPr>
        <w:t>Copyright © 2</w:t>
      </w:r>
      <w:r>
        <w:rPr>
          <w:rFonts w:cs="Arial"/>
          <w:iCs w:val="0"/>
          <w:color w:val="auto"/>
          <w:szCs w:val="16"/>
        </w:rPr>
        <w:t>021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Pr>
          <w:rFonts w:cs="Arial"/>
          <w:iCs w:val="0"/>
          <w:color w:val="auto"/>
          <w:szCs w:val="16"/>
        </w:rPr>
        <w:t>21-10-21</w:t>
      </w:r>
    </w:p>
    <w:p w14:paraId="2FEEB0CA" w14:textId="77777777" w:rsidR="008E7BFC" w:rsidRPr="00CB53C1" w:rsidRDefault="008E7BFC" w:rsidP="008E7BFC">
      <w:pPr>
        <w:pStyle w:val="StyleCopyrightStatementAfter0ptBottomSinglesolidline1"/>
        <w:rPr>
          <w:rFonts w:ascii="Times New Roman" w:hAnsi="Times New Roman"/>
          <w:i w:val="0"/>
          <w:sz w:val="22"/>
          <w:szCs w:val="22"/>
        </w:rPr>
      </w:pPr>
    </w:p>
    <w:bookmarkEnd w:id="0"/>
    <w:p w14:paraId="7F98F62E" w14:textId="77777777" w:rsidR="008E7BFC" w:rsidRDefault="008E7BFC" w:rsidP="00D315F3">
      <w:pPr>
        <w:pStyle w:val="BodyTextMain"/>
        <w:rPr>
          <w:spacing w:val="-4"/>
          <w:lang w:val="en-GB"/>
        </w:rPr>
      </w:pPr>
    </w:p>
    <w:p w14:paraId="4B8BAC9D" w14:textId="243E2833" w:rsidR="00AE0FB7" w:rsidRPr="00FD1590" w:rsidRDefault="00AE0FB7" w:rsidP="00D315F3">
      <w:pPr>
        <w:pStyle w:val="BodyTextMain"/>
        <w:rPr>
          <w:spacing w:val="-4"/>
          <w:lang w:val="en-GB"/>
        </w:rPr>
      </w:pPr>
      <w:r w:rsidRPr="00FD1590">
        <w:rPr>
          <w:spacing w:val="-4"/>
          <w:lang w:val="en-GB"/>
        </w:rPr>
        <w:t>“This country cannot get knocked</w:t>
      </w:r>
      <w:r>
        <w:rPr>
          <w:spacing w:val="-4"/>
          <w:lang w:val="en-GB"/>
        </w:rPr>
        <w:t xml:space="preserve"> </w:t>
      </w:r>
      <w:r w:rsidRPr="00FD1590">
        <w:rPr>
          <w:spacing w:val="-4"/>
          <w:lang w:val="en-GB"/>
        </w:rPr>
        <w:t xml:space="preserve">out in one punch. We get right back up again. And when we do, the world is going to hear the roar of our engines.” </w:t>
      </w:r>
      <w:proofErr w:type="gramStart"/>
      <w:r w:rsidRPr="00FD1590">
        <w:rPr>
          <w:spacing w:val="-4"/>
          <w:lang w:val="en-GB"/>
        </w:rPr>
        <w:t>So</w:t>
      </w:r>
      <w:proofErr w:type="gramEnd"/>
      <w:r w:rsidRPr="00FD1590">
        <w:rPr>
          <w:spacing w:val="-4"/>
          <w:lang w:val="en-GB"/>
        </w:rPr>
        <w:t xml:space="preserve"> asserted Hollywood hero Clint Eastwood, in a reassuring commercial sponsored by Chrysler during the 2012 Super Bowl half-time show.</w:t>
      </w:r>
      <w:r w:rsidRPr="00FD1590">
        <w:rPr>
          <w:rStyle w:val="EndnoteReference"/>
          <w:spacing w:val="-4"/>
          <w:lang w:val="en-GB"/>
        </w:rPr>
        <w:endnoteReference w:id="2"/>
      </w:r>
      <w:r w:rsidRPr="00FD1590">
        <w:rPr>
          <w:spacing w:val="-4"/>
          <w:lang w:val="en-GB"/>
        </w:rPr>
        <w:t xml:space="preserve"> Two years later, Chrysler was acquired by Fiat, an Italian automobile manufacturer.</w:t>
      </w:r>
      <w:r w:rsidRPr="00FD1590">
        <w:rPr>
          <w:rStyle w:val="EndnoteReference"/>
          <w:spacing w:val="-4"/>
          <w:lang w:val="en-GB"/>
        </w:rPr>
        <w:endnoteReference w:id="3"/>
      </w:r>
      <w:r w:rsidRPr="00FD1590">
        <w:rPr>
          <w:spacing w:val="-4"/>
          <w:lang w:val="en-GB"/>
        </w:rPr>
        <w:t xml:space="preserve"> The notable American “Big Three,” comprising General Motors Company (GM), Ford Motor Company (Ford), and </w:t>
      </w:r>
      <w:bookmarkStart w:id="2" w:name="_Hlk526778542"/>
      <w:r w:rsidRPr="00FD1590">
        <w:rPr>
          <w:spacing w:val="-4"/>
          <w:lang w:val="en-GB"/>
        </w:rPr>
        <w:t xml:space="preserve">Chrysler Corporation </w:t>
      </w:r>
      <w:bookmarkEnd w:id="2"/>
      <w:r w:rsidRPr="00FD1590">
        <w:rPr>
          <w:spacing w:val="-4"/>
          <w:lang w:val="en-GB"/>
        </w:rPr>
        <w:t xml:space="preserve">(Chrysler), were now only two. </w:t>
      </w:r>
    </w:p>
    <w:p w14:paraId="3FDE1132" w14:textId="77777777" w:rsidR="00AE0FB7" w:rsidRPr="00595CC5" w:rsidRDefault="00AE0FB7" w:rsidP="00D315F3">
      <w:pPr>
        <w:pStyle w:val="BodyTextMain"/>
        <w:rPr>
          <w:sz w:val="20"/>
          <w:lang w:val="en-GB"/>
        </w:rPr>
      </w:pPr>
    </w:p>
    <w:p w14:paraId="6C5CEF5B" w14:textId="6C02B950" w:rsidR="00AE0FB7" w:rsidRPr="00CE411B" w:rsidRDefault="00AE0FB7" w:rsidP="00D315F3">
      <w:pPr>
        <w:pStyle w:val="BodyTextMain"/>
        <w:rPr>
          <w:lang w:val="en-GB"/>
        </w:rPr>
      </w:pPr>
      <w:r>
        <w:rPr>
          <w:lang w:val="en-GB"/>
        </w:rPr>
        <w:t>Six years earlier</w:t>
      </w:r>
      <w:r w:rsidRPr="00CE411B">
        <w:rPr>
          <w:lang w:val="en-GB"/>
        </w:rPr>
        <w:t xml:space="preserve">, </w:t>
      </w:r>
      <w:r>
        <w:rPr>
          <w:lang w:val="en-GB"/>
        </w:rPr>
        <w:t xml:space="preserve">in 2008, </w:t>
      </w:r>
      <w:r w:rsidRPr="00CE411B">
        <w:rPr>
          <w:lang w:val="en-GB"/>
        </w:rPr>
        <w:t xml:space="preserve">Tesla </w:t>
      </w:r>
      <w:r>
        <w:rPr>
          <w:lang w:val="en-GB"/>
        </w:rPr>
        <w:t xml:space="preserve">Inc. (Tesla) </w:t>
      </w:r>
      <w:r w:rsidRPr="00CE411B">
        <w:rPr>
          <w:lang w:val="en-GB"/>
        </w:rPr>
        <w:t xml:space="preserve">had delivered its first </w:t>
      </w:r>
      <w:r>
        <w:rPr>
          <w:lang w:val="en-GB"/>
        </w:rPr>
        <w:t>car—the electric powered Roadster.</w:t>
      </w:r>
      <w:r w:rsidRPr="00CE411B">
        <w:rPr>
          <w:lang w:val="en-GB"/>
        </w:rPr>
        <w:t xml:space="preserve"> </w:t>
      </w:r>
      <w:r>
        <w:rPr>
          <w:lang w:val="en-GB"/>
        </w:rPr>
        <w:t xml:space="preserve">That was </w:t>
      </w:r>
      <w:r w:rsidRPr="00CE411B">
        <w:rPr>
          <w:lang w:val="en-GB"/>
        </w:rPr>
        <w:t xml:space="preserve">the </w:t>
      </w:r>
      <w:r>
        <w:rPr>
          <w:lang w:val="en-GB"/>
        </w:rPr>
        <w:t xml:space="preserve">first </w:t>
      </w:r>
      <w:r w:rsidRPr="00CE411B">
        <w:rPr>
          <w:lang w:val="en-GB"/>
        </w:rPr>
        <w:t xml:space="preserve">year </w:t>
      </w:r>
      <w:r>
        <w:rPr>
          <w:lang w:val="en-GB"/>
        </w:rPr>
        <w:t xml:space="preserve">of </w:t>
      </w:r>
      <w:r w:rsidRPr="00CE411B">
        <w:rPr>
          <w:lang w:val="en-GB"/>
        </w:rPr>
        <w:t xml:space="preserve">the </w:t>
      </w:r>
      <w:r>
        <w:rPr>
          <w:lang w:val="en-GB"/>
        </w:rPr>
        <w:t>2008 g</w:t>
      </w:r>
      <w:r w:rsidRPr="00CE411B">
        <w:rPr>
          <w:lang w:val="en-GB"/>
        </w:rPr>
        <w:t xml:space="preserve">lobal </w:t>
      </w:r>
      <w:r>
        <w:rPr>
          <w:lang w:val="en-GB"/>
        </w:rPr>
        <w:t>f</w:t>
      </w:r>
      <w:r w:rsidRPr="00CE411B">
        <w:rPr>
          <w:lang w:val="en-GB"/>
        </w:rPr>
        <w:t xml:space="preserve">inancial </w:t>
      </w:r>
      <w:r>
        <w:rPr>
          <w:lang w:val="en-GB"/>
        </w:rPr>
        <w:t>c</w:t>
      </w:r>
      <w:r w:rsidRPr="00CE411B">
        <w:rPr>
          <w:lang w:val="en-GB"/>
        </w:rPr>
        <w:t>risis</w:t>
      </w:r>
      <w:r>
        <w:rPr>
          <w:lang w:val="en-GB"/>
        </w:rPr>
        <w:t>.</w:t>
      </w:r>
      <w:r w:rsidRPr="00CE411B">
        <w:rPr>
          <w:lang w:val="en-GB"/>
        </w:rPr>
        <w:t xml:space="preserve"> </w:t>
      </w:r>
      <w:r>
        <w:rPr>
          <w:lang w:val="en-GB"/>
        </w:rPr>
        <w:t xml:space="preserve">The next year, </w:t>
      </w:r>
      <w:r w:rsidRPr="00CE411B">
        <w:rPr>
          <w:lang w:val="en-GB"/>
        </w:rPr>
        <w:t xml:space="preserve">GM </w:t>
      </w:r>
      <w:r>
        <w:rPr>
          <w:lang w:val="en-GB"/>
        </w:rPr>
        <w:t>filed for</w:t>
      </w:r>
      <w:r w:rsidRPr="00CE411B">
        <w:rPr>
          <w:lang w:val="en-GB"/>
        </w:rPr>
        <w:t xml:space="preserve"> bankrupt</w:t>
      </w:r>
      <w:r>
        <w:rPr>
          <w:lang w:val="en-GB"/>
        </w:rPr>
        <w:t>cy</w:t>
      </w:r>
      <w:r w:rsidRPr="00CE411B">
        <w:rPr>
          <w:lang w:val="en-GB"/>
        </w:rPr>
        <w:t xml:space="preserve"> </w:t>
      </w:r>
      <w:r>
        <w:rPr>
          <w:lang w:val="en-GB"/>
        </w:rPr>
        <w:t>and</w:t>
      </w:r>
      <w:r w:rsidRPr="00CE411B">
        <w:rPr>
          <w:lang w:val="en-GB"/>
        </w:rPr>
        <w:t xml:space="preserve"> </w:t>
      </w:r>
      <w:r w:rsidR="00570DC4">
        <w:rPr>
          <w:lang w:val="en-GB"/>
        </w:rPr>
        <w:t>then</w:t>
      </w:r>
      <w:r>
        <w:rPr>
          <w:lang w:val="en-GB"/>
        </w:rPr>
        <w:t xml:space="preserve"> </w:t>
      </w:r>
      <w:r w:rsidRPr="00CE411B">
        <w:rPr>
          <w:lang w:val="en-GB"/>
        </w:rPr>
        <w:t>r</w:t>
      </w:r>
      <w:r>
        <w:rPr>
          <w:lang w:val="en-GB"/>
        </w:rPr>
        <w:t>o</w:t>
      </w:r>
      <w:r w:rsidRPr="00CE411B">
        <w:rPr>
          <w:lang w:val="en-GB"/>
        </w:rPr>
        <w:t xml:space="preserve">se again through its 2010 </w:t>
      </w:r>
      <w:r>
        <w:rPr>
          <w:lang w:val="en-GB"/>
        </w:rPr>
        <w:t>i</w:t>
      </w:r>
      <w:r w:rsidRPr="00CE411B">
        <w:rPr>
          <w:lang w:val="en-GB"/>
        </w:rPr>
        <w:t xml:space="preserve">nitial </w:t>
      </w:r>
      <w:r>
        <w:rPr>
          <w:lang w:val="en-GB"/>
        </w:rPr>
        <w:t>p</w:t>
      </w:r>
      <w:r w:rsidRPr="00CE411B">
        <w:rPr>
          <w:lang w:val="en-GB"/>
        </w:rPr>
        <w:t xml:space="preserve">ublic </w:t>
      </w:r>
      <w:r>
        <w:rPr>
          <w:lang w:val="en-GB"/>
        </w:rPr>
        <w:t>o</w:t>
      </w:r>
      <w:r w:rsidRPr="00CE411B">
        <w:rPr>
          <w:lang w:val="en-GB"/>
        </w:rPr>
        <w:t>ffering.</w:t>
      </w:r>
      <w:r w:rsidRPr="00CE411B">
        <w:rPr>
          <w:rStyle w:val="EndnoteReference"/>
          <w:lang w:val="en-GB"/>
        </w:rPr>
        <w:endnoteReference w:id="4"/>
      </w:r>
      <w:r w:rsidRPr="00CE411B">
        <w:rPr>
          <w:lang w:val="en-GB"/>
        </w:rPr>
        <w:t xml:space="preserve"> </w:t>
      </w:r>
      <w:r>
        <w:rPr>
          <w:lang w:val="en-GB"/>
        </w:rPr>
        <w:t>That was</w:t>
      </w:r>
      <w:r w:rsidRPr="00CE411B">
        <w:rPr>
          <w:lang w:val="en-GB"/>
        </w:rPr>
        <w:t xml:space="preserve"> also </w:t>
      </w:r>
      <w:r>
        <w:rPr>
          <w:lang w:val="en-GB"/>
        </w:rPr>
        <w:t xml:space="preserve">the year that </w:t>
      </w:r>
      <w:r w:rsidRPr="00CE411B">
        <w:rPr>
          <w:lang w:val="en-GB"/>
        </w:rPr>
        <w:t xml:space="preserve">marked China </w:t>
      </w:r>
      <w:r>
        <w:rPr>
          <w:lang w:val="en-GB"/>
        </w:rPr>
        <w:t>sur</w:t>
      </w:r>
      <w:r w:rsidRPr="00CE411B">
        <w:rPr>
          <w:lang w:val="en-GB"/>
        </w:rPr>
        <w:t>pass</w:t>
      </w:r>
      <w:r>
        <w:rPr>
          <w:lang w:val="en-GB"/>
        </w:rPr>
        <w:t>ing</w:t>
      </w:r>
      <w:r w:rsidRPr="00CE411B">
        <w:rPr>
          <w:lang w:val="en-GB"/>
        </w:rPr>
        <w:t xml:space="preserve"> the U</w:t>
      </w:r>
      <w:r>
        <w:rPr>
          <w:lang w:val="en-GB"/>
        </w:rPr>
        <w:t xml:space="preserve">nited </w:t>
      </w:r>
      <w:r w:rsidRPr="00CE411B">
        <w:rPr>
          <w:lang w:val="en-GB"/>
        </w:rPr>
        <w:t>S</w:t>
      </w:r>
      <w:r>
        <w:rPr>
          <w:lang w:val="en-GB"/>
        </w:rPr>
        <w:t>tates</w:t>
      </w:r>
      <w:r w:rsidRPr="00CE411B">
        <w:rPr>
          <w:lang w:val="en-GB"/>
        </w:rPr>
        <w:t xml:space="preserve"> to become the largest auto</w:t>
      </w:r>
      <w:r>
        <w:rPr>
          <w:lang w:val="en-GB"/>
        </w:rPr>
        <w:t>mobile</w:t>
      </w:r>
      <w:r w:rsidRPr="00CE411B">
        <w:rPr>
          <w:lang w:val="en-GB"/>
        </w:rPr>
        <w:t xml:space="preserve"> market in the world</w:t>
      </w:r>
      <w:r>
        <w:rPr>
          <w:lang w:val="en-GB"/>
        </w:rPr>
        <w:t>.</w:t>
      </w:r>
      <w:r w:rsidRPr="00CE411B">
        <w:rPr>
          <w:lang w:val="en-GB"/>
        </w:rPr>
        <w:t xml:space="preserve"> </w:t>
      </w:r>
      <w:r>
        <w:rPr>
          <w:lang w:val="en-GB"/>
        </w:rPr>
        <w:t xml:space="preserve">China’s </w:t>
      </w:r>
      <w:proofErr w:type="spellStart"/>
      <w:r w:rsidRPr="00CE411B">
        <w:rPr>
          <w:lang w:val="en-GB"/>
        </w:rPr>
        <w:t>Geely</w:t>
      </w:r>
      <w:proofErr w:type="spellEnd"/>
      <w:r w:rsidRPr="00CE411B">
        <w:rPr>
          <w:lang w:val="en-GB"/>
        </w:rPr>
        <w:t xml:space="preserve"> Automobile Holdings Ltd. (</w:t>
      </w:r>
      <w:proofErr w:type="spellStart"/>
      <w:r w:rsidRPr="00CE411B">
        <w:rPr>
          <w:lang w:val="en-GB"/>
        </w:rPr>
        <w:t>Geely</w:t>
      </w:r>
      <w:proofErr w:type="spellEnd"/>
      <w:r>
        <w:rPr>
          <w:lang w:val="en-GB"/>
        </w:rPr>
        <w:t>)</w:t>
      </w:r>
      <w:r w:rsidRPr="00CE411B">
        <w:rPr>
          <w:lang w:val="en-GB"/>
        </w:rPr>
        <w:t xml:space="preserve"> strategically ventured outside of its home market by acquiring </w:t>
      </w:r>
      <w:r>
        <w:rPr>
          <w:lang w:val="en-GB"/>
        </w:rPr>
        <w:t xml:space="preserve">Swedish automaker </w:t>
      </w:r>
      <w:r w:rsidRPr="00CE411B">
        <w:rPr>
          <w:lang w:val="en-GB"/>
        </w:rPr>
        <w:t>Volvo</w:t>
      </w:r>
      <w:r>
        <w:rPr>
          <w:lang w:val="en-GB"/>
        </w:rPr>
        <w:t xml:space="preserve"> Group’s</w:t>
      </w:r>
      <w:r w:rsidRPr="00CE411B">
        <w:rPr>
          <w:lang w:val="en-GB"/>
        </w:rPr>
        <w:t xml:space="preserve"> </w:t>
      </w:r>
      <w:r>
        <w:rPr>
          <w:lang w:val="en-GB"/>
        </w:rPr>
        <w:t>automobile division</w:t>
      </w:r>
      <w:r w:rsidRPr="00CE411B">
        <w:rPr>
          <w:lang w:val="en-GB"/>
        </w:rPr>
        <w:t xml:space="preserve"> from Ford.</w:t>
      </w:r>
      <w:r w:rsidRPr="00CE411B">
        <w:rPr>
          <w:rStyle w:val="EndnoteReference"/>
          <w:lang w:val="en-GB"/>
        </w:rPr>
        <w:endnoteReference w:id="5"/>
      </w:r>
      <w:r w:rsidRPr="00CE411B">
        <w:rPr>
          <w:lang w:val="en-GB"/>
        </w:rPr>
        <w:t xml:space="preserve"> </w:t>
      </w:r>
    </w:p>
    <w:p w14:paraId="6A43FB61" w14:textId="77777777" w:rsidR="00AE0FB7" w:rsidRPr="00595CC5" w:rsidRDefault="00AE0FB7" w:rsidP="00D315F3">
      <w:pPr>
        <w:pStyle w:val="BodyTextMain"/>
        <w:rPr>
          <w:sz w:val="20"/>
          <w:lang w:val="en-GB"/>
        </w:rPr>
      </w:pPr>
    </w:p>
    <w:p w14:paraId="20039ADB" w14:textId="1A99638A" w:rsidR="00AE0FB7" w:rsidRPr="00CE411B" w:rsidRDefault="00AE0FB7" w:rsidP="00D315F3">
      <w:pPr>
        <w:pStyle w:val="BodyTextMain"/>
        <w:rPr>
          <w:lang w:val="en-GB"/>
        </w:rPr>
      </w:pPr>
      <w:proofErr w:type="spellStart"/>
      <w:r w:rsidRPr="00CE411B">
        <w:rPr>
          <w:lang w:val="en-GB"/>
        </w:rPr>
        <w:t>Geely</w:t>
      </w:r>
      <w:proofErr w:type="spellEnd"/>
      <w:r>
        <w:rPr>
          <w:lang w:val="en-GB"/>
        </w:rPr>
        <w:t xml:space="preserve"> eventually went on to gain</w:t>
      </w:r>
      <w:r w:rsidRPr="00CE411B">
        <w:rPr>
          <w:lang w:val="en-GB"/>
        </w:rPr>
        <w:t xml:space="preserve"> a controlling stake of 51 per cent in </w:t>
      </w:r>
      <w:r>
        <w:rPr>
          <w:lang w:val="en-GB"/>
        </w:rPr>
        <w:t xml:space="preserve">the UK automaker </w:t>
      </w:r>
      <w:r w:rsidRPr="00CE411B">
        <w:rPr>
          <w:lang w:val="en-GB"/>
        </w:rPr>
        <w:t>Lotus</w:t>
      </w:r>
      <w:r>
        <w:rPr>
          <w:lang w:val="en-GB"/>
        </w:rPr>
        <w:t xml:space="preserve"> Cars</w:t>
      </w:r>
      <w:r w:rsidRPr="00CE411B">
        <w:rPr>
          <w:lang w:val="en-GB"/>
        </w:rPr>
        <w:t xml:space="preserve"> (</w:t>
      </w:r>
      <w:r>
        <w:rPr>
          <w:lang w:val="en-GB"/>
        </w:rPr>
        <w:t>Lotus</w:t>
      </w:r>
      <w:r w:rsidRPr="00CE411B">
        <w:rPr>
          <w:lang w:val="en-GB"/>
        </w:rPr>
        <w:t xml:space="preserve">). </w:t>
      </w:r>
      <w:r>
        <w:rPr>
          <w:lang w:val="en-GB"/>
        </w:rPr>
        <w:t>A</w:t>
      </w:r>
      <w:r w:rsidRPr="00CE411B">
        <w:rPr>
          <w:lang w:val="en-GB"/>
        </w:rPr>
        <w:t xml:space="preserve"> few months later, </w:t>
      </w:r>
      <w:proofErr w:type="spellStart"/>
      <w:r w:rsidRPr="00CE411B">
        <w:rPr>
          <w:lang w:val="en-GB"/>
        </w:rPr>
        <w:t>Geely</w:t>
      </w:r>
      <w:proofErr w:type="spellEnd"/>
      <w:r w:rsidRPr="00CE411B">
        <w:rPr>
          <w:lang w:val="en-GB"/>
        </w:rPr>
        <w:t xml:space="preserve"> acquired a US$3 billion</w:t>
      </w:r>
      <w:r w:rsidR="00044DBE">
        <w:rPr>
          <w:rStyle w:val="EndnoteReference"/>
          <w:lang w:val="en-GB"/>
        </w:rPr>
        <w:endnoteReference w:id="6"/>
      </w:r>
      <w:r w:rsidRPr="00CE411B">
        <w:rPr>
          <w:lang w:val="en-GB"/>
        </w:rPr>
        <w:t xml:space="preserve"> stake in truck</w:t>
      </w:r>
      <w:r>
        <w:rPr>
          <w:lang w:val="en-GB"/>
        </w:rPr>
        <w:t xml:space="preserve"> </w:t>
      </w:r>
      <w:r w:rsidRPr="00CE411B">
        <w:rPr>
          <w:lang w:val="en-GB"/>
        </w:rPr>
        <w:t>maker AB Volvo</w:t>
      </w:r>
      <w:r>
        <w:rPr>
          <w:lang w:val="en-GB"/>
        </w:rPr>
        <w:t>.</w:t>
      </w:r>
      <w:r w:rsidRPr="00CE411B">
        <w:rPr>
          <w:lang w:val="en-GB"/>
        </w:rPr>
        <w:t xml:space="preserve"> </w:t>
      </w:r>
      <w:r>
        <w:rPr>
          <w:lang w:val="en-GB"/>
        </w:rPr>
        <w:t xml:space="preserve">In February 2018, it went on to buy </w:t>
      </w:r>
      <w:r w:rsidRPr="00CE411B">
        <w:rPr>
          <w:lang w:val="en-GB"/>
        </w:rPr>
        <w:t>a 10 per cent s</w:t>
      </w:r>
      <w:r>
        <w:rPr>
          <w:lang w:val="en-GB"/>
        </w:rPr>
        <w:t>hare</w:t>
      </w:r>
      <w:r w:rsidRPr="00CE411B">
        <w:rPr>
          <w:lang w:val="en-GB"/>
        </w:rPr>
        <w:t xml:space="preserve"> in</w:t>
      </w:r>
      <w:r>
        <w:rPr>
          <w:lang w:val="en-GB"/>
        </w:rPr>
        <w:t xml:space="preserve"> the German company</w:t>
      </w:r>
      <w:r w:rsidRPr="00CE411B">
        <w:rPr>
          <w:lang w:val="en-GB"/>
        </w:rPr>
        <w:t xml:space="preserve"> Daimler</w:t>
      </w:r>
      <w:r>
        <w:rPr>
          <w:lang w:val="en-GB"/>
        </w:rPr>
        <w:t xml:space="preserve"> AG for</w:t>
      </w:r>
      <w:r w:rsidRPr="00CE411B">
        <w:rPr>
          <w:lang w:val="en-GB"/>
        </w:rPr>
        <w:t xml:space="preserve"> $9 billion</w:t>
      </w:r>
      <w:r>
        <w:rPr>
          <w:lang w:val="en-GB"/>
        </w:rPr>
        <w:t>,</w:t>
      </w:r>
      <w:r w:rsidRPr="00CE411B">
        <w:rPr>
          <w:lang w:val="en-GB"/>
        </w:rPr>
        <w:t xml:space="preserve"> becom</w:t>
      </w:r>
      <w:r>
        <w:rPr>
          <w:lang w:val="en-GB"/>
        </w:rPr>
        <w:t>ing</w:t>
      </w:r>
      <w:r w:rsidRPr="00CE411B">
        <w:rPr>
          <w:lang w:val="en-GB"/>
        </w:rPr>
        <w:t xml:space="preserve"> its largest shareholder.</w:t>
      </w:r>
      <w:r w:rsidRPr="00CE411B">
        <w:rPr>
          <w:rStyle w:val="EndnoteReference"/>
          <w:lang w:val="en-GB"/>
        </w:rPr>
        <w:endnoteReference w:id="7"/>
      </w:r>
      <w:r w:rsidRPr="00CE411B">
        <w:rPr>
          <w:lang w:val="en-GB"/>
        </w:rPr>
        <w:t xml:space="preserve"> Six months later, at the end of August 2018, Jim Hackett, who had been the </w:t>
      </w:r>
      <w:r>
        <w:rPr>
          <w:lang w:val="en-GB"/>
        </w:rPr>
        <w:t>c</w:t>
      </w:r>
      <w:r w:rsidRPr="00CE411B">
        <w:rPr>
          <w:lang w:val="en-GB"/>
        </w:rPr>
        <w:t xml:space="preserve">hief </w:t>
      </w:r>
      <w:r>
        <w:rPr>
          <w:lang w:val="en-GB"/>
        </w:rPr>
        <w:t>e</w:t>
      </w:r>
      <w:r w:rsidRPr="00CE411B">
        <w:rPr>
          <w:lang w:val="en-GB"/>
        </w:rPr>
        <w:t xml:space="preserve">xecutive </w:t>
      </w:r>
      <w:r>
        <w:rPr>
          <w:lang w:val="en-GB"/>
        </w:rPr>
        <w:t>o</w:t>
      </w:r>
      <w:r w:rsidRPr="00CE411B">
        <w:rPr>
          <w:lang w:val="en-GB"/>
        </w:rPr>
        <w:t xml:space="preserve">fficer </w:t>
      </w:r>
      <w:r>
        <w:rPr>
          <w:lang w:val="en-GB"/>
        </w:rPr>
        <w:t xml:space="preserve">(CEO) </w:t>
      </w:r>
      <w:r w:rsidRPr="00CE411B">
        <w:rPr>
          <w:lang w:val="en-GB"/>
        </w:rPr>
        <w:t xml:space="preserve">of Ford for </w:t>
      </w:r>
      <w:r>
        <w:rPr>
          <w:lang w:val="en-GB"/>
        </w:rPr>
        <w:t xml:space="preserve">only </w:t>
      </w:r>
      <w:r w:rsidRPr="00CE411B">
        <w:rPr>
          <w:lang w:val="en-GB"/>
        </w:rPr>
        <w:t>15 months, was fac</w:t>
      </w:r>
      <w:r>
        <w:rPr>
          <w:lang w:val="en-GB"/>
        </w:rPr>
        <w:t>ing the</w:t>
      </w:r>
      <w:r w:rsidRPr="00CE411B">
        <w:rPr>
          <w:lang w:val="en-GB"/>
        </w:rPr>
        <w:t xml:space="preserve"> strategic challenge</w:t>
      </w:r>
      <w:r>
        <w:rPr>
          <w:lang w:val="en-GB"/>
        </w:rPr>
        <w:t xml:space="preserve"> of</w:t>
      </w:r>
      <w:r w:rsidRPr="00CE411B">
        <w:rPr>
          <w:lang w:val="en-GB"/>
        </w:rPr>
        <w:t xml:space="preserve"> assessing </w:t>
      </w:r>
      <w:r>
        <w:rPr>
          <w:lang w:val="en-GB"/>
        </w:rPr>
        <w:t>what</w:t>
      </w:r>
      <w:r w:rsidRPr="00CE411B">
        <w:rPr>
          <w:lang w:val="en-GB"/>
        </w:rPr>
        <w:t xml:space="preserve"> level of threat </w:t>
      </w:r>
      <w:proofErr w:type="spellStart"/>
      <w:r w:rsidRPr="00CE411B">
        <w:rPr>
          <w:lang w:val="en-GB"/>
        </w:rPr>
        <w:t>Geely</w:t>
      </w:r>
      <w:proofErr w:type="spellEnd"/>
      <w:r w:rsidRPr="00CE411B">
        <w:rPr>
          <w:lang w:val="en-GB"/>
        </w:rPr>
        <w:t xml:space="preserve"> posed and how to respond to it, if </w:t>
      </w:r>
      <w:r>
        <w:rPr>
          <w:lang w:val="en-GB"/>
        </w:rPr>
        <w:t>at all</w:t>
      </w:r>
      <w:r w:rsidRPr="00CE411B">
        <w:rPr>
          <w:lang w:val="en-GB"/>
        </w:rPr>
        <w:t xml:space="preserve">. Would </w:t>
      </w:r>
      <w:proofErr w:type="spellStart"/>
      <w:r w:rsidRPr="00CE411B">
        <w:rPr>
          <w:lang w:val="en-GB"/>
        </w:rPr>
        <w:t>Geely’s</w:t>
      </w:r>
      <w:proofErr w:type="spellEnd"/>
      <w:r>
        <w:rPr>
          <w:lang w:val="en-GB"/>
        </w:rPr>
        <w:t xml:space="preserve"> recent</w:t>
      </w:r>
      <w:r w:rsidRPr="00CE411B">
        <w:rPr>
          <w:lang w:val="en-GB"/>
        </w:rPr>
        <w:t xml:space="preserve"> move endanger Ford’s market position in the U</w:t>
      </w:r>
      <w:r>
        <w:rPr>
          <w:lang w:val="en-GB"/>
        </w:rPr>
        <w:t xml:space="preserve">nited </w:t>
      </w:r>
      <w:r w:rsidRPr="00CE411B">
        <w:rPr>
          <w:lang w:val="en-GB"/>
        </w:rPr>
        <w:t>S</w:t>
      </w:r>
      <w:r>
        <w:rPr>
          <w:lang w:val="en-GB"/>
        </w:rPr>
        <w:t>tates</w:t>
      </w:r>
      <w:r w:rsidRPr="00CE411B">
        <w:rPr>
          <w:lang w:val="en-GB"/>
        </w:rPr>
        <w:t xml:space="preserve"> </w:t>
      </w:r>
      <w:r>
        <w:rPr>
          <w:lang w:val="en-GB"/>
        </w:rPr>
        <w:t xml:space="preserve">or </w:t>
      </w:r>
      <w:r w:rsidRPr="00CE411B">
        <w:rPr>
          <w:lang w:val="en-GB"/>
        </w:rPr>
        <w:t>in China (Ford’s largest foreign market),</w:t>
      </w:r>
      <w:r w:rsidRPr="00CE411B">
        <w:rPr>
          <w:rStyle w:val="EndnoteReference"/>
          <w:lang w:val="en-GB"/>
        </w:rPr>
        <w:endnoteReference w:id="8"/>
      </w:r>
      <w:r w:rsidRPr="00CE411B">
        <w:rPr>
          <w:lang w:val="en-GB"/>
        </w:rPr>
        <w:t xml:space="preserve"> or </w:t>
      </w:r>
      <w:r>
        <w:rPr>
          <w:lang w:val="en-GB"/>
        </w:rPr>
        <w:t xml:space="preserve">in </w:t>
      </w:r>
      <w:r w:rsidRPr="00CE411B">
        <w:rPr>
          <w:lang w:val="en-GB"/>
        </w:rPr>
        <w:t xml:space="preserve">both? </w:t>
      </w:r>
    </w:p>
    <w:p w14:paraId="455886B2" w14:textId="77777777" w:rsidR="00AE0FB7" w:rsidRPr="00595CC5" w:rsidRDefault="00AE0FB7" w:rsidP="00D315F3">
      <w:pPr>
        <w:pStyle w:val="BodyTextMain"/>
        <w:rPr>
          <w:sz w:val="20"/>
          <w:lang w:val="en-GB"/>
        </w:rPr>
      </w:pPr>
    </w:p>
    <w:p w14:paraId="57615416" w14:textId="77777777" w:rsidR="00AE0FB7" w:rsidRPr="00595CC5" w:rsidRDefault="00AE0FB7" w:rsidP="00D315F3">
      <w:pPr>
        <w:pStyle w:val="BodyTextMain"/>
        <w:rPr>
          <w:sz w:val="20"/>
          <w:lang w:val="en-GB"/>
        </w:rPr>
      </w:pPr>
    </w:p>
    <w:p w14:paraId="70342AE9" w14:textId="77777777" w:rsidR="00AE0FB7" w:rsidRPr="00CE411B" w:rsidRDefault="00AE0FB7" w:rsidP="00D315F3">
      <w:pPr>
        <w:pStyle w:val="Casehead1"/>
        <w:rPr>
          <w:lang w:val="en-GB"/>
        </w:rPr>
      </w:pPr>
      <w:r w:rsidRPr="00CE411B">
        <w:rPr>
          <w:lang w:val="en-GB"/>
        </w:rPr>
        <w:t>INTRODUCING THE MAIN PLAYERS</w:t>
      </w:r>
    </w:p>
    <w:p w14:paraId="4BE3C45B" w14:textId="77777777" w:rsidR="00AE0FB7" w:rsidRPr="00595CC5" w:rsidRDefault="00AE0FB7" w:rsidP="00D315F3">
      <w:pPr>
        <w:pStyle w:val="BodyTextMain"/>
        <w:rPr>
          <w:sz w:val="20"/>
          <w:lang w:val="en-GB"/>
        </w:rPr>
      </w:pPr>
    </w:p>
    <w:p w14:paraId="1C5F1B17" w14:textId="3939C016" w:rsidR="00AE0FB7" w:rsidRPr="00CE411B" w:rsidRDefault="00AE0FB7" w:rsidP="00D315F3">
      <w:pPr>
        <w:pStyle w:val="BodyTextMain"/>
        <w:rPr>
          <w:lang w:val="en-GB"/>
        </w:rPr>
      </w:pPr>
      <w:r>
        <w:rPr>
          <w:lang w:val="en-GB"/>
        </w:rPr>
        <w:t xml:space="preserve">Hackett was new to the automotive industry. Before he accepted the position of CEO at </w:t>
      </w:r>
      <w:r w:rsidRPr="00CE411B">
        <w:rPr>
          <w:lang w:val="en-GB"/>
        </w:rPr>
        <w:t>For</w:t>
      </w:r>
      <w:r>
        <w:rPr>
          <w:lang w:val="en-GB"/>
        </w:rPr>
        <w:t>d, he had been a</w:t>
      </w:r>
      <w:r w:rsidRPr="00CE411B">
        <w:rPr>
          <w:lang w:val="en-GB"/>
        </w:rPr>
        <w:t xml:space="preserve"> long</w:t>
      </w:r>
      <w:r>
        <w:rPr>
          <w:lang w:val="en-GB"/>
        </w:rPr>
        <w:t>-</w:t>
      </w:r>
      <w:r w:rsidRPr="00CE411B">
        <w:rPr>
          <w:lang w:val="en-GB"/>
        </w:rPr>
        <w:t>time CEO of Steelcase, an innovative furniture company</w:t>
      </w:r>
      <w:r>
        <w:rPr>
          <w:lang w:val="en-GB"/>
        </w:rPr>
        <w:t>.</w:t>
      </w:r>
      <w:r w:rsidRPr="00CE411B">
        <w:rPr>
          <w:lang w:val="en-GB"/>
        </w:rPr>
        <w:t xml:space="preserve"> </w:t>
      </w:r>
      <w:r>
        <w:rPr>
          <w:lang w:val="en-GB"/>
        </w:rPr>
        <w:t>In contrast, and somewhat ironically,</w:t>
      </w:r>
      <w:r w:rsidRPr="00CE411B">
        <w:rPr>
          <w:lang w:val="en-GB"/>
        </w:rPr>
        <w:t xml:space="preserve"> </w:t>
      </w:r>
      <w:proofErr w:type="spellStart"/>
      <w:r w:rsidRPr="00CE411B">
        <w:rPr>
          <w:lang w:val="en-GB"/>
        </w:rPr>
        <w:t>Geely’s</w:t>
      </w:r>
      <w:proofErr w:type="spellEnd"/>
      <w:r w:rsidRPr="00CE411B">
        <w:rPr>
          <w:lang w:val="en-GB"/>
        </w:rPr>
        <w:t xml:space="preserve"> </w:t>
      </w:r>
      <w:r>
        <w:rPr>
          <w:lang w:val="en-GB"/>
        </w:rPr>
        <w:t>c</w:t>
      </w:r>
      <w:r w:rsidRPr="00CE411B">
        <w:rPr>
          <w:lang w:val="en-GB"/>
        </w:rPr>
        <w:t xml:space="preserve">hairman, Li </w:t>
      </w:r>
      <w:proofErr w:type="spellStart"/>
      <w:r w:rsidRPr="00CE411B">
        <w:rPr>
          <w:lang w:val="en-GB"/>
        </w:rPr>
        <w:t>Shufu</w:t>
      </w:r>
      <w:proofErr w:type="spellEnd"/>
      <w:r w:rsidRPr="00CE411B">
        <w:rPr>
          <w:lang w:val="en-GB"/>
        </w:rPr>
        <w:t xml:space="preserve">, was dubbed China’s Henry Ford. </w:t>
      </w:r>
      <w:proofErr w:type="spellStart"/>
      <w:r w:rsidRPr="00CE411B">
        <w:rPr>
          <w:lang w:val="en-GB"/>
        </w:rPr>
        <w:t>Shufu</w:t>
      </w:r>
      <w:proofErr w:type="spellEnd"/>
      <w:r w:rsidRPr="00CE411B">
        <w:rPr>
          <w:lang w:val="en-GB"/>
        </w:rPr>
        <w:t xml:space="preserve"> had even once proclaimed</w:t>
      </w:r>
      <w:r>
        <w:rPr>
          <w:lang w:val="en-GB"/>
        </w:rPr>
        <w:t>,</w:t>
      </w:r>
      <w:r w:rsidRPr="00CE411B">
        <w:rPr>
          <w:lang w:val="en-GB"/>
        </w:rPr>
        <w:t xml:space="preserve"> “Our dream is to see </w:t>
      </w:r>
      <w:proofErr w:type="spellStart"/>
      <w:r w:rsidRPr="00CE411B">
        <w:rPr>
          <w:lang w:val="en-GB"/>
        </w:rPr>
        <w:t>Geely</w:t>
      </w:r>
      <w:proofErr w:type="spellEnd"/>
      <w:r w:rsidRPr="00CE411B">
        <w:rPr>
          <w:lang w:val="en-GB"/>
        </w:rPr>
        <w:t xml:space="preserve"> vehicles driven all over the world.” </w:t>
      </w:r>
      <w:r>
        <w:rPr>
          <w:lang w:val="en-GB"/>
        </w:rPr>
        <w:t xml:space="preserve">However, </w:t>
      </w:r>
      <w:r w:rsidRPr="00CE411B">
        <w:rPr>
          <w:lang w:val="en-GB"/>
        </w:rPr>
        <w:t xml:space="preserve">Ford’s track record in the automotive industry went back a century further </w:t>
      </w:r>
      <w:r>
        <w:rPr>
          <w:lang w:val="en-GB"/>
        </w:rPr>
        <w:t xml:space="preserve">than </w:t>
      </w:r>
      <w:proofErr w:type="spellStart"/>
      <w:r>
        <w:rPr>
          <w:lang w:val="en-GB"/>
        </w:rPr>
        <w:t>Geely’s</w:t>
      </w:r>
      <w:proofErr w:type="spellEnd"/>
      <w:r>
        <w:rPr>
          <w:lang w:val="en-GB"/>
        </w:rPr>
        <w:t xml:space="preserve">, </w:t>
      </w:r>
      <w:r w:rsidRPr="00CE411B">
        <w:rPr>
          <w:lang w:val="en-GB"/>
        </w:rPr>
        <w:t>with Henry Ford’s invention of the quadricycle in 1896.</w:t>
      </w:r>
      <w:r w:rsidRPr="00CE411B">
        <w:rPr>
          <w:rStyle w:val="EndnoteReference"/>
          <w:lang w:val="en-GB"/>
        </w:rPr>
        <w:endnoteReference w:id="9"/>
      </w:r>
      <w:r w:rsidRPr="00CE411B">
        <w:rPr>
          <w:lang w:val="en-GB"/>
        </w:rPr>
        <w:t xml:space="preserve"> </w:t>
      </w:r>
    </w:p>
    <w:p w14:paraId="079F114F" w14:textId="77777777" w:rsidR="00AE0FB7" w:rsidRPr="00595CC5" w:rsidRDefault="00AE0FB7" w:rsidP="00D315F3">
      <w:pPr>
        <w:pStyle w:val="BodyTextMain"/>
        <w:rPr>
          <w:sz w:val="20"/>
          <w:lang w:val="en-GB"/>
        </w:rPr>
      </w:pPr>
    </w:p>
    <w:p w14:paraId="3F184C6F" w14:textId="7FBEF477" w:rsidR="00AE0FB7" w:rsidRDefault="00AE0FB7" w:rsidP="00D315F3">
      <w:pPr>
        <w:pStyle w:val="BodyTextMain"/>
        <w:rPr>
          <w:lang w:val="en-GB"/>
        </w:rPr>
      </w:pPr>
      <w:proofErr w:type="spellStart"/>
      <w:r w:rsidRPr="00CE411B">
        <w:rPr>
          <w:lang w:val="en-GB"/>
        </w:rPr>
        <w:lastRenderedPageBreak/>
        <w:t>Geely</w:t>
      </w:r>
      <w:proofErr w:type="spellEnd"/>
      <w:r w:rsidRPr="00CE411B">
        <w:rPr>
          <w:lang w:val="en-GB"/>
        </w:rPr>
        <w:t xml:space="preserve"> presented the first-ever Chinese car, designed by </w:t>
      </w:r>
      <w:r>
        <w:rPr>
          <w:lang w:val="en-GB"/>
        </w:rPr>
        <w:t>the former</w:t>
      </w:r>
      <w:r w:rsidRPr="00CE411B">
        <w:rPr>
          <w:lang w:val="en-GB"/>
        </w:rPr>
        <w:t xml:space="preserve"> South Korea</w:t>
      </w:r>
      <w:r>
        <w:rPr>
          <w:lang w:val="en-GB"/>
        </w:rPr>
        <w:t xml:space="preserve">n automaker </w:t>
      </w:r>
      <w:r w:rsidRPr="00CE411B">
        <w:rPr>
          <w:lang w:val="en-GB"/>
        </w:rPr>
        <w:t>Daewoo</w:t>
      </w:r>
      <w:r>
        <w:rPr>
          <w:lang w:val="en-GB"/>
        </w:rPr>
        <w:t>,</w:t>
      </w:r>
      <w:r w:rsidRPr="00CE411B">
        <w:rPr>
          <w:lang w:val="en-GB"/>
        </w:rPr>
        <w:t xml:space="preserve"> at an American auto</w:t>
      </w:r>
      <w:r>
        <w:rPr>
          <w:lang w:val="en-GB"/>
        </w:rPr>
        <w:t>mobile</w:t>
      </w:r>
      <w:r w:rsidRPr="00CE411B">
        <w:rPr>
          <w:lang w:val="en-GB"/>
        </w:rPr>
        <w:t xml:space="preserve"> show in 2002</w:t>
      </w:r>
      <w:r>
        <w:rPr>
          <w:lang w:val="en-GB"/>
        </w:rPr>
        <w:t>.</w:t>
      </w:r>
      <w:r w:rsidRPr="00CE411B">
        <w:rPr>
          <w:lang w:val="en-GB"/>
        </w:rPr>
        <w:t xml:space="preserve"> </w:t>
      </w:r>
      <w:r>
        <w:rPr>
          <w:lang w:val="en-GB"/>
        </w:rPr>
        <w:t>T</w:t>
      </w:r>
      <w:r w:rsidRPr="00CE411B">
        <w:rPr>
          <w:lang w:val="en-GB"/>
        </w:rPr>
        <w:t>he name</w:t>
      </w:r>
      <w:r>
        <w:rPr>
          <w:lang w:val="en-GB"/>
        </w:rPr>
        <w:t xml:space="preserve"> of the car was</w:t>
      </w:r>
      <w:r w:rsidRPr="00CE411B">
        <w:rPr>
          <w:lang w:val="en-GB"/>
        </w:rPr>
        <w:t xml:space="preserve"> </w:t>
      </w:r>
      <w:proofErr w:type="spellStart"/>
      <w:r w:rsidRPr="0078385F">
        <w:rPr>
          <w:i/>
          <w:lang w:val="en-GB"/>
        </w:rPr>
        <w:t>Ziyoujian</w:t>
      </w:r>
      <w:proofErr w:type="spellEnd"/>
      <w:r>
        <w:rPr>
          <w:lang w:val="en-GB"/>
        </w:rPr>
        <w:t xml:space="preserve"> (“</w:t>
      </w:r>
      <w:r w:rsidRPr="00CE411B">
        <w:rPr>
          <w:lang w:val="en-GB"/>
        </w:rPr>
        <w:t>Freedom Ship</w:t>
      </w:r>
      <w:r>
        <w:rPr>
          <w:lang w:val="en-GB"/>
        </w:rPr>
        <w:t>”</w:t>
      </w:r>
      <w:r w:rsidRPr="00CE411B">
        <w:rPr>
          <w:lang w:val="en-GB"/>
        </w:rPr>
        <w:t xml:space="preserve"> or </w:t>
      </w:r>
      <w:r>
        <w:rPr>
          <w:lang w:val="en-GB"/>
        </w:rPr>
        <w:t>“</w:t>
      </w:r>
      <w:r w:rsidRPr="00CE411B">
        <w:rPr>
          <w:lang w:val="en-GB"/>
        </w:rPr>
        <w:t>Free Cruiser</w:t>
      </w:r>
      <w:r>
        <w:rPr>
          <w:lang w:val="en-GB"/>
        </w:rPr>
        <w:t>” in English).</w:t>
      </w:r>
      <w:r w:rsidRPr="00CE411B">
        <w:rPr>
          <w:lang w:val="en-GB"/>
        </w:rPr>
        <w:t xml:space="preserve"> </w:t>
      </w:r>
      <w:proofErr w:type="spellStart"/>
      <w:r w:rsidRPr="00CE411B">
        <w:rPr>
          <w:lang w:val="en-GB"/>
        </w:rPr>
        <w:t>Geely</w:t>
      </w:r>
      <w:proofErr w:type="spellEnd"/>
      <w:r>
        <w:rPr>
          <w:lang w:val="en-GB"/>
        </w:rPr>
        <w:t xml:space="preserve"> was</w:t>
      </w:r>
      <w:r w:rsidRPr="00CE411B">
        <w:rPr>
          <w:lang w:val="en-GB"/>
        </w:rPr>
        <w:t xml:space="preserve"> a </w:t>
      </w:r>
      <w:r>
        <w:rPr>
          <w:lang w:val="en-GB"/>
        </w:rPr>
        <w:t>who</w:t>
      </w:r>
      <w:r w:rsidRPr="00CE411B">
        <w:rPr>
          <w:lang w:val="en-GB"/>
        </w:rPr>
        <w:t>lly</w:t>
      </w:r>
      <w:r>
        <w:rPr>
          <w:lang w:val="en-GB"/>
        </w:rPr>
        <w:t xml:space="preserve"> </w:t>
      </w:r>
      <w:r w:rsidRPr="00CE411B">
        <w:rPr>
          <w:lang w:val="en-GB"/>
        </w:rPr>
        <w:t xml:space="preserve">owned subsidiary of the Zhejiang </w:t>
      </w:r>
      <w:proofErr w:type="spellStart"/>
      <w:r w:rsidRPr="00CE411B">
        <w:rPr>
          <w:lang w:val="en-GB"/>
        </w:rPr>
        <w:t>Geely</w:t>
      </w:r>
      <w:proofErr w:type="spellEnd"/>
      <w:r w:rsidRPr="00CE411B">
        <w:rPr>
          <w:lang w:val="en-GB"/>
        </w:rPr>
        <w:t xml:space="preserve"> Holding Group</w:t>
      </w:r>
      <w:r>
        <w:rPr>
          <w:lang w:val="en-GB"/>
        </w:rPr>
        <w:t>,</w:t>
      </w:r>
      <w:r w:rsidRPr="00CE411B">
        <w:rPr>
          <w:lang w:val="en-GB"/>
        </w:rPr>
        <w:t xml:space="preserve"> founded in 1986</w:t>
      </w:r>
      <w:r>
        <w:rPr>
          <w:lang w:val="en-GB"/>
        </w:rPr>
        <w:t>. The company entered</w:t>
      </w:r>
      <w:r w:rsidRPr="00CE411B">
        <w:rPr>
          <w:lang w:val="en-GB"/>
        </w:rPr>
        <w:t xml:space="preserve"> the Fortune 500 list in 2012 and ranked 475. In 2018, </w:t>
      </w:r>
      <w:proofErr w:type="spellStart"/>
      <w:r w:rsidRPr="00CE411B">
        <w:rPr>
          <w:lang w:val="en-GB"/>
        </w:rPr>
        <w:t>Geely’s</w:t>
      </w:r>
      <w:proofErr w:type="spellEnd"/>
      <w:r w:rsidRPr="00CE411B">
        <w:rPr>
          <w:lang w:val="en-GB"/>
        </w:rPr>
        <w:t xml:space="preserve"> rank was 267.</w:t>
      </w:r>
      <w:r w:rsidRPr="00CE411B">
        <w:rPr>
          <w:rStyle w:val="EndnoteReference"/>
          <w:lang w:val="en-GB"/>
        </w:rPr>
        <w:endnoteReference w:id="10"/>
      </w:r>
      <w:r w:rsidRPr="00CE411B">
        <w:rPr>
          <w:lang w:val="en-GB"/>
        </w:rPr>
        <w:t xml:space="preserve"> </w:t>
      </w:r>
      <w:proofErr w:type="spellStart"/>
      <w:r w:rsidRPr="00CE411B">
        <w:rPr>
          <w:lang w:val="en-GB"/>
        </w:rPr>
        <w:t>Geely’s</w:t>
      </w:r>
      <w:proofErr w:type="spellEnd"/>
      <w:r w:rsidRPr="00CE411B">
        <w:rPr>
          <w:lang w:val="en-GB"/>
        </w:rPr>
        <w:t xml:space="preserve"> revenue almost quadrupled between 2014 and 2017, whereas Ford’s </w:t>
      </w:r>
      <w:r>
        <w:rPr>
          <w:lang w:val="en-GB"/>
        </w:rPr>
        <w:t>revenue</w:t>
      </w:r>
      <w:r w:rsidRPr="00CE411B">
        <w:rPr>
          <w:lang w:val="en-GB"/>
        </w:rPr>
        <w:t xml:space="preserve"> increased at an anaemic pace</w:t>
      </w:r>
      <w:r>
        <w:rPr>
          <w:lang w:val="en-GB"/>
        </w:rPr>
        <w:t>,</w:t>
      </w:r>
      <w:r w:rsidRPr="00CE411B">
        <w:rPr>
          <w:lang w:val="en-GB"/>
        </w:rPr>
        <w:t xml:space="preserve"> between 1.4 and 3.8 per cent per year (see Exhibit 1). </w:t>
      </w:r>
    </w:p>
    <w:p w14:paraId="008995A7" w14:textId="77777777" w:rsidR="00AE0FB7" w:rsidRPr="00595CC5" w:rsidRDefault="00AE0FB7" w:rsidP="00D315F3">
      <w:pPr>
        <w:pStyle w:val="BodyTextMain"/>
        <w:rPr>
          <w:sz w:val="20"/>
          <w:lang w:val="en-GB"/>
        </w:rPr>
      </w:pPr>
    </w:p>
    <w:p w14:paraId="586478E3" w14:textId="49CCFC75" w:rsidR="00AE0FB7" w:rsidRPr="00CE411B" w:rsidRDefault="00AE0FB7" w:rsidP="00D315F3">
      <w:pPr>
        <w:pStyle w:val="BodyTextMain"/>
        <w:rPr>
          <w:lang w:val="en-GB"/>
        </w:rPr>
      </w:pPr>
      <w:r>
        <w:rPr>
          <w:lang w:val="en-GB"/>
        </w:rPr>
        <w:t>The automotive</w:t>
      </w:r>
      <w:r w:rsidRPr="00CE411B">
        <w:rPr>
          <w:lang w:val="en-GB"/>
        </w:rPr>
        <w:t xml:space="preserve"> industry</w:t>
      </w:r>
      <w:r>
        <w:rPr>
          <w:lang w:val="en-GB"/>
        </w:rPr>
        <w:t>,</w:t>
      </w:r>
      <w:r w:rsidRPr="00CE411B">
        <w:rPr>
          <w:lang w:val="en-GB"/>
        </w:rPr>
        <w:t xml:space="preserve"> and its global business context</w:t>
      </w:r>
      <w:r>
        <w:rPr>
          <w:lang w:val="en-GB"/>
        </w:rPr>
        <w:t>, was shaped in part by several</w:t>
      </w:r>
      <w:r w:rsidRPr="00CE411B">
        <w:rPr>
          <w:lang w:val="en-GB"/>
        </w:rPr>
        <w:t xml:space="preserve"> key events dating back to 2008</w:t>
      </w:r>
      <w:r>
        <w:rPr>
          <w:lang w:val="en-GB"/>
        </w:rPr>
        <w:t xml:space="preserve"> and</w:t>
      </w:r>
      <w:r w:rsidRPr="00CE411B">
        <w:rPr>
          <w:lang w:val="en-GB"/>
        </w:rPr>
        <w:t xml:space="preserve"> starting with the rise of emerging multinational</w:t>
      </w:r>
      <w:r>
        <w:rPr>
          <w:lang w:val="en-GB"/>
        </w:rPr>
        <w:t xml:space="preserve"> corporation</w:t>
      </w:r>
      <w:r w:rsidRPr="00CE411B">
        <w:rPr>
          <w:lang w:val="en-GB"/>
        </w:rPr>
        <w:t>s (EMNC).</w:t>
      </w:r>
    </w:p>
    <w:p w14:paraId="217E73AF" w14:textId="77777777" w:rsidR="00AE0FB7" w:rsidRPr="00595CC5" w:rsidRDefault="00AE0FB7" w:rsidP="00D315F3">
      <w:pPr>
        <w:pStyle w:val="BodyTextMain"/>
        <w:rPr>
          <w:sz w:val="20"/>
          <w:lang w:val="en-GB"/>
        </w:rPr>
      </w:pPr>
    </w:p>
    <w:p w14:paraId="3463DC9E" w14:textId="77777777" w:rsidR="00AE0FB7" w:rsidRPr="00595CC5" w:rsidRDefault="00AE0FB7" w:rsidP="00D315F3">
      <w:pPr>
        <w:pStyle w:val="BodyTextMain"/>
        <w:rPr>
          <w:sz w:val="20"/>
          <w:lang w:val="en-GB"/>
        </w:rPr>
      </w:pPr>
    </w:p>
    <w:p w14:paraId="0B28C48A" w14:textId="741B3C29" w:rsidR="00AE0FB7" w:rsidRPr="00CE411B" w:rsidRDefault="00AE0FB7" w:rsidP="00D315F3">
      <w:pPr>
        <w:pStyle w:val="Casehead1"/>
        <w:rPr>
          <w:lang w:val="en-GB"/>
        </w:rPr>
      </w:pPr>
      <w:r w:rsidRPr="00CE411B">
        <w:rPr>
          <w:lang w:val="en-GB"/>
        </w:rPr>
        <w:t>THE AUTOMOTIVE INDUSTRY AND ITS GLOBAL CONTEXT (2008</w:t>
      </w:r>
      <w:r>
        <w:rPr>
          <w:lang w:val="en-GB"/>
        </w:rPr>
        <w:t>–</w:t>
      </w:r>
      <w:r w:rsidRPr="00CE411B">
        <w:rPr>
          <w:lang w:val="en-GB"/>
        </w:rPr>
        <w:t>2018)</w:t>
      </w:r>
    </w:p>
    <w:p w14:paraId="76135916" w14:textId="77777777" w:rsidR="00AE0FB7" w:rsidRPr="00595CC5" w:rsidRDefault="00AE0FB7" w:rsidP="00D315F3">
      <w:pPr>
        <w:pStyle w:val="BodyTextMain"/>
        <w:rPr>
          <w:sz w:val="20"/>
          <w:lang w:val="en-GB"/>
        </w:rPr>
      </w:pPr>
    </w:p>
    <w:p w14:paraId="2F632C74" w14:textId="47103E06" w:rsidR="00AE0FB7" w:rsidRPr="00CE411B" w:rsidRDefault="00AE0FB7" w:rsidP="00A34F97">
      <w:pPr>
        <w:pStyle w:val="BodyTextMain"/>
        <w:rPr>
          <w:lang w:val="en-GB"/>
        </w:rPr>
      </w:pPr>
      <w:r>
        <w:rPr>
          <w:lang w:val="en-GB"/>
        </w:rPr>
        <w:t xml:space="preserve">The year </w:t>
      </w:r>
      <w:r w:rsidRPr="00CE411B">
        <w:rPr>
          <w:lang w:val="en-GB"/>
        </w:rPr>
        <w:t xml:space="preserve">2008 was a watershed in the history of the global economy. The start of the </w:t>
      </w:r>
      <w:r>
        <w:rPr>
          <w:lang w:val="en-GB"/>
        </w:rPr>
        <w:t>g</w:t>
      </w:r>
      <w:r w:rsidRPr="00CE411B">
        <w:rPr>
          <w:lang w:val="en-GB"/>
        </w:rPr>
        <w:t xml:space="preserve">lobal </w:t>
      </w:r>
      <w:r>
        <w:rPr>
          <w:lang w:val="en-GB"/>
        </w:rPr>
        <w:t>f</w:t>
      </w:r>
      <w:r w:rsidRPr="00CE411B">
        <w:rPr>
          <w:lang w:val="en-GB"/>
        </w:rPr>
        <w:t xml:space="preserve">inancial </w:t>
      </w:r>
      <w:r>
        <w:rPr>
          <w:lang w:val="en-GB"/>
        </w:rPr>
        <w:t>c</w:t>
      </w:r>
      <w:r w:rsidRPr="00CE411B">
        <w:rPr>
          <w:lang w:val="en-GB"/>
        </w:rPr>
        <w:t>risis</w:t>
      </w:r>
      <w:r>
        <w:rPr>
          <w:lang w:val="en-GB"/>
        </w:rPr>
        <w:t xml:space="preserve"> saw</w:t>
      </w:r>
      <w:r w:rsidRPr="00CE411B">
        <w:rPr>
          <w:lang w:val="en-GB"/>
        </w:rPr>
        <w:t xml:space="preserve"> the largest bankruptcy in </w:t>
      </w:r>
      <w:r>
        <w:rPr>
          <w:lang w:val="en-GB"/>
        </w:rPr>
        <w:t>US</w:t>
      </w:r>
      <w:r w:rsidRPr="00CE411B">
        <w:rPr>
          <w:lang w:val="en-GB"/>
        </w:rPr>
        <w:t xml:space="preserve"> </w:t>
      </w:r>
      <w:r>
        <w:rPr>
          <w:lang w:val="en-GB"/>
        </w:rPr>
        <w:t xml:space="preserve">history with the </w:t>
      </w:r>
      <w:r w:rsidRPr="00CE411B">
        <w:rPr>
          <w:lang w:val="en-GB"/>
        </w:rPr>
        <w:t xml:space="preserve">collapse of </w:t>
      </w:r>
      <w:r>
        <w:rPr>
          <w:lang w:val="en-GB"/>
        </w:rPr>
        <w:t xml:space="preserve">the giant investment bank </w:t>
      </w:r>
      <w:r w:rsidRPr="00CE411B">
        <w:rPr>
          <w:lang w:val="en-GB"/>
        </w:rPr>
        <w:t>Lehman Brothers</w:t>
      </w:r>
      <w:r>
        <w:rPr>
          <w:lang w:val="en-GB"/>
        </w:rPr>
        <w:t>. That year</w:t>
      </w:r>
      <w:r w:rsidRPr="00CE411B">
        <w:rPr>
          <w:lang w:val="en-GB"/>
        </w:rPr>
        <w:t xml:space="preserve"> </w:t>
      </w:r>
      <w:r>
        <w:rPr>
          <w:lang w:val="en-GB"/>
        </w:rPr>
        <w:t xml:space="preserve">also </w:t>
      </w:r>
      <w:r w:rsidRPr="00CE411B">
        <w:rPr>
          <w:lang w:val="en-GB"/>
        </w:rPr>
        <w:t>marked the beginning of the end for GM</w:t>
      </w:r>
      <w:r>
        <w:rPr>
          <w:lang w:val="en-GB"/>
        </w:rPr>
        <w:t>, which filed for</w:t>
      </w:r>
      <w:r w:rsidRPr="00CE411B">
        <w:rPr>
          <w:lang w:val="en-GB"/>
        </w:rPr>
        <w:t xml:space="preserve"> bankrupt</w:t>
      </w:r>
      <w:r>
        <w:rPr>
          <w:lang w:val="en-GB"/>
        </w:rPr>
        <w:t>cy</w:t>
      </w:r>
      <w:r w:rsidRPr="00CE411B">
        <w:rPr>
          <w:lang w:val="en-GB"/>
        </w:rPr>
        <w:t xml:space="preserve"> in 2009, a month after Chrysler</w:t>
      </w:r>
      <w:r>
        <w:rPr>
          <w:lang w:val="en-GB"/>
        </w:rPr>
        <w:t>’s bankruptcy.</w:t>
      </w:r>
      <w:r w:rsidRPr="00CE411B">
        <w:rPr>
          <w:lang w:val="en-GB"/>
        </w:rPr>
        <w:t xml:space="preserve"> GM </w:t>
      </w:r>
      <w:r>
        <w:rPr>
          <w:lang w:val="en-GB"/>
        </w:rPr>
        <w:t>had been</w:t>
      </w:r>
      <w:r w:rsidRPr="00CE411B">
        <w:rPr>
          <w:lang w:val="en-GB"/>
        </w:rPr>
        <w:t xml:space="preserve"> founded in 1908</w:t>
      </w:r>
      <w:r>
        <w:rPr>
          <w:lang w:val="en-GB"/>
        </w:rPr>
        <w:t>,</w:t>
      </w:r>
      <w:r w:rsidRPr="00CE411B">
        <w:rPr>
          <w:lang w:val="en-GB"/>
        </w:rPr>
        <w:t xml:space="preserve"> survived wars</w:t>
      </w:r>
      <w:r>
        <w:rPr>
          <w:lang w:val="en-GB"/>
        </w:rPr>
        <w:t>,</w:t>
      </w:r>
      <w:r w:rsidRPr="00CE411B">
        <w:rPr>
          <w:lang w:val="en-GB"/>
        </w:rPr>
        <w:t xml:space="preserve"> and </w:t>
      </w:r>
      <w:r>
        <w:rPr>
          <w:lang w:val="en-GB"/>
        </w:rPr>
        <w:t xml:space="preserve">weathered </w:t>
      </w:r>
      <w:r w:rsidRPr="00CE411B">
        <w:rPr>
          <w:lang w:val="en-GB"/>
        </w:rPr>
        <w:t>the Great Depression</w:t>
      </w:r>
      <w:r>
        <w:rPr>
          <w:lang w:val="en-GB"/>
        </w:rPr>
        <w:t>. Its bankruptcy</w:t>
      </w:r>
      <w:r w:rsidRPr="00CE411B">
        <w:rPr>
          <w:lang w:val="en-GB"/>
        </w:rPr>
        <w:t xml:space="preserve"> signal</w:t>
      </w:r>
      <w:r>
        <w:rPr>
          <w:lang w:val="en-GB"/>
        </w:rPr>
        <w:t>l</w:t>
      </w:r>
      <w:r w:rsidRPr="00CE411B">
        <w:rPr>
          <w:lang w:val="en-GB"/>
        </w:rPr>
        <w:t>ed the end of “the industrial era of the United States,” according to Robert Thompson, a Syracuse University professor.</w:t>
      </w:r>
      <w:r w:rsidRPr="00CE411B">
        <w:rPr>
          <w:rStyle w:val="EndnoteReference"/>
          <w:lang w:val="en-GB"/>
        </w:rPr>
        <w:endnoteReference w:id="11"/>
      </w:r>
      <w:r w:rsidRPr="00CE411B">
        <w:rPr>
          <w:lang w:val="en-GB"/>
        </w:rPr>
        <w:t xml:space="preserve"> </w:t>
      </w:r>
    </w:p>
    <w:p w14:paraId="5F48E517" w14:textId="77777777" w:rsidR="00AE0FB7" w:rsidRPr="00595CC5" w:rsidRDefault="00AE0FB7" w:rsidP="00A34F97">
      <w:pPr>
        <w:pStyle w:val="BodyTextMain"/>
        <w:rPr>
          <w:sz w:val="20"/>
          <w:lang w:val="en-GB"/>
        </w:rPr>
      </w:pPr>
    </w:p>
    <w:p w14:paraId="246055CF" w14:textId="04218A5B" w:rsidR="00AE0FB7" w:rsidRPr="00595CC5" w:rsidRDefault="00AE0FB7" w:rsidP="00D315F3">
      <w:pPr>
        <w:pStyle w:val="BodyTextMain"/>
        <w:rPr>
          <w:spacing w:val="-2"/>
          <w:lang w:val="en-GB"/>
        </w:rPr>
      </w:pPr>
      <w:r w:rsidRPr="00595CC5">
        <w:rPr>
          <w:spacing w:val="-2"/>
          <w:lang w:val="en-GB"/>
        </w:rPr>
        <w:t>Other countries around the world, such as the emerging markets, were relatively less affected by the massive crisis.</w:t>
      </w:r>
      <w:r w:rsidRPr="00595CC5">
        <w:rPr>
          <w:rStyle w:val="EndnoteReference"/>
          <w:spacing w:val="-2"/>
          <w:lang w:val="en-GB"/>
        </w:rPr>
        <w:endnoteReference w:id="12"/>
      </w:r>
      <w:r w:rsidRPr="00595CC5">
        <w:rPr>
          <w:spacing w:val="-2"/>
          <w:lang w:val="en-GB"/>
        </w:rPr>
        <w:t xml:space="preserve"> As a result, the </w:t>
      </w:r>
      <w:r>
        <w:rPr>
          <w:spacing w:val="-2"/>
          <w:lang w:val="en-GB"/>
        </w:rPr>
        <w:t>US</w:t>
      </w:r>
      <w:r w:rsidRPr="00595CC5">
        <w:rPr>
          <w:spacing w:val="-2"/>
          <w:lang w:val="en-GB"/>
        </w:rPr>
        <w:t xml:space="preserve"> economic disaster was accompanied by the growth of new and powerful competitors, such as India’s Tata Motors</w:t>
      </w:r>
      <w:r>
        <w:rPr>
          <w:spacing w:val="-2"/>
          <w:lang w:val="en-GB"/>
        </w:rPr>
        <w:t xml:space="preserve"> Limited</w:t>
      </w:r>
      <w:r w:rsidRPr="00595CC5">
        <w:rPr>
          <w:spacing w:val="-2"/>
          <w:lang w:val="en-GB"/>
        </w:rPr>
        <w:t xml:space="preserve"> </w:t>
      </w:r>
      <w:r>
        <w:rPr>
          <w:spacing w:val="-2"/>
          <w:lang w:val="en-GB"/>
        </w:rPr>
        <w:t xml:space="preserve">(Tata Motors) </w:t>
      </w:r>
      <w:r w:rsidRPr="00595CC5">
        <w:rPr>
          <w:spacing w:val="-2"/>
          <w:lang w:val="en-GB"/>
        </w:rPr>
        <w:t>and China’s Lenovo</w:t>
      </w:r>
      <w:r>
        <w:rPr>
          <w:spacing w:val="-2"/>
          <w:lang w:val="en-GB"/>
        </w:rPr>
        <w:t xml:space="preserve"> Group Ltd. (Lenovo)</w:t>
      </w:r>
      <w:r w:rsidRPr="00595CC5">
        <w:rPr>
          <w:spacing w:val="-2"/>
          <w:lang w:val="en-GB"/>
        </w:rPr>
        <w:t>, often referred to as EMNCs. Empowered by their growing domestic markets, these powerful and hungry competitors soon started to venture outside their already large domestic markets to claim global</w:t>
      </w:r>
      <w:r>
        <w:rPr>
          <w:spacing w:val="-2"/>
          <w:lang w:val="en-GB"/>
        </w:rPr>
        <w:t>ly</w:t>
      </w:r>
      <w:r w:rsidRPr="00595CC5">
        <w:rPr>
          <w:spacing w:val="-2"/>
          <w:lang w:val="en-GB"/>
        </w:rPr>
        <w:t xml:space="preserve"> competitive position</w:t>
      </w:r>
      <w:r>
        <w:rPr>
          <w:spacing w:val="-2"/>
          <w:lang w:val="en-GB"/>
        </w:rPr>
        <w:t>s</w:t>
      </w:r>
      <w:r w:rsidRPr="00595CC5">
        <w:rPr>
          <w:spacing w:val="-2"/>
          <w:lang w:val="en-GB"/>
        </w:rPr>
        <w:t xml:space="preserve"> in their industr</w:t>
      </w:r>
      <w:r>
        <w:rPr>
          <w:spacing w:val="-2"/>
          <w:lang w:val="en-GB"/>
        </w:rPr>
        <w:t>ies</w:t>
      </w:r>
      <w:r w:rsidRPr="00595CC5">
        <w:rPr>
          <w:spacing w:val="-2"/>
          <w:lang w:val="en-GB"/>
        </w:rPr>
        <w:t xml:space="preserve">. The progression of EMNCs within the automotive industry followed a path that seemed applicable to other industries as well. </w:t>
      </w:r>
    </w:p>
    <w:p w14:paraId="11156F83" w14:textId="77777777" w:rsidR="00AE0FB7" w:rsidRPr="00595CC5" w:rsidRDefault="00AE0FB7" w:rsidP="00D315F3">
      <w:pPr>
        <w:pStyle w:val="BodyTextMain"/>
        <w:rPr>
          <w:sz w:val="20"/>
          <w:lang w:val="en-GB"/>
        </w:rPr>
      </w:pPr>
    </w:p>
    <w:p w14:paraId="5EE75DCD" w14:textId="5B06543F" w:rsidR="00AE0FB7" w:rsidRPr="00CE411B" w:rsidRDefault="00AE0FB7" w:rsidP="00D315F3">
      <w:pPr>
        <w:pStyle w:val="BodyTextMain"/>
        <w:rPr>
          <w:lang w:val="en-GB"/>
        </w:rPr>
      </w:pPr>
      <w:proofErr w:type="spellStart"/>
      <w:r w:rsidRPr="00CE411B">
        <w:rPr>
          <w:lang w:val="en-GB"/>
        </w:rPr>
        <w:t>Geely’s</w:t>
      </w:r>
      <w:proofErr w:type="spellEnd"/>
      <w:r w:rsidRPr="00CE411B">
        <w:rPr>
          <w:lang w:val="en-GB"/>
        </w:rPr>
        <w:t xml:space="preserve"> </w:t>
      </w:r>
      <w:r>
        <w:rPr>
          <w:lang w:val="en-GB"/>
        </w:rPr>
        <w:t>growth</w:t>
      </w:r>
      <w:r w:rsidRPr="00CE411B">
        <w:rPr>
          <w:lang w:val="en-GB"/>
        </w:rPr>
        <w:t xml:space="preserve"> </w:t>
      </w:r>
      <w:r>
        <w:rPr>
          <w:lang w:val="en-GB"/>
        </w:rPr>
        <w:t xml:space="preserve">rate </w:t>
      </w:r>
      <w:r w:rsidRPr="00CE411B">
        <w:rPr>
          <w:lang w:val="en-GB"/>
        </w:rPr>
        <w:t>ha</w:t>
      </w:r>
      <w:r>
        <w:rPr>
          <w:lang w:val="en-GB"/>
        </w:rPr>
        <w:t>d</w:t>
      </w:r>
      <w:r w:rsidRPr="00CE411B">
        <w:rPr>
          <w:lang w:val="en-GB"/>
        </w:rPr>
        <w:t xml:space="preserve"> been </w:t>
      </w:r>
      <w:r>
        <w:rPr>
          <w:lang w:val="en-GB"/>
        </w:rPr>
        <w:t>powerful</w:t>
      </w:r>
      <w:r w:rsidRPr="00CE411B">
        <w:rPr>
          <w:lang w:val="en-GB"/>
        </w:rPr>
        <w:t xml:space="preserve"> for years. Within the p</w:t>
      </w:r>
      <w:r>
        <w:rPr>
          <w:lang w:val="en-GB"/>
        </w:rPr>
        <w:t>revious five</w:t>
      </w:r>
      <w:r w:rsidRPr="00CE411B">
        <w:rPr>
          <w:lang w:val="en-GB"/>
        </w:rPr>
        <w:t xml:space="preserve"> years, its </w:t>
      </w:r>
      <w:r w:rsidR="00570DC4">
        <w:rPr>
          <w:lang w:val="en-GB"/>
        </w:rPr>
        <w:t>revenue</w:t>
      </w:r>
      <w:r w:rsidRPr="00CE411B">
        <w:rPr>
          <w:lang w:val="en-GB"/>
        </w:rPr>
        <w:t xml:space="preserve"> increased from $3.69 billion</w:t>
      </w:r>
      <w:r>
        <w:rPr>
          <w:lang w:val="en-GB"/>
        </w:rPr>
        <w:t xml:space="preserve"> (¥</w:t>
      </w:r>
      <w:r w:rsidRPr="00CE411B">
        <w:rPr>
          <w:lang w:val="en-GB"/>
        </w:rPr>
        <w:t>24.63 billion</w:t>
      </w:r>
      <w:r>
        <w:rPr>
          <w:lang w:val="en-GB"/>
        </w:rPr>
        <w:t>)</w:t>
      </w:r>
      <w:r w:rsidRPr="00CE411B">
        <w:rPr>
          <w:lang w:val="en-GB"/>
        </w:rPr>
        <w:t xml:space="preserve"> </w:t>
      </w:r>
      <w:r>
        <w:rPr>
          <w:lang w:val="en-GB"/>
        </w:rPr>
        <w:t xml:space="preserve">in </w:t>
      </w:r>
      <w:r w:rsidRPr="00CE411B">
        <w:rPr>
          <w:lang w:val="en-GB"/>
        </w:rPr>
        <w:t>2012 to $13.91 billion (</w:t>
      </w:r>
      <w:r>
        <w:rPr>
          <w:lang w:val="en-GB"/>
        </w:rPr>
        <w:t>¥</w:t>
      </w:r>
      <w:r w:rsidRPr="00CE411B">
        <w:rPr>
          <w:lang w:val="en-GB"/>
        </w:rPr>
        <w:t>92.76 billion</w:t>
      </w:r>
      <w:r>
        <w:rPr>
          <w:lang w:val="en-GB"/>
        </w:rPr>
        <w:t>)</w:t>
      </w:r>
      <w:r w:rsidRPr="00CE411B">
        <w:rPr>
          <w:lang w:val="en-GB"/>
        </w:rPr>
        <w:t xml:space="preserve"> </w:t>
      </w:r>
      <w:r>
        <w:rPr>
          <w:lang w:val="en-GB"/>
        </w:rPr>
        <w:t xml:space="preserve">in </w:t>
      </w:r>
      <w:r w:rsidRPr="00CE411B">
        <w:rPr>
          <w:lang w:val="en-GB"/>
        </w:rPr>
        <w:t xml:space="preserve">2017, </w:t>
      </w:r>
      <w:r>
        <w:rPr>
          <w:lang w:val="en-GB"/>
        </w:rPr>
        <w:t xml:space="preserve">for </w:t>
      </w:r>
      <w:r w:rsidRPr="00CE411B">
        <w:rPr>
          <w:lang w:val="en-GB"/>
        </w:rPr>
        <w:t>a 276 per cent increase</w:t>
      </w:r>
      <w:r>
        <w:rPr>
          <w:lang w:val="en-GB"/>
        </w:rPr>
        <w:t>,</w:t>
      </w:r>
      <w:r w:rsidRPr="00CE411B">
        <w:rPr>
          <w:lang w:val="en-GB"/>
        </w:rPr>
        <w:t xml:space="preserve"> while its </w:t>
      </w:r>
      <w:r>
        <w:rPr>
          <w:lang w:val="en-GB"/>
        </w:rPr>
        <w:t xml:space="preserve">profits doubled from </w:t>
      </w:r>
      <w:r w:rsidRPr="00CE411B">
        <w:rPr>
          <w:lang w:val="en-GB"/>
        </w:rPr>
        <w:t xml:space="preserve">$1.59 billion </w:t>
      </w:r>
      <w:r>
        <w:rPr>
          <w:lang w:val="en-GB"/>
        </w:rPr>
        <w:t>(¥</w:t>
      </w:r>
      <w:r w:rsidRPr="00CE411B">
        <w:rPr>
          <w:lang w:val="en-GB"/>
        </w:rPr>
        <w:t>10.63 billion</w:t>
      </w:r>
      <w:r>
        <w:rPr>
          <w:lang w:val="en-GB"/>
        </w:rPr>
        <w:t>)</w:t>
      </w:r>
      <w:r w:rsidRPr="00CE411B">
        <w:rPr>
          <w:lang w:val="en-GB"/>
        </w:rPr>
        <w:t xml:space="preserve"> during 2017</w:t>
      </w:r>
      <w:r>
        <w:rPr>
          <w:lang w:val="en-GB"/>
        </w:rPr>
        <w:t xml:space="preserve">, for an increase of </w:t>
      </w:r>
      <w:r w:rsidRPr="00CE411B">
        <w:rPr>
          <w:lang w:val="en-GB"/>
        </w:rPr>
        <w:t>108 per cent year</w:t>
      </w:r>
      <w:r>
        <w:rPr>
          <w:lang w:val="en-GB"/>
        </w:rPr>
        <w:t xml:space="preserve"> </w:t>
      </w:r>
      <w:r w:rsidRPr="00CE411B">
        <w:rPr>
          <w:lang w:val="en-GB"/>
        </w:rPr>
        <w:t>over</w:t>
      </w:r>
      <w:r>
        <w:rPr>
          <w:lang w:val="en-GB"/>
        </w:rPr>
        <w:t xml:space="preserve"> </w:t>
      </w:r>
      <w:r w:rsidRPr="00CE411B">
        <w:rPr>
          <w:lang w:val="en-GB"/>
        </w:rPr>
        <w:t>year.</w:t>
      </w:r>
      <w:r w:rsidRPr="00CE411B">
        <w:rPr>
          <w:rStyle w:val="EndnoteReference"/>
          <w:lang w:val="en-GB"/>
        </w:rPr>
        <w:endnoteReference w:id="13"/>
      </w:r>
      <w:r w:rsidRPr="00CE411B">
        <w:rPr>
          <w:lang w:val="en-GB"/>
        </w:rPr>
        <w:t xml:space="preserve"> At the end of August 2018</w:t>
      </w:r>
      <w:r>
        <w:rPr>
          <w:lang w:val="en-GB"/>
        </w:rPr>
        <w:t>,</w:t>
      </w:r>
      <w:r w:rsidRPr="00CE411B">
        <w:rPr>
          <w:lang w:val="en-GB"/>
        </w:rPr>
        <w:t xml:space="preserve"> according to two people familiar with the </w:t>
      </w:r>
      <w:r>
        <w:rPr>
          <w:lang w:val="en-GB"/>
        </w:rPr>
        <w:t>company</w:t>
      </w:r>
      <w:r w:rsidRPr="00CE411B">
        <w:rPr>
          <w:lang w:val="en-GB"/>
        </w:rPr>
        <w:t xml:space="preserve">, </w:t>
      </w:r>
      <w:proofErr w:type="spellStart"/>
      <w:r w:rsidRPr="00CE411B">
        <w:rPr>
          <w:lang w:val="en-GB"/>
        </w:rPr>
        <w:t>Geely</w:t>
      </w:r>
      <w:proofErr w:type="spellEnd"/>
      <w:r w:rsidRPr="00CE411B">
        <w:rPr>
          <w:lang w:val="en-GB"/>
        </w:rPr>
        <w:t xml:space="preserve"> was “building a new plant to produce a quarter of a million bigger-sized cars that will help meet a goal of selling more than 2 million vehicles by 2020 and power its growth.” By 2020, 90 per cent of its cars </w:t>
      </w:r>
      <w:r>
        <w:rPr>
          <w:lang w:val="en-GB"/>
        </w:rPr>
        <w:t xml:space="preserve">were expected </w:t>
      </w:r>
      <w:r w:rsidRPr="00CE411B">
        <w:rPr>
          <w:lang w:val="en-GB"/>
        </w:rPr>
        <w:t xml:space="preserve">to be electric, according to </w:t>
      </w:r>
      <w:proofErr w:type="spellStart"/>
      <w:r w:rsidRPr="00CE411B">
        <w:rPr>
          <w:lang w:val="en-GB"/>
        </w:rPr>
        <w:t>Shufu</w:t>
      </w:r>
      <w:proofErr w:type="spellEnd"/>
      <w:r w:rsidRPr="00CE411B">
        <w:rPr>
          <w:lang w:val="en-GB"/>
        </w:rPr>
        <w:t>.</w:t>
      </w:r>
      <w:r w:rsidRPr="00CE411B">
        <w:rPr>
          <w:rStyle w:val="EndnoteReference"/>
          <w:lang w:val="en-GB"/>
        </w:rPr>
        <w:endnoteReference w:id="14"/>
      </w:r>
      <w:r w:rsidRPr="00CE411B">
        <w:rPr>
          <w:lang w:val="en-GB"/>
        </w:rPr>
        <w:t xml:space="preserve">  </w:t>
      </w:r>
    </w:p>
    <w:p w14:paraId="2D5D4177" w14:textId="77777777" w:rsidR="00AE0FB7" w:rsidRPr="00595CC5" w:rsidRDefault="00AE0FB7" w:rsidP="00D315F3">
      <w:pPr>
        <w:pStyle w:val="BodyTextMain"/>
        <w:rPr>
          <w:sz w:val="20"/>
          <w:lang w:val="en-GB"/>
        </w:rPr>
      </w:pPr>
    </w:p>
    <w:p w14:paraId="6DA54D91" w14:textId="7B034ACA" w:rsidR="00AE0FB7" w:rsidRPr="00595CC5" w:rsidRDefault="00AE0FB7" w:rsidP="00D315F3">
      <w:pPr>
        <w:pStyle w:val="BodyTextMain"/>
        <w:rPr>
          <w:spacing w:val="-2"/>
          <w:lang w:val="en-GB"/>
        </w:rPr>
      </w:pPr>
      <w:r w:rsidRPr="00595CC5">
        <w:rPr>
          <w:spacing w:val="-2"/>
          <w:lang w:val="en-GB"/>
        </w:rPr>
        <w:t xml:space="preserve">During the same period, Ford’s growth rate was less impressive. In 2012, the company reported </w:t>
      </w:r>
      <w:r w:rsidR="00570DC4">
        <w:rPr>
          <w:spacing w:val="-2"/>
          <w:lang w:val="en-GB"/>
        </w:rPr>
        <w:t>revenue</w:t>
      </w:r>
      <w:r w:rsidRPr="00595CC5">
        <w:rPr>
          <w:spacing w:val="-2"/>
          <w:lang w:val="en-GB"/>
        </w:rPr>
        <w:t xml:space="preserve"> of $132.2 billion and a net income of $5.6 billion, based on 5.6 million vehicles sold wholesale. By 2017, its </w:t>
      </w:r>
      <w:r w:rsidR="00570DC4">
        <w:rPr>
          <w:spacing w:val="-2"/>
          <w:lang w:val="en-GB"/>
        </w:rPr>
        <w:t>revenue</w:t>
      </w:r>
      <w:r w:rsidRPr="00595CC5">
        <w:rPr>
          <w:spacing w:val="-2"/>
          <w:lang w:val="en-GB"/>
        </w:rPr>
        <w:t xml:space="preserve"> w</w:t>
      </w:r>
      <w:r w:rsidR="00570DC4">
        <w:rPr>
          <w:spacing w:val="-2"/>
          <w:lang w:val="en-GB"/>
        </w:rPr>
        <w:t>as</w:t>
      </w:r>
      <w:r w:rsidRPr="00595CC5">
        <w:rPr>
          <w:spacing w:val="-2"/>
          <w:lang w:val="en-GB"/>
        </w:rPr>
        <w:t xml:space="preserve"> $156.8 billion and its net income $7.6 billion, based on 6.6 million vehicles sold wholesale. In 2017, Ford sold its vehicles in three main regions: North America (2.9 million), Europe (1.58 million), and Asia Pacific (1.56 million). For 2018, Ford’s outlook included the launch of 23 global products, aligned with the company’s strategy of “smart vehicles for a smart world.” The company focused its production on trucks, sport utility vehicles, and cross-overs, which consisted of Ford’s most profitable products.</w:t>
      </w:r>
      <w:r w:rsidRPr="00595CC5">
        <w:rPr>
          <w:rStyle w:val="EndnoteReference"/>
          <w:spacing w:val="-2"/>
          <w:lang w:val="en-GB"/>
        </w:rPr>
        <w:endnoteReference w:id="15"/>
      </w:r>
    </w:p>
    <w:p w14:paraId="212127FC" w14:textId="77777777" w:rsidR="00AE0FB7" w:rsidRPr="00595CC5" w:rsidRDefault="00AE0FB7" w:rsidP="00D315F3">
      <w:pPr>
        <w:pStyle w:val="BodyTextMain"/>
        <w:rPr>
          <w:spacing w:val="-2"/>
          <w:sz w:val="20"/>
          <w:lang w:val="en-GB"/>
        </w:rPr>
      </w:pPr>
    </w:p>
    <w:p w14:paraId="1DE98259" w14:textId="6F9749C3" w:rsidR="00AE0FB7" w:rsidRPr="00595CC5" w:rsidRDefault="00AE0FB7" w:rsidP="00D315F3">
      <w:pPr>
        <w:pStyle w:val="BodyTextMain"/>
        <w:rPr>
          <w:lang w:val="en-GB"/>
        </w:rPr>
      </w:pPr>
      <w:r w:rsidRPr="00595CC5">
        <w:rPr>
          <w:lang w:val="en-GB"/>
        </w:rPr>
        <w:t xml:space="preserve">Overall, Ford’s growth was moderate, whereas </w:t>
      </w:r>
      <w:proofErr w:type="spellStart"/>
      <w:r w:rsidRPr="00595CC5">
        <w:rPr>
          <w:lang w:val="en-GB"/>
        </w:rPr>
        <w:t>Geely’s</w:t>
      </w:r>
      <w:proofErr w:type="spellEnd"/>
      <w:r w:rsidRPr="00595CC5">
        <w:rPr>
          <w:lang w:val="en-GB"/>
        </w:rPr>
        <w:t xml:space="preserve"> exponential growth rate epitomized the rapid rise of EMNCs in general. The strategic process EMNCs tended to use was based on the acquisition of major stakes in global giants. </w:t>
      </w:r>
    </w:p>
    <w:p w14:paraId="3CB2B501" w14:textId="77777777" w:rsidR="00AE0FB7" w:rsidRPr="00595CC5" w:rsidRDefault="00AE0FB7" w:rsidP="00D315F3">
      <w:pPr>
        <w:pStyle w:val="BodyTextMain"/>
        <w:rPr>
          <w:sz w:val="20"/>
          <w:lang w:val="en-GB"/>
        </w:rPr>
      </w:pPr>
    </w:p>
    <w:p w14:paraId="00ED8408" w14:textId="6BB49E8D" w:rsidR="00AE0FB7" w:rsidRPr="00CE411B" w:rsidRDefault="00AE0FB7" w:rsidP="00595CC5">
      <w:pPr>
        <w:pStyle w:val="Casehead2"/>
        <w:keepNext/>
        <w:rPr>
          <w:lang w:val="en-GB"/>
        </w:rPr>
      </w:pPr>
      <w:r w:rsidRPr="00CE411B">
        <w:rPr>
          <w:lang w:val="en-GB"/>
        </w:rPr>
        <w:lastRenderedPageBreak/>
        <w:t xml:space="preserve">The Rise of EMNCs: A Force to </w:t>
      </w:r>
      <w:r>
        <w:rPr>
          <w:lang w:val="en-GB"/>
        </w:rPr>
        <w:t xml:space="preserve">Be </w:t>
      </w:r>
      <w:r w:rsidRPr="00CE411B">
        <w:rPr>
          <w:lang w:val="en-GB"/>
        </w:rPr>
        <w:t>Reckon</w:t>
      </w:r>
      <w:r>
        <w:rPr>
          <w:lang w:val="en-GB"/>
        </w:rPr>
        <w:t>ed</w:t>
      </w:r>
      <w:r w:rsidRPr="00CE411B">
        <w:rPr>
          <w:lang w:val="en-GB"/>
        </w:rPr>
        <w:t xml:space="preserve"> </w:t>
      </w:r>
      <w:r>
        <w:rPr>
          <w:lang w:val="en-GB"/>
        </w:rPr>
        <w:t>W</w:t>
      </w:r>
      <w:r w:rsidRPr="00CE411B">
        <w:rPr>
          <w:lang w:val="en-GB"/>
        </w:rPr>
        <w:t>ith</w:t>
      </w:r>
    </w:p>
    <w:p w14:paraId="16578A56" w14:textId="77777777" w:rsidR="00AE0FB7" w:rsidRPr="008E7BFC" w:rsidRDefault="00AE0FB7" w:rsidP="00595CC5">
      <w:pPr>
        <w:pStyle w:val="BodyTextMain"/>
        <w:keepNext/>
        <w:rPr>
          <w:sz w:val="20"/>
          <w:szCs w:val="20"/>
          <w:lang w:val="en-GB"/>
        </w:rPr>
      </w:pPr>
    </w:p>
    <w:p w14:paraId="32EED477" w14:textId="16BBC998" w:rsidR="00AE0FB7" w:rsidRPr="00CE411B" w:rsidRDefault="00AE0FB7" w:rsidP="00595CC5">
      <w:pPr>
        <w:pStyle w:val="BodyTextMain"/>
        <w:keepNext/>
        <w:rPr>
          <w:lang w:val="en-GB"/>
        </w:rPr>
      </w:pPr>
      <w:r>
        <w:rPr>
          <w:lang w:val="en-GB"/>
        </w:rPr>
        <w:t xml:space="preserve">In 2001, British economist </w:t>
      </w:r>
      <w:r w:rsidRPr="00CE411B">
        <w:rPr>
          <w:lang w:val="en-GB"/>
        </w:rPr>
        <w:t xml:space="preserve">Jim O’Neill </w:t>
      </w:r>
      <w:r>
        <w:rPr>
          <w:lang w:val="en-GB"/>
        </w:rPr>
        <w:t>accurately predicted</w:t>
      </w:r>
      <w:r w:rsidRPr="00CE411B">
        <w:rPr>
          <w:lang w:val="en-GB"/>
        </w:rPr>
        <w:t xml:space="preserve"> the success of </w:t>
      </w:r>
      <w:r>
        <w:rPr>
          <w:lang w:val="en-GB"/>
        </w:rPr>
        <w:t xml:space="preserve">what he coined as </w:t>
      </w:r>
      <w:r w:rsidRPr="00CE411B">
        <w:rPr>
          <w:lang w:val="en-GB"/>
        </w:rPr>
        <w:t xml:space="preserve">the </w:t>
      </w:r>
      <w:r>
        <w:rPr>
          <w:lang w:val="en-GB"/>
        </w:rPr>
        <w:t>“</w:t>
      </w:r>
      <w:r w:rsidRPr="00CE411B">
        <w:rPr>
          <w:lang w:val="en-GB"/>
        </w:rPr>
        <w:t>BRIC</w:t>
      </w:r>
      <w:r>
        <w:rPr>
          <w:lang w:val="en-GB"/>
        </w:rPr>
        <w:t>” countries, consisting of</w:t>
      </w:r>
      <w:r w:rsidRPr="00CE411B">
        <w:rPr>
          <w:lang w:val="en-GB"/>
        </w:rPr>
        <w:t xml:space="preserve"> Brazil, Russia, India, </w:t>
      </w:r>
      <w:r>
        <w:rPr>
          <w:lang w:val="en-GB"/>
        </w:rPr>
        <w:t xml:space="preserve">and </w:t>
      </w:r>
      <w:r w:rsidRPr="00CE411B">
        <w:rPr>
          <w:lang w:val="en-GB"/>
        </w:rPr>
        <w:t>China</w:t>
      </w:r>
      <w:r>
        <w:rPr>
          <w:lang w:val="en-GB"/>
        </w:rPr>
        <w:t>. Since then</w:t>
      </w:r>
      <w:r w:rsidRPr="00CE411B">
        <w:rPr>
          <w:lang w:val="en-GB"/>
        </w:rPr>
        <w:t xml:space="preserve">, a </w:t>
      </w:r>
      <w:r>
        <w:rPr>
          <w:lang w:val="en-GB"/>
        </w:rPr>
        <w:t>great amount</w:t>
      </w:r>
      <w:r w:rsidRPr="00CE411B">
        <w:rPr>
          <w:lang w:val="en-GB"/>
        </w:rPr>
        <w:t xml:space="preserve"> of strategic attention was given to these booming economies. With the entry of China in</w:t>
      </w:r>
      <w:r>
        <w:rPr>
          <w:lang w:val="en-GB"/>
        </w:rPr>
        <w:t>to</w:t>
      </w:r>
      <w:r w:rsidRPr="00CE411B">
        <w:rPr>
          <w:lang w:val="en-GB"/>
        </w:rPr>
        <w:t xml:space="preserve"> the W</w:t>
      </w:r>
      <w:r>
        <w:rPr>
          <w:lang w:val="en-GB"/>
        </w:rPr>
        <w:t xml:space="preserve">orld </w:t>
      </w:r>
      <w:r w:rsidRPr="00CE411B">
        <w:rPr>
          <w:lang w:val="en-GB"/>
        </w:rPr>
        <w:t>T</w:t>
      </w:r>
      <w:r>
        <w:rPr>
          <w:lang w:val="en-GB"/>
        </w:rPr>
        <w:t xml:space="preserve">rade </w:t>
      </w:r>
      <w:r w:rsidRPr="00CE411B">
        <w:rPr>
          <w:lang w:val="en-GB"/>
        </w:rPr>
        <w:t>O</w:t>
      </w:r>
      <w:r>
        <w:rPr>
          <w:lang w:val="en-GB"/>
        </w:rPr>
        <w:t>rganization that</w:t>
      </w:r>
      <w:r w:rsidRPr="00CE411B">
        <w:rPr>
          <w:lang w:val="en-GB"/>
        </w:rPr>
        <w:t xml:space="preserve"> same year, many </w:t>
      </w:r>
      <w:r>
        <w:rPr>
          <w:lang w:val="en-GB"/>
        </w:rPr>
        <w:t>US</w:t>
      </w:r>
      <w:r w:rsidRPr="00CE411B">
        <w:rPr>
          <w:lang w:val="en-GB"/>
        </w:rPr>
        <w:t xml:space="preserve"> companies </w:t>
      </w:r>
      <w:r>
        <w:rPr>
          <w:lang w:val="en-GB"/>
        </w:rPr>
        <w:t xml:space="preserve">began to </w:t>
      </w:r>
      <w:r w:rsidRPr="00CE411B">
        <w:rPr>
          <w:lang w:val="en-GB"/>
        </w:rPr>
        <w:t xml:space="preserve">invest in </w:t>
      </w:r>
      <w:r>
        <w:rPr>
          <w:lang w:val="en-GB"/>
        </w:rPr>
        <w:t>those countries—</w:t>
      </w:r>
      <w:r w:rsidRPr="00CE411B">
        <w:rPr>
          <w:lang w:val="en-GB"/>
        </w:rPr>
        <w:t>China, in particular</w:t>
      </w:r>
      <w:r>
        <w:rPr>
          <w:lang w:val="en-GB"/>
        </w:rPr>
        <w:t>—</w:t>
      </w:r>
      <w:r w:rsidRPr="00CE411B">
        <w:rPr>
          <w:lang w:val="en-GB"/>
        </w:rPr>
        <w:t xml:space="preserve">or </w:t>
      </w:r>
      <w:r>
        <w:rPr>
          <w:lang w:val="en-GB"/>
        </w:rPr>
        <w:t xml:space="preserve">to </w:t>
      </w:r>
      <w:r w:rsidRPr="00CE411B">
        <w:rPr>
          <w:lang w:val="en-GB"/>
        </w:rPr>
        <w:t>increased</w:t>
      </w:r>
      <w:r>
        <w:rPr>
          <w:lang w:val="en-GB"/>
        </w:rPr>
        <w:t xml:space="preserve"> their investments</w:t>
      </w:r>
      <w:r w:rsidRPr="00CE411B">
        <w:rPr>
          <w:lang w:val="en-GB"/>
        </w:rPr>
        <w:t>. At th</w:t>
      </w:r>
      <w:r>
        <w:rPr>
          <w:lang w:val="en-GB"/>
        </w:rPr>
        <w:t>e</w:t>
      </w:r>
      <w:r w:rsidRPr="00CE411B">
        <w:rPr>
          <w:lang w:val="en-GB"/>
        </w:rPr>
        <w:t xml:space="preserve"> time, </w:t>
      </w:r>
      <w:r>
        <w:rPr>
          <w:lang w:val="en-GB"/>
        </w:rPr>
        <w:t>large</w:t>
      </w:r>
      <w:r w:rsidRPr="00CE411B">
        <w:rPr>
          <w:lang w:val="en-GB"/>
        </w:rPr>
        <w:t xml:space="preserve"> </w:t>
      </w:r>
      <w:r>
        <w:rPr>
          <w:lang w:val="en-GB"/>
        </w:rPr>
        <w:t>f</w:t>
      </w:r>
      <w:r w:rsidRPr="00CE411B">
        <w:rPr>
          <w:lang w:val="en-GB"/>
        </w:rPr>
        <w:t xml:space="preserve">oreign </w:t>
      </w:r>
      <w:r>
        <w:rPr>
          <w:lang w:val="en-GB"/>
        </w:rPr>
        <w:t>d</w:t>
      </w:r>
      <w:r w:rsidRPr="00CE411B">
        <w:rPr>
          <w:lang w:val="en-GB"/>
        </w:rPr>
        <w:t xml:space="preserve">irect </w:t>
      </w:r>
      <w:r>
        <w:rPr>
          <w:lang w:val="en-GB"/>
        </w:rPr>
        <w:t>i</w:t>
      </w:r>
      <w:r w:rsidRPr="00CE411B">
        <w:rPr>
          <w:lang w:val="en-GB"/>
        </w:rPr>
        <w:t>nvestment</w:t>
      </w:r>
      <w:r>
        <w:rPr>
          <w:lang w:val="en-GB"/>
        </w:rPr>
        <w:t>s</w:t>
      </w:r>
      <w:r w:rsidRPr="00CE411B">
        <w:rPr>
          <w:lang w:val="en-GB"/>
        </w:rPr>
        <w:t xml:space="preserve"> (FDI) by </w:t>
      </w:r>
      <w:r>
        <w:rPr>
          <w:lang w:val="en-GB"/>
        </w:rPr>
        <w:t xml:space="preserve">multinational companies from </w:t>
      </w:r>
      <w:r w:rsidRPr="00CE411B">
        <w:rPr>
          <w:lang w:val="en-GB"/>
        </w:rPr>
        <w:t>developed markets</w:t>
      </w:r>
      <w:r>
        <w:rPr>
          <w:lang w:val="en-GB"/>
        </w:rPr>
        <w:t xml:space="preserve"> were considered</w:t>
      </w:r>
      <w:r w:rsidRPr="00CE411B">
        <w:rPr>
          <w:lang w:val="en-GB"/>
        </w:rPr>
        <w:t xml:space="preserve"> a natural step in their internationalization process.</w:t>
      </w:r>
      <w:r w:rsidRPr="00CE411B">
        <w:rPr>
          <w:rStyle w:val="EndnoteReference"/>
          <w:lang w:val="en-GB"/>
        </w:rPr>
        <w:endnoteReference w:id="16"/>
      </w:r>
      <w:r w:rsidRPr="00CE411B">
        <w:rPr>
          <w:lang w:val="en-GB"/>
        </w:rPr>
        <w:t xml:space="preserve"> </w:t>
      </w:r>
      <w:r>
        <w:rPr>
          <w:lang w:val="en-GB"/>
        </w:rPr>
        <w:t>These giant companies</w:t>
      </w:r>
      <w:r w:rsidRPr="00CE411B">
        <w:rPr>
          <w:lang w:val="en-GB"/>
        </w:rPr>
        <w:t xml:space="preserve"> </w:t>
      </w:r>
      <w:r>
        <w:rPr>
          <w:lang w:val="en-GB"/>
        </w:rPr>
        <w:t xml:space="preserve">would often </w:t>
      </w:r>
      <w:r w:rsidRPr="00CE411B">
        <w:rPr>
          <w:lang w:val="en-GB"/>
        </w:rPr>
        <w:t>establish subsidiaries or acquir</w:t>
      </w:r>
      <w:r>
        <w:rPr>
          <w:lang w:val="en-GB"/>
        </w:rPr>
        <w:t>e</w:t>
      </w:r>
      <w:r w:rsidRPr="00CE411B">
        <w:rPr>
          <w:lang w:val="en-GB"/>
        </w:rPr>
        <w:t xml:space="preserve"> </w:t>
      </w:r>
      <w:r>
        <w:rPr>
          <w:lang w:val="en-GB"/>
        </w:rPr>
        <w:t>critical</w:t>
      </w:r>
      <w:r w:rsidRPr="00CE411B">
        <w:rPr>
          <w:lang w:val="en-GB"/>
        </w:rPr>
        <w:t xml:space="preserve"> stake</w:t>
      </w:r>
      <w:r>
        <w:rPr>
          <w:lang w:val="en-GB"/>
        </w:rPr>
        <w:t>s</w:t>
      </w:r>
      <w:r w:rsidRPr="00CE411B">
        <w:rPr>
          <w:lang w:val="en-GB"/>
        </w:rPr>
        <w:t xml:space="preserve"> in BRIC-located firm</w:t>
      </w:r>
      <w:r>
        <w:rPr>
          <w:lang w:val="en-GB"/>
        </w:rPr>
        <w:t>s. However, w</w:t>
      </w:r>
      <w:r w:rsidRPr="00CE411B">
        <w:rPr>
          <w:lang w:val="en-GB"/>
        </w:rPr>
        <w:t>hat was less common or natural was a reverse</w:t>
      </w:r>
      <w:r>
        <w:rPr>
          <w:lang w:val="en-GB"/>
        </w:rPr>
        <w:t xml:space="preserve"> form of </w:t>
      </w:r>
      <w:r w:rsidRPr="00CE411B">
        <w:rPr>
          <w:lang w:val="en-GB"/>
        </w:rPr>
        <w:t>FDI</w:t>
      </w:r>
      <w:r>
        <w:rPr>
          <w:lang w:val="en-GB"/>
        </w:rPr>
        <w:t>, where</w:t>
      </w:r>
      <w:r w:rsidRPr="00CE411B">
        <w:rPr>
          <w:lang w:val="en-GB"/>
        </w:rPr>
        <w:t xml:space="preserve"> a company </w:t>
      </w:r>
      <w:r>
        <w:rPr>
          <w:lang w:val="en-GB"/>
        </w:rPr>
        <w:t>from</w:t>
      </w:r>
      <w:r w:rsidRPr="00CE411B">
        <w:rPr>
          <w:lang w:val="en-GB"/>
        </w:rPr>
        <w:t xml:space="preserve"> an emerging market </w:t>
      </w:r>
      <w:r>
        <w:rPr>
          <w:lang w:val="en-GB"/>
        </w:rPr>
        <w:t xml:space="preserve">would </w:t>
      </w:r>
      <w:r w:rsidRPr="00CE411B">
        <w:rPr>
          <w:lang w:val="en-GB"/>
        </w:rPr>
        <w:t>acquir</w:t>
      </w:r>
      <w:r>
        <w:rPr>
          <w:lang w:val="en-GB"/>
        </w:rPr>
        <w:t>e</w:t>
      </w:r>
      <w:r w:rsidRPr="00CE411B">
        <w:rPr>
          <w:lang w:val="en-GB"/>
        </w:rPr>
        <w:t xml:space="preserve"> a 10</w:t>
      </w:r>
      <w:r w:rsidR="00570DC4">
        <w:rPr>
          <w:lang w:val="en-GB"/>
        </w:rPr>
        <w:t xml:space="preserve"> to </w:t>
      </w:r>
      <w:r w:rsidRPr="00CE411B">
        <w:rPr>
          <w:lang w:val="en-GB"/>
        </w:rPr>
        <w:t>100 per cent stake in a firm located in a developed market.</w:t>
      </w:r>
    </w:p>
    <w:p w14:paraId="61A5B8E5" w14:textId="77777777" w:rsidR="00AE0FB7" w:rsidRPr="008E7BFC" w:rsidRDefault="00AE0FB7" w:rsidP="00D315F3">
      <w:pPr>
        <w:pStyle w:val="BodyTextMain"/>
        <w:rPr>
          <w:sz w:val="20"/>
          <w:szCs w:val="20"/>
          <w:lang w:val="en-GB"/>
        </w:rPr>
      </w:pPr>
    </w:p>
    <w:p w14:paraId="180CA103" w14:textId="7EDAE3E8" w:rsidR="00AE0FB7" w:rsidRPr="00595CC5" w:rsidRDefault="00AE0FB7" w:rsidP="00D315F3">
      <w:pPr>
        <w:pStyle w:val="BodyTextMain"/>
        <w:rPr>
          <w:spacing w:val="-4"/>
          <w:lang w:val="en-GB"/>
        </w:rPr>
      </w:pPr>
      <w:r w:rsidRPr="00595CC5">
        <w:rPr>
          <w:spacing w:val="-4"/>
          <w:lang w:val="en-GB"/>
        </w:rPr>
        <w:t>In 2008, the year of the global recession and a $</w:t>
      </w:r>
      <w:r w:rsidR="0078385F">
        <w:rPr>
          <w:spacing w:val="-4"/>
          <w:lang w:val="en-GB"/>
        </w:rPr>
        <w:t>1</w:t>
      </w:r>
      <w:r w:rsidRPr="00595CC5">
        <w:rPr>
          <w:spacing w:val="-4"/>
          <w:lang w:val="en-GB"/>
        </w:rPr>
        <w:t xml:space="preserve">4.6 billion record loss for Ford, some astute international business scholars made another prediction: tomorrow’s giants would not be the “usual suspects,” such as Ford or IBM. They predicted the rise of EMNCs and the growth potential and critical mass of emerging markets. </w:t>
      </w:r>
      <w:r>
        <w:rPr>
          <w:spacing w:val="-4"/>
          <w:lang w:val="en-GB"/>
        </w:rPr>
        <w:t>M</w:t>
      </w:r>
      <w:r w:rsidRPr="00595CC5">
        <w:rPr>
          <w:spacing w:val="-4"/>
          <w:lang w:val="en-GB"/>
        </w:rPr>
        <w:t xml:space="preserve">any companies changed </w:t>
      </w:r>
      <w:r>
        <w:rPr>
          <w:spacing w:val="-4"/>
          <w:lang w:val="en-GB"/>
        </w:rPr>
        <w:t xml:space="preserve">their </w:t>
      </w:r>
      <w:r w:rsidRPr="00595CC5">
        <w:rPr>
          <w:spacing w:val="-4"/>
          <w:lang w:val="en-GB"/>
        </w:rPr>
        <w:t>focus to winning in these emerging markets.</w:t>
      </w:r>
      <w:r w:rsidRPr="00595CC5">
        <w:rPr>
          <w:rStyle w:val="EndnoteReference"/>
          <w:spacing w:val="-4"/>
          <w:lang w:val="en-GB"/>
        </w:rPr>
        <w:endnoteReference w:id="17"/>
      </w:r>
      <w:r w:rsidRPr="00595CC5">
        <w:rPr>
          <w:spacing w:val="-4"/>
          <w:lang w:val="en-GB"/>
        </w:rPr>
        <w:t xml:space="preserve"> That same year, India’s Tata Motors bought Land Rover and Jaguar </w:t>
      </w:r>
      <w:r w:rsidRPr="0078385F">
        <w:rPr>
          <w:spacing w:val="-4"/>
          <w:lang w:val="en-GB"/>
        </w:rPr>
        <w:t>from Ford</w:t>
      </w:r>
      <w:r w:rsidRPr="00595CC5">
        <w:rPr>
          <w:spacing w:val="-4"/>
          <w:lang w:val="en-GB"/>
        </w:rPr>
        <w:t xml:space="preserve"> for $2.3 billion </w:t>
      </w:r>
      <w:r w:rsidRPr="0078385F">
        <w:rPr>
          <w:spacing w:val="-4"/>
          <w:lang w:val="en-GB"/>
        </w:rPr>
        <w:t>in cash</w:t>
      </w:r>
      <w:r>
        <w:rPr>
          <w:spacing w:val="-4"/>
          <w:lang w:val="en-GB"/>
        </w:rPr>
        <w:t>,</w:t>
      </w:r>
      <w:r w:rsidRPr="00595CC5">
        <w:rPr>
          <w:spacing w:val="-4"/>
          <w:lang w:val="en-GB"/>
        </w:rPr>
        <w:t xml:space="preserve"> and China’s Lenovo became a global brand by sponsoring the Olympics in Beijing. The company had already acquired IBM’s personal computer (PC) business for $1.75 billion in 2005. Within 10 years of the IBM PC division acquisition, Lenovo would become the number</w:t>
      </w:r>
      <w:r>
        <w:rPr>
          <w:spacing w:val="-4"/>
          <w:lang w:val="en-GB"/>
        </w:rPr>
        <w:t>-</w:t>
      </w:r>
      <w:r w:rsidRPr="00595CC5">
        <w:rPr>
          <w:spacing w:val="-4"/>
          <w:lang w:val="en-GB"/>
        </w:rPr>
        <w:t>one PC maker in the world!</w:t>
      </w:r>
      <w:r w:rsidRPr="00595CC5">
        <w:rPr>
          <w:rStyle w:val="EndnoteReference"/>
          <w:spacing w:val="-4"/>
          <w:lang w:val="en-GB"/>
        </w:rPr>
        <w:endnoteReference w:id="18"/>
      </w:r>
      <w:r w:rsidRPr="00595CC5">
        <w:rPr>
          <w:spacing w:val="-4"/>
          <w:lang w:val="en-GB"/>
        </w:rPr>
        <w:t xml:space="preserve"> However, there was no certainty that what had happened in the PC business could be replicated to other industries, such as the automotive industry. </w:t>
      </w:r>
    </w:p>
    <w:p w14:paraId="119E9604" w14:textId="77777777" w:rsidR="00AE0FB7" w:rsidRPr="008E7BFC" w:rsidRDefault="00AE0FB7" w:rsidP="00D315F3">
      <w:pPr>
        <w:pStyle w:val="BodyTextMain"/>
        <w:rPr>
          <w:sz w:val="20"/>
          <w:szCs w:val="20"/>
          <w:lang w:val="en-GB"/>
        </w:rPr>
      </w:pPr>
    </w:p>
    <w:p w14:paraId="42A6F201" w14:textId="69136C23" w:rsidR="00AE0FB7" w:rsidRPr="00CE411B" w:rsidRDefault="00AE0FB7" w:rsidP="00D315F3">
      <w:pPr>
        <w:pStyle w:val="BodyTextMain"/>
        <w:rPr>
          <w:lang w:val="en-GB"/>
        </w:rPr>
      </w:pPr>
      <w:r w:rsidRPr="00CE411B">
        <w:rPr>
          <w:lang w:val="en-GB"/>
        </w:rPr>
        <w:t xml:space="preserve">Clearly, while the </w:t>
      </w:r>
      <w:r>
        <w:rPr>
          <w:lang w:val="en-GB"/>
        </w:rPr>
        <w:t>industry giants</w:t>
      </w:r>
      <w:r w:rsidRPr="00CE411B">
        <w:rPr>
          <w:lang w:val="en-GB"/>
        </w:rPr>
        <w:t xml:space="preserve"> in the West were busy trying to remain solvent and survive</w:t>
      </w:r>
      <w:r>
        <w:rPr>
          <w:lang w:val="en-GB"/>
        </w:rPr>
        <w:t xml:space="preserve">, </w:t>
      </w:r>
      <w:r w:rsidRPr="00CE411B">
        <w:rPr>
          <w:lang w:val="en-GB"/>
        </w:rPr>
        <w:t xml:space="preserve">a strategic threat was emerging </w:t>
      </w:r>
      <w:r>
        <w:rPr>
          <w:lang w:val="en-GB"/>
        </w:rPr>
        <w:t>from</w:t>
      </w:r>
      <w:r w:rsidRPr="00CE411B">
        <w:rPr>
          <w:lang w:val="en-GB"/>
        </w:rPr>
        <w:t xml:space="preserve"> the East. </w:t>
      </w:r>
      <w:r>
        <w:rPr>
          <w:lang w:val="en-GB"/>
        </w:rPr>
        <w:t>Notable</w:t>
      </w:r>
      <w:r w:rsidRPr="00CE411B">
        <w:rPr>
          <w:lang w:val="en-GB"/>
        </w:rPr>
        <w:t xml:space="preserve"> examples </w:t>
      </w:r>
      <w:r>
        <w:rPr>
          <w:lang w:val="en-GB"/>
        </w:rPr>
        <w:t xml:space="preserve">of the trend </w:t>
      </w:r>
      <w:r w:rsidRPr="00CE411B">
        <w:rPr>
          <w:lang w:val="en-GB"/>
        </w:rPr>
        <w:t>include</w:t>
      </w:r>
      <w:r>
        <w:rPr>
          <w:lang w:val="en-GB"/>
        </w:rPr>
        <w:t>d</w:t>
      </w:r>
      <w:r w:rsidRPr="00CE411B">
        <w:rPr>
          <w:lang w:val="en-GB"/>
        </w:rPr>
        <w:t xml:space="preserve"> </w:t>
      </w:r>
      <w:r>
        <w:rPr>
          <w:lang w:val="en-GB"/>
        </w:rPr>
        <w:t xml:space="preserve">China’s </w:t>
      </w:r>
      <w:r w:rsidRPr="00CE411B">
        <w:rPr>
          <w:lang w:val="en-GB"/>
        </w:rPr>
        <w:t>Haier</w:t>
      </w:r>
      <w:r>
        <w:rPr>
          <w:lang w:val="en-GB"/>
        </w:rPr>
        <w:t xml:space="preserve"> Group Corporation</w:t>
      </w:r>
      <w:r w:rsidRPr="00CE411B">
        <w:rPr>
          <w:lang w:val="en-GB"/>
        </w:rPr>
        <w:t xml:space="preserve"> acquir</w:t>
      </w:r>
      <w:r>
        <w:rPr>
          <w:lang w:val="en-GB"/>
        </w:rPr>
        <w:t>ing</w:t>
      </w:r>
      <w:r w:rsidRPr="00CE411B">
        <w:rPr>
          <w:lang w:val="en-GB"/>
        </w:rPr>
        <w:t xml:space="preserve"> the </w:t>
      </w:r>
      <w:r>
        <w:rPr>
          <w:lang w:val="en-GB"/>
        </w:rPr>
        <w:t>a</w:t>
      </w:r>
      <w:r w:rsidRPr="00CE411B">
        <w:rPr>
          <w:lang w:val="en-GB"/>
        </w:rPr>
        <w:t xml:space="preserve">ppliances </w:t>
      </w:r>
      <w:r>
        <w:rPr>
          <w:lang w:val="en-GB"/>
        </w:rPr>
        <w:t>d</w:t>
      </w:r>
      <w:r w:rsidRPr="00CE411B">
        <w:rPr>
          <w:lang w:val="en-GB"/>
        </w:rPr>
        <w:t>ivision of General Electric for $5.6 billion</w:t>
      </w:r>
      <w:r>
        <w:rPr>
          <w:lang w:val="en-GB"/>
        </w:rPr>
        <w:t xml:space="preserve">. A few years later, it continued </w:t>
      </w:r>
      <w:proofErr w:type="gramStart"/>
      <w:r>
        <w:rPr>
          <w:lang w:val="en-GB"/>
        </w:rPr>
        <w:t>its</w:t>
      </w:r>
      <w:proofErr w:type="gramEnd"/>
      <w:r>
        <w:rPr>
          <w:lang w:val="en-GB"/>
        </w:rPr>
        <w:t xml:space="preserve"> acquisitions in Japan with </w:t>
      </w:r>
      <w:r w:rsidRPr="00CE411B">
        <w:rPr>
          <w:lang w:val="en-GB"/>
        </w:rPr>
        <w:t xml:space="preserve">Panasonic’s Sanyo </w:t>
      </w:r>
      <w:r>
        <w:rPr>
          <w:lang w:val="en-GB"/>
        </w:rPr>
        <w:t>e</w:t>
      </w:r>
      <w:r w:rsidRPr="00CE411B">
        <w:rPr>
          <w:lang w:val="en-GB"/>
        </w:rPr>
        <w:t>lectric washing machine and refrigerator units</w:t>
      </w:r>
      <w:r>
        <w:rPr>
          <w:lang w:val="en-GB"/>
        </w:rPr>
        <w:t>, and then in New Zealand</w:t>
      </w:r>
      <w:r w:rsidRPr="00CE411B">
        <w:rPr>
          <w:lang w:val="en-GB"/>
        </w:rPr>
        <w:t xml:space="preserve"> </w:t>
      </w:r>
      <w:r>
        <w:rPr>
          <w:lang w:val="en-GB"/>
        </w:rPr>
        <w:t>with</w:t>
      </w:r>
      <w:r w:rsidRPr="00CE411B">
        <w:rPr>
          <w:lang w:val="en-GB"/>
        </w:rPr>
        <w:t xml:space="preserve"> Fisher &amp; Paykel</w:t>
      </w:r>
      <w:r>
        <w:rPr>
          <w:lang w:val="en-GB"/>
        </w:rPr>
        <w:t>’s</w:t>
      </w:r>
      <w:r w:rsidRPr="00CE411B">
        <w:rPr>
          <w:lang w:val="en-GB"/>
        </w:rPr>
        <w:t xml:space="preserve"> </w:t>
      </w:r>
      <w:r>
        <w:rPr>
          <w:lang w:val="en-GB"/>
        </w:rPr>
        <w:t>a</w:t>
      </w:r>
      <w:r w:rsidRPr="00CE411B">
        <w:rPr>
          <w:lang w:val="en-GB"/>
        </w:rPr>
        <w:t xml:space="preserve">ppliances </w:t>
      </w:r>
      <w:r>
        <w:rPr>
          <w:lang w:val="en-GB"/>
        </w:rPr>
        <w:t>h</w:t>
      </w:r>
      <w:r w:rsidRPr="00CE411B">
        <w:rPr>
          <w:lang w:val="en-GB"/>
        </w:rPr>
        <w:t>oldings. Another Chinese firm, Dalian Wanda</w:t>
      </w:r>
      <w:r>
        <w:rPr>
          <w:lang w:val="en-GB"/>
        </w:rPr>
        <w:t xml:space="preserve"> Group</w:t>
      </w:r>
      <w:r w:rsidRPr="00CE411B">
        <w:rPr>
          <w:lang w:val="en-GB"/>
        </w:rPr>
        <w:t xml:space="preserve">, acquired </w:t>
      </w:r>
      <w:r>
        <w:rPr>
          <w:lang w:val="en-GB"/>
        </w:rPr>
        <w:t xml:space="preserve">the US movie theatre chain </w:t>
      </w:r>
      <w:r w:rsidRPr="00CE411B">
        <w:rPr>
          <w:lang w:val="en-GB"/>
        </w:rPr>
        <w:t xml:space="preserve">AMC </w:t>
      </w:r>
      <w:proofErr w:type="spellStart"/>
      <w:r w:rsidRPr="00CE411B">
        <w:rPr>
          <w:lang w:val="en-GB"/>
        </w:rPr>
        <w:t>Theaters</w:t>
      </w:r>
      <w:proofErr w:type="spellEnd"/>
      <w:r w:rsidRPr="00CE411B">
        <w:rPr>
          <w:lang w:val="en-GB"/>
        </w:rPr>
        <w:t xml:space="preserve"> for $2.6 billion. China National Chemical Corporation broke all Chinese reverse FDI acquisition records by taking over </w:t>
      </w:r>
      <w:r>
        <w:rPr>
          <w:lang w:val="en-GB"/>
        </w:rPr>
        <w:t xml:space="preserve">the </w:t>
      </w:r>
      <w:r w:rsidRPr="00CE411B">
        <w:rPr>
          <w:lang w:val="en-GB"/>
        </w:rPr>
        <w:t>giant Swiss pesticide producer Syngenta for $43 billion in 2016.</w:t>
      </w:r>
      <w:r w:rsidRPr="00CE411B">
        <w:rPr>
          <w:rStyle w:val="EndnoteReference"/>
          <w:lang w:val="en-GB"/>
        </w:rPr>
        <w:endnoteReference w:id="19"/>
      </w:r>
      <w:r w:rsidRPr="00CE411B">
        <w:rPr>
          <w:lang w:val="en-GB"/>
        </w:rPr>
        <w:t xml:space="preserve"> These examples demonstrate</w:t>
      </w:r>
      <w:r>
        <w:rPr>
          <w:lang w:val="en-GB"/>
        </w:rPr>
        <w:t>d</w:t>
      </w:r>
      <w:r w:rsidRPr="00CE411B">
        <w:rPr>
          <w:lang w:val="en-GB"/>
        </w:rPr>
        <w:t xml:space="preserve"> a pattern across </w:t>
      </w:r>
      <w:r>
        <w:rPr>
          <w:lang w:val="en-GB"/>
        </w:rPr>
        <w:t xml:space="preserve">various different </w:t>
      </w:r>
      <w:r w:rsidRPr="00CE411B">
        <w:rPr>
          <w:lang w:val="en-GB"/>
        </w:rPr>
        <w:t xml:space="preserve">industries. </w:t>
      </w:r>
      <w:r>
        <w:rPr>
          <w:lang w:val="en-GB"/>
        </w:rPr>
        <w:t>The s</w:t>
      </w:r>
      <w:r w:rsidRPr="00CE411B">
        <w:rPr>
          <w:lang w:val="en-GB"/>
        </w:rPr>
        <w:t>imilarities between these EMNCs</w:t>
      </w:r>
      <w:r>
        <w:rPr>
          <w:lang w:val="en-GB"/>
        </w:rPr>
        <w:t>,</w:t>
      </w:r>
      <w:r w:rsidRPr="00CE411B">
        <w:rPr>
          <w:lang w:val="en-GB"/>
        </w:rPr>
        <w:t xml:space="preserve"> described </w:t>
      </w:r>
      <w:r>
        <w:rPr>
          <w:lang w:val="en-GB"/>
        </w:rPr>
        <w:t xml:space="preserve">by some experts </w:t>
      </w:r>
      <w:r w:rsidRPr="00CE411B">
        <w:rPr>
          <w:lang w:val="en-GB"/>
        </w:rPr>
        <w:t xml:space="preserve">as the “Chinese </w:t>
      </w:r>
      <w:r>
        <w:rPr>
          <w:lang w:val="en-GB"/>
        </w:rPr>
        <w:t>w</w:t>
      </w:r>
      <w:r w:rsidRPr="00CE411B">
        <w:rPr>
          <w:lang w:val="en-GB"/>
        </w:rPr>
        <w:t>ay</w:t>
      </w:r>
      <w:r>
        <w:rPr>
          <w:lang w:val="en-GB"/>
        </w:rPr>
        <w:t>,</w:t>
      </w:r>
      <w:r w:rsidRPr="00CE411B">
        <w:rPr>
          <w:lang w:val="en-GB"/>
        </w:rPr>
        <w:t>” include</w:t>
      </w:r>
      <w:r>
        <w:rPr>
          <w:lang w:val="en-GB"/>
        </w:rPr>
        <w:t>d</w:t>
      </w:r>
      <w:r w:rsidRPr="00CE411B">
        <w:rPr>
          <w:lang w:val="en-GB"/>
        </w:rPr>
        <w:t xml:space="preserve"> charismatic leaders w</w:t>
      </w:r>
      <w:r>
        <w:rPr>
          <w:lang w:val="en-GB"/>
        </w:rPr>
        <w:t>it</w:t>
      </w:r>
      <w:r w:rsidRPr="00CE411B">
        <w:rPr>
          <w:lang w:val="en-GB"/>
        </w:rPr>
        <w:t xml:space="preserve">h long-term </w:t>
      </w:r>
      <w:r>
        <w:rPr>
          <w:lang w:val="en-GB"/>
        </w:rPr>
        <w:t xml:space="preserve">ideas </w:t>
      </w:r>
      <w:r w:rsidRPr="00CE411B">
        <w:rPr>
          <w:lang w:val="en-GB"/>
        </w:rPr>
        <w:t xml:space="preserve">and </w:t>
      </w:r>
      <w:r>
        <w:rPr>
          <w:lang w:val="en-GB"/>
        </w:rPr>
        <w:t xml:space="preserve">a </w:t>
      </w:r>
      <w:r w:rsidRPr="00CE411B">
        <w:rPr>
          <w:lang w:val="en-GB"/>
        </w:rPr>
        <w:t>strategically global mindset</w:t>
      </w:r>
      <w:r>
        <w:rPr>
          <w:lang w:val="en-GB"/>
        </w:rPr>
        <w:t>. This profile, which was</w:t>
      </w:r>
      <w:r w:rsidRPr="00CE411B">
        <w:rPr>
          <w:lang w:val="en-GB"/>
        </w:rPr>
        <w:t xml:space="preserve"> a proven predictor of success </w:t>
      </w:r>
      <w:r>
        <w:rPr>
          <w:lang w:val="en-GB"/>
        </w:rPr>
        <w:t>for a</w:t>
      </w:r>
      <w:r w:rsidRPr="00CE411B">
        <w:rPr>
          <w:lang w:val="en-GB"/>
        </w:rPr>
        <w:t xml:space="preserve"> global leadership position</w:t>
      </w:r>
      <w:r>
        <w:rPr>
          <w:lang w:val="en-GB"/>
        </w:rPr>
        <w:t>,</w:t>
      </w:r>
      <w:r w:rsidRPr="00CE411B">
        <w:rPr>
          <w:lang w:val="en-GB"/>
        </w:rPr>
        <w:t xml:space="preserve"> </w:t>
      </w:r>
      <w:r>
        <w:rPr>
          <w:lang w:val="en-GB"/>
        </w:rPr>
        <w:t xml:space="preserve">created leaders who </w:t>
      </w:r>
      <w:r w:rsidRPr="00CE411B">
        <w:rPr>
          <w:lang w:val="en-GB"/>
        </w:rPr>
        <w:t>bootstrap</w:t>
      </w:r>
      <w:r>
        <w:rPr>
          <w:lang w:val="en-GB"/>
        </w:rPr>
        <w:t>ped</w:t>
      </w:r>
      <w:r w:rsidRPr="00CE411B">
        <w:rPr>
          <w:lang w:val="en-GB"/>
        </w:rPr>
        <w:t xml:space="preserve"> their enterprises, learn</w:t>
      </w:r>
      <w:r>
        <w:rPr>
          <w:lang w:val="en-GB"/>
        </w:rPr>
        <w:t>ed</w:t>
      </w:r>
      <w:r w:rsidRPr="00CE411B">
        <w:rPr>
          <w:lang w:val="en-GB"/>
        </w:rPr>
        <w:t xml:space="preserve"> continuously, and ha</w:t>
      </w:r>
      <w:r>
        <w:rPr>
          <w:lang w:val="en-GB"/>
        </w:rPr>
        <w:t>d</w:t>
      </w:r>
      <w:r w:rsidRPr="00CE411B">
        <w:rPr>
          <w:lang w:val="en-GB"/>
        </w:rPr>
        <w:t xml:space="preserve"> global aspirations. On the other hand, their </w:t>
      </w:r>
      <w:r>
        <w:rPr>
          <w:lang w:val="en-GB"/>
        </w:rPr>
        <w:t>US</w:t>
      </w:r>
      <w:r w:rsidRPr="00CE411B">
        <w:rPr>
          <w:lang w:val="en-GB"/>
        </w:rPr>
        <w:t xml:space="preserve"> counterparts tend</w:t>
      </w:r>
      <w:r>
        <w:rPr>
          <w:lang w:val="en-GB"/>
        </w:rPr>
        <w:t>ed</w:t>
      </w:r>
      <w:r w:rsidRPr="00CE411B">
        <w:rPr>
          <w:lang w:val="en-GB"/>
        </w:rPr>
        <w:t xml:space="preserve"> to be more focused on short-term</w:t>
      </w:r>
      <w:r>
        <w:rPr>
          <w:lang w:val="en-GB"/>
        </w:rPr>
        <w:t xml:space="preserve"> gain for</w:t>
      </w:r>
      <w:r w:rsidRPr="00CE411B">
        <w:rPr>
          <w:lang w:val="en-GB"/>
        </w:rPr>
        <w:t xml:space="preserve"> their investors.</w:t>
      </w:r>
      <w:r w:rsidRPr="00CE411B">
        <w:rPr>
          <w:rStyle w:val="EndnoteReference"/>
          <w:lang w:val="en-GB"/>
        </w:rPr>
        <w:endnoteReference w:id="20"/>
      </w:r>
      <w:r w:rsidRPr="00CE411B">
        <w:rPr>
          <w:lang w:val="en-GB"/>
        </w:rPr>
        <w:t xml:space="preserve"> </w:t>
      </w:r>
    </w:p>
    <w:p w14:paraId="3E88C75F" w14:textId="77777777" w:rsidR="00AE0FB7" w:rsidRPr="008E7BFC" w:rsidRDefault="00AE0FB7" w:rsidP="00D315F3">
      <w:pPr>
        <w:pStyle w:val="BodyTextMain"/>
        <w:rPr>
          <w:sz w:val="20"/>
          <w:szCs w:val="20"/>
          <w:lang w:val="en-GB"/>
        </w:rPr>
      </w:pPr>
    </w:p>
    <w:p w14:paraId="202FDB0E" w14:textId="3B28FD5F" w:rsidR="00AE0FB7" w:rsidRPr="00CE411B" w:rsidRDefault="00AE0FB7" w:rsidP="00D315F3">
      <w:pPr>
        <w:pStyle w:val="BodyTextMain"/>
        <w:rPr>
          <w:lang w:val="en-GB"/>
        </w:rPr>
      </w:pPr>
      <w:r w:rsidRPr="00CE411B">
        <w:rPr>
          <w:lang w:val="en-GB"/>
        </w:rPr>
        <w:t xml:space="preserve">Chinese EMNC acquisitions </w:t>
      </w:r>
      <w:r>
        <w:rPr>
          <w:lang w:val="en-GB"/>
        </w:rPr>
        <w:t>went beyond the United States to</w:t>
      </w:r>
      <w:r w:rsidRPr="00CE411B">
        <w:rPr>
          <w:lang w:val="en-GB"/>
        </w:rPr>
        <w:t xml:space="preserve"> target</w:t>
      </w:r>
      <w:r>
        <w:rPr>
          <w:lang w:val="en-GB"/>
        </w:rPr>
        <w:t xml:space="preserve"> various</w:t>
      </w:r>
      <w:r w:rsidRPr="00CE411B">
        <w:rPr>
          <w:lang w:val="en-GB"/>
        </w:rPr>
        <w:t xml:space="preserve"> Europe</w:t>
      </w:r>
      <w:r>
        <w:rPr>
          <w:lang w:val="en-GB"/>
        </w:rPr>
        <w:t>an</w:t>
      </w:r>
      <w:r w:rsidRPr="00CE411B">
        <w:rPr>
          <w:lang w:val="en-GB"/>
        </w:rPr>
        <w:t xml:space="preserve"> industry sectors, closing an estimated </w:t>
      </w:r>
      <w:r>
        <w:rPr>
          <w:lang w:val="en-GB"/>
        </w:rPr>
        <w:t>€</w:t>
      </w:r>
      <w:r w:rsidRPr="00CE411B">
        <w:rPr>
          <w:lang w:val="en-GB"/>
        </w:rPr>
        <w:t xml:space="preserve">330 billion investment gap that had been created by the </w:t>
      </w:r>
      <w:r>
        <w:rPr>
          <w:lang w:val="en-GB"/>
        </w:rPr>
        <w:t>global recession</w:t>
      </w:r>
      <w:r w:rsidRPr="00CE411B">
        <w:rPr>
          <w:lang w:val="en-GB"/>
        </w:rPr>
        <w:t>.</w:t>
      </w:r>
      <w:r w:rsidRPr="00CE411B">
        <w:rPr>
          <w:rStyle w:val="EndnoteReference"/>
          <w:lang w:val="en-GB"/>
        </w:rPr>
        <w:endnoteReference w:id="21"/>
      </w:r>
      <w:r>
        <w:rPr>
          <w:lang w:val="en-GB"/>
        </w:rPr>
        <w:t xml:space="preserve"> Some EMNCs based outside</w:t>
      </w:r>
      <w:r w:rsidRPr="00CE411B">
        <w:rPr>
          <w:lang w:val="en-GB"/>
        </w:rPr>
        <w:t xml:space="preserve"> the BRIC</w:t>
      </w:r>
      <w:r>
        <w:rPr>
          <w:lang w:val="en-GB"/>
        </w:rPr>
        <w:t xml:space="preserve"> group of countries were also notable for their foreign investments.</w:t>
      </w:r>
      <w:r w:rsidRPr="00CE411B">
        <w:rPr>
          <w:lang w:val="en-GB"/>
        </w:rPr>
        <w:t xml:space="preserve"> </w:t>
      </w:r>
      <w:r>
        <w:rPr>
          <w:lang w:val="en-GB"/>
        </w:rPr>
        <w:t xml:space="preserve">For example, </w:t>
      </w:r>
      <w:r w:rsidRPr="00CE411B">
        <w:rPr>
          <w:lang w:val="en-GB"/>
        </w:rPr>
        <w:t>Mexico’s Grupo Bimbo</w:t>
      </w:r>
      <w:r>
        <w:rPr>
          <w:lang w:val="en-GB"/>
        </w:rPr>
        <w:t xml:space="preserve"> SAV de CV</w:t>
      </w:r>
      <w:r w:rsidRPr="00CE411B">
        <w:rPr>
          <w:lang w:val="en-GB"/>
        </w:rPr>
        <w:t xml:space="preserve"> reached a milestone when it acquired Sara Lee in 2011 </w:t>
      </w:r>
      <w:r>
        <w:rPr>
          <w:lang w:val="en-GB"/>
        </w:rPr>
        <w:t>to</w:t>
      </w:r>
      <w:r w:rsidRPr="00CE411B">
        <w:rPr>
          <w:lang w:val="en-GB"/>
        </w:rPr>
        <w:t xml:space="preserve"> bec</w:t>
      </w:r>
      <w:r>
        <w:rPr>
          <w:lang w:val="en-GB"/>
        </w:rPr>
        <w:t>o</w:t>
      </w:r>
      <w:r w:rsidRPr="00CE411B">
        <w:rPr>
          <w:lang w:val="en-GB"/>
        </w:rPr>
        <w:t>me the world’s largest bakery.</w:t>
      </w:r>
      <w:r w:rsidRPr="00CE411B">
        <w:rPr>
          <w:rStyle w:val="EndnoteReference"/>
          <w:lang w:val="en-GB"/>
        </w:rPr>
        <w:endnoteReference w:id="22"/>
      </w:r>
      <w:r w:rsidRPr="00CE411B">
        <w:rPr>
          <w:lang w:val="en-GB"/>
        </w:rPr>
        <w:t xml:space="preserve">  </w:t>
      </w:r>
    </w:p>
    <w:p w14:paraId="65C6C616" w14:textId="77777777" w:rsidR="00AE0FB7" w:rsidRPr="008E7BFC" w:rsidRDefault="00AE0FB7" w:rsidP="00D315F3">
      <w:pPr>
        <w:pStyle w:val="BodyTextMain"/>
        <w:rPr>
          <w:sz w:val="20"/>
          <w:szCs w:val="20"/>
          <w:lang w:val="en-GB"/>
        </w:rPr>
      </w:pPr>
    </w:p>
    <w:p w14:paraId="66F37197" w14:textId="0E14ACAD" w:rsidR="00AE0FB7" w:rsidRPr="00595CC5" w:rsidRDefault="00AE0FB7">
      <w:pPr>
        <w:pStyle w:val="BodyTextMain"/>
        <w:rPr>
          <w:spacing w:val="-2"/>
          <w:lang w:val="en-GB"/>
        </w:rPr>
      </w:pPr>
      <w:r w:rsidRPr="00595CC5">
        <w:rPr>
          <w:spacing w:val="-2"/>
          <w:lang w:val="en-GB"/>
        </w:rPr>
        <w:t xml:space="preserve">Clearly, EMNCs were now a force to be reckoned with, both domestically and abroad, in various industries ranging from lightweight goods to heavy machinery equipment. In particular, the automotive industry was a target </w:t>
      </w:r>
      <w:r>
        <w:rPr>
          <w:spacing w:val="-2"/>
          <w:lang w:val="en-GB"/>
        </w:rPr>
        <w:t>of</w:t>
      </w:r>
      <w:r w:rsidRPr="00595CC5">
        <w:rPr>
          <w:spacing w:val="-2"/>
          <w:lang w:val="en-GB"/>
        </w:rPr>
        <w:t xml:space="preserve"> companies such as Mahindra &amp; Mahindra</w:t>
      </w:r>
      <w:r>
        <w:rPr>
          <w:spacing w:val="-2"/>
          <w:lang w:val="en-GB"/>
        </w:rPr>
        <w:t xml:space="preserve"> Limited,</w:t>
      </w:r>
      <w:r w:rsidRPr="00595CC5">
        <w:rPr>
          <w:spacing w:val="-2"/>
          <w:lang w:val="en-GB"/>
        </w:rPr>
        <w:t xml:space="preserve"> from India</w:t>
      </w:r>
      <w:r>
        <w:rPr>
          <w:spacing w:val="-2"/>
          <w:lang w:val="en-GB"/>
        </w:rPr>
        <w:t>,</w:t>
      </w:r>
      <w:r w:rsidRPr="00595CC5">
        <w:rPr>
          <w:spacing w:val="-2"/>
          <w:lang w:val="en-GB"/>
        </w:rPr>
        <w:t xml:space="preserve"> </w:t>
      </w:r>
      <w:r w:rsidR="00570DC4">
        <w:rPr>
          <w:spacing w:val="-2"/>
          <w:lang w:val="en-GB"/>
        </w:rPr>
        <w:t>as well as</w:t>
      </w:r>
      <w:r w:rsidRPr="00595CC5">
        <w:rPr>
          <w:spacing w:val="-2"/>
          <w:lang w:val="en-GB"/>
        </w:rPr>
        <w:t xml:space="preserve"> </w:t>
      </w:r>
      <w:proofErr w:type="spellStart"/>
      <w:r w:rsidRPr="00595CC5">
        <w:rPr>
          <w:spacing w:val="-2"/>
          <w:lang w:val="en-GB"/>
        </w:rPr>
        <w:t>Changan</w:t>
      </w:r>
      <w:proofErr w:type="spellEnd"/>
      <w:r>
        <w:rPr>
          <w:spacing w:val="-2"/>
          <w:lang w:val="en-GB"/>
        </w:rPr>
        <w:t xml:space="preserve"> Automobile Group Co. Ltd. (</w:t>
      </w:r>
      <w:proofErr w:type="spellStart"/>
      <w:r>
        <w:rPr>
          <w:spacing w:val="-2"/>
          <w:lang w:val="en-GB"/>
        </w:rPr>
        <w:t>Changan</w:t>
      </w:r>
      <w:proofErr w:type="spellEnd"/>
      <w:r>
        <w:rPr>
          <w:spacing w:val="-2"/>
          <w:lang w:val="en-GB"/>
        </w:rPr>
        <w:t>)</w:t>
      </w:r>
      <w:r w:rsidRPr="00595CC5">
        <w:rPr>
          <w:spacing w:val="-2"/>
          <w:lang w:val="en-GB"/>
        </w:rPr>
        <w:t xml:space="preserve">, </w:t>
      </w:r>
      <w:r w:rsidRPr="007474D4">
        <w:rPr>
          <w:spacing w:val="-2"/>
          <w:lang w:val="en-GB"/>
        </w:rPr>
        <w:t>Brilliance Auto Group</w:t>
      </w:r>
      <w:r w:rsidRPr="00595CC5">
        <w:rPr>
          <w:spacing w:val="-2"/>
          <w:lang w:val="en-GB"/>
        </w:rPr>
        <w:t>, and Great Wall</w:t>
      </w:r>
      <w:r w:rsidRPr="007474D4">
        <w:rPr>
          <w:spacing w:val="-2"/>
          <w:lang w:val="en-GB"/>
        </w:rPr>
        <w:t xml:space="preserve"> Motors Company Limited</w:t>
      </w:r>
      <w:r>
        <w:rPr>
          <w:spacing w:val="-2"/>
          <w:lang w:val="en-GB"/>
        </w:rPr>
        <w:t>,</w:t>
      </w:r>
      <w:r w:rsidRPr="00595CC5">
        <w:rPr>
          <w:spacing w:val="-2"/>
          <w:lang w:val="en-GB"/>
        </w:rPr>
        <w:t xml:space="preserve"> from China.</w:t>
      </w:r>
      <w:r w:rsidRPr="00595CC5">
        <w:rPr>
          <w:rStyle w:val="EndnoteReference"/>
          <w:spacing w:val="-2"/>
          <w:lang w:val="en-GB"/>
        </w:rPr>
        <w:endnoteReference w:id="23"/>
      </w:r>
      <w:r w:rsidRPr="00595CC5">
        <w:rPr>
          <w:spacing w:val="-2"/>
          <w:lang w:val="en-GB"/>
        </w:rPr>
        <w:t xml:space="preserve"> Their strategic power originated from multiple sources and advantages</w:t>
      </w:r>
      <w:r>
        <w:rPr>
          <w:spacing w:val="-2"/>
          <w:lang w:val="en-GB"/>
        </w:rPr>
        <w:t>,</w:t>
      </w:r>
      <w:r w:rsidRPr="00595CC5">
        <w:rPr>
          <w:spacing w:val="-2"/>
          <w:lang w:val="en-GB"/>
        </w:rPr>
        <w:t xml:space="preserve"> such as large domestic market</w:t>
      </w:r>
      <w:r>
        <w:rPr>
          <w:spacing w:val="-2"/>
          <w:lang w:val="en-GB"/>
        </w:rPr>
        <w:t>s</w:t>
      </w:r>
      <w:r w:rsidRPr="00595CC5">
        <w:rPr>
          <w:spacing w:val="-2"/>
          <w:lang w:val="en-GB"/>
        </w:rPr>
        <w:t xml:space="preserve"> (which they often dominated), unstoppable global aspirations, a strong desire to earn respect and prestige from peers in their industry (often measured by the Fortune 500 list), a solid learning and innovation capacity, and resourcefulness (rather than rel</w:t>
      </w:r>
      <w:r>
        <w:rPr>
          <w:spacing w:val="-2"/>
          <w:lang w:val="en-GB"/>
        </w:rPr>
        <w:t>iance</w:t>
      </w:r>
      <w:r w:rsidRPr="00595CC5">
        <w:rPr>
          <w:spacing w:val="-2"/>
          <w:lang w:val="en-GB"/>
        </w:rPr>
        <w:t xml:space="preserve"> on their revenue base). In other words, EMNCs could be characterized </w:t>
      </w:r>
      <w:r w:rsidRPr="00595CC5">
        <w:rPr>
          <w:spacing w:val="-2"/>
          <w:lang w:val="en-GB"/>
        </w:rPr>
        <w:lastRenderedPageBreak/>
        <w:t>as strategic disruptors that were changing the rules of the game. Various key events that occurred during the tumultuous decade of 2008 to 2018 helped explain this changing business context.</w:t>
      </w:r>
    </w:p>
    <w:p w14:paraId="15AA2644" w14:textId="77777777" w:rsidR="00AE0FB7" w:rsidRPr="00595CC5" w:rsidRDefault="00AE0FB7" w:rsidP="00D315F3">
      <w:pPr>
        <w:pStyle w:val="BodyTextMain"/>
        <w:rPr>
          <w:sz w:val="20"/>
          <w:lang w:val="en-GB"/>
        </w:rPr>
      </w:pPr>
    </w:p>
    <w:p w14:paraId="3B8AC43D" w14:textId="77777777" w:rsidR="00AE0FB7" w:rsidRPr="00595CC5" w:rsidRDefault="00AE0FB7" w:rsidP="00D315F3">
      <w:pPr>
        <w:pStyle w:val="BodyTextMain"/>
        <w:rPr>
          <w:sz w:val="20"/>
          <w:lang w:val="en-GB"/>
        </w:rPr>
      </w:pPr>
    </w:p>
    <w:p w14:paraId="24598EF7" w14:textId="50D48B9A" w:rsidR="00AE0FB7" w:rsidRPr="00CE411B" w:rsidRDefault="00AE0FB7" w:rsidP="00D315F3">
      <w:pPr>
        <w:pStyle w:val="BodyTextMain"/>
        <w:rPr>
          <w:rFonts w:ascii="Arial" w:hAnsi="Arial" w:cs="Arial"/>
          <w:b/>
          <w:sz w:val="20"/>
          <w:szCs w:val="20"/>
          <w:lang w:val="en-GB"/>
        </w:rPr>
      </w:pPr>
      <w:r w:rsidRPr="00CE411B">
        <w:rPr>
          <w:rFonts w:ascii="Arial" w:hAnsi="Arial" w:cs="Arial"/>
          <w:b/>
          <w:sz w:val="20"/>
          <w:szCs w:val="20"/>
          <w:lang w:val="en-GB"/>
        </w:rPr>
        <w:t xml:space="preserve">Key </w:t>
      </w:r>
      <w:r>
        <w:rPr>
          <w:rFonts w:ascii="Arial" w:hAnsi="Arial" w:cs="Arial"/>
          <w:b/>
          <w:sz w:val="20"/>
          <w:szCs w:val="20"/>
          <w:lang w:val="en-GB"/>
        </w:rPr>
        <w:t>E</w:t>
      </w:r>
      <w:r w:rsidRPr="00CE411B">
        <w:rPr>
          <w:rFonts w:ascii="Arial" w:hAnsi="Arial" w:cs="Arial"/>
          <w:b/>
          <w:sz w:val="20"/>
          <w:szCs w:val="20"/>
          <w:lang w:val="en-GB"/>
        </w:rPr>
        <w:t>vents in the U</w:t>
      </w:r>
      <w:r>
        <w:rPr>
          <w:rFonts w:ascii="Arial" w:hAnsi="Arial" w:cs="Arial"/>
          <w:b/>
          <w:sz w:val="20"/>
          <w:szCs w:val="20"/>
          <w:lang w:val="en-GB"/>
        </w:rPr>
        <w:t xml:space="preserve">nited </w:t>
      </w:r>
      <w:r w:rsidRPr="00CE411B">
        <w:rPr>
          <w:rFonts w:ascii="Arial" w:hAnsi="Arial" w:cs="Arial"/>
          <w:b/>
          <w:sz w:val="20"/>
          <w:szCs w:val="20"/>
          <w:lang w:val="en-GB"/>
        </w:rPr>
        <w:t>S</w:t>
      </w:r>
      <w:r>
        <w:rPr>
          <w:rFonts w:ascii="Arial" w:hAnsi="Arial" w:cs="Arial"/>
          <w:b/>
          <w:sz w:val="20"/>
          <w:szCs w:val="20"/>
          <w:lang w:val="en-GB"/>
        </w:rPr>
        <w:t>tates, 2008–2018</w:t>
      </w:r>
    </w:p>
    <w:p w14:paraId="55972137" w14:textId="77777777" w:rsidR="00AE0FB7" w:rsidRPr="00595CC5" w:rsidRDefault="00AE0FB7" w:rsidP="00D315F3">
      <w:pPr>
        <w:pStyle w:val="BodyTextMain"/>
        <w:rPr>
          <w:sz w:val="20"/>
          <w:lang w:val="en-GB"/>
        </w:rPr>
      </w:pPr>
    </w:p>
    <w:p w14:paraId="79CAA106" w14:textId="5BE14DC0" w:rsidR="00AE0FB7" w:rsidRPr="00CE411B" w:rsidRDefault="00AE0FB7">
      <w:pPr>
        <w:pStyle w:val="BodyTextMain"/>
        <w:rPr>
          <w:spacing w:val="-2"/>
          <w:lang w:val="en-GB"/>
        </w:rPr>
      </w:pPr>
      <w:r>
        <w:rPr>
          <w:lang w:val="en-GB"/>
        </w:rPr>
        <w:t>As noted earlier</w:t>
      </w:r>
      <w:r w:rsidRPr="00CE411B">
        <w:rPr>
          <w:lang w:val="en-GB"/>
        </w:rPr>
        <w:t xml:space="preserve">, </w:t>
      </w:r>
      <w:r>
        <w:rPr>
          <w:lang w:val="en-GB"/>
        </w:rPr>
        <w:t>2008</w:t>
      </w:r>
      <w:r w:rsidRPr="00CE411B">
        <w:rPr>
          <w:lang w:val="en-GB"/>
        </w:rPr>
        <w:t xml:space="preserve"> was the year </w:t>
      </w:r>
      <w:r>
        <w:rPr>
          <w:lang w:val="en-GB"/>
        </w:rPr>
        <w:t>that</w:t>
      </w:r>
      <w:r w:rsidRPr="00CE411B">
        <w:rPr>
          <w:lang w:val="en-GB"/>
        </w:rPr>
        <w:t xml:space="preserve"> the </w:t>
      </w:r>
      <w:r>
        <w:rPr>
          <w:lang w:val="en-GB"/>
        </w:rPr>
        <w:t>financial crisis</w:t>
      </w:r>
      <w:r w:rsidRPr="00CE411B">
        <w:rPr>
          <w:lang w:val="en-GB"/>
        </w:rPr>
        <w:t xml:space="preserve"> </w:t>
      </w:r>
      <w:r>
        <w:rPr>
          <w:lang w:val="en-GB"/>
        </w:rPr>
        <w:t>forced</w:t>
      </w:r>
      <w:r w:rsidRPr="00CE411B">
        <w:rPr>
          <w:lang w:val="en-GB"/>
        </w:rPr>
        <w:t xml:space="preserve"> the </w:t>
      </w:r>
      <w:r>
        <w:rPr>
          <w:lang w:val="en-GB"/>
        </w:rPr>
        <w:t>US</w:t>
      </w:r>
      <w:r w:rsidRPr="00CE411B">
        <w:rPr>
          <w:lang w:val="en-GB"/>
        </w:rPr>
        <w:t xml:space="preserve"> economy in</w:t>
      </w:r>
      <w:r>
        <w:rPr>
          <w:lang w:val="en-GB"/>
        </w:rPr>
        <w:t>to</w:t>
      </w:r>
      <w:r w:rsidRPr="00CE411B">
        <w:rPr>
          <w:lang w:val="en-GB"/>
        </w:rPr>
        <w:t xml:space="preserve"> a great recession, destroyed 7.6 million jobs, and produced the worst </w:t>
      </w:r>
      <w:r>
        <w:rPr>
          <w:lang w:val="en-GB"/>
        </w:rPr>
        <w:t>gross domestic product</w:t>
      </w:r>
      <w:r w:rsidRPr="00CE411B">
        <w:rPr>
          <w:lang w:val="en-GB"/>
        </w:rPr>
        <w:t xml:space="preserve"> performance since 1946. </w:t>
      </w:r>
      <w:r>
        <w:rPr>
          <w:lang w:val="en-GB"/>
        </w:rPr>
        <w:t>That disastrous year led to</w:t>
      </w:r>
      <w:r>
        <w:rPr>
          <w:spacing w:val="-2"/>
          <w:lang w:val="en-GB"/>
        </w:rPr>
        <w:t xml:space="preserve"> </w:t>
      </w:r>
      <w:r w:rsidRPr="00CE411B">
        <w:rPr>
          <w:spacing w:val="-2"/>
          <w:lang w:val="en-GB"/>
        </w:rPr>
        <w:t>GM</w:t>
      </w:r>
      <w:r>
        <w:rPr>
          <w:spacing w:val="-2"/>
          <w:lang w:val="en-GB"/>
        </w:rPr>
        <w:t>’s</w:t>
      </w:r>
      <w:r w:rsidRPr="00CE411B">
        <w:rPr>
          <w:spacing w:val="-2"/>
          <w:lang w:val="en-GB"/>
        </w:rPr>
        <w:t xml:space="preserve"> bankrupt</w:t>
      </w:r>
      <w:r>
        <w:rPr>
          <w:spacing w:val="-2"/>
          <w:lang w:val="en-GB"/>
        </w:rPr>
        <w:t>cy and</w:t>
      </w:r>
      <w:r w:rsidRPr="00CE411B">
        <w:rPr>
          <w:spacing w:val="-2"/>
          <w:lang w:val="en-GB"/>
        </w:rPr>
        <w:t xml:space="preserve"> Ford</w:t>
      </w:r>
      <w:r>
        <w:rPr>
          <w:spacing w:val="-2"/>
          <w:lang w:val="en-GB"/>
        </w:rPr>
        <w:t>’s announcement of</w:t>
      </w:r>
      <w:r w:rsidRPr="00CE411B">
        <w:rPr>
          <w:spacing w:val="-2"/>
          <w:lang w:val="en-GB"/>
        </w:rPr>
        <w:t xml:space="preserve"> a record loss of $14.6 b</w:t>
      </w:r>
      <w:r>
        <w:rPr>
          <w:spacing w:val="-2"/>
          <w:lang w:val="en-GB"/>
        </w:rPr>
        <w:t>illio</w:t>
      </w:r>
      <w:r w:rsidRPr="00CE411B">
        <w:rPr>
          <w:spacing w:val="-2"/>
          <w:lang w:val="en-GB"/>
        </w:rPr>
        <w:t>n</w:t>
      </w:r>
      <w:r>
        <w:rPr>
          <w:spacing w:val="-2"/>
          <w:lang w:val="en-GB"/>
        </w:rPr>
        <w:t>.</w:t>
      </w:r>
      <w:r w:rsidRPr="00CE411B">
        <w:rPr>
          <w:rStyle w:val="EndnoteReference"/>
          <w:spacing w:val="-2"/>
          <w:lang w:val="en-GB"/>
        </w:rPr>
        <w:endnoteReference w:id="24"/>
      </w:r>
      <w:r w:rsidRPr="00CE411B">
        <w:rPr>
          <w:spacing w:val="-2"/>
          <w:lang w:val="en-GB"/>
        </w:rPr>
        <w:t xml:space="preserve"> </w:t>
      </w:r>
      <w:r>
        <w:rPr>
          <w:spacing w:val="-2"/>
          <w:lang w:val="en-GB"/>
        </w:rPr>
        <w:t xml:space="preserve">However, it was also </w:t>
      </w:r>
      <w:r w:rsidRPr="00CE411B">
        <w:rPr>
          <w:lang w:val="en-GB"/>
        </w:rPr>
        <w:t>a landmark year for Tesla</w:t>
      </w:r>
      <w:r>
        <w:rPr>
          <w:lang w:val="en-GB"/>
        </w:rPr>
        <w:t>,</w:t>
      </w:r>
      <w:r w:rsidRPr="00CE411B">
        <w:rPr>
          <w:lang w:val="en-GB"/>
        </w:rPr>
        <w:t xml:space="preserve"> with the </w:t>
      </w:r>
      <w:r>
        <w:rPr>
          <w:lang w:val="en-GB"/>
        </w:rPr>
        <w:t>launch</w:t>
      </w:r>
      <w:r w:rsidRPr="00CE411B">
        <w:rPr>
          <w:lang w:val="en-GB"/>
        </w:rPr>
        <w:t xml:space="preserve"> of its </w:t>
      </w:r>
      <w:r>
        <w:rPr>
          <w:lang w:val="en-GB"/>
        </w:rPr>
        <w:t>long</w:t>
      </w:r>
      <w:r w:rsidR="00570DC4">
        <w:rPr>
          <w:lang w:val="en-GB"/>
        </w:rPr>
        <w:t>-</w:t>
      </w:r>
      <w:r>
        <w:rPr>
          <w:lang w:val="en-GB"/>
        </w:rPr>
        <w:t xml:space="preserve">awaited </w:t>
      </w:r>
      <w:r w:rsidRPr="00CE411B">
        <w:rPr>
          <w:lang w:val="en-GB"/>
        </w:rPr>
        <w:t>Roadster</w:t>
      </w:r>
      <w:r>
        <w:rPr>
          <w:lang w:val="en-GB"/>
        </w:rPr>
        <w:t xml:space="preserve">, </w:t>
      </w:r>
      <w:r w:rsidRPr="00CE411B">
        <w:rPr>
          <w:spacing w:val="-2"/>
          <w:lang w:val="en-GB"/>
        </w:rPr>
        <w:t xml:space="preserve">and </w:t>
      </w:r>
      <w:r>
        <w:rPr>
          <w:spacing w:val="-2"/>
          <w:lang w:val="en-GB"/>
        </w:rPr>
        <w:t xml:space="preserve">for the market entrance of </w:t>
      </w:r>
      <w:r w:rsidRPr="00A33D48">
        <w:rPr>
          <w:spacing w:val="-2"/>
          <w:lang w:val="en-GB"/>
        </w:rPr>
        <w:t>Uber Technologies Inc. (</w:t>
      </w:r>
      <w:r w:rsidRPr="00CE411B">
        <w:rPr>
          <w:spacing w:val="-2"/>
          <w:lang w:val="en-GB"/>
        </w:rPr>
        <w:t>Uber</w:t>
      </w:r>
      <w:r>
        <w:rPr>
          <w:spacing w:val="-2"/>
          <w:lang w:val="en-GB"/>
        </w:rPr>
        <w:t>).</w:t>
      </w:r>
      <w:r w:rsidRPr="00CE411B">
        <w:rPr>
          <w:spacing w:val="-2"/>
          <w:lang w:val="en-GB"/>
        </w:rPr>
        <w:t xml:space="preserve"> </w:t>
      </w:r>
      <w:r>
        <w:rPr>
          <w:spacing w:val="-2"/>
          <w:lang w:val="en-GB"/>
        </w:rPr>
        <w:t>Along w</w:t>
      </w:r>
      <w:r w:rsidRPr="00CE411B">
        <w:rPr>
          <w:spacing w:val="-2"/>
          <w:lang w:val="en-GB"/>
        </w:rPr>
        <w:t>ith Lyft</w:t>
      </w:r>
      <w:r>
        <w:rPr>
          <w:spacing w:val="-2"/>
          <w:lang w:val="en-GB"/>
        </w:rPr>
        <w:t xml:space="preserve"> Inc. (Lyft), which</w:t>
      </w:r>
      <w:r w:rsidRPr="00CE411B">
        <w:rPr>
          <w:spacing w:val="-2"/>
          <w:lang w:val="en-GB"/>
        </w:rPr>
        <w:t xml:space="preserve"> </w:t>
      </w:r>
      <w:r>
        <w:rPr>
          <w:spacing w:val="-2"/>
          <w:lang w:val="en-GB"/>
        </w:rPr>
        <w:t>launched in</w:t>
      </w:r>
      <w:r w:rsidRPr="00CE411B">
        <w:rPr>
          <w:spacing w:val="-2"/>
          <w:lang w:val="en-GB"/>
        </w:rPr>
        <w:t xml:space="preserve"> 2012, Uber </w:t>
      </w:r>
      <w:r>
        <w:rPr>
          <w:spacing w:val="-2"/>
          <w:lang w:val="en-GB"/>
        </w:rPr>
        <w:t xml:space="preserve">rapidly </w:t>
      </w:r>
      <w:r w:rsidRPr="00CE411B">
        <w:rPr>
          <w:spacing w:val="-2"/>
          <w:lang w:val="en-GB"/>
        </w:rPr>
        <w:t>disrupted the taxi industry, reaching a $62 b</w:t>
      </w:r>
      <w:r>
        <w:rPr>
          <w:spacing w:val="-2"/>
          <w:lang w:val="en-GB"/>
        </w:rPr>
        <w:t>illio</w:t>
      </w:r>
      <w:r w:rsidRPr="00CE411B">
        <w:rPr>
          <w:spacing w:val="-2"/>
          <w:lang w:val="en-GB"/>
        </w:rPr>
        <w:t xml:space="preserve">n valuation. </w:t>
      </w:r>
      <w:r>
        <w:rPr>
          <w:spacing w:val="-2"/>
          <w:lang w:val="en-GB"/>
        </w:rPr>
        <w:t>The company</w:t>
      </w:r>
      <w:r w:rsidRPr="00CE411B">
        <w:rPr>
          <w:spacing w:val="-2"/>
          <w:lang w:val="en-GB"/>
        </w:rPr>
        <w:t xml:space="preserve"> also disrupted the car industry </w:t>
      </w:r>
      <w:r>
        <w:rPr>
          <w:spacing w:val="-2"/>
          <w:lang w:val="en-GB"/>
        </w:rPr>
        <w:t>with its</w:t>
      </w:r>
      <w:r w:rsidRPr="00CE411B">
        <w:rPr>
          <w:spacing w:val="-2"/>
          <w:lang w:val="en-GB"/>
        </w:rPr>
        <w:t xml:space="preserve"> ride-sharing </w:t>
      </w:r>
      <w:r>
        <w:rPr>
          <w:spacing w:val="-2"/>
          <w:lang w:val="en-GB"/>
        </w:rPr>
        <w:t xml:space="preserve">business. It was estimated that </w:t>
      </w:r>
      <w:r w:rsidRPr="00CE411B">
        <w:rPr>
          <w:spacing w:val="-2"/>
          <w:lang w:val="en-GB"/>
        </w:rPr>
        <w:t xml:space="preserve">9 per cent of </w:t>
      </w:r>
      <w:r>
        <w:rPr>
          <w:spacing w:val="-2"/>
          <w:lang w:val="en-GB"/>
        </w:rPr>
        <w:t>US</w:t>
      </w:r>
      <w:r w:rsidRPr="00CE411B">
        <w:rPr>
          <w:spacing w:val="-2"/>
          <w:lang w:val="en-GB"/>
        </w:rPr>
        <w:t xml:space="preserve"> adults who had sold or traded </w:t>
      </w:r>
      <w:r>
        <w:rPr>
          <w:spacing w:val="-2"/>
          <w:lang w:val="en-GB"/>
        </w:rPr>
        <w:t xml:space="preserve">in </w:t>
      </w:r>
      <w:r w:rsidRPr="00CE411B">
        <w:rPr>
          <w:spacing w:val="-2"/>
          <w:lang w:val="en-GB"/>
        </w:rPr>
        <w:t>their vehicle</w:t>
      </w:r>
      <w:r>
        <w:rPr>
          <w:spacing w:val="-2"/>
          <w:lang w:val="en-GB"/>
        </w:rPr>
        <w:t>s</w:t>
      </w:r>
      <w:r w:rsidRPr="00CE411B">
        <w:rPr>
          <w:spacing w:val="-2"/>
          <w:lang w:val="en-GB"/>
        </w:rPr>
        <w:t xml:space="preserve"> in the past </w:t>
      </w:r>
      <w:r>
        <w:rPr>
          <w:spacing w:val="-2"/>
          <w:lang w:val="en-GB"/>
        </w:rPr>
        <w:t xml:space="preserve">12 </w:t>
      </w:r>
      <w:r w:rsidRPr="00CE411B">
        <w:rPr>
          <w:spacing w:val="-2"/>
          <w:lang w:val="en-GB"/>
        </w:rPr>
        <w:t>twelve months</w:t>
      </w:r>
      <w:r>
        <w:rPr>
          <w:spacing w:val="-2"/>
          <w:lang w:val="en-GB"/>
        </w:rPr>
        <w:t xml:space="preserve"> were </w:t>
      </w:r>
      <w:r w:rsidRPr="00CE411B">
        <w:rPr>
          <w:spacing w:val="-2"/>
          <w:lang w:val="en-GB"/>
        </w:rPr>
        <w:t xml:space="preserve">relying on </w:t>
      </w:r>
      <w:r>
        <w:rPr>
          <w:spacing w:val="-2"/>
          <w:lang w:val="en-GB"/>
        </w:rPr>
        <w:t>ride sharing</w:t>
      </w:r>
      <w:r w:rsidRPr="00CE411B">
        <w:rPr>
          <w:spacing w:val="-2"/>
          <w:lang w:val="en-GB"/>
        </w:rPr>
        <w:t xml:space="preserve"> instead of owning a car.</w:t>
      </w:r>
      <w:r w:rsidRPr="00CE411B">
        <w:rPr>
          <w:rStyle w:val="EndnoteReference"/>
          <w:spacing w:val="-2"/>
          <w:lang w:val="en-GB"/>
        </w:rPr>
        <w:endnoteReference w:id="25"/>
      </w:r>
      <w:r>
        <w:rPr>
          <w:spacing w:val="-2"/>
          <w:lang w:val="en-GB"/>
        </w:rPr>
        <w:t xml:space="preserve"> This trend added</w:t>
      </w:r>
      <w:r w:rsidRPr="00CE411B">
        <w:rPr>
          <w:spacing w:val="-2"/>
          <w:lang w:val="en-GB"/>
        </w:rPr>
        <w:t xml:space="preserve"> </w:t>
      </w:r>
      <w:r>
        <w:rPr>
          <w:spacing w:val="-2"/>
          <w:lang w:val="en-GB"/>
        </w:rPr>
        <w:t xml:space="preserve">great </w:t>
      </w:r>
      <w:r w:rsidRPr="00CE411B">
        <w:rPr>
          <w:spacing w:val="-2"/>
          <w:lang w:val="en-GB"/>
        </w:rPr>
        <w:t xml:space="preserve">pressure on </w:t>
      </w:r>
      <w:r>
        <w:rPr>
          <w:spacing w:val="-2"/>
          <w:lang w:val="en-GB"/>
        </w:rPr>
        <w:t xml:space="preserve">car </w:t>
      </w:r>
      <w:r w:rsidRPr="00CE411B">
        <w:rPr>
          <w:spacing w:val="-2"/>
          <w:lang w:val="en-GB"/>
        </w:rPr>
        <w:t>sales</w:t>
      </w:r>
      <w:r>
        <w:rPr>
          <w:spacing w:val="-2"/>
          <w:lang w:val="en-GB"/>
        </w:rPr>
        <w:t>.</w:t>
      </w:r>
      <w:r w:rsidRPr="00CE411B">
        <w:rPr>
          <w:spacing w:val="-2"/>
          <w:lang w:val="en-GB"/>
        </w:rPr>
        <w:t xml:space="preserve"> </w:t>
      </w:r>
    </w:p>
    <w:p w14:paraId="79D8275D" w14:textId="77777777" w:rsidR="00AE0FB7" w:rsidRPr="00595CC5" w:rsidRDefault="00AE0FB7" w:rsidP="00D315F3">
      <w:pPr>
        <w:pStyle w:val="BodyTextMain"/>
        <w:rPr>
          <w:sz w:val="20"/>
          <w:lang w:val="en-GB"/>
        </w:rPr>
      </w:pPr>
    </w:p>
    <w:p w14:paraId="6D9055BE" w14:textId="5C8276F8" w:rsidR="00AE0FB7" w:rsidRPr="008E7BFC" w:rsidRDefault="00AE0FB7" w:rsidP="00D315F3">
      <w:pPr>
        <w:pStyle w:val="BodyTextMain"/>
        <w:rPr>
          <w:spacing w:val="-2"/>
          <w:lang w:val="en-GB"/>
        </w:rPr>
      </w:pPr>
      <w:r w:rsidRPr="008E7BFC">
        <w:rPr>
          <w:spacing w:val="-2"/>
          <w:lang w:val="en-GB"/>
        </w:rPr>
        <w:t>Clearly, the automotive industry, one of the most important industries in the United States,</w:t>
      </w:r>
      <w:r w:rsidRPr="008E7BFC">
        <w:rPr>
          <w:rStyle w:val="EndnoteReference"/>
          <w:spacing w:val="-2"/>
          <w:lang w:val="en-GB"/>
        </w:rPr>
        <w:endnoteReference w:id="26"/>
      </w:r>
      <w:r w:rsidRPr="008E7BFC">
        <w:rPr>
          <w:spacing w:val="-2"/>
          <w:lang w:val="en-GB"/>
        </w:rPr>
        <w:t xml:space="preserve"> was being disrupted and transformed by new competitors. The industry’s mission was </w:t>
      </w:r>
      <w:r w:rsidR="00570DC4" w:rsidRPr="008E7BFC">
        <w:rPr>
          <w:spacing w:val="-2"/>
          <w:lang w:val="en-GB"/>
        </w:rPr>
        <w:t>changing</w:t>
      </w:r>
      <w:r w:rsidRPr="008E7BFC">
        <w:rPr>
          <w:spacing w:val="-2"/>
          <w:lang w:val="en-GB"/>
        </w:rPr>
        <w:t xml:space="preserve"> from transportation to mobility. To worsen the impact on the industry, a global movement against pollution led to a widespread ban of fuel-powered internal combustion engines by 2025. Norway led the charge in 2016, and other countries, including China and India, were poised to soon follow. In the United States, no federal policy had yet been determined, but eight states had already set goals by the end of 2017 to reduce or eliminate fuel engines.</w:t>
      </w:r>
      <w:r w:rsidRPr="008E7BFC">
        <w:rPr>
          <w:rStyle w:val="EndnoteReference"/>
          <w:spacing w:val="-2"/>
          <w:lang w:val="en-GB"/>
        </w:rPr>
        <w:endnoteReference w:id="27"/>
      </w:r>
      <w:r w:rsidRPr="008E7BFC">
        <w:rPr>
          <w:spacing w:val="-2"/>
          <w:lang w:val="en-GB"/>
        </w:rPr>
        <w:t xml:space="preserve"> Even if the United States automotive industry managed to change its products to meet the new requirements, it could suffer negative effects from the March 2018 decision by the Trump administration to apply import duties or tariffs of 25 per cent on steel and 10 per cent on </w:t>
      </w:r>
      <w:proofErr w:type="spellStart"/>
      <w:r w:rsidRPr="008E7BFC">
        <w:rPr>
          <w:spacing w:val="-2"/>
          <w:lang w:val="en-GB"/>
        </w:rPr>
        <w:t>aluminum</w:t>
      </w:r>
      <w:proofErr w:type="spellEnd"/>
      <w:r w:rsidRPr="008E7BFC">
        <w:rPr>
          <w:spacing w:val="-2"/>
          <w:lang w:val="en-GB"/>
        </w:rPr>
        <w:t xml:space="preserve"> from China, while Chinese competitors could continue building vehicles as usual because their source of these metals was their own market. According to Matt Blunt, president of the American Automotive Policy Council, “this would place the US automotive industry, which supports more than 7 million American jobs, at a competitive disadvantage.”</w:t>
      </w:r>
      <w:r w:rsidRPr="008E7BFC">
        <w:rPr>
          <w:rStyle w:val="EndnoteReference"/>
          <w:spacing w:val="-2"/>
          <w:lang w:val="en-GB"/>
        </w:rPr>
        <w:endnoteReference w:id="28"/>
      </w:r>
    </w:p>
    <w:p w14:paraId="27952E5E" w14:textId="77777777" w:rsidR="00AE0FB7" w:rsidRPr="00595CC5" w:rsidRDefault="00AE0FB7" w:rsidP="00D315F3">
      <w:pPr>
        <w:pStyle w:val="BodyTextMain"/>
        <w:rPr>
          <w:spacing w:val="-4"/>
          <w:sz w:val="20"/>
          <w:lang w:val="en-GB"/>
        </w:rPr>
      </w:pPr>
    </w:p>
    <w:p w14:paraId="55364FE2" w14:textId="5350F968" w:rsidR="00AE0FB7" w:rsidRPr="00595CC5" w:rsidRDefault="00AE0FB7" w:rsidP="00D315F3">
      <w:pPr>
        <w:pStyle w:val="BodyTextMain"/>
        <w:rPr>
          <w:spacing w:val="-4"/>
          <w:lang w:val="en-GB"/>
        </w:rPr>
      </w:pPr>
      <w:r w:rsidRPr="00595CC5">
        <w:rPr>
          <w:spacing w:val="-4"/>
          <w:lang w:val="en-GB"/>
        </w:rPr>
        <w:t xml:space="preserve">These challenges notwithstanding, however, Ford sold 2.4 million vehicles, for a 14 per cent </w:t>
      </w:r>
      <w:r>
        <w:rPr>
          <w:spacing w:val="-4"/>
          <w:lang w:val="en-GB"/>
        </w:rPr>
        <w:t>US</w:t>
      </w:r>
      <w:r w:rsidRPr="00595CC5">
        <w:rPr>
          <w:spacing w:val="-4"/>
          <w:lang w:val="en-GB"/>
        </w:rPr>
        <w:t xml:space="preserve"> market share, compared to </w:t>
      </w:r>
      <w:proofErr w:type="spellStart"/>
      <w:r w:rsidRPr="00595CC5">
        <w:rPr>
          <w:spacing w:val="-4"/>
          <w:lang w:val="en-GB"/>
        </w:rPr>
        <w:t>Geely’s</w:t>
      </w:r>
      <w:proofErr w:type="spellEnd"/>
      <w:r w:rsidRPr="00595CC5">
        <w:rPr>
          <w:spacing w:val="-4"/>
          <w:lang w:val="en-GB"/>
        </w:rPr>
        <w:t xml:space="preserve"> brands, including Volvo and Lotus, which totalled less than 200,000 vehicles, for a 2 per cent market share.</w:t>
      </w:r>
      <w:r w:rsidRPr="00595CC5">
        <w:rPr>
          <w:rStyle w:val="EndnoteReference"/>
          <w:spacing w:val="-4"/>
          <w:lang w:val="en-GB"/>
        </w:rPr>
        <w:endnoteReference w:id="29"/>
      </w:r>
      <w:r w:rsidRPr="00595CC5">
        <w:rPr>
          <w:spacing w:val="-4"/>
          <w:lang w:val="en-GB"/>
        </w:rPr>
        <w:t xml:space="preserve"> Tesla, sometimes considered the newcomer in the “Big Three,” had boosted its sales from 16,689 vehicles in 2014 to 50,145 in 2017, for a market share of 0.11 per cent and 0.29 per cent, respectively.</w:t>
      </w:r>
      <w:r w:rsidRPr="00595CC5">
        <w:rPr>
          <w:rStyle w:val="EndnoteReference"/>
          <w:spacing w:val="-4"/>
          <w:lang w:val="en-GB"/>
        </w:rPr>
        <w:endnoteReference w:id="30"/>
      </w:r>
      <w:r w:rsidRPr="00595CC5">
        <w:rPr>
          <w:spacing w:val="-4"/>
          <w:lang w:val="en-GB"/>
        </w:rPr>
        <w:t xml:space="preserve"> </w:t>
      </w:r>
    </w:p>
    <w:p w14:paraId="2120A670" w14:textId="77777777" w:rsidR="00AE0FB7" w:rsidRPr="00595CC5" w:rsidRDefault="00AE0FB7" w:rsidP="00D315F3">
      <w:pPr>
        <w:pStyle w:val="BodyTextMain"/>
        <w:rPr>
          <w:spacing w:val="-2"/>
          <w:sz w:val="20"/>
          <w:lang w:val="en-GB"/>
        </w:rPr>
      </w:pPr>
    </w:p>
    <w:p w14:paraId="32DB7DA9" w14:textId="6515C3C1" w:rsidR="00AE0FB7" w:rsidRPr="00595CC5" w:rsidRDefault="00AE0FB7" w:rsidP="00D315F3">
      <w:pPr>
        <w:pStyle w:val="BodyTextMain"/>
        <w:rPr>
          <w:spacing w:val="-2"/>
          <w:lang w:val="en-GB"/>
        </w:rPr>
      </w:pPr>
      <w:r w:rsidRPr="00595CC5">
        <w:rPr>
          <w:spacing w:val="-2"/>
          <w:lang w:val="en-GB"/>
        </w:rPr>
        <w:t xml:space="preserve">Overall, the </w:t>
      </w:r>
      <w:r>
        <w:rPr>
          <w:spacing w:val="-2"/>
          <w:lang w:val="en-GB"/>
        </w:rPr>
        <w:t>US</w:t>
      </w:r>
      <w:r w:rsidRPr="00595CC5">
        <w:rPr>
          <w:spacing w:val="-2"/>
          <w:lang w:val="en-GB"/>
        </w:rPr>
        <w:t xml:space="preserve"> automobile industry was experiencing a perfect storm generated by intensive competition from within (i.e., the technology company Tesla</w:t>
      </w:r>
      <w:r w:rsidRPr="00595CC5">
        <w:rPr>
          <w:rStyle w:val="EndnoteReference"/>
          <w:spacing w:val="-2"/>
          <w:lang w:val="en-GB"/>
        </w:rPr>
        <w:endnoteReference w:id="31"/>
      </w:r>
      <w:r w:rsidRPr="00595CC5">
        <w:rPr>
          <w:spacing w:val="-2"/>
          <w:lang w:val="en-GB"/>
        </w:rPr>
        <w:t>)</w:t>
      </w:r>
      <w:r>
        <w:rPr>
          <w:spacing w:val="-2"/>
          <w:lang w:val="en-GB"/>
        </w:rPr>
        <w:t xml:space="preserve"> and </w:t>
      </w:r>
      <w:r w:rsidRPr="00595CC5">
        <w:rPr>
          <w:spacing w:val="-2"/>
          <w:lang w:val="en-GB"/>
        </w:rPr>
        <w:t xml:space="preserve">from the outside (i.e., China’s market leader </w:t>
      </w:r>
      <w:proofErr w:type="spellStart"/>
      <w:r w:rsidRPr="00595CC5">
        <w:rPr>
          <w:spacing w:val="-2"/>
          <w:lang w:val="en-GB"/>
        </w:rPr>
        <w:t>Geely</w:t>
      </w:r>
      <w:proofErr w:type="spellEnd"/>
      <w:r w:rsidRPr="00595CC5">
        <w:rPr>
          <w:spacing w:val="-2"/>
          <w:lang w:val="en-GB"/>
        </w:rPr>
        <w:t xml:space="preserve"> gaining traction in the </w:t>
      </w:r>
      <w:r>
        <w:rPr>
          <w:spacing w:val="-2"/>
          <w:lang w:val="en-GB"/>
        </w:rPr>
        <w:t>US</w:t>
      </w:r>
      <w:r w:rsidRPr="00595CC5">
        <w:rPr>
          <w:spacing w:val="-2"/>
          <w:lang w:val="en-GB"/>
        </w:rPr>
        <w:t xml:space="preserve"> market), major disruption (i.e., car-sharing giants Uber and Lyft), and regulatory changes forcing major changes to products and manufacturing facilities (i.e., a ban on fuel engines and tariffs on steel and </w:t>
      </w:r>
      <w:proofErr w:type="spellStart"/>
      <w:r w:rsidRPr="00595CC5">
        <w:rPr>
          <w:spacing w:val="-2"/>
          <w:lang w:val="en-GB"/>
        </w:rPr>
        <w:t>aluminum</w:t>
      </w:r>
      <w:proofErr w:type="spellEnd"/>
      <w:r w:rsidRPr="00595CC5">
        <w:rPr>
          <w:spacing w:val="-2"/>
          <w:lang w:val="en-GB"/>
        </w:rPr>
        <w:t xml:space="preserve">). These factors, among others, led Hackett to make the unexpected strategic move of </w:t>
      </w:r>
      <w:r>
        <w:rPr>
          <w:spacing w:val="-2"/>
          <w:lang w:val="en-GB"/>
        </w:rPr>
        <w:t xml:space="preserve">removing </w:t>
      </w:r>
      <w:r w:rsidRPr="00595CC5">
        <w:rPr>
          <w:spacing w:val="-2"/>
          <w:lang w:val="en-GB"/>
        </w:rPr>
        <w:t xml:space="preserve">Ford </w:t>
      </w:r>
      <w:r>
        <w:rPr>
          <w:spacing w:val="-2"/>
          <w:lang w:val="en-GB"/>
        </w:rPr>
        <w:t>from</w:t>
      </w:r>
      <w:r w:rsidRPr="00595CC5">
        <w:rPr>
          <w:spacing w:val="-2"/>
          <w:lang w:val="en-GB"/>
        </w:rPr>
        <w:t xml:space="preserve"> the car business in the United States by killing all but two of its sedan models by 2020.</w:t>
      </w:r>
      <w:r w:rsidRPr="00595CC5">
        <w:rPr>
          <w:rStyle w:val="EndnoteReference"/>
          <w:spacing w:val="-2"/>
          <w:lang w:val="en-GB"/>
        </w:rPr>
        <w:endnoteReference w:id="32"/>
      </w:r>
    </w:p>
    <w:p w14:paraId="649A8598" w14:textId="77777777" w:rsidR="00AE0FB7" w:rsidRPr="00595CC5" w:rsidRDefault="00AE0FB7" w:rsidP="00D315F3">
      <w:pPr>
        <w:pStyle w:val="BodyTextMain"/>
        <w:rPr>
          <w:spacing w:val="-2"/>
          <w:sz w:val="20"/>
          <w:lang w:val="en-GB"/>
        </w:rPr>
      </w:pPr>
    </w:p>
    <w:p w14:paraId="1FA386AB" w14:textId="1A5EFC3D" w:rsidR="00AE0FB7" w:rsidRPr="00595CC5" w:rsidRDefault="00AE0FB7" w:rsidP="00D315F3">
      <w:pPr>
        <w:pStyle w:val="BodyTextMain"/>
        <w:rPr>
          <w:spacing w:val="-4"/>
          <w:lang w:val="en-GB"/>
        </w:rPr>
      </w:pPr>
      <w:r w:rsidRPr="00595CC5">
        <w:rPr>
          <w:spacing w:val="-4"/>
          <w:lang w:val="en-GB"/>
        </w:rPr>
        <w:t xml:space="preserve">Was this perfect storm in the United States also sweeping the landscape in China, a key foreign market for Ford? </w:t>
      </w:r>
    </w:p>
    <w:p w14:paraId="3BA2D8D4" w14:textId="77777777" w:rsidR="00AE0FB7" w:rsidRPr="00595CC5" w:rsidRDefault="00AE0FB7" w:rsidP="00D315F3">
      <w:pPr>
        <w:pStyle w:val="BodyTextMain"/>
        <w:rPr>
          <w:sz w:val="20"/>
          <w:lang w:val="en-GB"/>
        </w:rPr>
      </w:pPr>
    </w:p>
    <w:p w14:paraId="11800650" w14:textId="77777777" w:rsidR="00AE0FB7" w:rsidRPr="00595CC5" w:rsidRDefault="00AE0FB7" w:rsidP="00D315F3">
      <w:pPr>
        <w:pStyle w:val="BodyTextMain"/>
        <w:rPr>
          <w:sz w:val="20"/>
          <w:lang w:val="en-GB"/>
        </w:rPr>
      </w:pPr>
    </w:p>
    <w:p w14:paraId="5F72015F" w14:textId="777EF34A" w:rsidR="00AE0FB7" w:rsidRPr="00CE411B" w:rsidRDefault="00AE0FB7" w:rsidP="00D315F3">
      <w:pPr>
        <w:pStyle w:val="Casehead2"/>
        <w:rPr>
          <w:lang w:val="en-GB"/>
        </w:rPr>
      </w:pPr>
      <w:r w:rsidRPr="00CE411B">
        <w:rPr>
          <w:lang w:val="en-GB"/>
        </w:rPr>
        <w:t xml:space="preserve">Key </w:t>
      </w:r>
      <w:r>
        <w:rPr>
          <w:lang w:val="en-GB"/>
        </w:rPr>
        <w:t>E</w:t>
      </w:r>
      <w:r w:rsidRPr="00CE411B">
        <w:rPr>
          <w:lang w:val="en-GB"/>
        </w:rPr>
        <w:t>vents in China</w:t>
      </w:r>
    </w:p>
    <w:p w14:paraId="4BB23DAF" w14:textId="77777777" w:rsidR="00AE0FB7" w:rsidRPr="00595CC5" w:rsidRDefault="00AE0FB7" w:rsidP="00D315F3">
      <w:pPr>
        <w:pStyle w:val="BodyTextMain"/>
        <w:rPr>
          <w:sz w:val="20"/>
          <w:lang w:val="en-GB"/>
        </w:rPr>
      </w:pPr>
    </w:p>
    <w:p w14:paraId="33AB7CA5" w14:textId="4B5DD93A" w:rsidR="00AE0FB7" w:rsidRDefault="00AE0FB7" w:rsidP="00D315F3">
      <w:pPr>
        <w:pStyle w:val="Casehead3"/>
        <w:rPr>
          <w:lang w:val="en-GB"/>
        </w:rPr>
      </w:pPr>
      <w:r w:rsidRPr="00CE411B">
        <w:rPr>
          <w:lang w:val="en-GB"/>
        </w:rPr>
        <w:t>Ford</w:t>
      </w:r>
    </w:p>
    <w:p w14:paraId="6A6356B1" w14:textId="77777777" w:rsidR="00AE0FB7" w:rsidRPr="00595CC5" w:rsidRDefault="00AE0FB7" w:rsidP="00D315F3">
      <w:pPr>
        <w:pStyle w:val="Casehead3"/>
        <w:rPr>
          <w:sz w:val="20"/>
          <w:lang w:val="en-GB"/>
        </w:rPr>
      </w:pPr>
    </w:p>
    <w:p w14:paraId="419E51DE" w14:textId="183DBE5C" w:rsidR="00AE0FB7" w:rsidRDefault="00AE0FB7" w:rsidP="00D315F3">
      <w:pPr>
        <w:pStyle w:val="BodyTextMain"/>
        <w:rPr>
          <w:lang w:val="en-GB"/>
        </w:rPr>
      </w:pPr>
      <w:r w:rsidRPr="00CE411B">
        <w:rPr>
          <w:lang w:val="en-GB"/>
        </w:rPr>
        <w:t xml:space="preserve">In China, Ford operated through </w:t>
      </w:r>
      <w:r>
        <w:rPr>
          <w:lang w:val="en-GB"/>
        </w:rPr>
        <w:t>joint ventures with</w:t>
      </w:r>
      <w:r w:rsidRPr="00CE411B">
        <w:rPr>
          <w:lang w:val="en-GB"/>
        </w:rPr>
        <w:t xml:space="preserve"> </w:t>
      </w:r>
      <w:proofErr w:type="spellStart"/>
      <w:r w:rsidRPr="00CE411B">
        <w:rPr>
          <w:lang w:val="en-GB"/>
        </w:rPr>
        <w:t>Changan</w:t>
      </w:r>
      <w:proofErr w:type="spellEnd"/>
      <w:r>
        <w:rPr>
          <w:lang w:val="en-GB"/>
        </w:rPr>
        <w:t xml:space="preserve"> and</w:t>
      </w:r>
      <w:r w:rsidRPr="00CE411B">
        <w:rPr>
          <w:lang w:val="en-GB"/>
        </w:rPr>
        <w:t xml:space="preserve"> with</w:t>
      </w:r>
      <w:r>
        <w:rPr>
          <w:lang w:val="en-GB"/>
        </w:rPr>
        <w:t xml:space="preserve"> </w:t>
      </w:r>
      <w:r w:rsidRPr="00CE411B">
        <w:rPr>
          <w:lang w:val="en-GB"/>
        </w:rPr>
        <w:t>Jiangling Motors Co. for the production of its commercial vehicles.</w:t>
      </w:r>
      <w:r>
        <w:rPr>
          <w:lang w:val="en-GB"/>
        </w:rPr>
        <w:t xml:space="preserve"> </w:t>
      </w:r>
      <w:r w:rsidRPr="00CE411B">
        <w:rPr>
          <w:lang w:val="en-GB"/>
        </w:rPr>
        <w:t xml:space="preserve">China had been a vital market for Ford. </w:t>
      </w:r>
      <w:r>
        <w:rPr>
          <w:lang w:val="en-GB"/>
        </w:rPr>
        <w:t>By</w:t>
      </w:r>
      <w:r w:rsidRPr="00CE411B">
        <w:rPr>
          <w:lang w:val="en-GB"/>
        </w:rPr>
        <w:t xml:space="preserve"> 2017, Ford </w:t>
      </w:r>
      <w:r>
        <w:rPr>
          <w:lang w:val="en-GB"/>
        </w:rPr>
        <w:t>was selling</w:t>
      </w:r>
      <w:r w:rsidRPr="00CE411B">
        <w:rPr>
          <w:lang w:val="en-GB"/>
        </w:rPr>
        <w:t xml:space="preserve"> 839,815 vehicles</w:t>
      </w:r>
      <w:r>
        <w:rPr>
          <w:lang w:val="en-GB"/>
        </w:rPr>
        <w:t xml:space="preserve"> per year</w:t>
      </w:r>
      <w:r w:rsidRPr="00CE411B">
        <w:rPr>
          <w:lang w:val="en-GB"/>
        </w:rPr>
        <w:t>, boosting its market share to 3.47 per cent</w:t>
      </w:r>
      <w:r>
        <w:rPr>
          <w:lang w:val="en-GB"/>
        </w:rPr>
        <w:t xml:space="preserve">, </w:t>
      </w:r>
      <w:r w:rsidRPr="00CE411B">
        <w:rPr>
          <w:lang w:val="en-GB"/>
        </w:rPr>
        <w:t xml:space="preserve">compared </w:t>
      </w:r>
      <w:r>
        <w:rPr>
          <w:lang w:val="en-GB"/>
        </w:rPr>
        <w:t>to</w:t>
      </w:r>
      <w:r w:rsidRPr="00CE411B">
        <w:rPr>
          <w:lang w:val="en-GB"/>
        </w:rPr>
        <w:t xml:space="preserve"> </w:t>
      </w:r>
      <w:r>
        <w:rPr>
          <w:lang w:val="en-GB"/>
        </w:rPr>
        <w:t>2008 when it sold only</w:t>
      </w:r>
      <w:r w:rsidR="00044DBE">
        <w:rPr>
          <w:lang w:val="en-GB"/>
        </w:rPr>
        <w:t xml:space="preserve"> </w:t>
      </w:r>
      <w:r w:rsidRPr="00CE411B">
        <w:rPr>
          <w:lang w:val="en-GB"/>
        </w:rPr>
        <w:lastRenderedPageBreak/>
        <w:t>156,090</w:t>
      </w:r>
      <w:r>
        <w:rPr>
          <w:lang w:val="en-GB"/>
        </w:rPr>
        <w:t>,</w:t>
      </w:r>
      <w:r w:rsidRPr="00CE411B">
        <w:rPr>
          <w:lang w:val="en-GB"/>
        </w:rPr>
        <w:t xml:space="preserve"> </w:t>
      </w:r>
      <w:r>
        <w:rPr>
          <w:lang w:val="en-GB"/>
        </w:rPr>
        <w:t>with a market share of</w:t>
      </w:r>
      <w:r w:rsidRPr="00CE411B">
        <w:rPr>
          <w:lang w:val="en-GB"/>
        </w:rPr>
        <w:t xml:space="preserve"> 2.8 per cent.</w:t>
      </w:r>
      <w:r w:rsidRPr="00CE411B">
        <w:rPr>
          <w:rStyle w:val="EndnoteReference"/>
          <w:lang w:val="en-GB"/>
        </w:rPr>
        <w:endnoteReference w:id="33"/>
      </w:r>
      <w:r w:rsidRPr="00CE411B">
        <w:rPr>
          <w:lang w:val="en-GB"/>
        </w:rPr>
        <w:t xml:space="preserve"> However, Ford had been </w:t>
      </w:r>
      <w:r>
        <w:rPr>
          <w:lang w:val="en-GB"/>
        </w:rPr>
        <w:t xml:space="preserve">experiencing difficulties </w:t>
      </w:r>
      <w:r w:rsidRPr="00CE411B">
        <w:rPr>
          <w:lang w:val="en-GB"/>
        </w:rPr>
        <w:t>since 2016 (see Exhibit 2)</w:t>
      </w:r>
      <w:r>
        <w:rPr>
          <w:lang w:val="en-GB"/>
        </w:rPr>
        <w:t>.</w:t>
      </w:r>
      <w:r w:rsidRPr="00CE411B">
        <w:rPr>
          <w:lang w:val="en-GB"/>
        </w:rPr>
        <w:t xml:space="preserve"> In short, Ford was struggling in China.</w:t>
      </w:r>
    </w:p>
    <w:p w14:paraId="2AC7FC91" w14:textId="77777777" w:rsidR="00AE0FB7" w:rsidRPr="00475FE2" w:rsidRDefault="00AE0FB7" w:rsidP="00D315F3">
      <w:pPr>
        <w:pStyle w:val="BodyTextMain"/>
        <w:rPr>
          <w:sz w:val="20"/>
          <w:lang w:val="en-GB"/>
        </w:rPr>
      </w:pPr>
    </w:p>
    <w:p w14:paraId="2EC9A581" w14:textId="141AF2A5" w:rsidR="00AE0FB7" w:rsidRPr="00CE411B" w:rsidRDefault="00AE0FB7" w:rsidP="00D315F3">
      <w:pPr>
        <w:pStyle w:val="BodyTextMain"/>
        <w:rPr>
          <w:lang w:val="en-GB"/>
        </w:rPr>
      </w:pPr>
      <w:r>
        <w:rPr>
          <w:lang w:val="en-GB"/>
        </w:rPr>
        <w:t>I</w:t>
      </w:r>
      <w:r w:rsidRPr="00CE411B">
        <w:rPr>
          <w:lang w:val="en-GB"/>
        </w:rPr>
        <w:t xml:space="preserve">n a fast-changing market, </w:t>
      </w:r>
      <w:r>
        <w:rPr>
          <w:lang w:val="en-GB"/>
        </w:rPr>
        <w:t>Ford saw a</w:t>
      </w:r>
      <w:r w:rsidRPr="00CE411B">
        <w:rPr>
          <w:lang w:val="en-GB"/>
        </w:rPr>
        <w:t xml:space="preserve"> decrease of 18 per cent for January 2018, compared with January 2017</w:t>
      </w:r>
      <w:r>
        <w:rPr>
          <w:lang w:val="en-GB"/>
        </w:rPr>
        <w:t>,</w:t>
      </w:r>
      <w:r w:rsidRPr="00CE411B">
        <w:rPr>
          <w:lang w:val="en-GB"/>
        </w:rPr>
        <w:t xml:space="preserve"> while competitors </w:t>
      </w:r>
      <w:r>
        <w:rPr>
          <w:lang w:val="en-GB"/>
        </w:rPr>
        <w:t xml:space="preserve">such as </w:t>
      </w:r>
      <w:r w:rsidRPr="00CE411B">
        <w:rPr>
          <w:lang w:val="en-GB"/>
        </w:rPr>
        <w:t xml:space="preserve">GM, Volkswagen, Toyota, </w:t>
      </w:r>
      <w:r>
        <w:rPr>
          <w:lang w:val="en-GB"/>
        </w:rPr>
        <w:t>and others</w:t>
      </w:r>
      <w:r w:rsidRPr="00CE411B">
        <w:rPr>
          <w:lang w:val="en-GB"/>
        </w:rPr>
        <w:t xml:space="preserve"> saw </w:t>
      </w:r>
      <w:r>
        <w:rPr>
          <w:lang w:val="en-GB"/>
        </w:rPr>
        <w:t xml:space="preserve">their </w:t>
      </w:r>
      <w:r w:rsidRPr="00CE411B">
        <w:rPr>
          <w:lang w:val="en-GB"/>
        </w:rPr>
        <w:t>sales increase</w:t>
      </w:r>
      <w:r>
        <w:rPr>
          <w:lang w:val="en-GB"/>
        </w:rPr>
        <w:t>. In fact, t</w:t>
      </w:r>
      <w:r w:rsidRPr="00CE411B">
        <w:rPr>
          <w:lang w:val="en-GB"/>
        </w:rPr>
        <w:t>he entire market for light vehicles was up by 11 per cent. In an attempt to boost sales, Ford had localiz</w:t>
      </w:r>
      <w:r>
        <w:rPr>
          <w:lang w:val="en-GB"/>
        </w:rPr>
        <w:t>ed</w:t>
      </w:r>
      <w:r w:rsidRPr="00CE411B">
        <w:rPr>
          <w:lang w:val="en-GB"/>
        </w:rPr>
        <w:t xml:space="preserve"> production and leverag</w:t>
      </w:r>
      <w:r>
        <w:rPr>
          <w:lang w:val="en-GB"/>
        </w:rPr>
        <w:t>ed</w:t>
      </w:r>
      <w:r w:rsidRPr="00CE411B">
        <w:rPr>
          <w:lang w:val="en-GB"/>
        </w:rPr>
        <w:t xml:space="preserve"> </w:t>
      </w:r>
      <w:r w:rsidR="00570DC4">
        <w:rPr>
          <w:lang w:val="en-GB"/>
        </w:rPr>
        <w:t xml:space="preserve">its </w:t>
      </w:r>
      <w:r w:rsidRPr="00CE411B">
        <w:rPr>
          <w:lang w:val="en-GB"/>
        </w:rPr>
        <w:t xml:space="preserve">marketing innovation expertise </w:t>
      </w:r>
      <w:r>
        <w:rPr>
          <w:lang w:val="en-GB"/>
        </w:rPr>
        <w:t xml:space="preserve">in 2017 </w:t>
      </w:r>
      <w:r w:rsidRPr="00CE411B">
        <w:rPr>
          <w:lang w:val="en-GB"/>
        </w:rPr>
        <w:t xml:space="preserve">by announcing a strategic partnership with Alibaba and promising 50 new models by 2025 to </w:t>
      </w:r>
      <w:r>
        <w:rPr>
          <w:lang w:val="en-GB"/>
        </w:rPr>
        <w:t xml:space="preserve">better </w:t>
      </w:r>
      <w:r w:rsidRPr="00CE411B">
        <w:rPr>
          <w:lang w:val="en-GB"/>
        </w:rPr>
        <w:t>address the needs of Chinese customers.</w:t>
      </w:r>
      <w:r w:rsidRPr="00CE411B">
        <w:rPr>
          <w:rStyle w:val="EndnoteReference"/>
          <w:lang w:val="en-GB"/>
        </w:rPr>
        <w:endnoteReference w:id="34"/>
      </w:r>
    </w:p>
    <w:p w14:paraId="39F126DE" w14:textId="67033580" w:rsidR="00AE0FB7" w:rsidRPr="00475FE2" w:rsidRDefault="00AE0FB7" w:rsidP="00D315F3">
      <w:pPr>
        <w:pStyle w:val="BodyTextMain"/>
        <w:rPr>
          <w:sz w:val="20"/>
          <w:lang w:val="en-GB"/>
        </w:rPr>
      </w:pPr>
    </w:p>
    <w:p w14:paraId="01286D75" w14:textId="77777777" w:rsidR="00AE0FB7" w:rsidRPr="00475FE2" w:rsidRDefault="00AE0FB7" w:rsidP="00D315F3">
      <w:pPr>
        <w:pStyle w:val="BodyTextMain"/>
        <w:rPr>
          <w:sz w:val="20"/>
          <w:lang w:val="en-GB"/>
        </w:rPr>
      </w:pPr>
    </w:p>
    <w:p w14:paraId="08DF02EF" w14:textId="77777777" w:rsidR="00AE0FB7" w:rsidRPr="00CE411B" w:rsidRDefault="00AE0FB7" w:rsidP="00D315F3">
      <w:pPr>
        <w:pStyle w:val="Casehead3"/>
        <w:rPr>
          <w:lang w:val="en-GB"/>
        </w:rPr>
      </w:pPr>
      <w:proofErr w:type="spellStart"/>
      <w:r w:rsidRPr="00CE411B">
        <w:rPr>
          <w:lang w:val="en-GB"/>
        </w:rPr>
        <w:t>Geely</w:t>
      </w:r>
      <w:proofErr w:type="spellEnd"/>
    </w:p>
    <w:p w14:paraId="736CD9E7" w14:textId="77777777" w:rsidR="00AE0FB7" w:rsidRPr="00475FE2" w:rsidRDefault="00AE0FB7" w:rsidP="00D315F3">
      <w:pPr>
        <w:pStyle w:val="BodyTextMain"/>
        <w:rPr>
          <w:sz w:val="20"/>
          <w:lang w:val="en-GB"/>
        </w:rPr>
      </w:pPr>
    </w:p>
    <w:p w14:paraId="6E803FB9" w14:textId="1E8CC6CD" w:rsidR="00AE0FB7" w:rsidRPr="00CE411B" w:rsidRDefault="00AE0FB7" w:rsidP="00D315F3">
      <w:pPr>
        <w:pStyle w:val="BodyTextMain"/>
        <w:rPr>
          <w:lang w:val="en-GB"/>
        </w:rPr>
      </w:pPr>
      <w:r w:rsidRPr="00CE411B">
        <w:rPr>
          <w:lang w:val="en-GB"/>
        </w:rPr>
        <w:t xml:space="preserve">Launched a century after Ford, </w:t>
      </w:r>
      <w:proofErr w:type="spellStart"/>
      <w:r w:rsidRPr="00CE411B">
        <w:rPr>
          <w:lang w:val="en-GB"/>
        </w:rPr>
        <w:t>Geely</w:t>
      </w:r>
      <w:proofErr w:type="spellEnd"/>
      <w:r w:rsidRPr="00CE411B">
        <w:rPr>
          <w:lang w:val="en-GB"/>
        </w:rPr>
        <w:t xml:space="preserve"> had made every effort to catch up </w:t>
      </w:r>
      <w:r>
        <w:rPr>
          <w:lang w:val="en-GB"/>
        </w:rPr>
        <w:t>to its rivals. The company aimed</w:t>
      </w:r>
      <w:r w:rsidRPr="00CE411B">
        <w:rPr>
          <w:lang w:val="en-GB"/>
        </w:rPr>
        <w:t xml:space="preserve"> to become a respected automaker by internationalizing and acquiring prestigious brands such as </w:t>
      </w:r>
      <w:r w:rsidRPr="00595CC5">
        <w:rPr>
          <w:lang w:val="en-GB"/>
        </w:rPr>
        <w:t xml:space="preserve">Volvo and Lotus. In China, it produced and marketed cars under the </w:t>
      </w:r>
      <w:proofErr w:type="spellStart"/>
      <w:r w:rsidRPr="00595CC5">
        <w:rPr>
          <w:lang w:val="en-GB"/>
        </w:rPr>
        <w:t>Geely</w:t>
      </w:r>
      <w:proofErr w:type="spellEnd"/>
      <w:r w:rsidRPr="00595CC5">
        <w:rPr>
          <w:lang w:val="en-GB"/>
        </w:rPr>
        <w:t xml:space="preserve">, </w:t>
      </w:r>
      <w:proofErr w:type="spellStart"/>
      <w:r w:rsidRPr="00595CC5">
        <w:rPr>
          <w:lang w:val="en-GB"/>
        </w:rPr>
        <w:t>Gleagle</w:t>
      </w:r>
      <w:proofErr w:type="spellEnd"/>
      <w:r w:rsidRPr="00595CC5">
        <w:rPr>
          <w:lang w:val="en-GB"/>
        </w:rPr>
        <w:t xml:space="preserve">, </w:t>
      </w:r>
      <w:proofErr w:type="spellStart"/>
      <w:r w:rsidRPr="00595CC5">
        <w:rPr>
          <w:lang w:val="en-GB"/>
        </w:rPr>
        <w:t>Emgrand</w:t>
      </w:r>
      <w:proofErr w:type="spellEnd"/>
      <w:r w:rsidRPr="00595CC5">
        <w:rPr>
          <w:lang w:val="en-GB"/>
        </w:rPr>
        <w:t xml:space="preserve">, </w:t>
      </w:r>
      <w:proofErr w:type="spellStart"/>
      <w:r w:rsidRPr="00595CC5">
        <w:rPr>
          <w:lang w:val="en-GB"/>
        </w:rPr>
        <w:t>Englon</w:t>
      </w:r>
      <w:proofErr w:type="spellEnd"/>
      <w:r w:rsidRPr="00595CC5">
        <w:rPr>
          <w:lang w:val="en-GB"/>
        </w:rPr>
        <w:t>,</w:t>
      </w:r>
      <w:r w:rsidRPr="00CE411B">
        <w:rPr>
          <w:lang w:val="en-GB"/>
        </w:rPr>
        <w:t xml:space="preserve"> Kandi</w:t>
      </w:r>
      <w:r>
        <w:rPr>
          <w:lang w:val="en-GB"/>
        </w:rPr>
        <w:t>,</w:t>
      </w:r>
      <w:r w:rsidRPr="00CE411B">
        <w:rPr>
          <w:lang w:val="en-GB"/>
        </w:rPr>
        <w:t xml:space="preserve"> and Shanghai Maple </w:t>
      </w:r>
      <w:r w:rsidRPr="00CE411B">
        <w:rPr>
          <w:color w:val="000000" w:themeColor="text1"/>
          <w:lang w:val="en-GB"/>
        </w:rPr>
        <w:t>brands</w:t>
      </w:r>
      <w:r w:rsidRPr="00CE411B">
        <w:rPr>
          <w:rFonts w:ascii="Helvetica" w:hAnsi="Helvetica"/>
          <w:color w:val="000000" w:themeColor="text1"/>
          <w:sz w:val="21"/>
          <w:szCs w:val="21"/>
          <w:shd w:val="clear" w:color="auto" w:fill="FFFFFF"/>
          <w:lang w:val="en-GB"/>
        </w:rPr>
        <w:t>.</w:t>
      </w:r>
      <w:r w:rsidRPr="00CE411B">
        <w:rPr>
          <w:rStyle w:val="EndnoteReference"/>
          <w:rFonts w:ascii="Helvetica" w:hAnsi="Helvetica"/>
          <w:color w:val="000000" w:themeColor="text1"/>
          <w:sz w:val="21"/>
          <w:szCs w:val="21"/>
          <w:shd w:val="clear" w:color="auto" w:fill="FFFFFF"/>
          <w:lang w:val="en-GB"/>
        </w:rPr>
        <w:endnoteReference w:id="35"/>
      </w:r>
      <w:r w:rsidRPr="00CE411B">
        <w:rPr>
          <w:rFonts w:ascii="Helvetica" w:hAnsi="Helvetica"/>
          <w:color w:val="000000" w:themeColor="text1"/>
          <w:sz w:val="21"/>
          <w:szCs w:val="21"/>
          <w:shd w:val="clear" w:color="auto" w:fill="FFFFFF"/>
          <w:lang w:val="en-GB"/>
        </w:rPr>
        <w:t xml:space="preserve"> </w:t>
      </w:r>
      <w:r w:rsidRPr="00CE411B">
        <w:rPr>
          <w:color w:val="000000" w:themeColor="text1"/>
          <w:lang w:val="en-GB"/>
        </w:rPr>
        <w:t xml:space="preserve"> </w:t>
      </w:r>
    </w:p>
    <w:p w14:paraId="31F06928" w14:textId="77777777" w:rsidR="00AE0FB7" w:rsidRPr="00475FE2" w:rsidRDefault="00AE0FB7" w:rsidP="00D315F3">
      <w:pPr>
        <w:pStyle w:val="BodyTextMain"/>
        <w:rPr>
          <w:sz w:val="20"/>
          <w:lang w:val="en-GB"/>
        </w:rPr>
      </w:pPr>
    </w:p>
    <w:p w14:paraId="49197F30" w14:textId="12A7144D" w:rsidR="00AE0FB7" w:rsidRPr="00CE411B" w:rsidRDefault="00AE0FB7" w:rsidP="00D315F3">
      <w:pPr>
        <w:pStyle w:val="BodyTextMain"/>
        <w:rPr>
          <w:lang w:val="en-GB"/>
        </w:rPr>
      </w:pPr>
      <w:r w:rsidRPr="00CE411B">
        <w:rPr>
          <w:lang w:val="en-GB"/>
        </w:rPr>
        <w:t xml:space="preserve">In December 2017, </w:t>
      </w:r>
      <w:proofErr w:type="spellStart"/>
      <w:r w:rsidRPr="00CE411B">
        <w:rPr>
          <w:lang w:val="en-GB"/>
        </w:rPr>
        <w:t>Geely</w:t>
      </w:r>
      <w:proofErr w:type="spellEnd"/>
      <w:r w:rsidRPr="00CE411B">
        <w:rPr>
          <w:lang w:val="en-GB"/>
        </w:rPr>
        <w:t xml:space="preserve"> launched</w:t>
      </w:r>
      <w:r>
        <w:rPr>
          <w:lang w:val="en-GB"/>
        </w:rPr>
        <w:t xml:space="preserve"> the</w:t>
      </w:r>
      <w:r w:rsidRPr="00CE411B">
        <w:rPr>
          <w:lang w:val="en-GB"/>
        </w:rPr>
        <w:t xml:space="preserve"> upscale brand </w:t>
      </w:r>
      <w:proofErr w:type="spellStart"/>
      <w:r w:rsidRPr="00CE411B">
        <w:rPr>
          <w:lang w:val="en-GB"/>
        </w:rPr>
        <w:t>Lynk</w:t>
      </w:r>
      <w:proofErr w:type="spellEnd"/>
      <w:r w:rsidRPr="00CE411B">
        <w:rPr>
          <w:lang w:val="en-GB"/>
        </w:rPr>
        <w:t xml:space="preserve"> &amp; Co</w:t>
      </w:r>
      <w:r>
        <w:rPr>
          <w:lang w:val="en-GB"/>
        </w:rPr>
        <w:t>,</w:t>
      </w:r>
      <w:r w:rsidRPr="00CE411B">
        <w:rPr>
          <w:lang w:val="en-GB"/>
        </w:rPr>
        <w:t xml:space="preserve"> with plans to enter the European and </w:t>
      </w:r>
      <w:r>
        <w:rPr>
          <w:lang w:val="en-GB"/>
        </w:rPr>
        <w:t>US</w:t>
      </w:r>
      <w:r w:rsidRPr="00CE411B">
        <w:rPr>
          <w:lang w:val="en-GB"/>
        </w:rPr>
        <w:t xml:space="preserve"> markets</w:t>
      </w:r>
      <w:r>
        <w:rPr>
          <w:lang w:val="en-GB"/>
        </w:rPr>
        <w:t>. Using</w:t>
      </w:r>
      <w:r w:rsidRPr="00CE411B">
        <w:rPr>
          <w:lang w:val="en-GB"/>
        </w:rPr>
        <w:t xml:space="preserve"> a system that allow</w:t>
      </w:r>
      <w:r>
        <w:rPr>
          <w:lang w:val="en-GB"/>
        </w:rPr>
        <w:t>ed</w:t>
      </w:r>
      <w:r w:rsidRPr="00CE411B">
        <w:rPr>
          <w:lang w:val="en-GB"/>
        </w:rPr>
        <w:t xml:space="preserve"> shared ownership and renting</w:t>
      </w:r>
      <w:r>
        <w:rPr>
          <w:lang w:val="en-GB"/>
        </w:rPr>
        <w:t>,</w:t>
      </w:r>
      <w:r w:rsidRPr="00CE411B">
        <w:rPr>
          <w:lang w:val="en-GB"/>
        </w:rPr>
        <w:t xml:space="preserve"> </w:t>
      </w:r>
      <w:r>
        <w:rPr>
          <w:lang w:val="en-GB"/>
        </w:rPr>
        <w:t>with</w:t>
      </w:r>
      <w:r w:rsidRPr="00CE411B">
        <w:rPr>
          <w:lang w:val="en-GB"/>
        </w:rPr>
        <w:t xml:space="preserve"> the key replaced by a smart</w:t>
      </w:r>
      <w:r>
        <w:rPr>
          <w:lang w:val="en-GB"/>
        </w:rPr>
        <w:t xml:space="preserve"> </w:t>
      </w:r>
      <w:r w:rsidRPr="00CE411B">
        <w:rPr>
          <w:lang w:val="en-GB"/>
        </w:rPr>
        <w:t>phone app</w:t>
      </w:r>
      <w:r>
        <w:rPr>
          <w:lang w:val="en-GB"/>
        </w:rPr>
        <w:t>lication,</w:t>
      </w:r>
      <w:r w:rsidRPr="00CE411B">
        <w:rPr>
          <w:rStyle w:val="EndnoteReference"/>
          <w:lang w:val="en-GB"/>
        </w:rPr>
        <w:endnoteReference w:id="36"/>
      </w:r>
      <w:r w:rsidRPr="00CE411B">
        <w:rPr>
          <w:lang w:val="en-GB"/>
        </w:rPr>
        <w:t xml:space="preserve"> </w:t>
      </w:r>
      <w:proofErr w:type="spellStart"/>
      <w:r w:rsidRPr="00CE411B">
        <w:rPr>
          <w:lang w:val="en-GB"/>
        </w:rPr>
        <w:t>Geely</w:t>
      </w:r>
      <w:proofErr w:type="spellEnd"/>
      <w:r w:rsidRPr="00CE411B">
        <w:rPr>
          <w:lang w:val="en-GB"/>
        </w:rPr>
        <w:t xml:space="preserve"> sold more than 6,000 </w:t>
      </w:r>
      <w:r>
        <w:rPr>
          <w:lang w:val="en-GB"/>
        </w:rPr>
        <w:t xml:space="preserve">units of the </w:t>
      </w:r>
      <w:proofErr w:type="spellStart"/>
      <w:r w:rsidRPr="00CE411B">
        <w:rPr>
          <w:lang w:val="en-GB"/>
        </w:rPr>
        <w:t>Lynk</w:t>
      </w:r>
      <w:proofErr w:type="spellEnd"/>
      <w:r w:rsidRPr="00CE411B">
        <w:rPr>
          <w:lang w:val="en-GB"/>
        </w:rPr>
        <w:t xml:space="preserve"> &amp; Co model</w:t>
      </w:r>
      <w:r>
        <w:rPr>
          <w:lang w:val="en-GB"/>
        </w:rPr>
        <w:t xml:space="preserve"> that month</w:t>
      </w:r>
      <w:r w:rsidRPr="00CE411B">
        <w:rPr>
          <w:lang w:val="en-GB"/>
        </w:rPr>
        <w:t xml:space="preserve">. </w:t>
      </w:r>
      <w:r>
        <w:rPr>
          <w:lang w:val="en-GB"/>
        </w:rPr>
        <w:t>In</w:t>
      </w:r>
      <w:r w:rsidRPr="00CE411B">
        <w:rPr>
          <w:lang w:val="en-GB"/>
        </w:rPr>
        <w:t xml:space="preserve"> 2017, </w:t>
      </w:r>
      <w:r>
        <w:rPr>
          <w:lang w:val="en-GB"/>
        </w:rPr>
        <w:t>the company had</w:t>
      </w:r>
      <w:r w:rsidRPr="00CE411B">
        <w:rPr>
          <w:lang w:val="en-GB"/>
        </w:rPr>
        <w:t xml:space="preserve"> sold 1.25 million vehicles</w:t>
      </w:r>
      <w:r>
        <w:rPr>
          <w:lang w:val="en-GB"/>
        </w:rPr>
        <w:t>, for</w:t>
      </w:r>
      <w:r w:rsidRPr="00CE411B">
        <w:rPr>
          <w:lang w:val="en-GB"/>
        </w:rPr>
        <w:t xml:space="preserve"> a market share of 5.16 per cent, compared </w:t>
      </w:r>
      <w:r>
        <w:rPr>
          <w:lang w:val="en-GB"/>
        </w:rPr>
        <w:t>to</w:t>
      </w:r>
      <w:r w:rsidRPr="00CE411B">
        <w:rPr>
          <w:lang w:val="en-GB"/>
        </w:rPr>
        <w:t xml:space="preserve"> 221,786 vehicles sold </w:t>
      </w:r>
      <w:r>
        <w:rPr>
          <w:lang w:val="en-GB"/>
        </w:rPr>
        <w:t>in 2008, when its</w:t>
      </w:r>
      <w:r w:rsidRPr="00CE411B">
        <w:rPr>
          <w:lang w:val="en-GB"/>
        </w:rPr>
        <w:t xml:space="preserve"> market share </w:t>
      </w:r>
      <w:r>
        <w:rPr>
          <w:lang w:val="en-GB"/>
        </w:rPr>
        <w:t>was only</w:t>
      </w:r>
      <w:r w:rsidRPr="00CE411B">
        <w:rPr>
          <w:lang w:val="en-GB"/>
        </w:rPr>
        <w:t xml:space="preserve"> 4.08 per cent (see </w:t>
      </w:r>
      <w:r>
        <w:rPr>
          <w:lang w:val="en-GB"/>
        </w:rPr>
        <w:t>E</w:t>
      </w:r>
      <w:r w:rsidRPr="00CE411B">
        <w:rPr>
          <w:lang w:val="en-GB"/>
        </w:rPr>
        <w:t xml:space="preserve">xhibit 3). As of June 2018, </w:t>
      </w:r>
      <w:r>
        <w:rPr>
          <w:lang w:val="en-GB"/>
        </w:rPr>
        <w:t xml:space="preserve">the </w:t>
      </w:r>
      <w:proofErr w:type="spellStart"/>
      <w:r w:rsidRPr="00CE411B">
        <w:rPr>
          <w:lang w:val="en-GB"/>
        </w:rPr>
        <w:t>Geely</w:t>
      </w:r>
      <w:proofErr w:type="spellEnd"/>
      <w:r w:rsidRPr="00CE411B">
        <w:rPr>
          <w:lang w:val="en-GB"/>
        </w:rPr>
        <w:t xml:space="preserve"> brand was ranked second among Chinese brands and sixth among </w:t>
      </w:r>
      <w:r>
        <w:rPr>
          <w:lang w:val="en-GB"/>
        </w:rPr>
        <w:t xml:space="preserve">global </w:t>
      </w:r>
      <w:r w:rsidRPr="00CE411B">
        <w:rPr>
          <w:lang w:val="en-GB"/>
        </w:rPr>
        <w:t>brands in China, continuing its ascen</w:t>
      </w:r>
      <w:r>
        <w:rPr>
          <w:lang w:val="en-GB"/>
        </w:rPr>
        <w:t>t</w:t>
      </w:r>
      <w:r w:rsidRPr="00CE411B">
        <w:rPr>
          <w:lang w:val="en-GB"/>
        </w:rPr>
        <w:t>.</w:t>
      </w:r>
      <w:r w:rsidRPr="00CE411B">
        <w:rPr>
          <w:rStyle w:val="EndnoteReference"/>
          <w:lang w:val="en-GB"/>
        </w:rPr>
        <w:endnoteReference w:id="37"/>
      </w:r>
    </w:p>
    <w:p w14:paraId="128FC7F4" w14:textId="0817BC7D" w:rsidR="00AE0FB7" w:rsidRPr="00475FE2" w:rsidRDefault="00AE0FB7" w:rsidP="00D315F3">
      <w:pPr>
        <w:pStyle w:val="BodyTextMain"/>
        <w:rPr>
          <w:sz w:val="20"/>
          <w:lang w:val="en-GB"/>
        </w:rPr>
      </w:pPr>
    </w:p>
    <w:p w14:paraId="11A6AF8A" w14:textId="77777777" w:rsidR="00AE0FB7" w:rsidRPr="00475FE2" w:rsidRDefault="00AE0FB7" w:rsidP="00D315F3">
      <w:pPr>
        <w:pStyle w:val="BodyTextMain"/>
        <w:rPr>
          <w:sz w:val="20"/>
          <w:lang w:val="en-GB"/>
        </w:rPr>
      </w:pPr>
    </w:p>
    <w:p w14:paraId="72312C53" w14:textId="64792F56" w:rsidR="00AE0FB7" w:rsidRPr="00CE411B" w:rsidRDefault="00AE0FB7" w:rsidP="00D315F3">
      <w:pPr>
        <w:pStyle w:val="Casehead3"/>
        <w:rPr>
          <w:lang w:val="en-GB"/>
        </w:rPr>
      </w:pPr>
      <w:r w:rsidRPr="00CE411B">
        <w:rPr>
          <w:lang w:val="en-GB"/>
        </w:rPr>
        <w:t>Di-disruption</w:t>
      </w:r>
      <w:r>
        <w:rPr>
          <w:lang w:val="en-GB"/>
        </w:rPr>
        <w:t xml:space="preserve"> (or Didi Disruption)</w:t>
      </w:r>
    </w:p>
    <w:p w14:paraId="30F68839" w14:textId="77777777" w:rsidR="00AE0FB7" w:rsidRPr="00475FE2" w:rsidRDefault="00AE0FB7" w:rsidP="00D315F3">
      <w:pPr>
        <w:pStyle w:val="BodyTextMain"/>
        <w:rPr>
          <w:sz w:val="20"/>
          <w:lang w:val="en-GB"/>
        </w:rPr>
      </w:pPr>
    </w:p>
    <w:p w14:paraId="637E6ED3" w14:textId="1655DC5F" w:rsidR="00AE0FB7" w:rsidRPr="00CE411B" w:rsidRDefault="00AE0FB7" w:rsidP="00D315F3">
      <w:pPr>
        <w:pStyle w:val="BodyTextMain"/>
        <w:rPr>
          <w:lang w:val="en-GB"/>
        </w:rPr>
      </w:pPr>
      <w:r w:rsidRPr="00CE411B">
        <w:rPr>
          <w:lang w:val="en-GB"/>
        </w:rPr>
        <w:t>A</w:t>
      </w:r>
      <w:r>
        <w:rPr>
          <w:lang w:val="en-GB"/>
        </w:rPr>
        <w:t>lthough</w:t>
      </w:r>
      <w:r w:rsidRPr="00CE411B">
        <w:rPr>
          <w:lang w:val="en-GB"/>
        </w:rPr>
        <w:t xml:space="preserve"> these increases in automobile sales</w:t>
      </w:r>
      <w:r>
        <w:rPr>
          <w:lang w:val="en-GB"/>
        </w:rPr>
        <w:t xml:space="preserve"> were occurring in recent years</w:t>
      </w:r>
      <w:r w:rsidRPr="00CE411B">
        <w:rPr>
          <w:lang w:val="en-GB"/>
        </w:rPr>
        <w:t xml:space="preserve">, </w:t>
      </w:r>
      <w:r>
        <w:rPr>
          <w:lang w:val="en-GB"/>
        </w:rPr>
        <w:t>the</w:t>
      </w:r>
      <w:r w:rsidRPr="00CE411B">
        <w:rPr>
          <w:lang w:val="en-GB"/>
        </w:rPr>
        <w:t xml:space="preserve"> market </w:t>
      </w:r>
      <w:r>
        <w:rPr>
          <w:lang w:val="en-GB"/>
        </w:rPr>
        <w:t>had already experienced</w:t>
      </w:r>
      <w:r w:rsidRPr="00CE411B">
        <w:rPr>
          <w:lang w:val="en-GB"/>
        </w:rPr>
        <w:t xml:space="preserve"> disrupt</w:t>
      </w:r>
      <w:r>
        <w:rPr>
          <w:lang w:val="en-GB"/>
        </w:rPr>
        <w:t>ion</w:t>
      </w:r>
      <w:r w:rsidRPr="00CE411B">
        <w:rPr>
          <w:lang w:val="en-GB"/>
        </w:rPr>
        <w:t xml:space="preserve"> </w:t>
      </w:r>
      <w:r>
        <w:rPr>
          <w:lang w:val="en-GB"/>
        </w:rPr>
        <w:t xml:space="preserve">earlier </w:t>
      </w:r>
      <w:r w:rsidRPr="00CE411B">
        <w:rPr>
          <w:lang w:val="en-GB"/>
        </w:rPr>
        <w:t>in 2012</w:t>
      </w:r>
      <w:r>
        <w:rPr>
          <w:lang w:val="en-GB"/>
        </w:rPr>
        <w:t>. T</w:t>
      </w:r>
      <w:r w:rsidRPr="00CE411B">
        <w:rPr>
          <w:lang w:val="en-GB"/>
        </w:rPr>
        <w:t>h</w:t>
      </w:r>
      <w:r>
        <w:rPr>
          <w:lang w:val="en-GB"/>
        </w:rPr>
        <w:t>at year’s</w:t>
      </w:r>
      <w:r w:rsidRPr="00CE411B">
        <w:rPr>
          <w:lang w:val="en-GB"/>
        </w:rPr>
        <w:t xml:space="preserve"> </w:t>
      </w:r>
      <w:r>
        <w:rPr>
          <w:lang w:val="en-GB"/>
        </w:rPr>
        <w:t>launch</w:t>
      </w:r>
      <w:r w:rsidRPr="00CE411B">
        <w:rPr>
          <w:lang w:val="en-GB"/>
        </w:rPr>
        <w:t xml:space="preserve"> of Didi </w:t>
      </w:r>
      <w:proofErr w:type="spellStart"/>
      <w:r w:rsidRPr="00CE411B">
        <w:rPr>
          <w:lang w:val="en-GB"/>
        </w:rPr>
        <w:t>Chuxing</w:t>
      </w:r>
      <w:proofErr w:type="spellEnd"/>
      <w:r w:rsidRPr="00CE411B">
        <w:rPr>
          <w:lang w:val="en-GB"/>
        </w:rPr>
        <w:t xml:space="preserve"> (Didi), the Chinese </w:t>
      </w:r>
      <w:r>
        <w:rPr>
          <w:lang w:val="en-GB"/>
        </w:rPr>
        <w:t xml:space="preserve">rival of </w:t>
      </w:r>
      <w:r w:rsidRPr="00CE411B">
        <w:rPr>
          <w:lang w:val="en-GB"/>
        </w:rPr>
        <w:t>Uber</w:t>
      </w:r>
      <w:r>
        <w:rPr>
          <w:lang w:val="en-GB"/>
        </w:rPr>
        <w:t>,</w:t>
      </w:r>
      <w:r w:rsidRPr="00CE411B">
        <w:rPr>
          <w:lang w:val="en-GB"/>
        </w:rPr>
        <w:t xml:space="preserve"> </w:t>
      </w:r>
      <w:r>
        <w:rPr>
          <w:lang w:val="en-GB"/>
        </w:rPr>
        <w:t>occurred</w:t>
      </w:r>
      <w:r w:rsidRPr="00CE411B">
        <w:rPr>
          <w:lang w:val="en-GB"/>
        </w:rPr>
        <w:t xml:space="preserve"> in 400 cities with 400 million users</w:t>
      </w:r>
      <w:r>
        <w:rPr>
          <w:lang w:val="en-GB"/>
        </w:rPr>
        <w:t>. Didi</w:t>
      </w:r>
      <w:r w:rsidRPr="00CE411B">
        <w:rPr>
          <w:lang w:val="en-GB"/>
        </w:rPr>
        <w:t xml:space="preserve"> </w:t>
      </w:r>
      <w:r>
        <w:rPr>
          <w:lang w:val="en-GB"/>
        </w:rPr>
        <w:t xml:space="preserve">even </w:t>
      </w:r>
      <w:r w:rsidRPr="00CE411B">
        <w:rPr>
          <w:lang w:val="en-GB"/>
        </w:rPr>
        <w:t>managed to expel Uber from China</w:t>
      </w:r>
      <w:r>
        <w:rPr>
          <w:lang w:val="en-GB"/>
        </w:rPr>
        <w:t>,</w:t>
      </w:r>
      <w:r w:rsidRPr="00CE411B">
        <w:rPr>
          <w:lang w:val="en-GB"/>
        </w:rPr>
        <w:t xml:space="preserve"> but agreed to sell an 18</w:t>
      </w:r>
      <w:r>
        <w:rPr>
          <w:lang w:val="en-GB"/>
        </w:rPr>
        <w:t xml:space="preserve"> per cent</w:t>
      </w:r>
      <w:r w:rsidRPr="00CE411B">
        <w:rPr>
          <w:lang w:val="en-GB"/>
        </w:rPr>
        <w:t xml:space="preserve"> stake to the defeated </w:t>
      </w:r>
      <w:r>
        <w:rPr>
          <w:lang w:val="en-GB"/>
        </w:rPr>
        <w:t xml:space="preserve">US </w:t>
      </w:r>
      <w:r w:rsidRPr="00CE411B">
        <w:rPr>
          <w:lang w:val="en-GB"/>
        </w:rPr>
        <w:t>company</w:t>
      </w:r>
      <w:r>
        <w:rPr>
          <w:lang w:val="en-GB"/>
        </w:rPr>
        <w:t xml:space="preserve"> </w:t>
      </w:r>
      <w:r w:rsidRPr="00CE411B">
        <w:rPr>
          <w:lang w:val="en-GB"/>
        </w:rPr>
        <w:t>for $1 billion.</w:t>
      </w:r>
      <w:r w:rsidRPr="00CE411B">
        <w:rPr>
          <w:rStyle w:val="EndnoteReference"/>
          <w:lang w:val="en-GB"/>
        </w:rPr>
        <w:endnoteReference w:id="38"/>
      </w:r>
      <w:r w:rsidRPr="00CE411B">
        <w:rPr>
          <w:lang w:val="en-GB"/>
        </w:rPr>
        <w:t xml:space="preserve"> </w:t>
      </w:r>
    </w:p>
    <w:p w14:paraId="7CD4CF77" w14:textId="77777777" w:rsidR="00AE0FB7" w:rsidRPr="00475FE2" w:rsidRDefault="00AE0FB7" w:rsidP="00D315F3">
      <w:pPr>
        <w:pStyle w:val="BodyTextMain"/>
        <w:rPr>
          <w:sz w:val="20"/>
          <w:lang w:val="en-GB"/>
        </w:rPr>
      </w:pPr>
    </w:p>
    <w:p w14:paraId="191AA49C" w14:textId="52E3FB16" w:rsidR="00AE0FB7" w:rsidRPr="00CE411B" w:rsidRDefault="00AE0FB7" w:rsidP="00D315F3">
      <w:pPr>
        <w:pStyle w:val="BodyTextMain"/>
        <w:rPr>
          <w:lang w:val="en-GB"/>
        </w:rPr>
      </w:pPr>
      <w:r w:rsidRPr="00CE411B">
        <w:rPr>
          <w:lang w:val="en-GB"/>
        </w:rPr>
        <w:t>Following a pattern similar to other EMNCs, Didi had secured strategic partnerships and investments with four main Uber global competitors</w:t>
      </w:r>
      <w:r>
        <w:rPr>
          <w:lang w:val="en-GB"/>
        </w:rPr>
        <w:t>:</w:t>
      </w:r>
      <w:r w:rsidRPr="00CE411B">
        <w:rPr>
          <w:lang w:val="en-GB"/>
        </w:rPr>
        <w:t xml:space="preserve"> </w:t>
      </w:r>
      <w:proofErr w:type="spellStart"/>
      <w:r w:rsidRPr="00DA417B">
        <w:rPr>
          <w:lang w:val="en-GB"/>
        </w:rPr>
        <w:t>GrabTaxi</w:t>
      </w:r>
      <w:proofErr w:type="spellEnd"/>
      <w:r w:rsidRPr="00DA417B">
        <w:rPr>
          <w:lang w:val="en-GB"/>
        </w:rPr>
        <w:t xml:space="preserve"> Holdings </w:t>
      </w:r>
      <w:proofErr w:type="spellStart"/>
      <w:r w:rsidRPr="00DA417B">
        <w:rPr>
          <w:lang w:val="en-GB"/>
        </w:rPr>
        <w:t>Pte.</w:t>
      </w:r>
      <w:proofErr w:type="spellEnd"/>
      <w:r w:rsidRPr="00DA417B">
        <w:rPr>
          <w:lang w:val="en-GB"/>
        </w:rPr>
        <w:t xml:space="preserve"> Ltd. </w:t>
      </w:r>
      <w:r>
        <w:rPr>
          <w:lang w:val="en-GB"/>
        </w:rPr>
        <w:t>(</w:t>
      </w:r>
      <w:r w:rsidRPr="00CE411B">
        <w:rPr>
          <w:lang w:val="en-GB"/>
        </w:rPr>
        <w:t>Grab</w:t>
      </w:r>
      <w:r>
        <w:rPr>
          <w:lang w:val="en-GB"/>
        </w:rPr>
        <w:t>)</w:t>
      </w:r>
      <w:r w:rsidRPr="00CE411B">
        <w:rPr>
          <w:lang w:val="en-GB"/>
        </w:rPr>
        <w:t>, Lyft, Ola</w:t>
      </w:r>
      <w:r>
        <w:rPr>
          <w:lang w:val="en-GB"/>
        </w:rPr>
        <w:t xml:space="preserve"> Cabs,</w:t>
      </w:r>
      <w:r w:rsidRPr="00CE411B">
        <w:rPr>
          <w:lang w:val="en-GB"/>
        </w:rPr>
        <w:t xml:space="preserve"> and 99</w:t>
      </w:r>
      <w:r>
        <w:rPr>
          <w:lang w:val="en-GB"/>
        </w:rPr>
        <w:t xml:space="preserve">. </w:t>
      </w:r>
      <w:r w:rsidRPr="00CE411B">
        <w:rPr>
          <w:lang w:val="en-GB"/>
        </w:rPr>
        <w:t>Estonia</w:t>
      </w:r>
      <w:r>
        <w:rPr>
          <w:lang w:val="en-GB"/>
        </w:rPr>
        <w:t xml:space="preserve">’s </w:t>
      </w:r>
      <w:proofErr w:type="spellStart"/>
      <w:r>
        <w:rPr>
          <w:lang w:val="en-GB"/>
        </w:rPr>
        <w:t>Taxify</w:t>
      </w:r>
      <w:proofErr w:type="spellEnd"/>
      <w:r w:rsidRPr="00CE411B">
        <w:rPr>
          <w:lang w:val="en-GB"/>
        </w:rPr>
        <w:t xml:space="preserve"> was growing </w:t>
      </w:r>
      <w:r>
        <w:rPr>
          <w:lang w:val="en-GB"/>
        </w:rPr>
        <w:t xml:space="preserve">at a </w:t>
      </w:r>
      <w:r w:rsidRPr="00CE411B">
        <w:rPr>
          <w:lang w:val="en-GB"/>
        </w:rPr>
        <w:t xml:space="preserve">very fast </w:t>
      </w:r>
      <w:r>
        <w:rPr>
          <w:lang w:val="en-GB"/>
        </w:rPr>
        <w:t>rate</w:t>
      </w:r>
      <w:r w:rsidRPr="00CE411B">
        <w:rPr>
          <w:lang w:val="en-GB"/>
        </w:rPr>
        <w:t xml:space="preserve"> </w:t>
      </w:r>
      <w:r>
        <w:rPr>
          <w:lang w:val="en-GB"/>
        </w:rPr>
        <w:t xml:space="preserve">in Europe </w:t>
      </w:r>
      <w:r w:rsidRPr="00CE411B">
        <w:rPr>
          <w:lang w:val="en-GB"/>
        </w:rPr>
        <w:t xml:space="preserve">and </w:t>
      </w:r>
      <w:r>
        <w:rPr>
          <w:lang w:val="en-GB"/>
        </w:rPr>
        <w:t xml:space="preserve">spreading into </w:t>
      </w:r>
      <w:r w:rsidRPr="00CE411B">
        <w:rPr>
          <w:lang w:val="en-GB"/>
        </w:rPr>
        <w:t>Africa with 2.5 million users.</w:t>
      </w:r>
      <w:r w:rsidR="0078385F">
        <w:rPr>
          <w:rStyle w:val="EndnoteReference"/>
          <w:lang w:val="en-GB"/>
        </w:rPr>
        <w:endnoteReference w:id="39"/>
      </w:r>
    </w:p>
    <w:p w14:paraId="10A2DA48" w14:textId="77777777" w:rsidR="00AE0FB7" w:rsidRPr="00475FE2" w:rsidRDefault="00AE0FB7" w:rsidP="00D315F3">
      <w:pPr>
        <w:pStyle w:val="BodyTextMain"/>
        <w:rPr>
          <w:sz w:val="20"/>
          <w:lang w:val="en-GB"/>
        </w:rPr>
      </w:pPr>
    </w:p>
    <w:p w14:paraId="529CA42B" w14:textId="77777777" w:rsidR="00AE0FB7" w:rsidRPr="00475FE2" w:rsidRDefault="00AE0FB7" w:rsidP="00D315F3">
      <w:pPr>
        <w:pStyle w:val="BodyTextMain"/>
        <w:rPr>
          <w:sz w:val="20"/>
          <w:lang w:val="en-GB"/>
        </w:rPr>
      </w:pPr>
    </w:p>
    <w:p w14:paraId="200F75B8" w14:textId="2E29B21D" w:rsidR="00AE0FB7" w:rsidRPr="00CE411B" w:rsidRDefault="00AE0FB7" w:rsidP="00D315F3">
      <w:pPr>
        <w:pStyle w:val="Casehead1"/>
        <w:keepNext/>
        <w:rPr>
          <w:lang w:val="en-GB"/>
        </w:rPr>
      </w:pPr>
      <w:r w:rsidRPr="00475FE2">
        <w:rPr>
          <w:lang w:val="en-GB"/>
        </w:rPr>
        <w:t>CHALLENGING TIMES</w:t>
      </w:r>
    </w:p>
    <w:p w14:paraId="5E52DF4F" w14:textId="77777777" w:rsidR="00AE0FB7" w:rsidRPr="00475FE2" w:rsidRDefault="00AE0FB7" w:rsidP="00D315F3">
      <w:pPr>
        <w:pStyle w:val="BodyTextMain"/>
        <w:keepNext/>
        <w:rPr>
          <w:sz w:val="20"/>
          <w:lang w:val="en-GB"/>
        </w:rPr>
      </w:pPr>
    </w:p>
    <w:p w14:paraId="0C23C812" w14:textId="750DEAA0" w:rsidR="00AE0FB7" w:rsidRPr="00CE411B" w:rsidRDefault="00AE0FB7" w:rsidP="00D315F3">
      <w:pPr>
        <w:pStyle w:val="BodyTextMain"/>
        <w:keepNext/>
        <w:rPr>
          <w:lang w:val="en-GB"/>
        </w:rPr>
      </w:pPr>
      <w:r w:rsidRPr="00FD1590">
        <w:rPr>
          <w:lang w:val="en-GB"/>
        </w:rPr>
        <w:t>For the period</w:t>
      </w:r>
      <w:r w:rsidRPr="00CE411B">
        <w:rPr>
          <w:lang w:val="en-GB"/>
        </w:rPr>
        <w:t xml:space="preserve"> 2015</w:t>
      </w:r>
      <w:r>
        <w:rPr>
          <w:lang w:val="en-GB"/>
        </w:rPr>
        <w:t>–</w:t>
      </w:r>
      <w:r w:rsidRPr="00CE411B">
        <w:rPr>
          <w:lang w:val="en-GB"/>
        </w:rPr>
        <w:t xml:space="preserve">2017, the number of vehicles sold by Ford </w:t>
      </w:r>
      <w:r>
        <w:rPr>
          <w:lang w:val="en-GB"/>
        </w:rPr>
        <w:t xml:space="preserve">worldwide </w:t>
      </w:r>
      <w:r w:rsidRPr="00CE411B">
        <w:rPr>
          <w:lang w:val="en-GB"/>
        </w:rPr>
        <w:t xml:space="preserve">was stagnant at 6.6 million. On August 31, 2018, Ford’s stock price was trading at $9.48 compared </w:t>
      </w:r>
      <w:r>
        <w:rPr>
          <w:lang w:val="en-GB"/>
        </w:rPr>
        <w:t>to</w:t>
      </w:r>
      <w:r w:rsidRPr="00CE411B">
        <w:rPr>
          <w:lang w:val="en-GB"/>
        </w:rPr>
        <w:t xml:space="preserve"> $11.10</w:t>
      </w:r>
      <w:r>
        <w:rPr>
          <w:lang w:val="en-GB"/>
        </w:rPr>
        <w:t>,</w:t>
      </w:r>
      <w:r w:rsidRPr="00CE411B">
        <w:rPr>
          <w:lang w:val="en-GB"/>
        </w:rPr>
        <w:t xml:space="preserve"> when Hackett took </w:t>
      </w:r>
      <w:r>
        <w:rPr>
          <w:lang w:val="en-GB"/>
        </w:rPr>
        <w:t>over</w:t>
      </w:r>
      <w:r w:rsidRPr="00CE411B">
        <w:rPr>
          <w:lang w:val="en-GB"/>
        </w:rPr>
        <w:t xml:space="preserve"> as CEO on May 22, 2017</w:t>
      </w:r>
      <w:r>
        <w:rPr>
          <w:lang w:val="en-GB"/>
        </w:rPr>
        <w:t>.</w:t>
      </w:r>
      <w:r w:rsidRPr="00CE411B">
        <w:rPr>
          <w:rStyle w:val="EndnoteReference"/>
          <w:lang w:val="en-GB"/>
        </w:rPr>
        <w:endnoteReference w:id="40"/>
      </w:r>
      <w:r w:rsidRPr="00CE411B">
        <w:rPr>
          <w:lang w:val="en-GB"/>
        </w:rPr>
        <w:t xml:space="preserve"> </w:t>
      </w:r>
      <w:r>
        <w:rPr>
          <w:lang w:val="en-GB"/>
        </w:rPr>
        <w:t xml:space="preserve">The change was </w:t>
      </w:r>
      <w:r w:rsidRPr="00CE411B">
        <w:rPr>
          <w:lang w:val="en-GB"/>
        </w:rPr>
        <w:t>a 14.5 per cent decline</w:t>
      </w:r>
      <w:r>
        <w:rPr>
          <w:lang w:val="en-GB"/>
        </w:rPr>
        <w:t xml:space="preserve"> compared to a</w:t>
      </w:r>
      <w:r w:rsidRPr="00CE411B">
        <w:rPr>
          <w:lang w:val="en-GB"/>
        </w:rPr>
        <w:t xml:space="preserve"> 10.4 per cent increase </w:t>
      </w:r>
      <w:r>
        <w:rPr>
          <w:lang w:val="en-GB"/>
        </w:rPr>
        <w:t>by</w:t>
      </w:r>
      <w:r w:rsidRPr="00CE411B">
        <w:rPr>
          <w:lang w:val="en-GB"/>
        </w:rPr>
        <w:t xml:space="preserve"> the stock market’s benchmark </w:t>
      </w:r>
      <w:r>
        <w:rPr>
          <w:lang w:val="en-GB"/>
        </w:rPr>
        <w:t xml:space="preserve">index </w:t>
      </w:r>
      <w:r w:rsidRPr="00CE411B">
        <w:rPr>
          <w:lang w:val="en-GB"/>
        </w:rPr>
        <w:t xml:space="preserve">and </w:t>
      </w:r>
      <w:r>
        <w:rPr>
          <w:lang w:val="en-GB"/>
        </w:rPr>
        <w:t>a</w:t>
      </w:r>
      <w:r w:rsidRPr="00CE411B">
        <w:rPr>
          <w:lang w:val="en-GB"/>
        </w:rPr>
        <w:t xml:space="preserve"> 9.6 per cent increase </w:t>
      </w:r>
      <w:r>
        <w:rPr>
          <w:lang w:val="en-GB"/>
        </w:rPr>
        <w:t>by</w:t>
      </w:r>
      <w:r w:rsidRPr="00CE411B">
        <w:rPr>
          <w:lang w:val="en-GB"/>
        </w:rPr>
        <w:t xml:space="preserve"> GM, its main competitor. On the other hand, </w:t>
      </w:r>
      <w:proofErr w:type="spellStart"/>
      <w:r w:rsidRPr="00CE411B">
        <w:rPr>
          <w:lang w:val="en-GB"/>
        </w:rPr>
        <w:t>Geely’s</w:t>
      </w:r>
      <w:proofErr w:type="spellEnd"/>
      <w:r w:rsidRPr="00CE411B">
        <w:rPr>
          <w:lang w:val="en-GB"/>
        </w:rPr>
        <w:t xml:space="preserve"> stock </w:t>
      </w:r>
      <w:r>
        <w:rPr>
          <w:lang w:val="en-GB"/>
        </w:rPr>
        <w:t>rose</w:t>
      </w:r>
      <w:r w:rsidRPr="00CE411B">
        <w:rPr>
          <w:lang w:val="en-GB"/>
        </w:rPr>
        <w:t xml:space="preserve"> from $1.50 </w:t>
      </w:r>
      <w:r>
        <w:rPr>
          <w:lang w:val="en-GB"/>
        </w:rPr>
        <w:t xml:space="preserve">on </w:t>
      </w:r>
      <w:r w:rsidRPr="00CE411B">
        <w:rPr>
          <w:lang w:val="en-GB"/>
        </w:rPr>
        <w:t xml:space="preserve">May 22, 2017 to $2.12 </w:t>
      </w:r>
      <w:r>
        <w:rPr>
          <w:lang w:val="en-GB"/>
        </w:rPr>
        <w:t xml:space="preserve">on </w:t>
      </w:r>
      <w:r w:rsidRPr="00CE411B">
        <w:rPr>
          <w:lang w:val="en-GB"/>
        </w:rPr>
        <w:t xml:space="preserve">August 31, 2018, </w:t>
      </w:r>
      <w:r>
        <w:rPr>
          <w:lang w:val="en-GB"/>
        </w:rPr>
        <w:t xml:space="preserve">for </w:t>
      </w:r>
      <w:r w:rsidRPr="00CE411B">
        <w:rPr>
          <w:lang w:val="en-GB"/>
        </w:rPr>
        <w:t>a 41.33 per cent increase</w:t>
      </w:r>
      <w:r>
        <w:rPr>
          <w:lang w:val="en-GB"/>
        </w:rPr>
        <w:t>.</w:t>
      </w:r>
      <w:r w:rsidRPr="00CE411B">
        <w:rPr>
          <w:lang w:val="en-GB"/>
        </w:rPr>
        <w:t xml:space="preserve"> </w:t>
      </w:r>
      <w:r>
        <w:rPr>
          <w:lang w:val="en-GB"/>
        </w:rPr>
        <w:t>In terms of</w:t>
      </w:r>
      <w:r w:rsidRPr="00CE411B">
        <w:rPr>
          <w:lang w:val="en-GB"/>
        </w:rPr>
        <w:t xml:space="preserve"> market capitalization</w:t>
      </w:r>
      <w:r>
        <w:rPr>
          <w:lang w:val="en-GB"/>
        </w:rPr>
        <w:t xml:space="preserve">, calculated as the </w:t>
      </w:r>
      <w:r w:rsidRPr="00CE411B">
        <w:rPr>
          <w:lang w:val="en-GB"/>
        </w:rPr>
        <w:t xml:space="preserve">number of stocks outstanding </w:t>
      </w:r>
      <w:r>
        <w:rPr>
          <w:lang w:val="en-GB"/>
        </w:rPr>
        <w:t>times</w:t>
      </w:r>
      <w:r w:rsidRPr="00CE411B">
        <w:rPr>
          <w:lang w:val="en-GB"/>
        </w:rPr>
        <w:t xml:space="preserve"> the stock price</w:t>
      </w:r>
      <w:r>
        <w:rPr>
          <w:lang w:val="en-GB"/>
        </w:rPr>
        <w:t xml:space="preserve">, </w:t>
      </w:r>
      <w:proofErr w:type="spellStart"/>
      <w:r>
        <w:rPr>
          <w:lang w:val="en-GB"/>
        </w:rPr>
        <w:t>Geely’s</w:t>
      </w:r>
      <w:proofErr w:type="spellEnd"/>
      <w:r>
        <w:rPr>
          <w:lang w:val="en-GB"/>
        </w:rPr>
        <w:t xml:space="preserve"> rise was</w:t>
      </w:r>
      <w:r w:rsidRPr="00CE411B">
        <w:rPr>
          <w:lang w:val="en-GB"/>
        </w:rPr>
        <w:t xml:space="preserve"> equa</w:t>
      </w:r>
      <w:r>
        <w:rPr>
          <w:lang w:val="en-GB"/>
        </w:rPr>
        <w:t>l</w:t>
      </w:r>
      <w:r w:rsidRPr="00CE411B">
        <w:rPr>
          <w:lang w:val="en-GB"/>
        </w:rPr>
        <w:t xml:space="preserve"> to a value of $19 billion.</w:t>
      </w:r>
      <w:r w:rsidRPr="00CE411B">
        <w:rPr>
          <w:rStyle w:val="EndnoteReference"/>
          <w:lang w:val="en-GB"/>
        </w:rPr>
        <w:endnoteReference w:id="41"/>
      </w:r>
      <w:r w:rsidRPr="00CE411B">
        <w:rPr>
          <w:lang w:val="en-GB"/>
        </w:rPr>
        <w:t xml:space="preserve">  </w:t>
      </w:r>
    </w:p>
    <w:p w14:paraId="33BD2236" w14:textId="77777777" w:rsidR="00AE0FB7" w:rsidRPr="00475FE2" w:rsidRDefault="00AE0FB7" w:rsidP="00D315F3">
      <w:pPr>
        <w:pStyle w:val="BodyTextMain"/>
        <w:rPr>
          <w:sz w:val="20"/>
          <w:lang w:val="en-GB"/>
        </w:rPr>
      </w:pPr>
    </w:p>
    <w:p w14:paraId="488492C2" w14:textId="44FC94C5" w:rsidR="00AE0FB7" w:rsidRDefault="00AE0FB7" w:rsidP="00D315F3">
      <w:pPr>
        <w:pStyle w:val="BodyTextMain"/>
        <w:rPr>
          <w:lang w:val="en-GB"/>
        </w:rPr>
      </w:pPr>
      <w:r>
        <w:rPr>
          <w:lang w:val="en-GB"/>
        </w:rPr>
        <w:t>In recent</w:t>
      </w:r>
      <w:r w:rsidRPr="00CE411B">
        <w:rPr>
          <w:lang w:val="en-GB"/>
        </w:rPr>
        <w:t xml:space="preserve"> years, both the U</w:t>
      </w:r>
      <w:r>
        <w:rPr>
          <w:lang w:val="en-GB"/>
        </w:rPr>
        <w:t xml:space="preserve">nited </w:t>
      </w:r>
      <w:r w:rsidRPr="00CE411B">
        <w:rPr>
          <w:lang w:val="en-GB"/>
        </w:rPr>
        <w:t>S</w:t>
      </w:r>
      <w:r>
        <w:rPr>
          <w:lang w:val="en-GB"/>
        </w:rPr>
        <w:t>tates</w:t>
      </w:r>
      <w:r w:rsidRPr="00CE411B">
        <w:rPr>
          <w:lang w:val="en-GB"/>
        </w:rPr>
        <w:t xml:space="preserve"> and China </w:t>
      </w:r>
      <w:r>
        <w:rPr>
          <w:lang w:val="en-GB"/>
        </w:rPr>
        <w:t>felt the</w:t>
      </w:r>
      <w:r w:rsidRPr="00CE411B">
        <w:rPr>
          <w:lang w:val="en-GB"/>
        </w:rPr>
        <w:t xml:space="preserve"> disrupt</w:t>
      </w:r>
      <w:r>
        <w:rPr>
          <w:lang w:val="en-GB"/>
        </w:rPr>
        <w:t>ion</w:t>
      </w:r>
      <w:r w:rsidRPr="00CE411B">
        <w:rPr>
          <w:lang w:val="en-GB"/>
        </w:rPr>
        <w:t xml:space="preserve"> by new tech</w:t>
      </w:r>
      <w:r>
        <w:rPr>
          <w:lang w:val="en-GB"/>
        </w:rPr>
        <w:t>nology firms</w:t>
      </w:r>
      <w:r w:rsidRPr="00CE411B">
        <w:rPr>
          <w:lang w:val="en-GB"/>
        </w:rPr>
        <w:t xml:space="preserve"> (</w:t>
      </w:r>
      <w:r>
        <w:rPr>
          <w:lang w:val="en-GB"/>
        </w:rPr>
        <w:t xml:space="preserve">i.e., </w:t>
      </w:r>
      <w:r w:rsidRPr="00CE411B">
        <w:rPr>
          <w:lang w:val="en-GB"/>
        </w:rPr>
        <w:t>electric and self-driving</w:t>
      </w:r>
      <w:r>
        <w:rPr>
          <w:lang w:val="en-GB"/>
        </w:rPr>
        <w:t xml:space="preserve"> cars</w:t>
      </w:r>
      <w:r w:rsidRPr="00CE411B">
        <w:rPr>
          <w:lang w:val="en-GB"/>
        </w:rPr>
        <w:t>) and ride-hailing entrants Uber, Lyft</w:t>
      </w:r>
      <w:r>
        <w:rPr>
          <w:lang w:val="en-GB"/>
        </w:rPr>
        <w:t>,</w:t>
      </w:r>
      <w:r w:rsidRPr="00CE411B">
        <w:rPr>
          <w:lang w:val="en-GB"/>
        </w:rPr>
        <w:t xml:space="preserve"> Didi</w:t>
      </w:r>
      <w:r>
        <w:rPr>
          <w:lang w:val="en-GB"/>
        </w:rPr>
        <w:t>, and</w:t>
      </w:r>
      <w:r w:rsidRPr="00CE411B">
        <w:rPr>
          <w:lang w:val="en-GB"/>
        </w:rPr>
        <w:t xml:space="preserve"> </w:t>
      </w:r>
      <w:proofErr w:type="spellStart"/>
      <w:r w:rsidRPr="00CE411B">
        <w:rPr>
          <w:lang w:val="en-GB"/>
        </w:rPr>
        <w:t>Taxify</w:t>
      </w:r>
      <w:proofErr w:type="spellEnd"/>
      <w:r>
        <w:rPr>
          <w:lang w:val="en-GB"/>
        </w:rPr>
        <w:t>. By May 2018</w:t>
      </w:r>
      <w:r w:rsidRPr="00CE411B">
        <w:rPr>
          <w:lang w:val="en-GB"/>
        </w:rPr>
        <w:t xml:space="preserve">, </w:t>
      </w:r>
      <w:r>
        <w:rPr>
          <w:lang w:val="en-GB"/>
        </w:rPr>
        <w:t xml:space="preserve">the newest entrant, </w:t>
      </w:r>
      <w:r w:rsidRPr="00CE411B">
        <w:rPr>
          <w:lang w:val="en-GB"/>
        </w:rPr>
        <w:t>Estonia</w:t>
      </w:r>
      <w:r>
        <w:rPr>
          <w:lang w:val="en-GB"/>
        </w:rPr>
        <w:t xml:space="preserve">’s </w:t>
      </w:r>
      <w:proofErr w:type="spellStart"/>
      <w:r>
        <w:rPr>
          <w:lang w:val="en-GB"/>
        </w:rPr>
        <w:t>Taxify</w:t>
      </w:r>
      <w:proofErr w:type="spellEnd"/>
      <w:r>
        <w:rPr>
          <w:lang w:val="en-GB"/>
        </w:rPr>
        <w:t>, reached a valuation of $1 billion,</w:t>
      </w:r>
      <w:r w:rsidRPr="00CE411B">
        <w:rPr>
          <w:lang w:val="en-GB"/>
        </w:rPr>
        <w:t xml:space="preserve"> serv</w:t>
      </w:r>
      <w:r>
        <w:rPr>
          <w:lang w:val="en-GB"/>
        </w:rPr>
        <w:t>ing markets in</w:t>
      </w:r>
      <w:r w:rsidRPr="00CE411B">
        <w:rPr>
          <w:lang w:val="en-GB"/>
        </w:rPr>
        <w:t xml:space="preserve"> Europe, Africa, the Middle-East, Central America, and Australia.</w:t>
      </w:r>
      <w:r w:rsidRPr="00CE411B">
        <w:rPr>
          <w:rStyle w:val="EndnoteReference"/>
          <w:lang w:val="en-GB"/>
        </w:rPr>
        <w:endnoteReference w:id="42"/>
      </w:r>
    </w:p>
    <w:p w14:paraId="6ACC63E7" w14:textId="31EEFCC7" w:rsidR="00AE0FB7" w:rsidRPr="00CE411B" w:rsidRDefault="00AE0FB7" w:rsidP="00D315F3">
      <w:pPr>
        <w:pStyle w:val="BodyTextMain"/>
        <w:rPr>
          <w:lang w:val="en-GB"/>
        </w:rPr>
      </w:pPr>
      <w:r w:rsidRPr="00595CC5">
        <w:rPr>
          <w:lang w:val="en-GB"/>
        </w:rPr>
        <w:lastRenderedPageBreak/>
        <w:t>In 2018,</w:t>
      </w:r>
      <w:r w:rsidRPr="00CE411B">
        <w:rPr>
          <w:lang w:val="en-GB"/>
        </w:rPr>
        <w:t xml:space="preserve"> trade tensions </w:t>
      </w:r>
      <w:r>
        <w:rPr>
          <w:lang w:val="en-GB"/>
        </w:rPr>
        <w:t xml:space="preserve">erupted </w:t>
      </w:r>
      <w:r w:rsidRPr="00CE411B">
        <w:rPr>
          <w:lang w:val="en-GB"/>
        </w:rPr>
        <w:t>between the U</w:t>
      </w:r>
      <w:r>
        <w:rPr>
          <w:lang w:val="en-GB"/>
        </w:rPr>
        <w:t xml:space="preserve">nited </w:t>
      </w:r>
      <w:r w:rsidRPr="00CE411B">
        <w:rPr>
          <w:lang w:val="en-GB"/>
        </w:rPr>
        <w:t>S</w:t>
      </w:r>
      <w:r>
        <w:rPr>
          <w:lang w:val="en-GB"/>
        </w:rPr>
        <w:t>tates</w:t>
      </w:r>
      <w:r w:rsidRPr="00CE411B">
        <w:rPr>
          <w:lang w:val="en-GB"/>
        </w:rPr>
        <w:t xml:space="preserve"> and China</w:t>
      </w:r>
      <w:r>
        <w:rPr>
          <w:lang w:val="en-GB"/>
        </w:rPr>
        <w:t>,</w:t>
      </w:r>
      <w:r w:rsidRPr="00CE411B">
        <w:rPr>
          <w:lang w:val="en-GB"/>
        </w:rPr>
        <w:t xml:space="preserve"> with tariffs applied to goods imported from China</w:t>
      </w:r>
      <w:r>
        <w:rPr>
          <w:lang w:val="en-GB"/>
        </w:rPr>
        <w:t>.</w:t>
      </w:r>
      <w:r w:rsidRPr="00CE411B">
        <w:rPr>
          <w:lang w:val="en-GB"/>
        </w:rPr>
        <w:t xml:space="preserve"> </w:t>
      </w:r>
      <w:r>
        <w:rPr>
          <w:lang w:val="en-GB"/>
        </w:rPr>
        <w:t>By August 2018,</w:t>
      </w:r>
      <w:r w:rsidRPr="00CE411B">
        <w:rPr>
          <w:lang w:val="en-GB"/>
        </w:rPr>
        <w:t xml:space="preserve"> </w:t>
      </w:r>
      <w:r>
        <w:rPr>
          <w:lang w:val="en-GB"/>
        </w:rPr>
        <w:t xml:space="preserve">as </w:t>
      </w:r>
      <w:r w:rsidRPr="00CE411B">
        <w:rPr>
          <w:lang w:val="en-GB"/>
        </w:rPr>
        <w:t>tensions were escalating</w:t>
      </w:r>
      <w:r>
        <w:rPr>
          <w:lang w:val="en-GB"/>
        </w:rPr>
        <w:t>,</w:t>
      </w:r>
      <w:r w:rsidRPr="00CE411B">
        <w:rPr>
          <w:lang w:val="en-GB"/>
        </w:rPr>
        <w:t xml:space="preserve"> tariffs </w:t>
      </w:r>
      <w:r>
        <w:rPr>
          <w:lang w:val="en-GB"/>
        </w:rPr>
        <w:t>of</w:t>
      </w:r>
      <w:r w:rsidRPr="00CE411B">
        <w:rPr>
          <w:lang w:val="en-GB"/>
        </w:rPr>
        <w:t xml:space="preserve"> 25 per cent on steel and 10 per cent on </w:t>
      </w:r>
      <w:proofErr w:type="spellStart"/>
      <w:r w:rsidRPr="00CE411B">
        <w:rPr>
          <w:lang w:val="en-GB"/>
        </w:rPr>
        <w:t>aluminum</w:t>
      </w:r>
      <w:proofErr w:type="spellEnd"/>
      <w:r w:rsidRPr="00CE411B">
        <w:rPr>
          <w:lang w:val="en-GB"/>
        </w:rPr>
        <w:t xml:space="preserve"> were expected to have multiple negative consequences for Ford and the </w:t>
      </w:r>
      <w:r>
        <w:rPr>
          <w:lang w:val="en-GB"/>
        </w:rPr>
        <w:t>US</w:t>
      </w:r>
      <w:r w:rsidRPr="00CE411B">
        <w:rPr>
          <w:lang w:val="en-GB"/>
        </w:rPr>
        <w:t xml:space="preserve"> auto</w:t>
      </w:r>
      <w:r>
        <w:rPr>
          <w:lang w:val="en-GB"/>
        </w:rPr>
        <w:t>mobile</w:t>
      </w:r>
      <w:r w:rsidRPr="00CE411B">
        <w:rPr>
          <w:lang w:val="en-GB"/>
        </w:rPr>
        <w:t xml:space="preserve"> industry</w:t>
      </w:r>
      <w:r>
        <w:rPr>
          <w:lang w:val="en-GB"/>
        </w:rPr>
        <w:t>.</w:t>
      </w:r>
      <w:r w:rsidRPr="00CE411B">
        <w:rPr>
          <w:rStyle w:val="EndnoteReference"/>
          <w:lang w:val="en-GB"/>
        </w:rPr>
        <w:endnoteReference w:id="43"/>
      </w:r>
      <w:r w:rsidRPr="00CE411B">
        <w:rPr>
          <w:lang w:val="en-GB"/>
        </w:rPr>
        <w:t xml:space="preserve"> </w:t>
      </w:r>
      <w:r>
        <w:rPr>
          <w:lang w:val="en-GB"/>
        </w:rPr>
        <w:t>The tariffs could</w:t>
      </w:r>
      <w:r w:rsidRPr="00CE411B">
        <w:rPr>
          <w:lang w:val="en-GB"/>
        </w:rPr>
        <w:t xml:space="preserve"> increas</w:t>
      </w:r>
      <w:r>
        <w:rPr>
          <w:lang w:val="en-GB"/>
        </w:rPr>
        <w:t>e</w:t>
      </w:r>
      <w:r w:rsidRPr="00CE411B">
        <w:rPr>
          <w:lang w:val="en-GB"/>
        </w:rPr>
        <w:t xml:space="preserve"> manufacturing costs and </w:t>
      </w:r>
      <w:r>
        <w:rPr>
          <w:lang w:val="en-GB"/>
        </w:rPr>
        <w:t>further</w:t>
      </w:r>
      <w:r w:rsidRPr="00CE411B">
        <w:rPr>
          <w:lang w:val="en-GB"/>
        </w:rPr>
        <w:t xml:space="preserve"> reduc</w:t>
      </w:r>
      <w:r>
        <w:rPr>
          <w:lang w:val="en-GB"/>
        </w:rPr>
        <w:t>e</w:t>
      </w:r>
      <w:r w:rsidRPr="00CE411B">
        <w:rPr>
          <w:lang w:val="en-GB"/>
        </w:rPr>
        <w:t xml:space="preserve"> sales</w:t>
      </w:r>
      <w:r>
        <w:rPr>
          <w:lang w:val="en-GB"/>
        </w:rPr>
        <w:t xml:space="preserve"> and</w:t>
      </w:r>
      <w:r w:rsidRPr="00CE411B">
        <w:rPr>
          <w:lang w:val="en-GB"/>
        </w:rPr>
        <w:t xml:space="preserve"> profits, giving an advantage to </w:t>
      </w:r>
      <w:r>
        <w:rPr>
          <w:lang w:val="en-GB"/>
        </w:rPr>
        <w:t>non-US</w:t>
      </w:r>
      <w:r w:rsidRPr="00CE411B">
        <w:rPr>
          <w:lang w:val="en-GB"/>
        </w:rPr>
        <w:t xml:space="preserve"> competitors wh</w:t>
      </w:r>
      <w:r>
        <w:rPr>
          <w:lang w:val="en-GB"/>
        </w:rPr>
        <w:t>o</w:t>
      </w:r>
      <w:r w:rsidRPr="00CE411B">
        <w:rPr>
          <w:lang w:val="en-GB"/>
        </w:rPr>
        <w:t xml:space="preserve"> were not subject to these tariffs. </w:t>
      </w:r>
    </w:p>
    <w:p w14:paraId="0DCEF5A6" w14:textId="77777777" w:rsidR="00AE0FB7" w:rsidRPr="00475FE2" w:rsidRDefault="00AE0FB7" w:rsidP="00D315F3">
      <w:pPr>
        <w:pStyle w:val="BodyTextMain"/>
        <w:rPr>
          <w:sz w:val="20"/>
          <w:lang w:val="en-GB"/>
        </w:rPr>
      </w:pPr>
    </w:p>
    <w:p w14:paraId="52D265B6" w14:textId="40090414" w:rsidR="00D315F3" w:rsidRPr="00CE411B" w:rsidRDefault="00AE0FB7" w:rsidP="00475FE2">
      <w:pPr>
        <w:pStyle w:val="BodyTextMain"/>
        <w:rPr>
          <w:lang w:val="en-GB"/>
        </w:rPr>
      </w:pPr>
      <w:r w:rsidRPr="00CE411B">
        <w:rPr>
          <w:lang w:val="en-GB"/>
        </w:rPr>
        <w:t xml:space="preserve">The combination of these factors and overall </w:t>
      </w:r>
      <w:r>
        <w:rPr>
          <w:lang w:val="en-GB"/>
        </w:rPr>
        <w:t xml:space="preserve">market </w:t>
      </w:r>
      <w:r w:rsidRPr="00CE411B">
        <w:rPr>
          <w:lang w:val="en-GB"/>
        </w:rPr>
        <w:t>uncertainty w</w:t>
      </w:r>
      <w:r>
        <w:rPr>
          <w:lang w:val="en-GB"/>
        </w:rPr>
        <w:t>ere enough to</w:t>
      </w:r>
      <w:r w:rsidRPr="00CE411B">
        <w:rPr>
          <w:lang w:val="en-GB"/>
        </w:rPr>
        <w:t xml:space="preserve"> cloud the strategic vision of any CEO</w:t>
      </w:r>
      <w:r>
        <w:rPr>
          <w:lang w:val="en-GB"/>
        </w:rPr>
        <w:t>, including</w:t>
      </w:r>
      <w:r w:rsidRPr="00CE411B">
        <w:rPr>
          <w:lang w:val="en-GB"/>
        </w:rPr>
        <w:t xml:space="preserve"> Hackett, w</w:t>
      </w:r>
      <w:r>
        <w:rPr>
          <w:lang w:val="en-GB"/>
        </w:rPr>
        <w:t>h</w:t>
      </w:r>
      <w:r w:rsidRPr="00CE411B">
        <w:rPr>
          <w:lang w:val="en-GB"/>
        </w:rPr>
        <w:t>o</w:t>
      </w:r>
      <w:r>
        <w:rPr>
          <w:lang w:val="en-GB"/>
        </w:rPr>
        <w:t xml:space="preserve"> had</w:t>
      </w:r>
      <w:r w:rsidRPr="00CE411B">
        <w:rPr>
          <w:lang w:val="en-GB"/>
        </w:rPr>
        <w:t xml:space="preserve"> to consider the extent </w:t>
      </w:r>
      <w:r>
        <w:rPr>
          <w:lang w:val="en-GB"/>
        </w:rPr>
        <w:t>of</w:t>
      </w:r>
      <w:r w:rsidRPr="00CE411B">
        <w:rPr>
          <w:lang w:val="en-GB"/>
        </w:rPr>
        <w:t xml:space="preserve"> </w:t>
      </w:r>
      <w:proofErr w:type="spellStart"/>
      <w:r w:rsidRPr="00CE411B">
        <w:rPr>
          <w:lang w:val="en-GB"/>
        </w:rPr>
        <w:t>Geely</w:t>
      </w:r>
      <w:r>
        <w:rPr>
          <w:lang w:val="en-GB"/>
        </w:rPr>
        <w:t>’s</w:t>
      </w:r>
      <w:proofErr w:type="spellEnd"/>
      <w:r w:rsidRPr="00CE411B">
        <w:rPr>
          <w:lang w:val="en-GB"/>
        </w:rPr>
        <w:t xml:space="preserve"> competitive threat to Ford and how to respond</w:t>
      </w:r>
      <w:r>
        <w:rPr>
          <w:lang w:val="en-GB"/>
        </w:rPr>
        <w:t>. T</w:t>
      </w:r>
      <w:r w:rsidRPr="00CE411B">
        <w:rPr>
          <w:lang w:val="en-GB"/>
        </w:rPr>
        <w:t xml:space="preserve">his fast-growing competitor </w:t>
      </w:r>
      <w:r>
        <w:rPr>
          <w:lang w:val="en-GB"/>
        </w:rPr>
        <w:t>was poised to seize</w:t>
      </w:r>
      <w:r w:rsidRPr="00CE411B">
        <w:rPr>
          <w:lang w:val="en-GB"/>
        </w:rPr>
        <w:t xml:space="preserve"> a 10 per cent stake in his company</w:t>
      </w:r>
      <w:r>
        <w:rPr>
          <w:lang w:val="en-GB"/>
        </w:rPr>
        <w:t>, among</w:t>
      </w:r>
      <w:r w:rsidRPr="00CE411B">
        <w:rPr>
          <w:lang w:val="en-GB"/>
        </w:rPr>
        <w:t xml:space="preserve"> other bold </w:t>
      </w:r>
      <w:r>
        <w:rPr>
          <w:lang w:val="en-GB"/>
        </w:rPr>
        <w:t xml:space="preserve">strategic </w:t>
      </w:r>
      <w:r w:rsidRPr="00CE411B">
        <w:rPr>
          <w:lang w:val="en-GB"/>
        </w:rPr>
        <w:t>move</w:t>
      </w:r>
      <w:r>
        <w:rPr>
          <w:lang w:val="en-GB"/>
        </w:rPr>
        <w:t>s</w:t>
      </w:r>
      <w:r w:rsidRPr="00CE411B">
        <w:rPr>
          <w:lang w:val="en-GB"/>
        </w:rPr>
        <w:t xml:space="preserve">. With a stock price at $9.48 per share and </w:t>
      </w:r>
      <w:r>
        <w:rPr>
          <w:lang w:val="en-GB"/>
        </w:rPr>
        <w:t xml:space="preserve">a </w:t>
      </w:r>
      <w:r w:rsidRPr="00CE411B">
        <w:rPr>
          <w:lang w:val="en-GB"/>
        </w:rPr>
        <w:t>market capitalization of $38.8</w:t>
      </w:r>
      <w:r>
        <w:rPr>
          <w:lang w:val="en-GB"/>
        </w:rPr>
        <w:t> </w:t>
      </w:r>
      <w:r w:rsidRPr="00CE411B">
        <w:rPr>
          <w:lang w:val="en-GB"/>
        </w:rPr>
        <w:t xml:space="preserve">billion, any stake in Ford was now 45 per cent cheaper than at its most recent peak of $ 17.41 per share </w:t>
      </w:r>
      <w:r>
        <w:rPr>
          <w:lang w:val="en-GB"/>
        </w:rPr>
        <w:t>(</w:t>
      </w:r>
      <w:r w:rsidRPr="00CE411B">
        <w:rPr>
          <w:lang w:val="en-GB"/>
        </w:rPr>
        <w:t>on June 1, 2014</w:t>
      </w:r>
      <w:r>
        <w:rPr>
          <w:lang w:val="en-GB"/>
        </w:rPr>
        <w:t>)</w:t>
      </w:r>
      <w:r w:rsidRPr="00CE411B">
        <w:rPr>
          <w:lang w:val="en-GB"/>
        </w:rPr>
        <w:t xml:space="preserve">. In the current </w:t>
      </w:r>
      <w:r>
        <w:rPr>
          <w:lang w:val="en-GB"/>
        </w:rPr>
        <w:t xml:space="preserve">economic </w:t>
      </w:r>
      <w:r w:rsidRPr="00CE411B">
        <w:rPr>
          <w:lang w:val="en-GB"/>
        </w:rPr>
        <w:t>context</w:t>
      </w:r>
      <w:r>
        <w:rPr>
          <w:lang w:val="en-GB"/>
        </w:rPr>
        <w:t>,</w:t>
      </w:r>
      <w:r w:rsidRPr="00CE411B">
        <w:rPr>
          <w:lang w:val="en-GB"/>
        </w:rPr>
        <w:t xml:space="preserve"> where </w:t>
      </w:r>
      <w:r>
        <w:rPr>
          <w:lang w:val="en-GB"/>
        </w:rPr>
        <w:t xml:space="preserve">century-old </w:t>
      </w:r>
      <w:r w:rsidRPr="00CE411B">
        <w:rPr>
          <w:lang w:val="en-GB"/>
        </w:rPr>
        <w:t>American icons like G</w:t>
      </w:r>
      <w:r>
        <w:rPr>
          <w:lang w:val="en-GB"/>
        </w:rPr>
        <w:t xml:space="preserve">eneral </w:t>
      </w:r>
      <w:r w:rsidRPr="00CE411B">
        <w:rPr>
          <w:lang w:val="en-GB"/>
        </w:rPr>
        <w:t>E</w:t>
      </w:r>
      <w:r>
        <w:rPr>
          <w:lang w:val="en-GB"/>
        </w:rPr>
        <w:t>lectric</w:t>
      </w:r>
      <w:r w:rsidRPr="00CE411B">
        <w:rPr>
          <w:lang w:val="en-GB"/>
        </w:rPr>
        <w:t xml:space="preserve"> had been dropped from the Dow Jones industrial averag</w:t>
      </w:r>
      <w:r>
        <w:rPr>
          <w:lang w:val="en-GB"/>
        </w:rPr>
        <w:t>e</w:t>
      </w:r>
      <w:r w:rsidRPr="00CE411B">
        <w:rPr>
          <w:lang w:val="en-GB"/>
        </w:rPr>
        <w:t xml:space="preserve"> and </w:t>
      </w:r>
      <w:r>
        <w:rPr>
          <w:lang w:val="en-GB"/>
        </w:rPr>
        <w:t xml:space="preserve">the industry </w:t>
      </w:r>
      <w:r w:rsidRPr="00CE411B">
        <w:rPr>
          <w:lang w:val="en-GB"/>
        </w:rPr>
        <w:t xml:space="preserve">was </w:t>
      </w:r>
      <w:r>
        <w:rPr>
          <w:lang w:val="en-GB"/>
        </w:rPr>
        <w:t xml:space="preserve">experiencing a </w:t>
      </w:r>
      <w:r w:rsidRPr="00CE411B">
        <w:rPr>
          <w:lang w:val="en-GB"/>
        </w:rPr>
        <w:t>“real-time meltdown</w:t>
      </w:r>
      <w:r>
        <w:rPr>
          <w:lang w:val="en-GB"/>
        </w:rPr>
        <w:t>,</w:t>
      </w:r>
      <w:r w:rsidRPr="00CE411B">
        <w:rPr>
          <w:lang w:val="en-GB"/>
        </w:rPr>
        <w:t>”</w:t>
      </w:r>
      <w:r w:rsidRPr="00CE411B">
        <w:rPr>
          <w:rStyle w:val="EndnoteReference"/>
          <w:lang w:val="en-GB"/>
        </w:rPr>
        <w:endnoteReference w:id="44"/>
      </w:r>
      <w:r w:rsidRPr="00CE411B">
        <w:rPr>
          <w:lang w:val="en-GB"/>
        </w:rPr>
        <w:t xml:space="preserve"> </w:t>
      </w:r>
      <w:r w:rsidR="0017497D">
        <w:rPr>
          <w:lang w:val="en-GB"/>
        </w:rPr>
        <w:t>a</w:t>
      </w:r>
      <w:r w:rsidR="00863F6D" w:rsidRPr="00CE411B">
        <w:rPr>
          <w:lang w:val="en-GB"/>
        </w:rPr>
        <w:t>n</w:t>
      </w:r>
      <w:r w:rsidR="0017497D">
        <w:rPr>
          <w:lang w:val="en-GB"/>
        </w:rPr>
        <w:t>y</w:t>
      </w:r>
      <w:r w:rsidR="00863F6D" w:rsidRPr="00CE411B">
        <w:rPr>
          <w:lang w:val="en-GB"/>
        </w:rPr>
        <w:t>thing was possible.</w:t>
      </w:r>
      <w:r w:rsidR="00D315F3" w:rsidRPr="00CE411B">
        <w:rPr>
          <w:lang w:val="en-GB"/>
        </w:rPr>
        <w:br w:type="page"/>
      </w:r>
    </w:p>
    <w:p w14:paraId="1738CA32" w14:textId="19571A3D" w:rsidR="00B87DC0" w:rsidRPr="00CE411B" w:rsidRDefault="00D315F3" w:rsidP="00D315F3">
      <w:pPr>
        <w:pStyle w:val="ExhibitHeading"/>
        <w:rPr>
          <w:lang w:val="en-GB"/>
        </w:rPr>
      </w:pPr>
      <w:r w:rsidRPr="00CE411B">
        <w:rPr>
          <w:lang w:val="en-GB"/>
        </w:rPr>
        <w:lastRenderedPageBreak/>
        <w:t>EXHIBIT 1: FINANCIAL PROFILES OF GEELY AND FORD</w:t>
      </w:r>
    </w:p>
    <w:p w14:paraId="6C94D00E" w14:textId="77777777" w:rsidR="00D315F3" w:rsidRPr="00CE411B" w:rsidRDefault="00D315F3" w:rsidP="00D315F3">
      <w:pPr>
        <w:pStyle w:val="BodyTextMain"/>
        <w:rPr>
          <w:sz w:val="20"/>
          <w:lang w:val="en-GB"/>
        </w:rPr>
      </w:pPr>
    </w:p>
    <w:tbl>
      <w:tblPr>
        <w:tblStyle w:val="TableGrid"/>
        <w:tblW w:w="9370" w:type="dxa"/>
        <w:jc w:val="center"/>
        <w:tblLook w:val="04A0" w:firstRow="1" w:lastRow="0" w:firstColumn="1" w:lastColumn="0" w:noHBand="0" w:noVBand="1"/>
      </w:tblPr>
      <w:tblGrid>
        <w:gridCol w:w="1805"/>
        <w:gridCol w:w="900"/>
        <w:gridCol w:w="900"/>
        <w:gridCol w:w="900"/>
        <w:gridCol w:w="1127"/>
        <w:gridCol w:w="939"/>
        <w:gridCol w:w="895"/>
        <w:gridCol w:w="895"/>
        <w:gridCol w:w="1009"/>
      </w:tblGrid>
      <w:tr w:rsidR="00AB11A9" w:rsidRPr="00CE411B" w14:paraId="73CB1C7C" w14:textId="77777777" w:rsidTr="00DE379F">
        <w:trPr>
          <w:trHeight w:val="60"/>
          <w:jc w:val="center"/>
        </w:trPr>
        <w:tc>
          <w:tcPr>
            <w:tcW w:w="1805" w:type="dxa"/>
            <w:tcBorders>
              <w:top w:val="single" w:sz="4" w:space="0" w:color="auto"/>
            </w:tcBorders>
            <w:noWrap/>
            <w:vAlign w:val="center"/>
            <w:hideMark/>
          </w:tcPr>
          <w:p w14:paraId="13A0A355" w14:textId="720BB0EE" w:rsidR="00AB11A9" w:rsidRPr="00CE411B" w:rsidRDefault="00AB11A9" w:rsidP="00A43C1E">
            <w:pPr>
              <w:pStyle w:val="ExhibitText"/>
              <w:jc w:val="left"/>
              <w:rPr>
                <w:lang w:val="en-GB"/>
              </w:rPr>
            </w:pPr>
          </w:p>
        </w:tc>
        <w:tc>
          <w:tcPr>
            <w:tcW w:w="3827" w:type="dxa"/>
            <w:gridSpan w:val="4"/>
            <w:tcBorders>
              <w:top w:val="single" w:sz="4" w:space="0" w:color="auto"/>
            </w:tcBorders>
            <w:noWrap/>
            <w:vAlign w:val="center"/>
            <w:hideMark/>
          </w:tcPr>
          <w:p w14:paraId="14A6BA9D" w14:textId="0511EEFE" w:rsidR="00AB11A9" w:rsidRPr="00CE411B" w:rsidRDefault="00AB11A9" w:rsidP="00DE379F">
            <w:pPr>
              <w:pStyle w:val="ExhibitText"/>
              <w:jc w:val="center"/>
              <w:rPr>
                <w:b/>
                <w:lang w:val="en-GB"/>
              </w:rPr>
            </w:pPr>
            <w:r w:rsidRPr="00CE411B">
              <w:rPr>
                <w:b/>
                <w:lang w:val="en-GB"/>
              </w:rPr>
              <w:t>In US</w:t>
            </w:r>
            <w:r w:rsidR="006F57D2">
              <w:rPr>
                <w:b/>
                <w:lang w:val="en-GB"/>
              </w:rPr>
              <w:t>$</w:t>
            </w:r>
            <w:r w:rsidRPr="00CE411B">
              <w:rPr>
                <w:b/>
                <w:lang w:val="en-GB"/>
              </w:rPr>
              <w:t xml:space="preserve"> Billion</w:t>
            </w:r>
            <w:r w:rsidR="00AE0FB7">
              <w:rPr>
                <w:b/>
                <w:lang w:val="en-GB"/>
              </w:rPr>
              <w:t>s</w:t>
            </w:r>
          </w:p>
        </w:tc>
        <w:tc>
          <w:tcPr>
            <w:tcW w:w="3738" w:type="dxa"/>
            <w:gridSpan w:val="4"/>
            <w:tcBorders>
              <w:top w:val="single" w:sz="4" w:space="0" w:color="auto"/>
            </w:tcBorders>
            <w:noWrap/>
            <w:vAlign w:val="center"/>
            <w:hideMark/>
          </w:tcPr>
          <w:p w14:paraId="6ED17039" w14:textId="571A48AF" w:rsidR="00AB11A9" w:rsidRPr="00CE411B" w:rsidRDefault="00AB11A9" w:rsidP="00DE379F">
            <w:pPr>
              <w:pStyle w:val="ExhibitText"/>
              <w:jc w:val="center"/>
              <w:rPr>
                <w:b/>
                <w:lang w:val="en-GB"/>
              </w:rPr>
            </w:pPr>
            <w:r w:rsidRPr="00CE411B">
              <w:rPr>
                <w:b/>
                <w:lang w:val="en-GB"/>
              </w:rPr>
              <w:t>In HK</w:t>
            </w:r>
            <w:r w:rsidR="006F57D2">
              <w:rPr>
                <w:b/>
                <w:lang w:val="en-GB"/>
              </w:rPr>
              <w:t>$</w:t>
            </w:r>
            <w:r w:rsidRPr="00CE411B">
              <w:rPr>
                <w:b/>
                <w:lang w:val="en-GB"/>
              </w:rPr>
              <w:t xml:space="preserve"> Millions</w:t>
            </w:r>
            <w:r w:rsidR="006F57D2">
              <w:rPr>
                <w:b/>
                <w:lang w:val="en-GB"/>
              </w:rPr>
              <w:t>*</w:t>
            </w:r>
          </w:p>
        </w:tc>
      </w:tr>
      <w:tr w:rsidR="00AB11A9" w:rsidRPr="00CE411B" w14:paraId="6524D94F" w14:textId="77777777" w:rsidTr="00DE379F">
        <w:trPr>
          <w:trHeight w:val="60"/>
          <w:jc w:val="center"/>
        </w:trPr>
        <w:tc>
          <w:tcPr>
            <w:tcW w:w="1805" w:type="dxa"/>
            <w:noWrap/>
            <w:vAlign w:val="center"/>
            <w:hideMark/>
          </w:tcPr>
          <w:p w14:paraId="0EEB3776" w14:textId="0E711DFF" w:rsidR="00AB11A9" w:rsidRPr="00CE411B" w:rsidRDefault="00AB11A9" w:rsidP="00A43C1E">
            <w:pPr>
              <w:pStyle w:val="ExhibitText"/>
              <w:jc w:val="left"/>
              <w:rPr>
                <w:lang w:val="en-GB"/>
              </w:rPr>
            </w:pPr>
            <w:r w:rsidRPr="00CE411B">
              <w:rPr>
                <w:lang w:val="en-GB"/>
              </w:rPr>
              <w:t> </w:t>
            </w:r>
          </w:p>
        </w:tc>
        <w:tc>
          <w:tcPr>
            <w:tcW w:w="900" w:type="dxa"/>
            <w:noWrap/>
            <w:vAlign w:val="center"/>
            <w:hideMark/>
          </w:tcPr>
          <w:p w14:paraId="70BB60F0" w14:textId="0AE62A49" w:rsidR="00AB11A9" w:rsidRPr="00CE411B" w:rsidRDefault="00AB11A9" w:rsidP="00DE379F">
            <w:pPr>
              <w:pStyle w:val="ExhibitText"/>
              <w:jc w:val="center"/>
              <w:rPr>
                <w:b/>
                <w:lang w:val="en-GB"/>
              </w:rPr>
            </w:pPr>
            <w:r w:rsidRPr="00CE411B">
              <w:rPr>
                <w:b/>
                <w:lang w:val="en-GB"/>
              </w:rPr>
              <w:t>2017</w:t>
            </w:r>
          </w:p>
        </w:tc>
        <w:tc>
          <w:tcPr>
            <w:tcW w:w="900" w:type="dxa"/>
            <w:noWrap/>
            <w:vAlign w:val="center"/>
            <w:hideMark/>
          </w:tcPr>
          <w:p w14:paraId="5F82C46E" w14:textId="44B77033" w:rsidR="00AB11A9" w:rsidRPr="00CE411B" w:rsidRDefault="00AB11A9" w:rsidP="00DE379F">
            <w:pPr>
              <w:pStyle w:val="ExhibitText"/>
              <w:jc w:val="center"/>
              <w:rPr>
                <w:b/>
                <w:lang w:val="en-GB"/>
              </w:rPr>
            </w:pPr>
            <w:r w:rsidRPr="00CE411B">
              <w:rPr>
                <w:b/>
                <w:lang w:val="en-GB"/>
              </w:rPr>
              <w:t>2016</w:t>
            </w:r>
          </w:p>
        </w:tc>
        <w:tc>
          <w:tcPr>
            <w:tcW w:w="900" w:type="dxa"/>
            <w:noWrap/>
            <w:vAlign w:val="center"/>
            <w:hideMark/>
          </w:tcPr>
          <w:p w14:paraId="36B6A9DF" w14:textId="6DFA7DB0" w:rsidR="00AB11A9" w:rsidRPr="00CE411B" w:rsidRDefault="00AB11A9" w:rsidP="00DE379F">
            <w:pPr>
              <w:pStyle w:val="ExhibitText"/>
              <w:jc w:val="center"/>
              <w:rPr>
                <w:b/>
                <w:lang w:val="en-GB"/>
              </w:rPr>
            </w:pPr>
            <w:r w:rsidRPr="00CE411B">
              <w:rPr>
                <w:b/>
                <w:lang w:val="en-GB"/>
              </w:rPr>
              <w:t>2015</w:t>
            </w:r>
          </w:p>
        </w:tc>
        <w:tc>
          <w:tcPr>
            <w:tcW w:w="1127" w:type="dxa"/>
            <w:noWrap/>
            <w:vAlign w:val="center"/>
            <w:hideMark/>
          </w:tcPr>
          <w:p w14:paraId="189F97CC" w14:textId="5AE5E3CA" w:rsidR="00AB11A9" w:rsidRPr="00CE411B" w:rsidRDefault="00AB11A9" w:rsidP="00DE379F">
            <w:pPr>
              <w:pStyle w:val="ExhibitText"/>
              <w:jc w:val="center"/>
              <w:rPr>
                <w:b/>
                <w:lang w:val="en-GB"/>
              </w:rPr>
            </w:pPr>
            <w:r w:rsidRPr="00CE411B">
              <w:rPr>
                <w:b/>
                <w:lang w:val="en-GB"/>
              </w:rPr>
              <w:t>2014</w:t>
            </w:r>
          </w:p>
        </w:tc>
        <w:tc>
          <w:tcPr>
            <w:tcW w:w="939" w:type="dxa"/>
            <w:noWrap/>
            <w:vAlign w:val="center"/>
            <w:hideMark/>
          </w:tcPr>
          <w:p w14:paraId="36F32B64" w14:textId="53E300B7" w:rsidR="00AB11A9" w:rsidRPr="00CE411B" w:rsidRDefault="00AB11A9" w:rsidP="00DE379F">
            <w:pPr>
              <w:pStyle w:val="ExhibitText"/>
              <w:jc w:val="center"/>
              <w:rPr>
                <w:b/>
                <w:lang w:val="en-GB"/>
              </w:rPr>
            </w:pPr>
            <w:r w:rsidRPr="00CE411B">
              <w:rPr>
                <w:b/>
                <w:lang w:val="en-GB"/>
              </w:rPr>
              <w:t>2017</w:t>
            </w:r>
          </w:p>
        </w:tc>
        <w:tc>
          <w:tcPr>
            <w:tcW w:w="895" w:type="dxa"/>
            <w:noWrap/>
            <w:hideMark/>
          </w:tcPr>
          <w:p w14:paraId="29D45BFE" w14:textId="68CC58C7" w:rsidR="00AB11A9" w:rsidRPr="00CE411B" w:rsidRDefault="00AB11A9" w:rsidP="00DE379F">
            <w:pPr>
              <w:pStyle w:val="ExhibitText"/>
              <w:jc w:val="center"/>
              <w:rPr>
                <w:b/>
                <w:lang w:val="en-GB"/>
              </w:rPr>
            </w:pPr>
            <w:r w:rsidRPr="00CE411B">
              <w:rPr>
                <w:b/>
                <w:lang w:val="en-GB"/>
              </w:rPr>
              <w:t>2016</w:t>
            </w:r>
          </w:p>
        </w:tc>
        <w:tc>
          <w:tcPr>
            <w:tcW w:w="895" w:type="dxa"/>
            <w:noWrap/>
            <w:hideMark/>
          </w:tcPr>
          <w:p w14:paraId="52D9EFBF" w14:textId="1D44155C" w:rsidR="00AB11A9" w:rsidRPr="00CE411B" w:rsidRDefault="00AB11A9" w:rsidP="00DE379F">
            <w:pPr>
              <w:pStyle w:val="ExhibitText"/>
              <w:jc w:val="center"/>
              <w:rPr>
                <w:b/>
                <w:lang w:val="en-GB"/>
              </w:rPr>
            </w:pPr>
            <w:r w:rsidRPr="00CE411B">
              <w:rPr>
                <w:b/>
                <w:lang w:val="en-GB"/>
              </w:rPr>
              <w:t>2015</w:t>
            </w:r>
          </w:p>
        </w:tc>
        <w:tc>
          <w:tcPr>
            <w:tcW w:w="1009" w:type="dxa"/>
            <w:noWrap/>
            <w:hideMark/>
          </w:tcPr>
          <w:p w14:paraId="0DCF4F60" w14:textId="4FB814DA" w:rsidR="00AB11A9" w:rsidRPr="00CE411B" w:rsidRDefault="00AB11A9" w:rsidP="00DE379F">
            <w:pPr>
              <w:pStyle w:val="ExhibitText"/>
              <w:jc w:val="center"/>
              <w:rPr>
                <w:b/>
                <w:lang w:val="en-GB"/>
              </w:rPr>
            </w:pPr>
            <w:r w:rsidRPr="00CE411B">
              <w:rPr>
                <w:b/>
                <w:lang w:val="en-GB"/>
              </w:rPr>
              <w:t>2014</w:t>
            </w:r>
          </w:p>
        </w:tc>
      </w:tr>
      <w:tr w:rsidR="00AB11A9" w:rsidRPr="00CE411B" w14:paraId="769B6780" w14:textId="77777777" w:rsidTr="00DE379F">
        <w:trPr>
          <w:trHeight w:val="288"/>
          <w:jc w:val="center"/>
        </w:trPr>
        <w:tc>
          <w:tcPr>
            <w:tcW w:w="9370" w:type="dxa"/>
            <w:gridSpan w:val="9"/>
            <w:noWrap/>
            <w:vAlign w:val="center"/>
          </w:tcPr>
          <w:p w14:paraId="571909D7" w14:textId="7A400F21" w:rsidR="00AB11A9" w:rsidRPr="00CE411B" w:rsidRDefault="00AB11A9" w:rsidP="00A43C1E">
            <w:pPr>
              <w:pStyle w:val="ExhibitText"/>
              <w:jc w:val="left"/>
              <w:rPr>
                <w:b/>
                <w:lang w:val="en-GB"/>
              </w:rPr>
            </w:pPr>
            <w:proofErr w:type="spellStart"/>
            <w:r w:rsidRPr="00CE411B">
              <w:rPr>
                <w:b/>
                <w:lang w:val="en-GB"/>
              </w:rPr>
              <w:t>Geely</w:t>
            </w:r>
            <w:proofErr w:type="spellEnd"/>
          </w:p>
        </w:tc>
      </w:tr>
      <w:tr w:rsidR="00AB11A9" w:rsidRPr="00CE411B" w14:paraId="3A5792AD" w14:textId="77777777" w:rsidTr="00DE379F">
        <w:trPr>
          <w:trHeight w:val="60"/>
          <w:jc w:val="center"/>
        </w:trPr>
        <w:tc>
          <w:tcPr>
            <w:tcW w:w="1805" w:type="dxa"/>
            <w:noWrap/>
            <w:vAlign w:val="center"/>
            <w:hideMark/>
          </w:tcPr>
          <w:p w14:paraId="51B197D2" w14:textId="75BB6976" w:rsidR="00AB11A9" w:rsidRPr="00CE411B" w:rsidRDefault="00AB11A9" w:rsidP="00A43C1E">
            <w:pPr>
              <w:pStyle w:val="ExhibitText"/>
              <w:jc w:val="left"/>
              <w:rPr>
                <w:lang w:val="en-GB"/>
              </w:rPr>
            </w:pPr>
            <w:r w:rsidRPr="00CE411B">
              <w:rPr>
                <w:lang w:val="en-GB"/>
              </w:rPr>
              <w:t>Sales/Revenue</w:t>
            </w:r>
          </w:p>
        </w:tc>
        <w:tc>
          <w:tcPr>
            <w:tcW w:w="900" w:type="dxa"/>
            <w:noWrap/>
            <w:vAlign w:val="center"/>
            <w:hideMark/>
          </w:tcPr>
          <w:p w14:paraId="251A3140" w14:textId="6F958E74" w:rsidR="00AB11A9" w:rsidRPr="00CE411B" w:rsidRDefault="00AB11A9" w:rsidP="00DE379F">
            <w:pPr>
              <w:pStyle w:val="ExhibitText"/>
              <w:jc w:val="right"/>
              <w:rPr>
                <w:lang w:val="en-GB"/>
              </w:rPr>
            </w:pPr>
            <w:r w:rsidRPr="00CE411B">
              <w:rPr>
                <w:lang w:val="en-GB"/>
              </w:rPr>
              <w:t>13.63</w:t>
            </w:r>
          </w:p>
        </w:tc>
        <w:tc>
          <w:tcPr>
            <w:tcW w:w="900" w:type="dxa"/>
            <w:noWrap/>
            <w:vAlign w:val="center"/>
            <w:hideMark/>
          </w:tcPr>
          <w:p w14:paraId="78E0358B" w14:textId="7A43FF3B" w:rsidR="00AB11A9" w:rsidRPr="00CE411B" w:rsidRDefault="00AB11A9" w:rsidP="00DE379F">
            <w:pPr>
              <w:pStyle w:val="ExhibitText"/>
              <w:jc w:val="right"/>
              <w:rPr>
                <w:lang w:val="en-GB"/>
              </w:rPr>
            </w:pPr>
            <w:r w:rsidRPr="00CE411B">
              <w:rPr>
                <w:lang w:val="en-GB"/>
              </w:rPr>
              <w:t>8.00</w:t>
            </w:r>
          </w:p>
        </w:tc>
        <w:tc>
          <w:tcPr>
            <w:tcW w:w="900" w:type="dxa"/>
            <w:noWrap/>
            <w:vAlign w:val="center"/>
            <w:hideMark/>
          </w:tcPr>
          <w:p w14:paraId="4C7318C5" w14:textId="6EE92FC2" w:rsidR="00AB11A9" w:rsidRPr="00CE411B" w:rsidRDefault="00AB11A9" w:rsidP="00DE379F">
            <w:pPr>
              <w:pStyle w:val="ExhibitText"/>
              <w:jc w:val="right"/>
              <w:rPr>
                <w:lang w:val="en-GB"/>
              </w:rPr>
            </w:pPr>
            <w:r w:rsidRPr="00CE411B">
              <w:rPr>
                <w:lang w:val="en-GB"/>
              </w:rPr>
              <w:t>4.74</w:t>
            </w:r>
          </w:p>
        </w:tc>
        <w:tc>
          <w:tcPr>
            <w:tcW w:w="1127" w:type="dxa"/>
            <w:noWrap/>
            <w:vAlign w:val="center"/>
            <w:hideMark/>
          </w:tcPr>
          <w:p w14:paraId="768A2065" w14:textId="1090C259" w:rsidR="00AB11A9" w:rsidRPr="00CE411B" w:rsidRDefault="00AB11A9" w:rsidP="00DE379F">
            <w:pPr>
              <w:pStyle w:val="ExhibitText"/>
              <w:jc w:val="right"/>
              <w:rPr>
                <w:lang w:val="en-GB"/>
              </w:rPr>
            </w:pPr>
            <w:r w:rsidRPr="00CE411B">
              <w:rPr>
                <w:lang w:val="en-GB"/>
              </w:rPr>
              <w:t>3.49</w:t>
            </w:r>
          </w:p>
        </w:tc>
        <w:tc>
          <w:tcPr>
            <w:tcW w:w="939" w:type="dxa"/>
            <w:noWrap/>
            <w:vAlign w:val="center"/>
            <w:hideMark/>
          </w:tcPr>
          <w:p w14:paraId="0B225890" w14:textId="06F18A54" w:rsidR="00AB11A9" w:rsidRPr="00CE411B" w:rsidRDefault="00AB11A9" w:rsidP="00DE379F">
            <w:pPr>
              <w:pStyle w:val="ExhibitText"/>
              <w:jc w:val="right"/>
              <w:rPr>
                <w:lang w:val="en-GB"/>
              </w:rPr>
            </w:pPr>
            <w:r w:rsidRPr="00CE411B">
              <w:rPr>
                <w:lang w:val="en-GB"/>
              </w:rPr>
              <w:t>106,961</w:t>
            </w:r>
          </w:p>
        </w:tc>
        <w:tc>
          <w:tcPr>
            <w:tcW w:w="895" w:type="dxa"/>
            <w:noWrap/>
            <w:hideMark/>
          </w:tcPr>
          <w:p w14:paraId="3FAC48B4" w14:textId="1A46AC61" w:rsidR="00AB11A9" w:rsidRPr="00CE411B" w:rsidRDefault="00AB11A9" w:rsidP="00DE379F">
            <w:pPr>
              <w:pStyle w:val="ExhibitText"/>
              <w:jc w:val="right"/>
              <w:rPr>
                <w:lang w:val="en-GB"/>
              </w:rPr>
            </w:pPr>
            <w:r w:rsidRPr="00CE411B">
              <w:rPr>
                <w:lang w:val="en-GB"/>
              </w:rPr>
              <w:t>62,769</w:t>
            </w:r>
          </w:p>
        </w:tc>
        <w:tc>
          <w:tcPr>
            <w:tcW w:w="895" w:type="dxa"/>
            <w:noWrap/>
            <w:hideMark/>
          </w:tcPr>
          <w:p w14:paraId="4F6E0AAA" w14:textId="0D960508" w:rsidR="00AB11A9" w:rsidRPr="00CE411B" w:rsidRDefault="00AB11A9" w:rsidP="00DE379F">
            <w:pPr>
              <w:pStyle w:val="ExhibitText"/>
              <w:jc w:val="right"/>
              <w:rPr>
                <w:lang w:val="en-GB"/>
              </w:rPr>
            </w:pPr>
            <w:r w:rsidRPr="00CE411B">
              <w:rPr>
                <w:lang w:val="en-GB"/>
              </w:rPr>
              <w:t>37,175</w:t>
            </w:r>
          </w:p>
        </w:tc>
        <w:tc>
          <w:tcPr>
            <w:tcW w:w="1009" w:type="dxa"/>
            <w:noWrap/>
            <w:hideMark/>
          </w:tcPr>
          <w:p w14:paraId="4B9BFD77" w14:textId="24195B2A" w:rsidR="00AB11A9" w:rsidRPr="00CE411B" w:rsidRDefault="00AB11A9" w:rsidP="00DE379F">
            <w:pPr>
              <w:pStyle w:val="ExhibitText"/>
              <w:jc w:val="right"/>
              <w:rPr>
                <w:lang w:val="en-GB"/>
              </w:rPr>
            </w:pPr>
            <w:r w:rsidRPr="00CE411B">
              <w:rPr>
                <w:lang w:val="en-GB"/>
              </w:rPr>
              <w:t>27,358</w:t>
            </w:r>
          </w:p>
        </w:tc>
      </w:tr>
      <w:tr w:rsidR="00AB11A9" w:rsidRPr="00CE411B" w14:paraId="2D658F00" w14:textId="77777777" w:rsidTr="00DE379F">
        <w:trPr>
          <w:trHeight w:val="60"/>
          <w:jc w:val="center"/>
        </w:trPr>
        <w:tc>
          <w:tcPr>
            <w:tcW w:w="1805" w:type="dxa"/>
            <w:noWrap/>
            <w:vAlign w:val="center"/>
            <w:hideMark/>
          </w:tcPr>
          <w:p w14:paraId="4CA2C586" w14:textId="08E71A95" w:rsidR="00AB11A9" w:rsidRPr="00CE411B" w:rsidRDefault="00AB11A9" w:rsidP="00A43C1E">
            <w:pPr>
              <w:pStyle w:val="ExhibitText"/>
              <w:jc w:val="left"/>
              <w:rPr>
                <w:lang w:val="en-GB"/>
              </w:rPr>
            </w:pPr>
            <w:r w:rsidRPr="00CE411B">
              <w:rPr>
                <w:lang w:val="en-GB"/>
              </w:rPr>
              <w:t>Sales Growth</w:t>
            </w:r>
          </w:p>
        </w:tc>
        <w:tc>
          <w:tcPr>
            <w:tcW w:w="900" w:type="dxa"/>
            <w:noWrap/>
            <w:vAlign w:val="center"/>
            <w:hideMark/>
          </w:tcPr>
          <w:p w14:paraId="1B8074E2" w14:textId="4A45A470" w:rsidR="00AB11A9" w:rsidRPr="00CE411B" w:rsidRDefault="00AB11A9" w:rsidP="00DE379F">
            <w:pPr>
              <w:pStyle w:val="ExhibitText"/>
              <w:jc w:val="right"/>
              <w:rPr>
                <w:lang w:val="en-GB"/>
              </w:rPr>
            </w:pPr>
            <w:r w:rsidRPr="00CE411B">
              <w:rPr>
                <w:lang w:val="en-GB"/>
              </w:rPr>
              <w:t>70.40%</w:t>
            </w:r>
          </w:p>
        </w:tc>
        <w:tc>
          <w:tcPr>
            <w:tcW w:w="900" w:type="dxa"/>
            <w:noWrap/>
            <w:vAlign w:val="center"/>
            <w:hideMark/>
          </w:tcPr>
          <w:p w14:paraId="2A10B55B" w14:textId="5729EF4C" w:rsidR="00AB11A9" w:rsidRPr="00CE411B" w:rsidRDefault="00AB11A9" w:rsidP="00DE379F">
            <w:pPr>
              <w:pStyle w:val="ExhibitText"/>
              <w:jc w:val="right"/>
              <w:rPr>
                <w:lang w:val="en-GB"/>
              </w:rPr>
            </w:pPr>
            <w:r w:rsidRPr="00CE411B">
              <w:rPr>
                <w:lang w:val="en-GB"/>
              </w:rPr>
              <w:t>68.85%</w:t>
            </w:r>
          </w:p>
        </w:tc>
        <w:tc>
          <w:tcPr>
            <w:tcW w:w="900" w:type="dxa"/>
            <w:noWrap/>
            <w:vAlign w:val="center"/>
            <w:hideMark/>
          </w:tcPr>
          <w:p w14:paraId="5E0A20D3" w14:textId="66D12D83" w:rsidR="00AB11A9" w:rsidRPr="00CE411B" w:rsidRDefault="00AB11A9" w:rsidP="00DE379F">
            <w:pPr>
              <w:pStyle w:val="ExhibitText"/>
              <w:jc w:val="right"/>
              <w:rPr>
                <w:lang w:val="en-GB"/>
              </w:rPr>
            </w:pPr>
            <w:r w:rsidRPr="00CE411B">
              <w:rPr>
                <w:lang w:val="en-GB"/>
              </w:rPr>
              <w:t>35.88%</w:t>
            </w:r>
          </w:p>
        </w:tc>
        <w:tc>
          <w:tcPr>
            <w:tcW w:w="1127" w:type="dxa"/>
            <w:noWrap/>
            <w:vAlign w:val="center"/>
            <w:hideMark/>
          </w:tcPr>
          <w:p w14:paraId="459A2468" w14:textId="2663441B" w:rsidR="00AB11A9" w:rsidRPr="00CE411B" w:rsidRDefault="00D02526" w:rsidP="00DE379F">
            <w:pPr>
              <w:pStyle w:val="ExhibitText"/>
              <w:jc w:val="right"/>
              <w:rPr>
                <w:lang w:val="en-GB"/>
              </w:rPr>
            </w:pPr>
            <w:r>
              <w:rPr>
                <w:lang w:val="en-GB"/>
              </w:rPr>
              <w:t>–</w:t>
            </w:r>
            <w:r w:rsidR="00AB11A9" w:rsidRPr="00CE411B">
              <w:rPr>
                <w:lang w:val="en-GB"/>
              </w:rPr>
              <w:t>24.47%</w:t>
            </w:r>
          </w:p>
        </w:tc>
        <w:tc>
          <w:tcPr>
            <w:tcW w:w="939" w:type="dxa"/>
            <w:noWrap/>
            <w:vAlign w:val="center"/>
            <w:hideMark/>
          </w:tcPr>
          <w:p w14:paraId="79A4926A" w14:textId="16EC4857" w:rsidR="00AB11A9" w:rsidRPr="00CE411B" w:rsidRDefault="00AB11A9" w:rsidP="00DE379F">
            <w:pPr>
              <w:pStyle w:val="ExhibitText"/>
              <w:jc w:val="right"/>
              <w:rPr>
                <w:lang w:val="en-GB"/>
              </w:rPr>
            </w:pPr>
            <w:r w:rsidRPr="00CE411B">
              <w:rPr>
                <w:lang w:val="en-GB"/>
              </w:rPr>
              <w:t>70.40%</w:t>
            </w:r>
          </w:p>
        </w:tc>
        <w:tc>
          <w:tcPr>
            <w:tcW w:w="895" w:type="dxa"/>
            <w:noWrap/>
            <w:hideMark/>
          </w:tcPr>
          <w:p w14:paraId="3991F64D" w14:textId="36A2553F" w:rsidR="00AB11A9" w:rsidRPr="00CE411B" w:rsidRDefault="00AB11A9" w:rsidP="00DE379F">
            <w:pPr>
              <w:pStyle w:val="ExhibitText"/>
              <w:jc w:val="right"/>
              <w:rPr>
                <w:lang w:val="en-GB"/>
              </w:rPr>
            </w:pPr>
            <w:r w:rsidRPr="00CE411B">
              <w:rPr>
                <w:lang w:val="en-GB"/>
              </w:rPr>
              <w:t>68.85%</w:t>
            </w:r>
          </w:p>
        </w:tc>
        <w:tc>
          <w:tcPr>
            <w:tcW w:w="895" w:type="dxa"/>
            <w:noWrap/>
            <w:hideMark/>
          </w:tcPr>
          <w:p w14:paraId="2FA2C350" w14:textId="723F85F7" w:rsidR="00AB11A9" w:rsidRPr="00CE411B" w:rsidRDefault="00AB11A9" w:rsidP="00DE379F">
            <w:pPr>
              <w:pStyle w:val="ExhibitText"/>
              <w:jc w:val="right"/>
              <w:rPr>
                <w:lang w:val="en-GB"/>
              </w:rPr>
            </w:pPr>
            <w:r w:rsidRPr="00CE411B">
              <w:rPr>
                <w:lang w:val="en-GB"/>
              </w:rPr>
              <w:t>35.88%</w:t>
            </w:r>
          </w:p>
        </w:tc>
        <w:tc>
          <w:tcPr>
            <w:tcW w:w="1009" w:type="dxa"/>
            <w:noWrap/>
            <w:hideMark/>
          </w:tcPr>
          <w:p w14:paraId="122B97A7" w14:textId="4938942D" w:rsidR="00AB11A9" w:rsidRPr="00CE411B" w:rsidRDefault="00D02526" w:rsidP="00DE379F">
            <w:pPr>
              <w:pStyle w:val="ExhibitText"/>
              <w:jc w:val="right"/>
              <w:rPr>
                <w:lang w:val="en-GB"/>
              </w:rPr>
            </w:pPr>
            <w:r>
              <w:rPr>
                <w:lang w:val="en-GB"/>
              </w:rPr>
              <w:t>–</w:t>
            </w:r>
            <w:r w:rsidR="00AB11A9" w:rsidRPr="00CE411B">
              <w:rPr>
                <w:lang w:val="en-GB"/>
              </w:rPr>
              <w:t>24.47%</w:t>
            </w:r>
          </w:p>
        </w:tc>
      </w:tr>
      <w:tr w:rsidR="00AB11A9" w:rsidRPr="00CE411B" w14:paraId="72AA44AE" w14:textId="77777777" w:rsidTr="00DE379F">
        <w:trPr>
          <w:trHeight w:val="288"/>
          <w:jc w:val="center"/>
        </w:trPr>
        <w:tc>
          <w:tcPr>
            <w:tcW w:w="1805" w:type="dxa"/>
            <w:noWrap/>
            <w:vAlign w:val="center"/>
            <w:hideMark/>
          </w:tcPr>
          <w:p w14:paraId="2C2BC8B8" w14:textId="0638E86C" w:rsidR="00AB11A9" w:rsidRPr="00CE411B" w:rsidRDefault="00AB11A9" w:rsidP="00A43C1E">
            <w:pPr>
              <w:pStyle w:val="ExhibitText"/>
              <w:jc w:val="left"/>
              <w:rPr>
                <w:lang w:val="en-GB"/>
              </w:rPr>
            </w:pPr>
            <w:r w:rsidRPr="00CE411B">
              <w:rPr>
                <w:lang w:val="en-GB"/>
              </w:rPr>
              <w:t xml:space="preserve">Cost </w:t>
            </w:r>
            <w:proofErr w:type="gramStart"/>
            <w:r w:rsidRPr="00CE411B">
              <w:rPr>
                <w:lang w:val="en-GB"/>
              </w:rPr>
              <w:t>Of</w:t>
            </w:r>
            <w:proofErr w:type="gramEnd"/>
            <w:r w:rsidRPr="00CE411B">
              <w:rPr>
                <w:lang w:val="en-GB"/>
              </w:rPr>
              <w:t xml:space="preserve"> Goods Sold (COGS)**</w:t>
            </w:r>
          </w:p>
        </w:tc>
        <w:tc>
          <w:tcPr>
            <w:tcW w:w="900" w:type="dxa"/>
            <w:noWrap/>
            <w:vAlign w:val="center"/>
            <w:hideMark/>
          </w:tcPr>
          <w:p w14:paraId="26C00CE4" w14:textId="76D9A6E3" w:rsidR="00AB11A9" w:rsidRPr="00CE411B" w:rsidRDefault="00AB11A9" w:rsidP="00DE379F">
            <w:pPr>
              <w:pStyle w:val="ExhibitText"/>
              <w:jc w:val="right"/>
              <w:rPr>
                <w:lang w:val="en-GB"/>
              </w:rPr>
            </w:pPr>
            <w:r w:rsidRPr="00CE411B">
              <w:rPr>
                <w:lang w:val="en-GB"/>
              </w:rPr>
              <w:t>10.88</w:t>
            </w:r>
          </w:p>
        </w:tc>
        <w:tc>
          <w:tcPr>
            <w:tcW w:w="900" w:type="dxa"/>
            <w:noWrap/>
            <w:vAlign w:val="center"/>
            <w:hideMark/>
          </w:tcPr>
          <w:p w14:paraId="30BB5CB2" w14:textId="10D511EA" w:rsidR="00AB11A9" w:rsidRPr="00CE411B" w:rsidRDefault="00AB11A9" w:rsidP="00DE379F">
            <w:pPr>
              <w:pStyle w:val="ExhibitText"/>
              <w:jc w:val="right"/>
              <w:rPr>
                <w:lang w:val="en-GB"/>
              </w:rPr>
            </w:pPr>
            <w:r w:rsidRPr="00CE411B">
              <w:rPr>
                <w:lang w:val="en-GB"/>
              </w:rPr>
              <w:t>6.43</w:t>
            </w:r>
          </w:p>
        </w:tc>
        <w:tc>
          <w:tcPr>
            <w:tcW w:w="900" w:type="dxa"/>
            <w:noWrap/>
            <w:vAlign w:val="center"/>
            <w:hideMark/>
          </w:tcPr>
          <w:p w14:paraId="1EDFF8A6" w14:textId="216559BE" w:rsidR="00AB11A9" w:rsidRPr="00CE411B" w:rsidRDefault="00AB11A9" w:rsidP="00DE379F">
            <w:pPr>
              <w:pStyle w:val="ExhibitText"/>
              <w:jc w:val="right"/>
              <w:rPr>
                <w:lang w:val="en-GB"/>
              </w:rPr>
            </w:pPr>
            <w:r w:rsidRPr="00CE411B">
              <w:rPr>
                <w:lang w:val="en-GB"/>
              </w:rPr>
              <w:t>3.79</w:t>
            </w:r>
          </w:p>
        </w:tc>
        <w:tc>
          <w:tcPr>
            <w:tcW w:w="1127" w:type="dxa"/>
            <w:noWrap/>
            <w:vAlign w:val="center"/>
            <w:hideMark/>
          </w:tcPr>
          <w:p w14:paraId="1152C5EF" w14:textId="7714636B" w:rsidR="00AB11A9" w:rsidRPr="00CE411B" w:rsidRDefault="00AB11A9" w:rsidP="00DE379F">
            <w:pPr>
              <w:pStyle w:val="ExhibitText"/>
              <w:jc w:val="right"/>
              <w:rPr>
                <w:lang w:val="en-GB"/>
              </w:rPr>
            </w:pPr>
            <w:r w:rsidRPr="00CE411B">
              <w:rPr>
                <w:lang w:val="en-GB"/>
              </w:rPr>
              <w:t>2.76</w:t>
            </w:r>
          </w:p>
        </w:tc>
        <w:tc>
          <w:tcPr>
            <w:tcW w:w="939" w:type="dxa"/>
            <w:tcBorders>
              <w:bottom w:val="single" w:sz="4" w:space="0" w:color="auto"/>
            </w:tcBorders>
            <w:noWrap/>
            <w:vAlign w:val="center"/>
            <w:hideMark/>
          </w:tcPr>
          <w:p w14:paraId="60C670BF" w14:textId="704C7DAD" w:rsidR="00AB11A9" w:rsidRPr="00CE411B" w:rsidRDefault="00AB11A9" w:rsidP="00DE379F">
            <w:pPr>
              <w:pStyle w:val="ExhibitText"/>
              <w:jc w:val="right"/>
              <w:rPr>
                <w:lang w:val="en-GB"/>
              </w:rPr>
            </w:pPr>
            <w:r w:rsidRPr="00CE411B">
              <w:rPr>
                <w:lang w:val="en-GB"/>
              </w:rPr>
              <w:t>85,371</w:t>
            </w:r>
          </w:p>
        </w:tc>
        <w:tc>
          <w:tcPr>
            <w:tcW w:w="895" w:type="dxa"/>
            <w:tcBorders>
              <w:bottom w:val="single" w:sz="4" w:space="0" w:color="auto"/>
            </w:tcBorders>
            <w:noWrap/>
            <w:vAlign w:val="center"/>
            <w:hideMark/>
          </w:tcPr>
          <w:p w14:paraId="37E02D46" w14:textId="255E48F1" w:rsidR="00AB11A9" w:rsidRPr="00CE411B" w:rsidRDefault="00AB11A9" w:rsidP="00DE379F">
            <w:pPr>
              <w:pStyle w:val="ExhibitText"/>
              <w:jc w:val="right"/>
              <w:rPr>
                <w:lang w:val="en-GB"/>
              </w:rPr>
            </w:pPr>
            <w:r w:rsidRPr="00CE411B">
              <w:rPr>
                <w:lang w:val="en-GB"/>
              </w:rPr>
              <w:t>50,413</w:t>
            </w:r>
          </w:p>
        </w:tc>
        <w:tc>
          <w:tcPr>
            <w:tcW w:w="895" w:type="dxa"/>
            <w:tcBorders>
              <w:bottom w:val="single" w:sz="4" w:space="0" w:color="auto"/>
            </w:tcBorders>
            <w:noWrap/>
            <w:vAlign w:val="center"/>
            <w:hideMark/>
          </w:tcPr>
          <w:p w14:paraId="2E35A0C3" w14:textId="1F0B4704" w:rsidR="00AB11A9" w:rsidRPr="00CE411B" w:rsidRDefault="00AB11A9" w:rsidP="00DE379F">
            <w:pPr>
              <w:pStyle w:val="ExhibitText"/>
              <w:jc w:val="right"/>
              <w:rPr>
                <w:lang w:val="en-GB"/>
              </w:rPr>
            </w:pPr>
            <w:r w:rsidRPr="00CE411B">
              <w:rPr>
                <w:lang w:val="en-GB"/>
              </w:rPr>
              <w:t>29,700</w:t>
            </w:r>
          </w:p>
        </w:tc>
        <w:tc>
          <w:tcPr>
            <w:tcW w:w="1009" w:type="dxa"/>
            <w:tcBorders>
              <w:bottom w:val="single" w:sz="4" w:space="0" w:color="auto"/>
            </w:tcBorders>
            <w:noWrap/>
            <w:vAlign w:val="center"/>
            <w:hideMark/>
          </w:tcPr>
          <w:p w14:paraId="5A651382" w14:textId="15A9A420" w:rsidR="00AB11A9" w:rsidRPr="00CE411B" w:rsidRDefault="00AB11A9" w:rsidP="00DE379F">
            <w:pPr>
              <w:pStyle w:val="ExhibitText"/>
              <w:jc w:val="right"/>
              <w:rPr>
                <w:lang w:val="en-GB"/>
              </w:rPr>
            </w:pPr>
            <w:r w:rsidRPr="00CE411B">
              <w:rPr>
                <w:lang w:val="en-GB"/>
              </w:rPr>
              <w:t>21,674</w:t>
            </w:r>
          </w:p>
        </w:tc>
      </w:tr>
      <w:tr w:rsidR="00AB11A9" w:rsidRPr="00CE411B" w14:paraId="75FFC8C4" w14:textId="77777777" w:rsidTr="00DE379F">
        <w:trPr>
          <w:trHeight w:val="300"/>
          <w:jc w:val="center"/>
        </w:trPr>
        <w:tc>
          <w:tcPr>
            <w:tcW w:w="1805" w:type="dxa"/>
            <w:noWrap/>
            <w:vAlign w:val="center"/>
            <w:hideMark/>
          </w:tcPr>
          <w:p w14:paraId="0919BAFB" w14:textId="2D2DCE3B" w:rsidR="00AB11A9" w:rsidRPr="00CE411B" w:rsidRDefault="00AB11A9" w:rsidP="00A43C1E">
            <w:pPr>
              <w:pStyle w:val="ExhibitText"/>
              <w:jc w:val="left"/>
              <w:rPr>
                <w:lang w:val="en-GB"/>
              </w:rPr>
            </w:pPr>
            <w:r w:rsidRPr="00CE411B">
              <w:rPr>
                <w:lang w:val="en-GB"/>
              </w:rPr>
              <w:t>Net Income</w:t>
            </w:r>
          </w:p>
        </w:tc>
        <w:tc>
          <w:tcPr>
            <w:tcW w:w="900" w:type="dxa"/>
            <w:noWrap/>
            <w:vAlign w:val="center"/>
            <w:hideMark/>
          </w:tcPr>
          <w:p w14:paraId="3B26D4B9" w14:textId="08FB43CF" w:rsidR="00AB11A9" w:rsidRPr="00CE411B" w:rsidRDefault="00AB11A9" w:rsidP="00DE379F">
            <w:pPr>
              <w:pStyle w:val="ExhibitText"/>
              <w:jc w:val="right"/>
              <w:rPr>
                <w:lang w:val="en-GB"/>
              </w:rPr>
            </w:pPr>
            <w:r w:rsidRPr="00CE411B">
              <w:rPr>
                <w:lang w:val="en-GB"/>
              </w:rPr>
              <w:t>1.56</w:t>
            </w:r>
          </w:p>
        </w:tc>
        <w:tc>
          <w:tcPr>
            <w:tcW w:w="900" w:type="dxa"/>
            <w:noWrap/>
            <w:vAlign w:val="center"/>
            <w:hideMark/>
          </w:tcPr>
          <w:p w14:paraId="5BBB971F" w14:textId="7E1C3CCD" w:rsidR="00AB11A9" w:rsidRPr="00CE411B" w:rsidRDefault="00AB11A9" w:rsidP="00DE379F">
            <w:pPr>
              <w:pStyle w:val="ExhibitText"/>
              <w:jc w:val="right"/>
              <w:rPr>
                <w:lang w:val="en-GB"/>
              </w:rPr>
            </w:pPr>
            <w:r w:rsidRPr="00CE411B">
              <w:rPr>
                <w:lang w:val="en-GB"/>
              </w:rPr>
              <w:t>0.76</w:t>
            </w:r>
          </w:p>
        </w:tc>
        <w:tc>
          <w:tcPr>
            <w:tcW w:w="900" w:type="dxa"/>
            <w:noWrap/>
            <w:vAlign w:val="center"/>
            <w:hideMark/>
          </w:tcPr>
          <w:p w14:paraId="46A158E7" w14:textId="6D657B1F" w:rsidR="00AB11A9" w:rsidRPr="00CE411B" w:rsidRDefault="00AB11A9" w:rsidP="00DE379F">
            <w:pPr>
              <w:pStyle w:val="ExhibitText"/>
              <w:jc w:val="right"/>
              <w:rPr>
                <w:lang w:val="en-GB"/>
              </w:rPr>
            </w:pPr>
            <w:r w:rsidRPr="00CE411B">
              <w:rPr>
                <w:lang w:val="en-GB"/>
              </w:rPr>
              <w:t>0.36</w:t>
            </w:r>
          </w:p>
        </w:tc>
        <w:tc>
          <w:tcPr>
            <w:tcW w:w="1127" w:type="dxa"/>
            <w:noWrap/>
            <w:vAlign w:val="center"/>
            <w:hideMark/>
          </w:tcPr>
          <w:p w14:paraId="36DC6B30" w14:textId="06C93123" w:rsidR="00AB11A9" w:rsidRPr="00CE411B" w:rsidRDefault="00AB11A9" w:rsidP="00DE379F">
            <w:pPr>
              <w:pStyle w:val="ExhibitText"/>
              <w:jc w:val="right"/>
              <w:rPr>
                <w:lang w:val="en-GB"/>
              </w:rPr>
            </w:pPr>
            <w:r w:rsidRPr="00CE411B">
              <w:rPr>
                <w:lang w:val="en-GB"/>
              </w:rPr>
              <w:t>0.23</w:t>
            </w:r>
          </w:p>
        </w:tc>
        <w:tc>
          <w:tcPr>
            <w:tcW w:w="939" w:type="dxa"/>
            <w:tcBorders>
              <w:bottom w:val="single" w:sz="4" w:space="0" w:color="auto"/>
            </w:tcBorders>
            <w:noWrap/>
            <w:vAlign w:val="center"/>
            <w:hideMark/>
          </w:tcPr>
          <w:p w14:paraId="0C614ADE" w14:textId="227C38CC" w:rsidR="00AB11A9" w:rsidRPr="00CE411B" w:rsidRDefault="00AB11A9" w:rsidP="00DE379F">
            <w:pPr>
              <w:pStyle w:val="ExhibitText"/>
              <w:jc w:val="right"/>
              <w:rPr>
                <w:lang w:val="en-GB"/>
              </w:rPr>
            </w:pPr>
            <w:r w:rsidRPr="00CE411B">
              <w:rPr>
                <w:lang w:val="en-GB"/>
              </w:rPr>
              <w:t>12,262</w:t>
            </w:r>
          </w:p>
        </w:tc>
        <w:tc>
          <w:tcPr>
            <w:tcW w:w="895" w:type="dxa"/>
            <w:tcBorders>
              <w:bottom w:val="single" w:sz="4" w:space="0" w:color="auto"/>
            </w:tcBorders>
            <w:noWrap/>
            <w:hideMark/>
          </w:tcPr>
          <w:p w14:paraId="0B81DE06" w14:textId="536007D3" w:rsidR="00AB11A9" w:rsidRPr="00CE411B" w:rsidRDefault="00AB11A9" w:rsidP="00DE379F">
            <w:pPr>
              <w:pStyle w:val="ExhibitText"/>
              <w:jc w:val="right"/>
              <w:rPr>
                <w:lang w:val="en-GB"/>
              </w:rPr>
            </w:pPr>
            <w:r w:rsidRPr="00CE411B">
              <w:rPr>
                <w:lang w:val="en-GB"/>
              </w:rPr>
              <w:t>5,973</w:t>
            </w:r>
          </w:p>
        </w:tc>
        <w:tc>
          <w:tcPr>
            <w:tcW w:w="895" w:type="dxa"/>
            <w:tcBorders>
              <w:bottom w:val="single" w:sz="4" w:space="0" w:color="auto"/>
            </w:tcBorders>
            <w:noWrap/>
            <w:hideMark/>
          </w:tcPr>
          <w:p w14:paraId="102F4893" w14:textId="1221EF01" w:rsidR="00AB11A9" w:rsidRPr="00CE411B" w:rsidRDefault="00AB11A9" w:rsidP="00DE379F">
            <w:pPr>
              <w:pStyle w:val="ExhibitText"/>
              <w:jc w:val="right"/>
              <w:rPr>
                <w:lang w:val="en-GB"/>
              </w:rPr>
            </w:pPr>
            <w:r w:rsidRPr="00CE411B">
              <w:rPr>
                <w:lang w:val="en-GB"/>
              </w:rPr>
              <w:t>2,788</w:t>
            </w:r>
          </w:p>
        </w:tc>
        <w:tc>
          <w:tcPr>
            <w:tcW w:w="1009" w:type="dxa"/>
            <w:tcBorders>
              <w:bottom w:val="single" w:sz="4" w:space="0" w:color="auto"/>
            </w:tcBorders>
            <w:noWrap/>
            <w:hideMark/>
          </w:tcPr>
          <w:p w14:paraId="00FFF251" w14:textId="07CDEA4B" w:rsidR="00AB11A9" w:rsidRPr="00CE411B" w:rsidRDefault="00AB11A9" w:rsidP="00DE379F">
            <w:pPr>
              <w:pStyle w:val="ExhibitText"/>
              <w:jc w:val="right"/>
              <w:rPr>
                <w:lang w:val="en-GB"/>
              </w:rPr>
            </w:pPr>
            <w:r w:rsidRPr="00CE411B">
              <w:rPr>
                <w:lang w:val="en-GB"/>
              </w:rPr>
              <w:t>1,800</w:t>
            </w:r>
          </w:p>
        </w:tc>
      </w:tr>
      <w:tr w:rsidR="00A43C1E" w:rsidRPr="00CE411B" w14:paraId="10BE5DC7" w14:textId="77777777" w:rsidTr="00DE379F">
        <w:trPr>
          <w:trHeight w:val="60"/>
          <w:jc w:val="center"/>
        </w:trPr>
        <w:tc>
          <w:tcPr>
            <w:tcW w:w="5632" w:type="dxa"/>
            <w:gridSpan w:val="5"/>
            <w:noWrap/>
            <w:vAlign w:val="center"/>
          </w:tcPr>
          <w:p w14:paraId="745BAD2D" w14:textId="77777777" w:rsidR="00A43C1E" w:rsidRPr="00CE411B" w:rsidRDefault="00A43C1E" w:rsidP="00A43C1E">
            <w:pPr>
              <w:pStyle w:val="ExhibitText"/>
              <w:jc w:val="left"/>
              <w:rPr>
                <w:lang w:val="en-GB"/>
              </w:rPr>
            </w:pPr>
          </w:p>
        </w:tc>
        <w:tc>
          <w:tcPr>
            <w:tcW w:w="939" w:type="dxa"/>
            <w:tcBorders>
              <w:top w:val="nil"/>
              <w:left w:val="nil"/>
              <w:bottom w:val="nil"/>
              <w:right w:val="nil"/>
            </w:tcBorders>
            <w:noWrap/>
            <w:vAlign w:val="center"/>
          </w:tcPr>
          <w:p w14:paraId="7C0F978C" w14:textId="77777777" w:rsidR="00A43C1E" w:rsidRPr="00CE411B" w:rsidRDefault="00A43C1E" w:rsidP="00A43C1E">
            <w:pPr>
              <w:pStyle w:val="ExhibitText"/>
              <w:jc w:val="left"/>
              <w:rPr>
                <w:lang w:val="en-GB"/>
              </w:rPr>
            </w:pPr>
          </w:p>
        </w:tc>
        <w:tc>
          <w:tcPr>
            <w:tcW w:w="895" w:type="dxa"/>
            <w:tcBorders>
              <w:top w:val="nil"/>
              <w:left w:val="nil"/>
              <w:bottom w:val="nil"/>
              <w:right w:val="nil"/>
            </w:tcBorders>
            <w:noWrap/>
          </w:tcPr>
          <w:p w14:paraId="7D35CDF7" w14:textId="77777777" w:rsidR="00A43C1E" w:rsidRPr="00CE411B" w:rsidRDefault="00A43C1E" w:rsidP="00AB11A9">
            <w:pPr>
              <w:pStyle w:val="ExhibitText"/>
              <w:rPr>
                <w:lang w:val="en-GB"/>
              </w:rPr>
            </w:pPr>
          </w:p>
        </w:tc>
        <w:tc>
          <w:tcPr>
            <w:tcW w:w="895" w:type="dxa"/>
            <w:tcBorders>
              <w:top w:val="nil"/>
              <w:left w:val="nil"/>
              <w:bottom w:val="nil"/>
              <w:right w:val="nil"/>
            </w:tcBorders>
            <w:noWrap/>
          </w:tcPr>
          <w:p w14:paraId="142B8388" w14:textId="77777777" w:rsidR="00A43C1E" w:rsidRPr="00CE411B" w:rsidRDefault="00A43C1E" w:rsidP="00AB11A9">
            <w:pPr>
              <w:pStyle w:val="ExhibitText"/>
              <w:rPr>
                <w:lang w:val="en-GB"/>
              </w:rPr>
            </w:pPr>
          </w:p>
        </w:tc>
        <w:tc>
          <w:tcPr>
            <w:tcW w:w="1009" w:type="dxa"/>
            <w:tcBorders>
              <w:top w:val="nil"/>
              <w:left w:val="nil"/>
              <w:bottom w:val="nil"/>
              <w:right w:val="nil"/>
            </w:tcBorders>
            <w:noWrap/>
          </w:tcPr>
          <w:p w14:paraId="6461A330" w14:textId="77777777" w:rsidR="00A43C1E" w:rsidRPr="00CE411B" w:rsidRDefault="00A43C1E" w:rsidP="00AB11A9">
            <w:pPr>
              <w:pStyle w:val="ExhibitText"/>
              <w:rPr>
                <w:lang w:val="en-GB"/>
              </w:rPr>
            </w:pPr>
          </w:p>
        </w:tc>
      </w:tr>
      <w:tr w:rsidR="00AB11A9" w:rsidRPr="00CE411B" w14:paraId="69E97F32" w14:textId="77777777" w:rsidTr="00DE379F">
        <w:trPr>
          <w:trHeight w:val="60"/>
          <w:jc w:val="center"/>
        </w:trPr>
        <w:tc>
          <w:tcPr>
            <w:tcW w:w="5632" w:type="dxa"/>
            <w:gridSpan w:val="5"/>
            <w:noWrap/>
            <w:vAlign w:val="center"/>
            <w:hideMark/>
          </w:tcPr>
          <w:p w14:paraId="2F37E545" w14:textId="4F6C357F" w:rsidR="00AB11A9" w:rsidRPr="00CE411B" w:rsidRDefault="00AB11A9" w:rsidP="00A43C1E">
            <w:pPr>
              <w:pStyle w:val="ExhibitText"/>
              <w:jc w:val="left"/>
              <w:rPr>
                <w:b/>
                <w:lang w:val="en-GB"/>
              </w:rPr>
            </w:pPr>
            <w:r w:rsidRPr="00CE411B">
              <w:rPr>
                <w:b/>
                <w:lang w:val="en-GB"/>
              </w:rPr>
              <w:t>Ford</w:t>
            </w:r>
          </w:p>
        </w:tc>
        <w:tc>
          <w:tcPr>
            <w:tcW w:w="939" w:type="dxa"/>
            <w:tcBorders>
              <w:top w:val="nil"/>
              <w:left w:val="nil"/>
              <w:bottom w:val="nil"/>
              <w:right w:val="nil"/>
            </w:tcBorders>
            <w:noWrap/>
            <w:vAlign w:val="center"/>
            <w:hideMark/>
          </w:tcPr>
          <w:p w14:paraId="129F1643" w14:textId="77777777" w:rsidR="00AB11A9" w:rsidRPr="00CE411B" w:rsidRDefault="00AB11A9" w:rsidP="00A43C1E">
            <w:pPr>
              <w:pStyle w:val="ExhibitText"/>
              <w:jc w:val="left"/>
              <w:rPr>
                <w:lang w:val="en-GB"/>
              </w:rPr>
            </w:pPr>
          </w:p>
        </w:tc>
        <w:tc>
          <w:tcPr>
            <w:tcW w:w="895" w:type="dxa"/>
            <w:tcBorders>
              <w:top w:val="nil"/>
              <w:left w:val="nil"/>
              <w:bottom w:val="nil"/>
              <w:right w:val="nil"/>
            </w:tcBorders>
            <w:noWrap/>
            <w:hideMark/>
          </w:tcPr>
          <w:p w14:paraId="7C25C7E0" w14:textId="77777777" w:rsidR="00AB11A9" w:rsidRPr="00CE411B" w:rsidRDefault="00AB11A9" w:rsidP="00AB11A9">
            <w:pPr>
              <w:pStyle w:val="ExhibitText"/>
              <w:rPr>
                <w:lang w:val="en-GB"/>
              </w:rPr>
            </w:pPr>
          </w:p>
        </w:tc>
        <w:tc>
          <w:tcPr>
            <w:tcW w:w="895" w:type="dxa"/>
            <w:tcBorders>
              <w:top w:val="nil"/>
              <w:left w:val="nil"/>
              <w:bottom w:val="nil"/>
              <w:right w:val="nil"/>
            </w:tcBorders>
            <w:noWrap/>
            <w:hideMark/>
          </w:tcPr>
          <w:p w14:paraId="5071DDC7" w14:textId="77777777" w:rsidR="00AB11A9" w:rsidRPr="00CE411B" w:rsidRDefault="00AB11A9" w:rsidP="00AB11A9">
            <w:pPr>
              <w:pStyle w:val="ExhibitText"/>
              <w:rPr>
                <w:lang w:val="en-GB"/>
              </w:rPr>
            </w:pPr>
          </w:p>
        </w:tc>
        <w:tc>
          <w:tcPr>
            <w:tcW w:w="1009" w:type="dxa"/>
            <w:tcBorders>
              <w:top w:val="nil"/>
              <w:left w:val="nil"/>
              <w:bottom w:val="nil"/>
              <w:right w:val="nil"/>
            </w:tcBorders>
            <w:noWrap/>
            <w:hideMark/>
          </w:tcPr>
          <w:p w14:paraId="3B55E972" w14:textId="77777777" w:rsidR="00AB11A9" w:rsidRPr="00CE411B" w:rsidRDefault="00AB11A9" w:rsidP="00AB11A9">
            <w:pPr>
              <w:pStyle w:val="ExhibitText"/>
              <w:rPr>
                <w:lang w:val="en-GB"/>
              </w:rPr>
            </w:pPr>
          </w:p>
        </w:tc>
      </w:tr>
      <w:tr w:rsidR="00AB11A9" w:rsidRPr="00CE411B" w14:paraId="1E10A4BF" w14:textId="77777777" w:rsidTr="00DE379F">
        <w:trPr>
          <w:gridAfter w:val="4"/>
          <w:wAfter w:w="3738" w:type="dxa"/>
          <w:trHeight w:val="60"/>
          <w:jc w:val="center"/>
        </w:trPr>
        <w:tc>
          <w:tcPr>
            <w:tcW w:w="5632" w:type="dxa"/>
            <w:gridSpan w:val="5"/>
            <w:noWrap/>
            <w:vAlign w:val="center"/>
            <w:hideMark/>
          </w:tcPr>
          <w:p w14:paraId="161788D6" w14:textId="77777777" w:rsidR="00AB11A9" w:rsidRPr="00CE411B" w:rsidRDefault="00AB11A9" w:rsidP="00A43C1E">
            <w:pPr>
              <w:pStyle w:val="ExhibitText"/>
              <w:jc w:val="left"/>
              <w:rPr>
                <w:lang w:val="en-GB"/>
              </w:rPr>
            </w:pPr>
            <w:r w:rsidRPr="00CE411B">
              <w:rPr>
                <w:lang w:val="en-GB"/>
              </w:rPr>
              <w:t>  </w:t>
            </w:r>
          </w:p>
        </w:tc>
      </w:tr>
      <w:tr w:rsidR="00AB11A9" w:rsidRPr="00CE411B" w14:paraId="3341AF34" w14:textId="77777777" w:rsidTr="00DE379F">
        <w:trPr>
          <w:trHeight w:val="288"/>
          <w:jc w:val="center"/>
        </w:trPr>
        <w:tc>
          <w:tcPr>
            <w:tcW w:w="1805" w:type="dxa"/>
            <w:noWrap/>
            <w:vAlign w:val="center"/>
            <w:hideMark/>
          </w:tcPr>
          <w:p w14:paraId="6D6CBDB0" w14:textId="63E83CA8" w:rsidR="00AB11A9" w:rsidRPr="00CE411B" w:rsidRDefault="00AB11A9" w:rsidP="00A43C1E">
            <w:pPr>
              <w:pStyle w:val="ExhibitText"/>
              <w:jc w:val="left"/>
              <w:rPr>
                <w:lang w:val="en-GB"/>
              </w:rPr>
            </w:pPr>
            <w:r w:rsidRPr="00CE411B">
              <w:rPr>
                <w:lang w:val="en-GB"/>
              </w:rPr>
              <w:t>Sales/Revenue</w:t>
            </w:r>
          </w:p>
        </w:tc>
        <w:tc>
          <w:tcPr>
            <w:tcW w:w="900" w:type="dxa"/>
            <w:noWrap/>
            <w:vAlign w:val="center"/>
            <w:hideMark/>
          </w:tcPr>
          <w:p w14:paraId="7FB5F701" w14:textId="6A5CAF48" w:rsidR="00AB11A9" w:rsidRPr="00CE411B" w:rsidRDefault="00AB11A9" w:rsidP="00DE379F">
            <w:pPr>
              <w:pStyle w:val="ExhibitText"/>
              <w:jc w:val="right"/>
              <w:rPr>
                <w:lang w:val="en-GB"/>
              </w:rPr>
            </w:pPr>
            <w:r w:rsidRPr="00CE411B">
              <w:rPr>
                <w:lang w:val="en-GB"/>
              </w:rPr>
              <w:t>156.80</w:t>
            </w:r>
          </w:p>
        </w:tc>
        <w:tc>
          <w:tcPr>
            <w:tcW w:w="900" w:type="dxa"/>
            <w:noWrap/>
            <w:vAlign w:val="center"/>
            <w:hideMark/>
          </w:tcPr>
          <w:p w14:paraId="02D1DB20" w14:textId="57BF521C" w:rsidR="00AB11A9" w:rsidRPr="00CE411B" w:rsidRDefault="00AB11A9" w:rsidP="00DE379F">
            <w:pPr>
              <w:pStyle w:val="ExhibitText"/>
              <w:jc w:val="right"/>
              <w:rPr>
                <w:lang w:val="en-GB"/>
              </w:rPr>
            </w:pPr>
            <w:r w:rsidRPr="00CE411B">
              <w:rPr>
                <w:lang w:val="en-GB"/>
              </w:rPr>
              <w:t>151.80</w:t>
            </w:r>
          </w:p>
        </w:tc>
        <w:tc>
          <w:tcPr>
            <w:tcW w:w="900" w:type="dxa"/>
            <w:noWrap/>
            <w:vAlign w:val="center"/>
            <w:hideMark/>
          </w:tcPr>
          <w:p w14:paraId="47D0148B" w14:textId="0CAA8F35" w:rsidR="00AB11A9" w:rsidRPr="00CE411B" w:rsidRDefault="00AB11A9" w:rsidP="00DE379F">
            <w:pPr>
              <w:pStyle w:val="ExhibitText"/>
              <w:jc w:val="right"/>
              <w:rPr>
                <w:lang w:val="en-GB"/>
              </w:rPr>
            </w:pPr>
            <w:r w:rsidRPr="00CE411B">
              <w:rPr>
                <w:lang w:val="en-GB"/>
              </w:rPr>
              <w:t>149.60</w:t>
            </w:r>
          </w:p>
        </w:tc>
        <w:tc>
          <w:tcPr>
            <w:tcW w:w="1127" w:type="dxa"/>
            <w:noWrap/>
            <w:vAlign w:val="center"/>
            <w:hideMark/>
          </w:tcPr>
          <w:p w14:paraId="14B10200" w14:textId="47FCCCD4" w:rsidR="00AB11A9" w:rsidRPr="00CE411B" w:rsidRDefault="00AB11A9" w:rsidP="00DE379F">
            <w:pPr>
              <w:pStyle w:val="ExhibitText"/>
              <w:jc w:val="right"/>
              <w:rPr>
                <w:lang w:val="en-GB"/>
              </w:rPr>
            </w:pPr>
            <w:r w:rsidRPr="00CE411B">
              <w:rPr>
                <w:lang w:val="en-GB"/>
              </w:rPr>
              <w:t>144.10</w:t>
            </w:r>
          </w:p>
        </w:tc>
        <w:tc>
          <w:tcPr>
            <w:tcW w:w="939" w:type="dxa"/>
            <w:tcBorders>
              <w:top w:val="nil"/>
              <w:left w:val="nil"/>
              <w:bottom w:val="nil"/>
              <w:right w:val="nil"/>
            </w:tcBorders>
            <w:noWrap/>
            <w:vAlign w:val="center"/>
            <w:hideMark/>
          </w:tcPr>
          <w:p w14:paraId="3EC53BD8" w14:textId="77777777" w:rsidR="00AB11A9" w:rsidRPr="00CE411B" w:rsidRDefault="00AB11A9" w:rsidP="00A43C1E">
            <w:pPr>
              <w:pStyle w:val="ExhibitText"/>
              <w:jc w:val="left"/>
              <w:rPr>
                <w:lang w:val="en-GB"/>
              </w:rPr>
            </w:pPr>
          </w:p>
        </w:tc>
        <w:tc>
          <w:tcPr>
            <w:tcW w:w="895" w:type="dxa"/>
            <w:tcBorders>
              <w:top w:val="nil"/>
              <w:left w:val="nil"/>
              <w:bottom w:val="nil"/>
              <w:right w:val="nil"/>
            </w:tcBorders>
            <w:noWrap/>
            <w:hideMark/>
          </w:tcPr>
          <w:p w14:paraId="2F959E18" w14:textId="77777777" w:rsidR="00AB11A9" w:rsidRPr="00CE411B" w:rsidRDefault="00AB11A9" w:rsidP="00AB11A9">
            <w:pPr>
              <w:pStyle w:val="ExhibitText"/>
              <w:rPr>
                <w:lang w:val="en-GB"/>
              </w:rPr>
            </w:pPr>
          </w:p>
        </w:tc>
        <w:tc>
          <w:tcPr>
            <w:tcW w:w="895" w:type="dxa"/>
            <w:tcBorders>
              <w:top w:val="nil"/>
              <w:left w:val="nil"/>
              <w:bottom w:val="nil"/>
              <w:right w:val="nil"/>
            </w:tcBorders>
            <w:noWrap/>
            <w:hideMark/>
          </w:tcPr>
          <w:p w14:paraId="19DEC348" w14:textId="77777777" w:rsidR="00AB11A9" w:rsidRPr="00CE411B" w:rsidRDefault="00AB11A9" w:rsidP="00AB11A9">
            <w:pPr>
              <w:pStyle w:val="ExhibitText"/>
              <w:rPr>
                <w:lang w:val="en-GB"/>
              </w:rPr>
            </w:pPr>
          </w:p>
        </w:tc>
        <w:tc>
          <w:tcPr>
            <w:tcW w:w="1009" w:type="dxa"/>
            <w:tcBorders>
              <w:top w:val="nil"/>
              <w:left w:val="nil"/>
              <w:bottom w:val="nil"/>
              <w:right w:val="nil"/>
            </w:tcBorders>
            <w:noWrap/>
            <w:hideMark/>
          </w:tcPr>
          <w:p w14:paraId="11F65C5A" w14:textId="77777777" w:rsidR="00AB11A9" w:rsidRPr="00CE411B" w:rsidRDefault="00AB11A9" w:rsidP="00AB11A9">
            <w:pPr>
              <w:pStyle w:val="ExhibitText"/>
              <w:rPr>
                <w:lang w:val="en-GB"/>
              </w:rPr>
            </w:pPr>
          </w:p>
        </w:tc>
      </w:tr>
      <w:tr w:rsidR="00AB11A9" w:rsidRPr="00CE411B" w14:paraId="6422D1E0" w14:textId="77777777" w:rsidTr="00DE379F">
        <w:trPr>
          <w:trHeight w:val="288"/>
          <w:jc w:val="center"/>
        </w:trPr>
        <w:tc>
          <w:tcPr>
            <w:tcW w:w="1805" w:type="dxa"/>
            <w:noWrap/>
            <w:vAlign w:val="center"/>
            <w:hideMark/>
          </w:tcPr>
          <w:p w14:paraId="79EB34CE" w14:textId="4BEF7CCE" w:rsidR="00AB11A9" w:rsidRPr="00CE411B" w:rsidRDefault="00AB11A9" w:rsidP="00A43C1E">
            <w:pPr>
              <w:pStyle w:val="ExhibitText"/>
              <w:jc w:val="left"/>
              <w:rPr>
                <w:lang w:val="en-GB"/>
              </w:rPr>
            </w:pPr>
            <w:r w:rsidRPr="00CE411B">
              <w:rPr>
                <w:lang w:val="en-GB"/>
              </w:rPr>
              <w:t>Sales Growth***</w:t>
            </w:r>
          </w:p>
        </w:tc>
        <w:tc>
          <w:tcPr>
            <w:tcW w:w="900" w:type="dxa"/>
            <w:noWrap/>
            <w:vAlign w:val="center"/>
            <w:hideMark/>
          </w:tcPr>
          <w:p w14:paraId="4F55B7A6" w14:textId="388C10E4" w:rsidR="00AB11A9" w:rsidRPr="00CE411B" w:rsidRDefault="00AB11A9" w:rsidP="00DE379F">
            <w:pPr>
              <w:pStyle w:val="ExhibitText"/>
              <w:jc w:val="right"/>
              <w:rPr>
                <w:lang w:val="en-GB"/>
              </w:rPr>
            </w:pPr>
            <w:r w:rsidRPr="00CE411B">
              <w:rPr>
                <w:lang w:val="en-GB"/>
              </w:rPr>
              <w:t>3.29%</w:t>
            </w:r>
          </w:p>
        </w:tc>
        <w:tc>
          <w:tcPr>
            <w:tcW w:w="900" w:type="dxa"/>
            <w:noWrap/>
            <w:vAlign w:val="center"/>
            <w:hideMark/>
          </w:tcPr>
          <w:p w14:paraId="26733C0A" w14:textId="27C1262D" w:rsidR="00AB11A9" w:rsidRPr="00CE411B" w:rsidRDefault="00AB11A9" w:rsidP="00DE379F">
            <w:pPr>
              <w:pStyle w:val="ExhibitText"/>
              <w:jc w:val="right"/>
              <w:rPr>
                <w:lang w:val="en-GB"/>
              </w:rPr>
            </w:pPr>
            <w:r w:rsidRPr="00CE411B">
              <w:rPr>
                <w:lang w:val="en-GB"/>
              </w:rPr>
              <w:t>1.47%</w:t>
            </w:r>
          </w:p>
        </w:tc>
        <w:tc>
          <w:tcPr>
            <w:tcW w:w="900" w:type="dxa"/>
            <w:noWrap/>
            <w:vAlign w:val="center"/>
            <w:hideMark/>
          </w:tcPr>
          <w:p w14:paraId="2DD31237" w14:textId="42AC33E7" w:rsidR="00AB11A9" w:rsidRPr="00CE411B" w:rsidRDefault="00AB11A9" w:rsidP="00DE379F">
            <w:pPr>
              <w:pStyle w:val="ExhibitText"/>
              <w:jc w:val="right"/>
              <w:rPr>
                <w:lang w:val="en-GB"/>
              </w:rPr>
            </w:pPr>
            <w:r w:rsidRPr="00CE411B">
              <w:rPr>
                <w:lang w:val="en-GB"/>
              </w:rPr>
              <w:t>3.82%</w:t>
            </w:r>
          </w:p>
        </w:tc>
        <w:tc>
          <w:tcPr>
            <w:tcW w:w="1127" w:type="dxa"/>
            <w:noWrap/>
            <w:vAlign w:val="center"/>
            <w:hideMark/>
          </w:tcPr>
          <w:p w14:paraId="156EA5DE" w14:textId="0C97450D" w:rsidR="00AB11A9" w:rsidRPr="00CE411B" w:rsidRDefault="00AB11A9" w:rsidP="00DE379F">
            <w:pPr>
              <w:pStyle w:val="ExhibitText"/>
              <w:jc w:val="right"/>
              <w:rPr>
                <w:lang w:val="en-GB"/>
              </w:rPr>
            </w:pPr>
            <w:r w:rsidRPr="00CE411B">
              <w:rPr>
                <w:lang w:val="en-GB"/>
              </w:rPr>
              <w:t>N/A</w:t>
            </w:r>
          </w:p>
        </w:tc>
        <w:tc>
          <w:tcPr>
            <w:tcW w:w="939" w:type="dxa"/>
            <w:tcBorders>
              <w:top w:val="nil"/>
              <w:left w:val="nil"/>
              <w:bottom w:val="nil"/>
              <w:right w:val="nil"/>
            </w:tcBorders>
            <w:noWrap/>
            <w:vAlign w:val="center"/>
            <w:hideMark/>
          </w:tcPr>
          <w:p w14:paraId="6FB1FADA" w14:textId="77777777" w:rsidR="00AB11A9" w:rsidRPr="00CE411B" w:rsidRDefault="00AB11A9" w:rsidP="00A43C1E">
            <w:pPr>
              <w:pStyle w:val="ExhibitText"/>
              <w:jc w:val="left"/>
              <w:rPr>
                <w:lang w:val="en-GB"/>
              </w:rPr>
            </w:pPr>
          </w:p>
        </w:tc>
        <w:tc>
          <w:tcPr>
            <w:tcW w:w="895" w:type="dxa"/>
            <w:tcBorders>
              <w:top w:val="nil"/>
              <w:left w:val="nil"/>
              <w:bottom w:val="nil"/>
              <w:right w:val="nil"/>
            </w:tcBorders>
            <w:noWrap/>
            <w:hideMark/>
          </w:tcPr>
          <w:p w14:paraId="19F15FA7" w14:textId="77777777" w:rsidR="00AB11A9" w:rsidRPr="00CE411B" w:rsidRDefault="00AB11A9" w:rsidP="00AB11A9">
            <w:pPr>
              <w:pStyle w:val="ExhibitText"/>
              <w:rPr>
                <w:lang w:val="en-GB"/>
              </w:rPr>
            </w:pPr>
          </w:p>
        </w:tc>
        <w:tc>
          <w:tcPr>
            <w:tcW w:w="895" w:type="dxa"/>
            <w:tcBorders>
              <w:top w:val="nil"/>
              <w:left w:val="nil"/>
              <w:bottom w:val="nil"/>
              <w:right w:val="nil"/>
            </w:tcBorders>
            <w:noWrap/>
            <w:hideMark/>
          </w:tcPr>
          <w:p w14:paraId="5BEF5738" w14:textId="77777777" w:rsidR="00AB11A9" w:rsidRPr="00CE411B" w:rsidRDefault="00AB11A9" w:rsidP="00AB11A9">
            <w:pPr>
              <w:pStyle w:val="ExhibitText"/>
              <w:rPr>
                <w:lang w:val="en-GB"/>
              </w:rPr>
            </w:pPr>
          </w:p>
        </w:tc>
        <w:tc>
          <w:tcPr>
            <w:tcW w:w="1009" w:type="dxa"/>
            <w:tcBorders>
              <w:top w:val="nil"/>
              <w:left w:val="nil"/>
              <w:bottom w:val="nil"/>
              <w:right w:val="nil"/>
            </w:tcBorders>
            <w:noWrap/>
            <w:hideMark/>
          </w:tcPr>
          <w:p w14:paraId="07F1D91D" w14:textId="77777777" w:rsidR="00AB11A9" w:rsidRPr="00CE411B" w:rsidRDefault="00AB11A9" w:rsidP="00AB11A9">
            <w:pPr>
              <w:pStyle w:val="ExhibitText"/>
              <w:rPr>
                <w:lang w:val="en-GB"/>
              </w:rPr>
            </w:pPr>
          </w:p>
        </w:tc>
      </w:tr>
      <w:tr w:rsidR="00AB11A9" w:rsidRPr="00CE411B" w14:paraId="4702581A" w14:textId="77777777" w:rsidTr="00DE379F">
        <w:trPr>
          <w:trHeight w:val="288"/>
          <w:jc w:val="center"/>
        </w:trPr>
        <w:tc>
          <w:tcPr>
            <w:tcW w:w="1805" w:type="dxa"/>
            <w:tcBorders>
              <w:bottom w:val="single" w:sz="4" w:space="0" w:color="auto"/>
            </w:tcBorders>
            <w:noWrap/>
            <w:vAlign w:val="center"/>
            <w:hideMark/>
          </w:tcPr>
          <w:p w14:paraId="26DA5BE3" w14:textId="074F888C" w:rsidR="00AB11A9" w:rsidRPr="00CE411B" w:rsidRDefault="00EE1E22" w:rsidP="00A43C1E">
            <w:pPr>
              <w:pStyle w:val="ExhibitText"/>
              <w:jc w:val="left"/>
              <w:rPr>
                <w:lang w:val="en-GB"/>
              </w:rPr>
            </w:pPr>
            <w:r w:rsidRPr="00CE411B">
              <w:rPr>
                <w:lang w:val="en-GB"/>
              </w:rPr>
              <w:t xml:space="preserve">Cost </w:t>
            </w:r>
            <w:proofErr w:type="gramStart"/>
            <w:r w:rsidRPr="00CE411B">
              <w:rPr>
                <w:lang w:val="en-GB"/>
              </w:rPr>
              <w:t>Of</w:t>
            </w:r>
            <w:proofErr w:type="gramEnd"/>
            <w:r w:rsidRPr="00CE411B">
              <w:rPr>
                <w:lang w:val="en-GB"/>
              </w:rPr>
              <w:t xml:space="preserve"> Goods Sold (COGS</w:t>
            </w:r>
            <w:r w:rsidR="00AB11A9" w:rsidRPr="00CE411B">
              <w:rPr>
                <w:lang w:val="en-GB"/>
              </w:rPr>
              <w:t>)**</w:t>
            </w:r>
          </w:p>
        </w:tc>
        <w:tc>
          <w:tcPr>
            <w:tcW w:w="900" w:type="dxa"/>
            <w:tcBorders>
              <w:bottom w:val="single" w:sz="4" w:space="0" w:color="auto"/>
            </w:tcBorders>
            <w:noWrap/>
            <w:vAlign w:val="center"/>
            <w:hideMark/>
          </w:tcPr>
          <w:p w14:paraId="2203E151" w14:textId="44E4D966" w:rsidR="00AB11A9" w:rsidRPr="00CE411B" w:rsidRDefault="00AB11A9" w:rsidP="00DE379F">
            <w:pPr>
              <w:pStyle w:val="ExhibitText"/>
              <w:jc w:val="right"/>
              <w:rPr>
                <w:lang w:val="en-GB"/>
              </w:rPr>
            </w:pPr>
            <w:r w:rsidRPr="00CE411B">
              <w:rPr>
                <w:lang w:val="en-GB"/>
              </w:rPr>
              <w:t>124.40</w:t>
            </w:r>
          </w:p>
        </w:tc>
        <w:tc>
          <w:tcPr>
            <w:tcW w:w="900" w:type="dxa"/>
            <w:tcBorders>
              <w:bottom w:val="single" w:sz="4" w:space="0" w:color="auto"/>
            </w:tcBorders>
            <w:noWrap/>
            <w:vAlign w:val="center"/>
            <w:hideMark/>
          </w:tcPr>
          <w:p w14:paraId="09E7AFB4" w14:textId="292DDA5F" w:rsidR="00AB11A9" w:rsidRPr="00CE411B" w:rsidRDefault="00AB11A9" w:rsidP="00DE379F">
            <w:pPr>
              <w:pStyle w:val="ExhibitText"/>
              <w:jc w:val="right"/>
              <w:rPr>
                <w:lang w:val="en-GB"/>
              </w:rPr>
            </w:pPr>
            <w:r w:rsidRPr="00CE411B">
              <w:rPr>
                <w:lang w:val="en-GB"/>
              </w:rPr>
              <w:t>120.00</w:t>
            </w:r>
          </w:p>
        </w:tc>
        <w:tc>
          <w:tcPr>
            <w:tcW w:w="900" w:type="dxa"/>
            <w:tcBorders>
              <w:bottom w:val="single" w:sz="4" w:space="0" w:color="auto"/>
            </w:tcBorders>
            <w:noWrap/>
            <w:vAlign w:val="center"/>
            <w:hideMark/>
          </w:tcPr>
          <w:p w14:paraId="184C469D" w14:textId="75AAF404" w:rsidR="00AB11A9" w:rsidRPr="00CE411B" w:rsidRDefault="00AB11A9" w:rsidP="00DE379F">
            <w:pPr>
              <w:pStyle w:val="ExhibitText"/>
              <w:jc w:val="right"/>
              <w:rPr>
                <w:lang w:val="en-GB"/>
              </w:rPr>
            </w:pPr>
            <w:r w:rsidRPr="00CE411B">
              <w:rPr>
                <w:lang w:val="en-GB"/>
              </w:rPr>
              <w:t>112.40</w:t>
            </w:r>
          </w:p>
        </w:tc>
        <w:tc>
          <w:tcPr>
            <w:tcW w:w="1127" w:type="dxa"/>
            <w:tcBorders>
              <w:bottom w:val="single" w:sz="4" w:space="0" w:color="auto"/>
            </w:tcBorders>
            <w:noWrap/>
            <w:vAlign w:val="center"/>
            <w:hideMark/>
          </w:tcPr>
          <w:p w14:paraId="413DADAE" w14:textId="67E6445A" w:rsidR="00AB11A9" w:rsidRPr="00CE411B" w:rsidRDefault="00AB11A9" w:rsidP="00DE379F">
            <w:pPr>
              <w:pStyle w:val="ExhibitText"/>
              <w:jc w:val="right"/>
              <w:rPr>
                <w:lang w:val="en-GB"/>
              </w:rPr>
            </w:pPr>
            <w:r w:rsidRPr="00CE411B">
              <w:rPr>
                <w:lang w:val="en-GB"/>
              </w:rPr>
              <w:t>112.10</w:t>
            </w:r>
          </w:p>
        </w:tc>
        <w:tc>
          <w:tcPr>
            <w:tcW w:w="939" w:type="dxa"/>
            <w:tcBorders>
              <w:top w:val="nil"/>
              <w:left w:val="nil"/>
              <w:bottom w:val="nil"/>
              <w:right w:val="nil"/>
            </w:tcBorders>
            <w:noWrap/>
            <w:vAlign w:val="center"/>
            <w:hideMark/>
          </w:tcPr>
          <w:p w14:paraId="165E1D30" w14:textId="77777777" w:rsidR="00AB11A9" w:rsidRPr="00CE411B" w:rsidRDefault="00AB11A9" w:rsidP="00A43C1E">
            <w:pPr>
              <w:pStyle w:val="ExhibitText"/>
              <w:jc w:val="left"/>
              <w:rPr>
                <w:lang w:val="en-GB"/>
              </w:rPr>
            </w:pPr>
          </w:p>
        </w:tc>
        <w:tc>
          <w:tcPr>
            <w:tcW w:w="895" w:type="dxa"/>
            <w:tcBorders>
              <w:top w:val="nil"/>
              <w:left w:val="nil"/>
              <w:bottom w:val="nil"/>
              <w:right w:val="nil"/>
            </w:tcBorders>
            <w:noWrap/>
            <w:hideMark/>
          </w:tcPr>
          <w:p w14:paraId="33927C4D" w14:textId="77777777" w:rsidR="00AB11A9" w:rsidRPr="00CE411B" w:rsidRDefault="00AB11A9" w:rsidP="00AB11A9">
            <w:pPr>
              <w:pStyle w:val="ExhibitText"/>
              <w:rPr>
                <w:lang w:val="en-GB"/>
              </w:rPr>
            </w:pPr>
          </w:p>
        </w:tc>
        <w:tc>
          <w:tcPr>
            <w:tcW w:w="895" w:type="dxa"/>
            <w:tcBorders>
              <w:top w:val="nil"/>
              <w:left w:val="nil"/>
              <w:bottom w:val="nil"/>
              <w:right w:val="nil"/>
            </w:tcBorders>
            <w:noWrap/>
            <w:hideMark/>
          </w:tcPr>
          <w:p w14:paraId="15B762DA" w14:textId="77777777" w:rsidR="00AB11A9" w:rsidRPr="00CE411B" w:rsidRDefault="00AB11A9" w:rsidP="00AB11A9">
            <w:pPr>
              <w:pStyle w:val="ExhibitText"/>
              <w:rPr>
                <w:lang w:val="en-GB"/>
              </w:rPr>
            </w:pPr>
          </w:p>
        </w:tc>
        <w:tc>
          <w:tcPr>
            <w:tcW w:w="1009" w:type="dxa"/>
            <w:tcBorders>
              <w:top w:val="nil"/>
              <w:left w:val="nil"/>
              <w:bottom w:val="nil"/>
              <w:right w:val="nil"/>
            </w:tcBorders>
            <w:noWrap/>
            <w:hideMark/>
          </w:tcPr>
          <w:p w14:paraId="3758069C" w14:textId="77777777" w:rsidR="00AB11A9" w:rsidRPr="00CE411B" w:rsidRDefault="00AB11A9" w:rsidP="00AB11A9">
            <w:pPr>
              <w:pStyle w:val="ExhibitText"/>
              <w:rPr>
                <w:lang w:val="en-GB"/>
              </w:rPr>
            </w:pPr>
          </w:p>
        </w:tc>
      </w:tr>
      <w:tr w:rsidR="00AB11A9" w:rsidRPr="00CE411B" w14:paraId="72DD7401" w14:textId="77777777" w:rsidTr="00DE379F">
        <w:trPr>
          <w:trHeight w:val="300"/>
          <w:jc w:val="center"/>
        </w:trPr>
        <w:tc>
          <w:tcPr>
            <w:tcW w:w="1805" w:type="dxa"/>
            <w:tcBorders>
              <w:bottom w:val="single" w:sz="4" w:space="0" w:color="auto"/>
            </w:tcBorders>
            <w:noWrap/>
            <w:vAlign w:val="center"/>
            <w:hideMark/>
          </w:tcPr>
          <w:p w14:paraId="3FFAB796" w14:textId="3252C71F" w:rsidR="00AB11A9" w:rsidRPr="00CE411B" w:rsidRDefault="00AB11A9" w:rsidP="00A43C1E">
            <w:pPr>
              <w:pStyle w:val="ExhibitText"/>
              <w:jc w:val="left"/>
              <w:rPr>
                <w:lang w:val="en-GB"/>
              </w:rPr>
            </w:pPr>
            <w:r w:rsidRPr="00CE411B">
              <w:rPr>
                <w:lang w:val="en-GB"/>
              </w:rPr>
              <w:t>Net Income</w:t>
            </w:r>
          </w:p>
        </w:tc>
        <w:tc>
          <w:tcPr>
            <w:tcW w:w="900" w:type="dxa"/>
            <w:tcBorders>
              <w:bottom w:val="single" w:sz="4" w:space="0" w:color="auto"/>
            </w:tcBorders>
            <w:noWrap/>
            <w:vAlign w:val="center"/>
            <w:hideMark/>
          </w:tcPr>
          <w:p w14:paraId="1061BCAD" w14:textId="6714AE9C" w:rsidR="00AB11A9" w:rsidRPr="00CE411B" w:rsidRDefault="00AB11A9" w:rsidP="00DE379F">
            <w:pPr>
              <w:pStyle w:val="ExhibitText"/>
              <w:jc w:val="right"/>
              <w:rPr>
                <w:lang w:val="en-GB"/>
              </w:rPr>
            </w:pPr>
            <w:r w:rsidRPr="00CE411B">
              <w:rPr>
                <w:lang w:val="en-GB"/>
              </w:rPr>
              <w:t>7.60</w:t>
            </w:r>
          </w:p>
        </w:tc>
        <w:tc>
          <w:tcPr>
            <w:tcW w:w="900" w:type="dxa"/>
            <w:tcBorders>
              <w:bottom w:val="single" w:sz="4" w:space="0" w:color="auto"/>
            </w:tcBorders>
            <w:noWrap/>
            <w:vAlign w:val="center"/>
            <w:hideMark/>
          </w:tcPr>
          <w:p w14:paraId="109001C2" w14:textId="1E17123A" w:rsidR="00AB11A9" w:rsidRPr="00CE411B" w:rsidRDefault="00AB11A9" w:rsidP="00DE379F">
            <w:pPr>
              <w:pStyle w:val="ExhibitText"/>
              <w:jc w:val="right"/>
              <w:rPr>
                <w:lang w:val="en-GB"/>
              </w:rPr>
            </w:pPr>
            <w:r w:rsidRPr="00CE411B">
              <w:rPr>
                <w:lang w:val="en-GB"/>
              </w:rPr>
              <w:t>4.60</w:t>
            </w:r>
          </w:p>
        </w:tc>
        <w:tc>
          <w:tcPr>
            <w:tcW w:w="900" w:type="dxa"/>
            <w:tcBorders>
              <w:bottom w:val="single" w:sz="4" w:space="0" w:color="auto"/>
            </w:tcBorders>
            <w:noWrap/>
            <w:vAlign w:val="center"/>
            <w:hideMark/>
          </w:tcPr>
          <w:p w14:paraId="7FA018D5" w14:textId="6D627C69" w:rsidR="00AB11A9" w:rsidRPr="00CE411B" w:rsidRDefault="00AB11A9" w:rsidP="00DE379F">
            <w:pPr>
              <w:pStyle w:val="ExhibitText"/>
              <w:jc w:val="right"/>
              <w:rPr>
                <w:lang w:val="en-GB"/>
              </w:rPr>
            </w:pPr>
            <w:r w:rsidRPr="00CE411B">
              <w:rPr>
                <w:lang w:val="en-GB"/>
              </w:rPr>
              <w:t>7.40</w:t>
            </w:r>
          </w:p>
        </w:tc>
        <w:tc>
          <w:tcPr>
            <w:tcW w:w="1127" w:type="dxa"/>
            <w:tcBorders>
              <w:bottom w:val="single" w:sz="4" w:space="0" w:color="auto"/>
            </w:tcBorders>
            <w:noWrap/>
            <w:vAlign w:val="center"/>
            <w:hideMark/>
          </w:tcPr>
          <w:p w14:paraId="3BE5ADC6" w14:textId="6AADF9D5" w:rsidR="00AB11A9" w:rsidRPr="00CE411B" w:rsidRDefault="00AB11A9" w:rsidP="00DE379F">
            <w:pPr>
              <w:pStyle w:val="ExhibitText"/>
              <w:jc w:val="right"/>
              <w:rPr>
                <w:lang w:val="en-GB"/>
              </w:rPr>
            </w:pPr>
            <w:r w:rsidRPr="00CE411B">
              <w:rPr>
                <w:lang w:val="en-GB"/>
              </w:rPr>
              <w:t>3.20</w:t>
            </w:r>
          </w:p>
        </w:tc>
        <w:tc>
          <w:tcPr>
            <w:tcW w:w="939" w:type="dxa"/>
            <w:tcBorders>
              <w:top w:val="nil"/>
              <w:left w:val="nil"/>
              <w:bottom w:val="nil"/>
              <w:right w:val="nil"/>
            </w:tcBorders>
            <w:noWrap/>
            <w:vAlign w:val="center"/>
            <w:hideMark/>
          </w:tcPr>
          <w:p w14:paraId="717D1EDC" w14:textId="77777777" w:rsidR="00AB11A9" w:rsidRPr="00CE411B" w:rsidRDefault="00AB11A9" w:rsidP="00A43C1E">
            <w:pPr>
              <w:pStyle w:val="ExhibitText"/>
              <w:jc w:val="left"/>
              <w:rPr>
                <w:lang w:val="en-GB"/>
              </w:rPr>
            </w:pPr>
          </w:p>
        </w:tc>
        <w:tc>
          <w:tcPr>
            <w:tcW w:w="895" w:type="dxa"/>
            <w:tcBorders>
              <w:top w:val="nil"/>
              <w:left w:val="nil"/>
              <w:bottom w:val="nil"/>
              <w:right w:val="nil"/>
            </w:tcBorders>
            <w:noWrap/>
            <w:hideMark/>
          </w:tcPr>
          <w:p w14:paraId="6815DB20" w14:textId="77777777" w:rsidR="00AB11A9" w:rsidRPr="00CE411B" w:rsidRDefault="00AB11A9" w:rsidP="00AB11A9">
            <w:pPr>
              <w:pStyle w:val="ExhibitText"/>
              <w:rPr>
                <w:lang w:val="en-GB"/>
              </w:rPr>
            </w:pPr>
          </w:p>
        </w:tc>
        <w:tc>
          <w:tcPr>
            <w:tcW w:w="895" w:type="dxa"/>
            <w:tcBorders>
              <w:top w:val="nil"/>
              <w:left w:val="nil"/>
              <w:bottom w:val="nil"/>
              <w:right w:val="nil"/>
            </w:tcBorders>
            <w:noWrap/>
            <w:hideMark/>
          </w:tcPr>
          <w:p w14:paraId="2984488C" w14:textId="77777777" w:rsidR="00AB11A9" w:rsidRPr="00CE411B" w:rsidRDefault="00AB11A9" w:rsidP="00AB11A9">
            <w:pPr>
              <w:pStyle w:val="ExhibitText"/>
              <w:rPr>
                <w:lang w:val="en-GB"/>
              </w:rPr>
            </w:pPr>
          </w:p>
        </w:tc>
        <w:tc>
          <w:tcPr>
            <w:tcW w:w="1009" w:type="dxa"/>
            <w:tcBorders>
              <w:top w:val="nil"/>
              <w:left w:val="nil"/>
              <w:bottom w:val="nil"/>
              <w:right w:val="nil"/>
            </w:tcBorders>
            <w:noWrap/>
            <w:hideMark/>
          </w:tcPr>
          <w:p w14:paraId="52DFE83E" w14:textId="77777777" w:rsidR="00AB11A9" w:rsidRPr="00CE411B" w:rsidRDefault="00AB11A9" w:rsidP="00AB11A9">
            <w:pPr>
              <w:pStyle w:val="ExhibitText"/>
              <w:rPr>
                <w:lang w:val="en-GB"/>
              </w:rPr>
            </w:pPr>
          </w:p>
        </w:tc>
      </w:tr>
    </w:tbl>
    <w:p w14:paraId="23FE9A3B" w14:textId="77777777" w:rsidR="00D315F3" w:rsidRPr="00CE411B" w:rsidRDefault="00D315F3" w:rsidP="00D315F3">
      <w:pPr>
        <w:pStyle w:val="BodyTextMain"/>
        <w:rPr>
          <w:sz w:val="20"/>
          <w:lang w:val="en-GB"/>
        </w:rPr>
      </w:pPr>
    </w:p>
    <w:p w14:paraId="001DFFEA" w14:textId="3113866B" w:rsidR="00D315F3" w:rsidRPr="00CE411B" w:rsidRDefault="006F57D2" w:rsidP="00D315F3">
      <w:pPr>
        <w:pStyle w:val="Footnote"/>
        <w:rPr>
          <w:lang w:val="en-GB"/>
        </w:rPr>
      </w:pPr>
      <w:r>
        <w:rPr>
          <w:lang w:val="en-GB"/>
        </w:rPr>
        <w:t>Note: *US$1 = HK$7.8463</w:t>
      </w:r>
      <w:r w:rsidR="00D315F3" w:rsidRPr="00CE411B">
        <w:rPr>
          <w:lang w:val="en-GB"/>
        </w:rPr>
        <w:t xml:space="preserve"> on June 9, 2018</w:t>
      </w:r>
      <w:r>
        <w:rPr>
          <w:lang w:val="en-GB"/>
        </w:rPr>
        <w:t xml:space="preserve">; US$ figures converted by the author; </w:t>
      </w:r>
      <w:r w:rsidR="00D315F3" w:rsidRPr="00CE411B">
        <w:rPr>
          <w:lang w:val="en-GB"/>
        </w:rPr>
        <w:t>**excluding depreciation and amortization</w:t>
      </w:r>
      <w:r>
        <w:rPr>
          <w:lang w:val="en-GB"/>
        </w:rPr>
        <w:t>;</w:t>
      </w:r>
    </w:p>
    <w:p w14:paraId="19EF6730" w14:textId="2144CF47" w:rsidR="00D315F3" w:rsidRPr="00CE411B" w:rsidRDefault="00D315F3" w:rsidP="00D315F3">
      <w:pPr>
        <w:pStyle w:val="Footnote"/>
        <w:rPr>
          <w:lang w:val="en-GB"/>
        </w:rPr>
      </w:pPr>
      <w:r w:rsidRPr="00CE411B">
        <w:rPr>
          <w:lang w:val="en-GB"/>
        </w:rPr>
        <w:t xml:space="preserve">***computed by </w:t>
      </w:r>
      <w:r w:rsidR="006F57D2">
        <w:rPr>
          <w:lang w:val="en-GB"/>
        </w:rPr>
        <w:t xml:space="preserve">the </w:t>
      </w:r>
      <w:r w:rsidRPr="00CE411B">
        <w:rPr>
          <w:lang w:val="en-GB"/>
        </w:rPr>
        <w:t>author based on available data</w:t>
      </w:r>
      <w:r w:rsidR="006F57D2">
        <w:rPr>
          <w:lang w:val="en-GB"/>
        </w:rPr>
        <w:t>.</w:t>
      </w:r>
    </w:p>
    <w:p w14:paraId="796F87B2" w14:textId="11BF2B6E" w:rsidR="00D315F3" w:rsidRPr="00CE411B" w:rsidRDefault="00D315F3" w:rsidP="00D315F3">
      <w:pPr>
        <w:pStyle w:val="Footnote"/>
        <w:rPr>
          <w:lang w:val="en-GB"/>
        </w:rPr>
      </w:pPr>
      <w:r w:rsidRPr="00CE411B">
        <w:rPr>
          <w:lang w:val="en-GB"/>
        </w:rPr>
        <w:t xml:space="preserve">Source: </w:t>
      </w:r>
      <w:r w:rsidR="006F57D2">
        <w:rPr>
          <w:lang w:val="en-GB"/>
        </w:rPr>
        <w:t>“</w:t>
      </w:r>
      <w:proofErr w:type="spellStart"/>
      <w:r w:rsidRPr="00CE411B">
        <w:rPr>
          <w:lang w:val="en-GB"/>
        </w:rPr>
        <w:t>Geely</w:t>
      </w:r>
      <w:proofErr w:type="spellEnd"/>
      <w:r w:rsidRPr="00CE411B">
        <w:rPr>
          <w:lang w:val="en-GB"/>
        </w:rPr>
        <w:t xml:space="preserve"> Automobile Holdings Ltd</w:t>
      </w:r>
      <w:r w:rsidR="006F57D2">
        <w:rPr>
          <w:lang w:val="en-GB"/>
        </w:rPr>
        <w:t>.</w:t>
      </w:r>
      <w:r w:rsidR="0050511E">
        <w:rPr>
          <w:lang w:val="en-GB"/>
        </w:rPr>
        <w:t>,</w:t>
      </w:r>
      <w:r w:rsidR="006F57D2">
        <w:rPr>
          <w:lang w:val="en-GB"/>
        </w:rPr>
        <w:t>”</w:t>
      </w:r>
      <w:r w:rsidRPr="00CE411B">
        <w:rPr>
          <w:lang w:val="en-GB"/>
        </w:rPr>
        <w:t xml:space="preserve"> </w:t>
      </w:r>
      <w:r w:rsidRPr="00DE379F">
        <w:rPr>
          <w:i/>
          <w:lang w:val="en-GB"/>
        </w:rPr>
        <w:t>Wall Street Journal</w:t>
      </w:r>
      <w:r w:rsidR="006F57D2">
        <w:rPr>
          <w:i/>
          <w:lang w:val="en-GB"/>
        </w:rPr>
        <w:t>,</w:t>
      </w:r>
      <w:r w:rsidRPr="00CE411B">
        <w:rPr>
          <w:lang w:val="en-GB"/>
        </w:rPr>
        <w:t xml:space="preserve"> </w:t>
      </w:r>
      <w:r w:rsidR="006F57D2">
        <w:rPr>
          <w:lang w:val="en-GB"/>
        </w:rPr>
        <w:t xml:space="preserve">June 9, </w:t>
      </w:r>
      <w:r w:rsidRPr="00CE411B">
        <w:rPr>
          <w:lang w:val="en-GB"/>
        </w:rPr>
        <w:t>2018</w:t>
      </w:r>
      <w:r w:rsidR="006F57D2">
        <w:rPr>
          <w:lang w:val="en-GB"/>
        </w:rPr>
        <w:t>, accessed June 9, 2018,</w:t>
      </w:r>
      <w:r w:rsidRPr="00CE411B">
        <w:rPr>
          <w:lang w:val="en-GB"/>
        </w:rPr>
        <w:t xml:space="preserve"> https://quotes.wsj.com/GELYF/financials/annual/income-statement; </w:t>
      </w:r>
      <w:r w:rsidR="0050511E">
        <w:rPr>
          <w:lang w:val="en-GB"/>
        </w:rPr>
        <w:t>“</w:t>
      </w:r>
      <w:r w:rsidRPr="00CE411B">
        <w:rPr>
          <w:lang w:val="en-GB"/>
        </w:rPr>
        <w:t>Ford Motor Co</w:t>
      </w:r>
      <w:r w:rsidR="0050511E">
        <w:rPr>
          <w:lang w:val="en-GB"/>
        </w:rPr>
        <w:t xml:space="preserve">,” CNN Business, accessed June 9, 2018, </w:t>
      </w:r>
      <w:r w:rsidRPr="0050511E">
        <w:rPr>
          <w:rStyle w:val="Hyperlink"/>
          <w:color w:val="auto"/>
          <w:u w:val="none"/>
          <w:lang w:val="en-GB"/>
        </w:rPr>
        <w:t>http://money.cnn.com/quote/financials/financials.html?symb=F</w:t>
      </w:r>
      <w:r w:rsidRPr="00CE411B">
        <w:rPr>
          <w:lang w:val="en-GB"/>
        </w:rPr>
        <w:t>.</w:t>
      </w:r>
    </w:p>
    <w:p w14:paraId="46B5B5B2" w14:textId="77777777" w:rsidR="00D315F3" w:rsidRPr="00CE411B" w:rsidRDefault="00D315F3" w:rsidP="00A43C1E">
      <w:pPr>
        <w:pStyle w:val="BodyTextMain"/>
        <w:rPr>
          <w:lang w:val="en-GB"/>
        </w:rPr>
      </w:pPr>
    </w:p>
    <w:p w14:paraId="195D9F51" w14:textId="77777777" w:rsidR="002976C5" w:rsidRPr="00CE411B" w:rsidRDefault="002976C5" w:rsidP="00A43C1E">
      <w:pPr>
        <w:pStyle w:val="BodyTextMain"/>
        <w:rPr>
          <w:lang w:val="en-GB"/>
        </w:rPr>
      </w:pPr>
    </w:p>
    <w:p w14:paraId="09EE9118" w14:textId="5B13C794" w:rsidR="00D315F3" w:rsidRPr="00CE411B" w:rsidRDefault="00A43C1E" w:rsidP="0078385F">
      <w:pPr>
        <w:pStyle w:val="ExhibitHeading"/>
        <w:keepNext/>
        <w:keepLines/>
        <w:rPr>
          <w:lang w:val="en-GB"/>
        </w:rPr>
      </w:pPr>
      <w:r w:rsidRPr="00CE411B">
        <w:rPr>
          <w:lang w:val="en-GB"/>
        </w:rPr>
        <w:lastRenderedPageBreak/>
        <w:t>EXHIBIT 2</w:t>
      </w:r>
      <w:r w:rsidR="002976C5">
        <w:rPr>
          <w:lang w:val="en-GB"/>
        </w:rPr>
        <w:t>:</w:t>
      </w:r>
      <w:r w:rsidRPr="00CE411B">
        <w:rPr>
          <w:lang w:val="en-GB"/>
        </w:rPr>
        <w:t xml:space="preserve"> FORD SALES IN CHINA</w:t>
      </w:r>
    </w:p>
    <w:p w14:paraId="204100D7" w14:textId="77777777" w:rsidR="00D315F3" w:rsidRPr="00CE411B" w:rsidRDefault="00D315F3" w:rsidP="0078385F">
      <w:pPr>
        <w:pStyle w:val="Footnote"/>
        <w:keepNext/>
        <w:keepLines/>
        <w:rPr>
          <w:lang w:val="en-GB"/>
        </w:rPr>
      </w:pPr>
    </w:p>
    <w:tbl>
      <w:tblPr>
        <w:tblStyle w:val="TableGrid"/>
        <w:tblW w:w="4878" w:type="dxa"/>
        <w:jc w:val="center"/>
        <w:tblLayout w:type="fixed"/>
        <w:tblLook w:val="04A0" w:firstRow="1" w:lastRow="0" w:firstColumn="1" w:lastColumn="0" w:noHBand="0" w:noVBand="1"/>
      </w:tblPr>
      <w:tblGrid>
        <w:gridCol w:w="661"/>
        <w:gridCol w:w="1967"/>
        <w:gridCol w:w="2250"/>
      </w:tblGrid>
      <w:tr w:rsidR="00A43C1E" w:rsidRPr="00CE411B" w14:paraId="174A9FB0" w14:textId="77777777" w:rsidTr="00A43C1E">
        <w:trPr>
          <w:jc w:val="center"/>
        </w:trPr>
        <w:tc>
          <w:tcPr>
            <w:tcW w:w="661" w:type="dxa"/>
            <w:hideMark/>
          </w:tcPr>
          <w:p w14:paraId="4CECDE08" w14:textId="77777777" w:rsidR="00A43C1E" w:rsidRPr="00CE411B" w:rsidRDefault="00A43C1E" w:rsidP="0078385F">
            <w:pPr>
              <w:keepNext/>
              <w:keepLines/>
              <w:rPr>
                <w:rFonts w:ascii="Arial" w:hAnsi="Arial" w:cs="Arial"/>
                <w:color w:val="000000" w:themeColor="text1"/>
                <w:lang w:val="en-GB"/>
              </w:rPr>
            </w:pPr>
          </w:p>
        </w:tc>
        <w:tc>
          <w:tcPr>
            <w:tcW w:w="1967" w:type="dxa"/>
            <w:hideMark/>
          </w:tcPr>
          <w:p w14:paraId="360EB598" w14:textId="6DF1D57A" w:rsidR="00A43C1E" w:rsidRPr="00CE411B" w:rsidRDefault="00A43C1E" w:rsidP="0078385F">
            <w:pPr>
              <w:keepNext/>
              <w:keepLines/>
              <w:spacing w:after="30"/>
              <w:jc w:val="center"/>
              <w:outlineLvl w:val="4"/>
              <w:rPr>
                <w:rFonts w:ascii="Arial" w:hAnsi="Arial" w:cs="Arial"/>
                <w:color w:val="000000" w:themeColor="text1"/>
                <w:lang w:val="en-GB"/>
              </w:rPr>
            </w:pPr>
            <w:r w:rsidRPr="00CE411B">
              <w:rPr>
                <w:rFonts w:ascii="Arial" w:hAnsi="Arial" w:cs="Arial"/>
                <w:color w:val="000000" w:themeColor="text1"/>
                <w:lang w:val="en-GB"/>
              </w:rPr>
              <w:t>All Models</w:t>
            </w:r>
          </w:p>
        </w:tc>
        <w:tc>
          <w:tcPr>
            <w:tcW w:w="2250" w:type="dxa"/>
            <w:hideMark/>
          </w:tcPr>
          <w:p w14:paraId="6D595624" w14:textId="1886D93B" w:rsidR="00A43C1E" w:rsidRPr="00CE411B" w:rsidRDefault="00A43C1E" w:rsidP="0078385F">
            <w:pPr>
              <w:keepNext/>
              <w:keepLines/>
              <w:spacing w:after="30"/>
              <w:jc w:val="center"/>
              <w:outlineLvl w:val="4"/>
              <w:rPr>
                <w:rFonts w:ascii="Arial" w:hAnsi="Arial" w:cs="Arial"/>
                <w:color w:val="000000" w:themeColor="text1"/>
                <w:lang w:val="en-GB"/>
              </w:rPr>
            </w:pPr>
            <w:r w:rsidRPr="00CE411B">
              <w:rPr>
                <w:rFonts w:ascii="Arial" w:hAnsi="Arial" w:cs="Arial"/>
                <w:color w:val="000000" w:themeColor="text1"/>
                <w:lang w:val="en-GB"/>
              </w:rPr>
              <w:t xml:space="preserve">Market Share </w:t>
            </w:r>
          </w:p>
        </w:tc>
      </w:tr>
      <w:tr w:rsidR="00A43C1E" w:rsidRPr="00CE411B" w14:paraId="3E1982F8" w14:textId="77777777" w:rsidTr="00A43C1E">
        <w:trPr>
          <w:jc w:val="center"/>
        </w:trPr>
        <w:tc>
          <w:tcPr>
            <w:tcW w:w="661" w:type="dxa"/>
            <w:hideMark/>
          </w:tcPr>
          <w:p w14:paraId="24DCD91D"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2017</w:t>
            </w:r>
          </w:p>
        </w:tc>
        <w:tc>
          <w:tcPr>
            <w:tcW w:w="1967" w:type="dxa"/>
            <w:hideMark/>
          </w:tcPr>
          <w:p w14:paraId="4781ED86"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839.815</w:t>
            </w:r>
          </w:p>
        </w:tc>
        <w:tc>
          <w:tcPr>
            <w:tcW w:w="2250" w:type="dxa"/>
            <w:hideMark/>
          </w:tcPr>
          <w:p w14:paraId="5E820C2A" w14:textId="7197A433"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47%</w:t>
            </w:r>
          </w:p>
        </w:tc>
      </w:tr>
      <w:tr w:rsidR="00A43C1E" w:rsidRPr="00CE411B" w14:paraId="43728B26" w14:textId="77777777" w:rsidTr="00A43C1E">
        <w:trPr>
          <w:jc w:val="center"/>
        </w:trPr>
        <w:tc>
          <w:tcPr>
            <w:tcW w:w="661" w:type="dxa"/>
            <w:hideMark/>
          </w:tcPr>
          <w:p w14:paraId="73C24A85"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2016</w:t>
            </w:r>
          </w:p>
        </w:tc>
        <w:tc>
          <w:tcPr>
            <w:tcW w:w="1967" w:type="dxa"/>
            <w:hideMark/>
          </w:tcPr>
          <w:p w14:paraId="7FB1B5C4"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951.396</w:t>
            </w:r>
          </w:p>
        </w:tc>
        <w:tc>
          <w:tcPr>
            <w:tcW w:w="2250" w:type="dxa"/>
            <w:hideMark/>
          </w:tcPr>
          <w:p w14:paraId="5F971E4E" w14:textId="61833488"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w:t>
            </w:r>
            <w:r w:rsidR="00D02526">
              <w:rPr>
                <w:rFonts w:ascii="Arial" w:hAnsi="Arial" w:cs="Arial"/>
                <w:color w:val="000000" w:themeColor="text1"/>
                <w:lang w:val="en-GB"/>
              </w:rPr>
              <w:t>.</w:t>
            </w:r>
            <w:r w:rsidRPr="00CE411B">
              <w:rPr>
                <w:rFonts w:ascii="Arial" w:hAnsi="Arial" w:cs="Arial"/>
                <w:color w:val="000000" w:themeColor="text1"/>
                <w:lang w:val="en-GB"/>
              </w:rPr>
              <w:t>03%</w:t>
            </w:r>
          </w:p>
        </w:tc>
      </w:tr>
      <w:tr w:rsidR="00A43C1E" w:rsidRPr="00CE411B" w14:paraId="6232DB46" w14:textId="77777777" w:rsidTr="00A43C1E">
        <w:trPr>
          <w:jc w:val="center"/>
        </w:trPr>
        <w:tc>
          <w:tcPr>
            <w:tcW w:w="661" w:type="dxa"/>
            <w:hideMark/>
          </w:tcPr>
          <w:p w14:paraId="1C511177"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2015</w:t>
            </w:r>
          </w:p>
        </w:tc>
        <w:tc>
          <w:tcPr>
            <w:tcW w:w="1967" w:type="dxa"/>
            <w:hideMark/>
          </w:tcPr>
          <w:p w14:paraId="6D17C1D8"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870.652</w:t>
            </w:r>
          </w:p>
        </w:tc>
        <w:tc>
          <w:tcPr>
            <w:tcW w:w="2250" w:type="dxa"/>
            <w:hideMark/>
          </w:tcPr>
          <w:p w14:paraId="43745D7A" w14:textId="018336ED"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w:t>
            </w:r>
            <w:r w:rsidR="00D02526">
              <w:rPr>
                <w:rFonts w:ascii="Arial" w:hAnsi="Arial" w:cs="Arial"/>
                <w:color w:val="000000" w:themeColor="text1"/>
                <w:lang w:val="en-GB"/>
              </w:rPr>
              <w:t>.</w:t>
            </w:r>
            <w:r w:rsidRPr="00CE411B">
              <w:rPr>
                <w:rFonts w:ascii="Arial" w:hAnsi="Arial" w:cs="Arial"/>
                <w:color w:val="000000" w:themeColor="text1"/>
                <w:lang w:val="en-GB"/>
              </w:rPr>
              <w:t>31%</w:t>
            </w:r>
          </w:p>
        </w:tc>
      </w:tr>
      <w:tr w:rsidR="00A43C1E" w:rsidRPr="00CE411B" w14:paraId="1CF16FF2" w14:textId="77777777" w:rsidTr="00A43C1E">
        <w:trPr>
          <w:jc w:val="center"/>
        </w:trPr>
        <w:tc>
          <w:tcPr>
            <w:tcW w:w="661" w:type="dxa"/>
            <w:hideMark/>
          </w:tcPr>
          <w:p w14:paraId="5412F0FC"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2014</w:t>
            </w:r>
          </w:p>
        </w:tc>
        <w:tc>
          <w:tcPr>
            <w:tcW w:w="1967" w:type="dxa"/>
            <w:hideMark/>
          </w:tcPr>
          <w:p w14:paraId="75B3C43E"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801.603</w:t>
            </w:r>
          </w:p>
        </w:tc>
        <w:tc>
          <w:tcPr>
            <w:tcW w:w="2250" w:type="dxa"/>
            <w:hideMark/>
          </w:tcPr>
          <w:p w14:paraId="0C7C706B" w14:textId="21DEDCB2"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w:t>
            </w:r>
            <w:r w:rsidR="00D02526">
              <w:rPr>
                <w:rFonts w:ascii="Arial" w:hAnsi="Arial" w:cs="Arial"/>
                <w:color w:val="000000" w:themeColor="text1"/>
                <w:lang w:val="en-GB"/>
              </w:rPr>
              <w:t>.</w:t>
            </w:r>
            <w:r w:rsidRPr="00CE411B">
              <w:rPr>
                <w:rFonts w:ascii="Arial" w:hAnsi="Arial" w:cs="Arial"/>
                <w:color w:val="000000" w:themeColor="text1"/>
                <w:lang w:val="en-GB"/>
              </w:rPr>
              <w:t>36%</w:t>
            </w:r>
          </w:p>
        </w:tc>
      </w:tr>
      <w:tr w:rsidR="00A43C1E" w:rsidRPr="00CE411B" w14:paraId="31D0D3F1" w14:textId="77777777" w:rsidTr="00A43C1E">
        <w:trPr>
          <w:jc w:val="center"/>
        </w:trPr>
        <w:tc>
          <w:tcPr>
            <w:tcW w:w="661" w:type="dxa"/>
            <w:hideMark/>
          </w:tcPr>
          <w:p w14:paraId="75605DCB"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2013</w:t>
            </w:r>
          </w:p>
        </w:tc>
        <w:tc>
          <w:tcPr>
            <w:tcW w:w="1967" w:type="dxa"/>
            <w:hideMark/>
          </w:tcPr>
          <w:p w14:paraId="0CFB2E8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678.951</w:t>
            </w:r>
          </w:p>
        </w:tc>
        <w:tc>
          <w:tcPr>
            <w:tcW w:w="2250" w:type="dxa"/>
            <w:hideMark/>
          </w:tcPr>
          <w:p w14:paraId="1B33EB26" w14:textId="7DC54DC9"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w:t>
            </w:r>
            <w:r w:rsidR="00D02526">
              <w:rPr>
                <w:rFonts w:ascii="Arial" w:hAnsi="Arial" w:cs="Arial"/>
                <w:color w:val="000000" w:themeColor="text1"/>
                <w:lang w:val="en-GB"/>
              </w:rPr>
              <w:t>.</w:t>
            </w:r>
            <w:r w:rsidRPr="00CE411B">
              <w:rPr>
                <w:rFonts w:ascii="Arial" w:hAnsi="Arial" w:cs="Arial"/>
                <w:color w:val="000000" w:themeColor="text1"/>
                <w:lang w:val="en-GB"/>
              </w:rPr>
              <w:t>17%</w:t>
            </w:r>
          </w:p>
        </w:tc>
      </w:tr>
      <w:tr w:rsidR="00A43C1E" w:rsidRPr="00CE411B" w14:paraId="210D59AD" w14:textId="77777777" w:rsidTr="00A43C1E">
        <w:trPr>
          <w:jc w:val="center"/>
        </w:trPr>
        <w:tc>
          <w:tcPr>
            <w:tcW w:w="661" w:type="dxa"/>
            <w:hideMark/>
          </w:tcPr>
          <w:p w14:paraId="335F94CD"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2012</w:t>
            </w:r>
          </w:p>
        </w:tc>
        <w:tc>
          <w:tcPr>
            <w:tcW w:w="1967" w:type="dxa"/>
            <w:hideMark/>
          </w:tcPr>
          <w:p w14:paraId="74DC448D"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418.501</w:t>
            </w:r>
          </w:p>
        </w:tc>
        <w:tc>
          <w:tcPr>
            <w:tcW w:w="2250" w:type="dxa"/>
            <w:hideMark/>
          </w:tcPr>
          <w:p w14:paraId="413ECB63" w14:textId="15461B69"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17%</w:t>
            </w:r>
          </w:p>
        </w:tc>
      </w:tr>
      <w:tr w:rsidR="00A43C1E" w:rsidRPr="00CE411B" w14:paraId="477368F8" w14:textId="77777777" w:rsidTr="00A43C1E">
        <w:trPr>
          <w:jc w:val="center"/>
        </w:trPr>
        <w:tc>
          <w:tcPr>
            <w:tcW w:w="661" w:type="dxa"/>
            <w:hideMark/>
          </w:tcPr>
          <w:p w14:paraId="18360AFB"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2011</w:t>
            </w:r>
          </w:p>
        </w:tc>
        <w:tc>
          <w:tcPr>
            <w:tcW w:w="1967" w:type="dxa"/>
            <w:hideMark/>
          </w:tcPr>
          <w:p w14:paraId="6C4FFD7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320.655</w:t>
            </w:r>
          </w:p>
        </w:tc>
        <w:tc>
          <w:tcPr>
            <w:tcW w:w="2250" w:type="dxa"/>
            <w:hideMark/>
          </w:tcPr>
          <w:p w14:paraId="53BAFC71" w14:textId="3D963EEC"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w:t>
            </w:r>
            <w:r w:rsidR="00D02526">
              <w:rPr>
                <w:rFonts w:ascii="Arial" w:hAnsi="Arial" w:cs="Arial"/>
                <w:color w:val="000000" w:themeColor="text1"/>
                <w:lang w:val="en-GB"/>
              </w:rPr>
              <w:t>.</w:t>
            </w:r>
            <w:r w:rsidRPr="00CE411B">
              <w:rPr>
                <w:rFonts w:ascii="Arial" w:hAnsi="Arial" w:cs="Arial"/>
                <w:color w:val="000000" w:themeColor="text1"/>
                <w:lang w:val="en-GB"/>
              </w:rPr>
              <w:t>61%</w:t>
            </w:r>
          </w:p>
        </w:tc>
      </w:tr>
      <w:tr w:rsidR="00A43C1E" w:rsidRPr="00CE411B" w14:paraId="3B85CFBB" w14:textId="77777777" w:rsidTr="00A43C1E">
        <w:trPr>
          <w:jc w:val="center"/>
        </w:trPr>
        <w:tc>
          <w:tcPr>
            <w:tcW w:w="661" w:type="dxa"/>
            <w:hideMark/>
          </w:tcPr>
          <w:p w14:paraId="318EDDD8"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2010</w:t>
            </w:r>
          </w:p>
        </w:tc>
        <w:tc>
          <w:tcPr>
            <w:tcW w:w="1967" w:type="dxa"/>
            <w:hideMark/>
          </w:tcPr>
          <w:p w14:paraId="50E16296"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304.103</w:t>
            </w:r>
          </w:p>
        </w:tc>
        <w:tc>
          <w:tcPr>
            <w:tcW w:w="2250" w:type="dxa"/>
            <w:hideMark/>
          </w:tcPr>
          <w:p w14:paraId="718FFA64" w14:textId="47F8AAEB"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w:t>
            </w:r>
            <w:r w:rsidR="00D02526">
              <w:rPr>
                <w:rFonts w:ascii="Arial" w:hAnsi="Arial" w:cs="Arial"/>
                <w:color w:val="000000" w:themeColor="text1"/>
                <w:lang w:val="en-GB"/>
              </w:rPr>
              <w:t>.</w:t>
            </w:r>
            <w:r w:rsidRPr="00CE411B">
              <w:rPr>
                <w:rFonts w:ascii="Arial" w:hAnsi="Arial" w:cs="Arial"/>
                <w:color w:val="000000" w:themeColor="text1"/>
                <w:lang w:val="en-GB"/>
              </w:rPr>
              <w:t>71%</w:t>
            </w:r>
          </w:p>
        </w:tc>
      </w:tr>
      <w:tr w:rsidR="00A43C1E" w:rsidRPr="00CE411B" w14:paraId="510469E9" w14:textId="77777777" w:rsidTr="00A43C1E">
        <w:trPr>
          <w:jc w:val="center"/>
        </w:trPr>
        <w:tc>
          <w:tcPr>
            <w:tcW w:w="661" w:type="dxa"/>
            <w:hideMark/>
          </w:tcPr>
          <w:p w14:paraId="177F0716"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2009</w:t>
            </w:r>
          </w:p>
        </w:tc>
        <w:tc>
          <w:tcPr>
            <w:tcW w:w="1967" w:type="dxa"/>
            <w:hideMark/>
          </w:tcPr>
          <w:p w14:paraId="7F3F9BC6"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228.298</w:t>
            </w:r>
          </w:p>
        </w:tc>
        <w:tc>
          <w:tcPr>
            <w:tcW w:w="2250" w:type="dxa"/>
            <w:hideMark/>
          </w:tcPr>
          <w:p w14:paraId="4647F164" w14:textId="29C1C24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w:t>
            </w:r>
            <w:r w:rsidR="00D02526">
              <w:rPr>
                <w:rFonts w:ascii="Arial" w:hAnsi="Arial" w:cs="Arial"/>
                <w:color w:val="000000" w:themeColor="text1"/>
                <w:lang w:val="en-GB"/>
              </w:rPr>
              <w:t>.</w:t>
            </w:r>
            <w:r w:rsidRPr="00CE411B">
              <w:rPr>
                <w:rFonts w:ascii="Arial" w:hAnsi="Arial" w:cs="Arial"/>
                <w:color w:val="000000" w:themeColor="text1"/>
                <w:lang w:val="en-GB"/>
              </w:rPr>
              <w:t>76%</w:t>
            </w:r>
          </w:p>
        </w:tc>
      </w:tr>
      <w:tr w:rsidR="00A43C1E" w:rsidRPr="00CE411B" w14:paraId="603B4903" w14:textId="77777777" w:rsidTr="00A43C1E">
        <w:trPr>
          <w:jc w:val="center"/>
        </w:trPr>
        <w:tc>
          <w:tcPr>
            <w:tcW w:w="661" w:type="dxa"/>
            <w:hideMark/>
          </w:tcPr>
          <w:p w14:paraId="315FEEA8"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2008</w:t>
            </w:r>
          </w:p>
        </w:tc>
        <w:tc>
          <w:tcPr>
            <w:tcW w:w="1967" w:type="dxa"/>
            <w:hideMark/>
          </w:tcPr>
          <w:p w14:paraId="485362CC"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156.090</w:t>
            </w:r>
          </w:p>
        </w:tc>
        <w:tc>
          <w:tcPr>
            <w:tcW w:w="2250" w:type="dxa"/>
            <w:hideMark/>
          </w:tcPr>
          <w:p w14:paraId="4201F5B0" w14:textId="0946ED85"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w:t>
            </w:r>
            <w:r w:rsidR="00D02526">
              <w:rPr>
                <w:rFonts w:ascii="Arial" w:hAnsi="Arial" w:cs="Arial"/>
                <w:color w:val="000000" w:themeColor="text1"/>
                <w:lang w:val="en-GB"/>
              </w:rPr>
              <w:t>.</w:t>
            </w:r>
            <w:r w:rsidRPr="00CE411B">
              <w:rPr>
                <w:rFonts w:ascii="Arial" w:hAnsi="Arial" w:cs="Arial"/>
                <w:color w:val="000000" w:themeColor="text1"/>
                <w:lang w:val="en-GB"/>
              </w:rPr>
              <w:t>87%</w:t>
            </w:r>
          </w:p>
        </w:tc>
      </w:tr>
      <w:tr w:rsidR="00A43C1E" w:rsidRPr="00CE411B" w14:paraId="55153445" w14:textId="77777777" w:rsidTr="00A43C1E">
        <w:trPr>
          <w:jc w:val="center"/>
        </w:trPr>
        <w:tc>
          <w:tcPr>
            <w:tcW w:w="661" w:type="dxa"/>
            <w:hideMark/>
          </w:tcPr>
          <w:p w14:paraId="5D6CDD64"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2007</w:t>
            </w:r>
          </w:p>
        </w:tc>
        <w:tc>
          <w:tcPr>
            <w:tcW w:w="1967" w:type="dxa"/>
            <w:hideMark/>
          </w:tcPr>
          <w:p w14:paraId="3476355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174.085</w:t>
            </w:r>
          </w:p>
        </w:tc>
        <w:tc>
          <w:tcPr>
            <w:tcW w:w="2250" w:type="dxa"/>
            <w:hideMark/>
          </w:tcPr>
          <w:p w14:paraId="35E96003" w14:textId="0112C4FD"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30%</w:t>
            </w:r>
          </w:p>
        </w:tc>
      </w:tr>
      <w:tr w:rsidR="00A43C1E" w:rsidRPr="00CE411B" w14:paraId="0A04312B" w14:textId="77777777" w:rsidTr="00A43C1E">
        <w:trPr>
          <w:jc w:val="center"/>
        </w:trPr>
        <w:tc>
          <w:tcPr>
            <w:tcW w:w="661" w:type="dxa"/>
            <w:hideMark/>
          </w:tcPr>
          <w:p w14:paraId="29832B76"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2006</w:t>
            </w:r>
          </w:p>
        </w:tc>
        <w:tc>
          <w:tcPr>
            <w:tcW w:w="1967" w:type="dxa"/>
            <w:hideMark/>
          </w:tcPr>
          <w:p w14:paraId="28271307"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131.076</w:t>
            </w:r>
          </w:p>
        </w:tc>
        <w:tc>
          <w:tcPr>
            <w:tcW w:w="2250" w:type="dxa"/>
            <w:hideMark/>
          </w:tcPr>
          <w:p w14:paraId="7E11C01E" w14:textId="481BBDD4"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12%</w:t>
            </w:r>
          </w:p>
        </w:tc>
      </w:tr>
      <w:tr w:rsidR="00A43C1E" w:rsidRPr="00CE411B" w14:paraId="15DF1E7F" w14:textId="77777777" w:rsidTr="00A43C1E">
        <w:trPr>
          <w:jc w:val="center"/>
        </w:trPr>
        <w:tc>
          <w:tcPr>
            <w:tcW w:w="661" w:type="dxa"/>
            <w:hideMark/>
          </w:tcPr>
          <w:p w14:paraId="5DDEF23F"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2005</w:t>
            </w:r>
          </w:p>
        </w:tc>
        <w:tc>
          <w:tcPr>
            <w:tcW w:w="1967" w:type="dxa"/>
            <w:hideMark/>
          </w:tcPr>
          <w:p w14:paraId="4D003A7F"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62.925</w:t>
            </w:r>
          </w:p>
        </w:tc>
        <w:tc>
          <w:tcPr>
            <w:tcW w:w="2250" w:type="dxa"/>
            <w:hideMark/>
          </w:tcPr>
          <w:p w14:paraId="1CD0EB49" w14:textId="6B4E5664"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w:t>
            </w:r>
            <w:r w:rsidR="00D02526">
              <w:rPr>
                <w:rFonts w:ascii="Arial" w:hAnsi="Arial" w:cs="Arial"/>
                <w:color w:val="000000" w:themeColor="text1"/>
                <w:lang w:val="en-GB"/>
              </w:rPr>
              <w:t>.</w:t>
            </w:r>
            <w:r w:rsidRPr="00CE411B">
              <w:rPr>
                <w:rFonts w:ascii="Arial" w:hAnsi="Arial" w:cs="Arial"/>
                <w:color w:val="000000" w:themeColor="text1"/>
                <w:lang w:val="en-GB"/>
              </w:rPr>
              <w:t>96%</w:t>
            </w:r>
          </w:p>
        </w:tc>
      </w:tr>
      <w:tr w:rsidR="00A43C1E" w:rsidRPr="00CE411B" w14:paraId="7D8F1A60" w14:textId="77777777" w:rsidTr="00A43C1E">
        <w:trPr>
          <w:jc w:val="center"/>
        </w:trPr>
        <w:tc>
          <w:tcPr>
            <w:tcW w:w="661" w:type="dxa"/>
            <w:hideMark/>
          </w:tcPr>
          <w:p w14:paraId="2BA1B2D9"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2004</w:t>
            </w:r>
          </w:p>
        </w:tc>
        <w:tc>
          <w:tcPr>
            <w:tcW w:w="1967" w:type="dxa"/>
            <w:hideMark/>
          </w:tcPr>
          <w:p w14:paraId="7556F7F6"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37.315</w:t>
            </w:r>
          </w:p>
        </w:tc>
        <w:tc>
          <w:tcPr>
            <w:tcW w:w="2250" w:type="dxa"/>
            <w:hideMark/>
          </w:tcPr>
          <w:p w14:paraId="24737CFF" w14:textId="3755209B"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w:t>
            </w:r>
            <w:r w:rsidR="00D02526">
              <w:rPr>
                <w:rFonts w:ascii="Arial" w:hAnsi="Arial" w:cs="Arial"/>
                <w:color w:val="000000" w:themeColor="text1"/>
                <w:lang w:val="en-GB"/>
              </w:rPr>
              <w:t>.</w:t>
            </w:r>
            <w:r w:rsidRPr="00CE411B">
              <w:rPr>
                <w:rFonts w:ascii="Arial" w:hAnsi="Arial" w:cs="Arial"/>
                <w:color w:val="000000" w:themeColor="text1"/>
                <w:lang w:val="en-GB"/>
              </w:rPr>
              <w:t>52%</w:t>
            </w:r>
          </w:p>
        </w:tc>
      </w:tr>
      <w:tr w:rsidR="00A43C1E" w:rsidRPr="00CE411B" w14:paraId="15D7C99F" w14:textId="77777777" w:rsidTr="00A43C1E">
        <w:trPr>
          <w:jc w:val="center"/>
        </w:trPr>
        <w:tc>
          <w:tcPr>
            <w:tcW w:w="661" w:type="dxa"/>
            <w:hideMark/>
          </w:tcPr>
          <w:p w14:paraId="75F3C99C"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2003</w:t>
            </w:r>
          </w:p>
        </w:tc>
        <w:tc>
          <w:tcPr>
            <w:tcW w:w="1967" w:type="dxa"/>
            <w:hideMark/>
          </w:tcPr>
          <w:p w14:paraId="248A65E0"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4.499</w:t>
            </w:r>
          </w:p>
        </w:tc>
        <w:tc>
          <w:tcPr>
            <w:tcW w:w="2250" w:type="dxa"/>
            <w:hideMark/>
          </w:tcPr>
          <w:p w14:paraId="6C73141F" w14:textId="57D0B1E6"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0</w:t>
            </w:r>
            <w:r w:rsidR="00D02526">
              <w:rPr>
                <w:rFonts w:ascii="Arial" w:hAnsi="Arial" w:cs="Arial"/>
                <w:color w:val="000000" w:themeColor="text1"/>
                <w:lang w:val="en-GB"/>
              </w:rPr>
              <w:t>.</w:t>
            </w:r>
            <w:r w:rsidRPr="00CE411B">
              <w:rPr>
                <w:rFonts w:ascii="Arial" w:hAnsi="Arial" w:cs="Arial"/>
                <w:color w:val="000000" w:themeColor="text1"/>
                <w:lang w:val="en-GB"/>
              </w:rPr>
              <w:t>21%</w:t>
            </w:r>
          </w:p>
        </w:tc>
      </w:tr>
    </w:tbl>
    <w:p w14:paraId="07AA5D0B" w14:textId="77777777" w:rsidR="00A43C1E" w:rsidRPr="00CE411B" w:rsidRDefault="00A43C1E" w:rsidP="0078385F">
      <w:pPr>
        <w:pStyle w:val="Footnote"/>
        <w:keepNext/>
        <w:keepLines/>
        <w:rPr>
          <w:lang w:val="en-GB"/>
        </w:rPr>
      </w:pPr>
    </w:p>
    <w:tbl>
      <w:tblPr>
        <w:tblStyle w:val="TableGrid"/>
        <w:tblW w:w="9398" w:type="dxa"/>
        <w:jc w:val="center"/>
        <w:tblLook w:val="04A0" w:firstRow="1" w:lastRow="0" w:firstColumn="1" w:lastColumn="0" w:noHBand="0" w:noVBand="1"/>
      </w:tblPr>
      <w:tblGrid>
        <w:gridCol w:w="1325"/>
        <w:gridCol w:w="1589"/>
        <w:gridCol w:w="1596"/>
        <w:gridCol w:w="1596"/>
        <w:gridCol w:w="1596"/>
        <w:gridCol w:w="1696"/>
      </w:tblGrid>
      <w:tr w:rsidR="00A43C1E" w:rsidRPr="00CE411B" w14:paraId="31E67900" w14:textId="77777777" w:rsidTr="00DE379F">
        <w:trPr>
          <w:trHeight w:val="242"/>
          <w:jc w:val="center"/>
        </w:trPr>
        <w:tc>
          <w:tcPr>
            <w:tcW w:w="0" w:type="auto"/>
            <w:hideMark/>
          </w:tcPr>
          <w:p w14:paraId="137F80C5" w14:textId="77777777" w:rsidR="00A43C1E" w:rsidRPr="00CE411B" w:rsidRDefault="00A43C1E" w:rsidP="0078385F">
            <w:pPr>
              <w:keepNext/>
              <w:keepLines/>
              <w:rPr>
                <w:rFonts w:ascii="Arial" w:hAnsi="Arial" w:cs="Arial"/>
                <w:lang w:val="en-GB"/>
              </w:rPr>
            </w:pPr>
          </w:p>
        </w:tc>
        <w:tc>
          <w:tcPr>
            <w:tcW w:w="1589" w:type="dxa"/>
            <w:hideMark/>
          </w:tcPr>
          <w:p w14:paraId="08115F68" w14:textId="7A5F0A55" w:rsidR="00A43C1E" w:rsidRPr="00CE411B" w:rsidRDefault="00A43C1E" w:rsidP="0078385F">
            <w:pPr>
              <w:keepNext/>
              <w:keepLines/>
              <w:jc w:val="center"/>
              <w:rPr>
                <w:rFonts w:ascii="Arial" w:hAnsi="Arial" w:cs="Arial"/>
                <w:b/>
                <w:lang w:val="en-GB"/>
              </w:rPr>
            </w:pPr>
            <w:r w:rsidRPr="00CE411B">
              <w:rPr>
                <w:rFonts w:ascii="Arial" w:hAnsi="Arial" w:cs="Arial"/>
                <w:b/>
                <w:lang w:val="en-GB"/>
              </w:rPr>
              <w:t>All Models 2014</w:t>
            </w:r>
          </w:p>
        </w:tc>
        <w:tc>
          <w:tcPr>
            <w:tcW w:w="1596" w:type="dxa"/>
            <w:hideMark/>
          </w:tcPr>
          <w:p w14:paraId="5DAA9B18" w14:textId="2B1C4E86" w:rsidR="00A43C1E" w:rsidRPr="00CE411B" w:rsidRDefault="00A43C1E" w:rsidP="0078385F">
            <w:pPr>
              <w:keepNext/>
              <w:keepLines/>
              <w:jc w:val="center"/>
              <w:rPr>
                <w:rFonts w:ascii="Arial" w:hAnsi="Arial" w:cs="Arial"/>
                <w:b/>
                <w:lang w:val="en-GB"/>
              </w:rPr>
            </w:pPr>
            <w:r w:rsidRPr="00CE411B">
              <w:rPr>
                <w:rFonts w:ascii="Arial" w:hAnsi="Arial" w:cs="Arial"/>
                <w:b/>
                <w:lang w:val="en-GB"/>
              </w:rPr>
              <w:t>All Models 2015</w:t>
            </w:r>
          </w:p>
        </w:tc>
        <w:tc>
          <w:tcPr>
            <w:tcW w:w="1596" w:type="dxa"/>
            <w:hideMark/>
          </w:tcPr>
          <w:p w14:paraId="1F2B5238" w14:textId="77FD3707" w:rsidR="00A43C1E" w:rsidRPr="00CE411B" w:rsidRDefault="00A43C1E" w:rsidP="0078385F">
            <w:pPr>
              <w:keepNext/>
              <w:keepLines/>
              <w:jc w:val="center"/>
              <w:rPr>
                <w:rFonts w:ascii="Arial" w:hAnsi="Arial" w:cs="Arial"/>
                <w:b/>
                <w:lang w:val="en-GB"/>
              </w:rPr>
            </w:pPr>
            <w:r w:rsidRPr="00CE411B">
              <w:rPr>
                <w:rFonts w:ascii="Arial" w:hAnsi="Arial" w:cs="Arial"/>
                <w:b/>
                <w:lang w:val="en-GB"/>
              </w:rPr>
              <w:t>All Models 2016</w:t>
            </w:r>
          </w:p>
        </w:tc>
        <w:tc>
          <w:tcPr>
            <w:tcW w:w="1596" w:type="dxa"/>
            <w:hideMark/>
          </w:tcPr>
          <w:p w14:paraId="21579476" w14:textId="48350B44" w:rsidR="00A43C1E" w:rsidRPr="00CE411B" w:rsidRDefault="00A43C1E" w:rsidP="0078385F">
            <w:pPr>
              <w:keepNext/>
              <w:keepLines/>
              <w:jc w:val="center"/>
              <w:rPr>
                <w:rFonts w:ascii="Arial" w:hAnsi="Arial" w:cs="Arial"/>
                <w:b/>
                <w:lang w:val="en-GB"/>
              </w:rPr>
            </w:pPr>
            <w:r w:rsidRPr="00CE411B">
              <w:rPr>
                <w:rFonts w:ascii="Arial" w:hAnsi="Arial" w:cs="Arial"/>
                <w:b/>
                <w:lang w:val="en-GB"/>
              </w:rPr>
              <w:t>All Models 2017</w:t>
            </w:r>
          </w:p>
        </w:tc>
        <w:tc>
          <w:tcPr>
            <w:tcW w:w="1696" w:type="dxa"/>
            <w:hideMark/>
          </w:tcPr>
          <w:p w14:paraId="385BB974" w14:textId="35FE1622" w:rsidR="00A43C1E" w:rsidRPr="00CE411B" w:rsidRDefault="00A43C1E" w:rsidP="0078385F">
            <w:pPr>
              <w:keepNext/>
              <w:keepLines/>
              <w:jc w:val="center"/>
              <w:rPr>
                <w:rFonts w:ascii="Arial" w:hAnsi="Arial" w:cs="Arial"/>
                <w:b/>
                <w:lang w:val="en-GB"/>
              </w:rPr>
            </w:pPr>
            <w:r w:rsidRPr="00CE411B">
              <w:rPr>
                <w:rFonts w:ascii="Arial" w:hAnsi="Arial" w:cs="Arial"/>
                <w:b/>
                <w:lang w:val="en-GB"/>
              </w:rPr>
              <w:t>All Models 2018</w:t>
            </w:r>
          </w:p>
        </w:tc>
      </w:tr>
      <w:tr w:rsidR="00A43C1E" w:rsidRPr="00CE411B" w14:paraId="22143DB7" w14:textId="77777777" w:rsidTr="00DE379F">
        <w:trPr>
          <w:trHeight w:val="227"/>
          <w:jc w:val="center"/>
        </w:trPr>
        <w:tc>
          <w:tcPr>
            <w:tcW w:w="0" w:type="auto"/>
            <w:hideMark/>
          </w:tcPr>
          <w:p w14:paraId="71BCB104"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January</w:t>
            </w:r>
          </w:p>
        </w:tc>
        <w:tc>
          <w:tcPr>
            <w:tcW w:w="1589" w:type="dxa"/>
            <w:hideMark/>
          </w:tcPr>
          <w:p w14:paraId="6EDFD33F"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70.038</w:t>
            </w:r>
          </w:p>
        </w:tc>
        <w:tc>
          <w:tcPr>
            <w:tcW w:w="1596" w:type="dxa"/>
            <w:hideMark/>
          </w:tcPr>
          <w:p w14:paraId="1BB80E33"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113.487</w:t>
            </w:r>
          </w:p>
        </w:tc>
        <w:tc>
          <w:tcPr>
            <w:tcW w:w="1596" w:type="dxa"/>
            <w:hideMark/>
          </w:tcPr>
          <w:p w14:paraId="7F058D2B"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97.334</w:t>
            </w:r>
          </w:p>
        </w:tc>
        <w:tc>
          <w:tcPr>
            <w:tcW w:w="1596" w:type="dxa"/>
            <w:hideMark/>
          </w:tcPr>
          <w:p w14:paraId="1305B83D"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70.101</w:t>
            </w:r>
          </w:p>
        </w:tc>
        <w:tc>
          <w:tcPr>
            <w:tcW w:w="1696" w:type="dxa"/>
            <w:hideMark/>
          </w:tcPr>
          <w:p w14:paraId="5D79BB53"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49.151</w:t>
            </w:r>
          </w:p>
        </w:tc>
      </w:tr>
      <w:tr w:rsidR="00A43C1E" w:rsidRPr="00CE411B" w14:paraId="65979E2D" w14:textId="77777777" w:rsidTr="00DE379F">
        <w:trPr>
          <w:trHeight w:val="237"/>
          <w:jc w:val="center"/>
        </w:trPr>
        <w:tc>
          <w:tcPr>
            <w:tcW w:w="0" w:type="auto"/>
            <w:hideMark/>
          </w:tcPr>
          <w:p w14:paraId="7D9051CB"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February</w:t>
            </w:r>
          </w:p>
        </w:tc>
        <w:tc>
          <w:tcPr>
            <w:tcW w:w="1589" w:type="dxa"/>
            <w:hideMark/>
          </w:tcPr>
          <w:p w14:paraId="249EE16B"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53.272</w:t>
            </w:r>
          </w:p>
        </w:tc>
        <w:tc>
          <w:tcPr>
            <w:tcW w:w="1596" w:type="dxa"/>
            <w:hideMark/>
          </w:tcPr>
          <w:p w14:paraId="7E3A8555"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80.506</w:t>
            </w:r>
          </w:p>
        </w:tc>
        <w:tc>
          <w:tcPr>
            <w:tcW w:w="1596" w:type="dxa"/>
            <w:hideMark/>
          </w:tcPr>
          <w:p w14:paraId="261A0850"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64.475</w:t>
            </w:r>
          </w:p>
        </w:tc>
        <w:tc>
          <w:tcPr>
            <w:tcW w:w="1596" w:type="dxa"/>
            <w:hideMark/>
          </w:tcPr>
          <w:p w14:paraId="4FBDB768"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52.452</w:t>
            </w:r>
          </w:p>
        </w:tc>
        <w:tc>
          <w:tcPr>
            <w:tcW w:w="1696" w:type="dxa"/>
            <w:hideMark/>
          </w:tcPr>
          <w:p w14:paraId="3C320286"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36.925</w:t>
            </w:r>
          </w:p>
        </w:tc>
      </w:tr>
      <w:tr w:rsidR="00A43C1E" w:rsidRPr="00CE411B" w14:paraId="1C077456" w14:textId="77777777" w:rsidTr="00DE379F">
        <w:trPr>
          <w:trHeight w:val="227"/>
          <w:jc w:val="center"/>
        </w:trPr>
        <w:tc>
          <w:tcPr>
            <w:tcW w:w="0" w:type="auto"/>
            <w:hideMark/>
          </w:tcPr>
          <w:p w14:paraId="049C19D7"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March</w:t>
            </w:r>
          </w:p>
        </w:tc>
        <w:tc>
          <w:tcPr>
            <w:tcW w:w="1589" w:type="dxa"/>
            <w:hideMark/>
          </w:tcPr>
          <w:p w14:paraId="7397F963"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71.888</w:t>
            </w:r>
          </w:p>
        </w:tc>
        <w:tc>
          <w:tcPr>
            <w:tcW w:w="1596" w:type="dxa"/>
            <w:hideMark/>
          </w:tcPr>
          <w:p w14:paraId="28473238"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96.166</w:t>
            </w:r>
          </w:p>
        </w:tc>
        <w:tc>
          <w:tcPr>
            <w:tcW w:w="1596" w:type="dxa"/>
            <w:hideMark/>
          </w:tcPr>
          <w:p w14:paraId="4E5E4D82"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90.305</w:t>
            </w:r>
          </w:p>
        </w:tc>
        <w:tc>
          <w:tcPr>
            <w:tcW w:w="1596" w:type="dxa"/>
            <w:hideMark/>
          </w:tcPr>
          <w:p w14:paraId="12D052CA"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84.217</w:t>
            </w:r>
          </w:p>
        </w:tc>
        <w:tc>
          <w:tcPr>
            <w:tcW w:w="1696" w:type="dxa"/>
            <w:hideMark/>
          </w:tcPr>
          <w:p w14:paraId="5D04CBB3"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46.042</w:t>
            </w:r>
          </w:p>
        </w:tc>
      </w:tr>
      <w:tr w:rsidR="00A43C1E" w:rsidRPr="00CE411B" w14:paraId="0FC0DCEE" w14:textId="77777777" w:rsidTr="00DE379F">
        <w:trPr>
          <w:trHeight w:val="227"/>
          <w:jc w:val="center"/>
        </w:trPr>
        <w:tc>
          <w:tcPr>
            <w:tcW w:w="0" w:type="auto"/>
            <w:hideMark/>
          </w:tcPr>
          <w:p w14:paraId="6506C6B4"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April</w:t>
            </w:r>
          </w:p>
        </w:tc>
        <w:tc>
          <w:tcPr>
            <w:tcW w:w="1589" w:type="dxa"/>
            <w:hideMark/>
          </w:tcPr>
          <w:p w14:paraId="5001E1D3"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68.119</w:t>
            </w:r>
          </w:p>
        </w:tc>
        <w:tc>
          <w:tcPr>
            <w:tcW w:w="1596" w:type="dxa"/>
            <w:hideMark/>
          </w:tcPr>
          <w:p w14:paraId="73412DD9"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100.582</w:t>
            </w:r>
          </w:p>
        </w:tc>
        <w:tc>
          <w:tcPr>
            <w:tcW w:w="1596" w:type="dxa"/>
            <w:hideMark/>
          </w:tcPr>
          <w:p w14:paraId="2688C1A3"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61.184</w:t>
            </w:r>
          </w:p>
        </w:tc>
        <w:tc>
          <w:tcPr>
            <w:tcW w:w="1596" w:type="dxa"/>
            <w:hideMark/>
          </w:tcPr>
          <w:p w14:paraId="677961F4"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48.949</w:t>
            </w:r>
          </w:p>
        </w:tc>
        <w:tc>
          <w:tcPr>
            <w:tcW w:w="1696" w:type="dxa"/>
            <w:hideMark/>
          </w:tcPr>
          <w:p w14:paraId="36AFC261"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38.373</w:t>
            </w:r>
          </w:p>
        </w:tc>
      </w:tr>
      <w:tr w:rsidR="00A43C1E" w:rsidRPr="00CE411B" w14:paraId="3409CD5A" w14:textId="77777777" w:rsidTr="00DE379F">
        <w:trPr>
          <w:trHeight w:val="237"/>
          <w:jc w:val="center"/>
        </w:trPr>
        <w:tc>
          <w:tcPr>
            <w:tcW w:w="0" w:type="auto"/>
            <w:hideMark/>
          </w:tcPr>
          <w:p w14:paraId="74E85A31"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May</w:t>
            </w:r>
          </w:p>
        </w:tc>
        <w:tc>
          <w:tcPr>
            <w:tcW w:w="1589" w:type="dxa"/>
            <w:hideMark/>
          </w:tcPr>
          <w:p w14:paraId="10D911CD"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67.454</w:t>
            </w:r>
          </w:p>
        </w:tc>
        <w:tc>
          <w:tcPr>
            <w:tcW w:w="1596" w:type="dxa"/>
            <w:hideMark/>
          </w:tcPr>
          <w:p w14:paraId="728C8CA8"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61.597</w:t>
            </w:r>
          </w:p>
        </w:tc>
        <w:tc>
          <w:tcPr>
            <w:tcW w:w="1596" w:type="dxa"/>
            <w:hideMark/>
          </w:tcPr>
          <w:p w14:paraId="14FD0929"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51.478</w:t>
            </w:r>
          </w:p>
        </w:tc>
        <w:tc>
          <w:tcPr>
            <w:tcW w:w="1596" w:type="dxa"/>
            <w:hideMark/>
          </w:tcPr>
          <w:p w14:paraId="4A5534BF"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60.591</w:t>
            </w:r>
          </w:p>
        </w:tc>
        <w:tc>
          <w:tcPr>
            <w:tcW w:w="1696" w:type="dxa"/>
            <w:hideMark/>
          </w:tcPr>
          <w:p w14:paraId="41D56ED6" w14:textId="77777777" w:rsidR="00A43C1E" w:rsidRPr="00CE411B" w:rsidRDefault="00A43C1E" w:rsidP="0078385F">
            <w:pPr>
              <w:keepNext/>
              <w:keepLines/>
              <w:jc w:val="right"/>
              <w:rPr>
                <w:rFonts w:ascii="Arial" w:hAnsi="Arial" w:cs="Arial"/>
                <w:lang w:val="en-GB"/>
              </w:rPr>
            </w:pPr>
          </w:p>
        </w:tc>
      </w:tr>
      <w:tr w:rsidR="00A43C1E" w:rsidRPr="00CE411B" w14:paraId="3267980F" w14:textId="77777777" w:rsidTr="00DE379F">
        <w:trPr>
          <w:trHeight w:val="227"/>
          <w:jc w:val="center"/>
        </w:trPr>
        <w:tc>
          <w:tcPr>
            <w:tcW w:w="0" w:type="auto"/>
            <w:hideMark/>
          </w:tcPr>
          <w:p w14:paraId="7717C5B7"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June</w:t>
            </w:r>
          </w:p>
        </w:tc>
        <w:tc>
          <w:tcPr>
            <w:tcW w:w="1589" w:type="dxa"/>
            <w:hideMark/>
          </w:tcPr>
          <w:p w14:paraId="6608FD62"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67.187</w:t>
            </w:r>
          </w:p>
        </w:tc>
        <w:tc>
          <w:tcPr>
            <w:tcW w:w="1596" w:type="dxa"/>
            <w:hideMark/>
          </w:tcPr>
          <w:p w14:paraId="01ED74D8"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75.746</w:t>
            </w:r>
          </w:p>
        </w:tc>
        <w:tc>
          <w:tcPr>
            <w:tcW w:w="1596" w:type="dxa"/>
            <w:hideMark/>
          </w:tcPr>
          <w:p w14:paraId="0DA82696"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60.596</w:t>
            </w:r>
          </w:p>
        </w:tc>
        <w:tc>
          <w:tcPr>
            <w:tcW w:w="1596" w:type="dxa"/>
            <w:hideMark/>
          </w:tcPr>
          <w:p w14:paraId="06DD111B"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65.519</w:t>
            </w:r>
          </w:p>
        </w:tc>
        <w:tc>
          <w:tcPr>
            <w:tcW w:w="1696" w:type="dxa"/>
            <w:hideMark/>
          </w:tcPr>
          <w:p w14:paraId="69E5DD4C" w14:textId="77777777" w:rsidR="00A43C1E" w:rsidRPr="00CE411B" w:rsidRDefault="00A43C1E" w:rsidP="0078385F">
            <w:pPr>
              <w:keepNext/>
              <w:keepLines/>
              <w:jc w:val="right"/>
              <w:rPr>
                <w:rFonts w:ascii="Arial" w:hAnsi="Arial" w:cs="Arial"/>
                <w:lang w:val="en-GB"/>
              </w:rPr>
            </w:pPr>
          </w:p>
        </w:tc>
      </w:tr>
      <w:tr w:rsidR="00A43C1E" w:rsidRPr="00CE411B" w14:paraId="575C428D" w14:textId="77777777" w:rsidTr="00DE379F">
        <w:trPr>
          <w:trHeight w:val="227"/>
          <w:jc w:val="center"/>
        </w:trPr>
        <w:tc>
          <w:tcPr>
            <w:tcW w:w="0" w:type="auto"/>
            <w:hideMark/>
          </w:tcPr>
          <w:p w14:paraId="4B413D0F"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July</w:t>
            </w:r>
          </w:p>
        </w:tc>
        <w:tc>
          <w:tcPr>
            <w:tcW w:w="1589" w:type="dxa"/>
            <w:hideMark/>
          </w:tcPr>
          <w:p w14:paraId="20D0387A"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64.130</w:t>
            </w:r>
          </w:p>
        </w:tc>
        <w:tc>
          <w:tcPr>
            <w:tcW w:w="1596" w:type="dxa"/>
            <w:hideMark/>
          </w:tcPr>
          <w:p w14:paraId="6F13537E"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51.789</w:t>
            </w:r>
          </w:p>
        </w:tc>
        <w:tc>
          <w:tcPr>
            <w:tcW w:w="1596" w:type="dxa"/>
            <w:hideMark/>
          </w:tcPr>
          <w:p w14:paraId="53770B4C"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66.711</w:t>
            </w:r>
          </w:p>
        </w:tc>
        <w:tc>
          <w:tcPr>
            <w:tcW w:w="1596" w:type="dxa"/>
            <w:hideMark/>
          </w:tcPr>
          <w:p w14:paraId="18F94CA3"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47.555</w:t>
            </w:r>
          </w:p>
        </w:tc>
        <w:tc>
          <w:tcPr>
            <w:tcW w:w="1696" w:type="dxa"/>
            <w:hideMark/>
          </w:tcPr>
          <w:p w14:paraId="2EFDBD84" w14:textId="77777777" w:rsidR="00A43C1E" w:rsidRPr="00CE411B" w:rsidRDefault="00A43C1E" w:rsidP="0078385F">
            <w:pPr>
              <w:keepNext/>
              <w:keepLines/>
              <w:jc w:val="right"/>
              <w:rPr>
                <w:rFonts w:ascii="Arial" w:hAnsi="Arial" w:cs="Arial"/>
                <w:lang w:val="en-GB"/>
              </w:rPr>
            </w:pPr>
          </w:p>
        </w:tc>
      </w:tr>
      <w:tr w:rsidR="00A43C1E" w:rsidRPr="00CE411B" w14:paraId="2DF35EED" w14:textId="77777777" w:rsidTr="00DE379F">
        <w:trPr>
          <w:trHeight w:val="237"/>
          <w:jc w:val="center"/>
        </w:trPr>
        <w:tc>
          <w:tcPr>
            <w:tcW w:w="0" w:type="auto"/>
            <w:hideMark/>
          </w:tcPr>
          <w:p w14:paraId="0971EDA6"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August</w:t>
            </w:r>
          </w:p>
        </w:tc>
        <w:tc>
          <w:tcPr>
            <w:tcW w:w="1589" w:type="dxa"/>
            <w:hideMark/>
          </w:tcPr>
          <w:p w14:paraId="72B6A549"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60.306</w:t>
            </w:r>
          </w:p>
        </w:tc>
        <w:tc>
          <w:tcPr>
            <w:tcW w:w="1596" w:type="dxa"/>
            <w:hideMark/>
          </w:tcPr>
          <w:p w14:paraId="63EFD342"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53.890</w:t>
            </w:r>
          </w:p>
        </w:tc>
        <w:tc>
          <w:tcPr>
            <w:tcW w:w="1596" w:type="dxa"/>
            <w:hideMark/>
          </w:tcPr>
          <w:p w14:paraId="028880FE"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73.229</w:t>
            </w:r>
          </w:p>
        </w:tc>
        <w:tc>
          <w:tcPr>
            <w:tcW w:w="1596" w:type="dxa"/>
            <w:hideMark/>
          </w:tcPr>
          <w:p w14:paraId="49C946F9"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69.413</w:t>
            </w:r>
          </w:p>
        </w:tc>
        <w:tc>
          <w:tcPr>
            <w:tcW w:w="1696" w:type="dxa"/>
            <w:hideMark/>
          </w:tcPr>
          <w:p w14:paraId="49B488DD" w14:textId="77777777" w:rsidR="00A43C1E" w:rsidRPr="00CE411B" w:rsidRDefault="00A43C1E" w:rsidP="0078385F">
            <w:pPr>
              <w:keepNext/>
              <w:keepLines/>
              <w:jc w:val="right"/>
              <w:rPr>
                <w:rFonts w:ascii="Arial" w:hAnsi="Arial" w:cs="Arial"/>
                <w:lang w:val="en-GB"/>
              </w:rPr>
            </w:pPr>
          </w:p>
        </w:tc>
      </w:tr>
      <w:tr w:rsidR="00A43C1E" w:rsidRPr="00CE411B" w14:paraId="3F36F8C8" w14:textId="77777777" w:rsidTr="00DE379F">
        <w:trPr>
          <w:trHeight w:val="227"/>
          <w:jc w:val="center"/>
        </w:trPr>
        <w:tc>
          <w:tcPr>
            <w:tcW w:w="0" w:type="auto"/>
            <w:hideMark/>
          </w:tcPr>
          <w:p w14:paraId="6C8D7F5D"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September</w:t>
            </w:r>
          </w:p>
        </w:tc>
        <w:tc>
          <w:tcPr>
            <w:tcW w:w="1589" w:type="dxa"/>
            <w:hideMark/>
          </w:tcPr>
          <w:p w14:paraId="0B5C07C0"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69.061</w:t>
            </w:r>
          </w:p>
        </w:tc>
        <w:tc>
          <w:tcPr>
            <w:tcW w:w="1596" w:type="dxa"/>
            <w:hideMark/>
          </w:tcPr>
          <w:p w14:paraId="64A2190E"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64.685</w:t>
            </w:r>
          </w:p>
        </w:tc>
        <w:tc>
          <w:tcPr>
            <w:tcW w:w="1596" w:type="dxa"/>
            <w:hideMark/>
          </w:tcPr>
          <w:p w14:paraId="39A812CA"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96.482</w:t>
            </w:r>
          </w:p>
        </w:tc>
        <w:tc>
          <w:tcPr>
            <w:tcW w:w="1596" w:type="dxa"/>
            <w:hideMark/>
          </w:tcPr>
          <w:p w14:paraId="7FE5AE03"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84.108</w:t>
            </w:r>
          </w:p>
        </w:tc>
        <w:tc>
          <w:tcPr>
            <w:tcW w:w="1696" w:type="dxa"/>
            <w:hideMark/>
          </w:tcPr>
          <w:p w14:paraId="2951B91B" w14:textId="77777777" w:rsidR="00A43C1E" w:rsidRPr="00CE411B" w:rsidRDefault="00A43C1E" w:rsidP="0078385F">
            <w:pPr>
              <w:keepNext/>
              <w:keepLines/>
              <w:jc w:val="right"/>
              <w:rPr>
                <w:rFonts w:ascii="Arial" w:hAnsi="Arial" w:cs="Arial"/>
                <w:lang w:val="en-GB"/>
              </w:rPr>
            </w:pPr>
          </w:p>
        </w:tc>
      </w:tr>
      <w:tr w:rsidR="00A43C1E" w:rsidRPr="00CE411B" w14:paraId="6C070585" w14:textId="77777777" w:rsidTr="00DE379F">
        <w:trPr>
          <w:trHeight w:val="227"/>
          <w:jc w:val="center"/>
        </w:trPr>
        <w:tc>
          <w:tcPr>
            <w:tcW w:w="0" w:type="auto"/>
            <w:hideMark/>
          </w:tcPr>
          <w:p w14:paraId="3AF2DE6F"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October</w:t>
            </w:r>
          </w:p>
        </w:tc>
        <w:tc>
          <w:tcPr>
            <w:tcW w:w="1589" w:type="dxa"/>
            <w:hideMark/>
          </w:tcPr>
          <w:p w14:paraId="124C10A2"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69.111</w:t>
            </w:r>
          </w:p>
        </w:tc>
        <w:tc>
          <w:tcPr>
            <w:tcW w:w="1596" w:type="dxa"/>
            <w:hideMark/>
          </w:tcPr>
          <w:p w14:paraId="0B26D532"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81.028</w:t>
            </w:r>
          </w:p>
        </w:tc>
        <w:tc>
          <w:tcPr>
            <w:tcW w:w="1596" w:type="dxa"/>
            <w:hideMark/>
          </w:tcPr>
          <w:p w14:paraId="6BCD976F"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88.750</w:t>
            </w:r>
          </w:p>
        </w:tc>
        <w:tc>
          <w:tcPr>
            <w:tcW w:w="1596" w:type="dxa"/>
            <w:hideMark/>
          </w:tcPr>
          <w:p w14:paraId="493766F9"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83.615</w:t>
            </w:r>
          </w:p>
        </w:tc>
        <w:tc>
          <w:tcPr>
            <w:tcW w:w="1696" w:type="dxa"/>
            <w:hideMark/>
          </w:tcPr>
          <w:p w14:paraId="6D763CCA" w14:textId="77777777" w:rsidR="00A43C1E" w:rsidRPr="00CE411B" w:rsidRDefault="00A43C1E" w:rsidP="0078385F">
            <w:pPr>
              <w:keepNext/>
              <w:keepLines/>
              <w:jc w:val="right"/>
              <w:rPr>
                <w:rFonts w:ascii="Arial" w:hAnsi="Arial" w:cs="Arial"/>
                <w:lang w:val="en-GB"/>
              </w:rPr>
            </w:pPr>
          </w:p>
        </w:tc>
      </w:tr>
      <w:tr w:rsidR="00A43C1E" w:rsidRPr="00CE411B" w14:paraId="3FA5F6CF" w14:textId="77777777" w:rsidTr="00DE379F">
        <w:trPr>
          <w:trHeight w:val="237"/>
          <w:jc w:val="center"/>
        </w:trPr>
        <w:tc>
          <w:tcPr>
            <w:tcW w:w="0" w:type="auto"/>
            <w:hideMark/>
          </w:tcPr>
          <w:p w14:paraId="646BAE22"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November</w:t>
            </w:r>
          </w:p>
        </w:tc>
        <w:tc>
          <w:tcPr>
            <w:tcW w:w="1589" w:type="dxa"/>
            <w:hideMark/>
          </w:tcPr>
          <w:p w14:paraId="12044112"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69.145</w:t>
            </w:r>
          </w:p>
        </w:tc>
        <w:tc>
          <w:tcPr>
            <w:tcW w:w="1596" w:type="dxa"/>
            <w:hideMark/>
          </w:tcPr>
          <w:p w14:paraId="48410689"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91.297</w:t>
            </w:r>
          </w:p>
        </w:tc>
        <w:tc>
          <w:tcPr>
            <w:tcW w:w="1596" w:type="dxa"/>
            <w:hideMark/>
          </w:tcPr>
          <w:p w14:paraId="01A49C0D"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101.064</w:t>
            </w:r>
          </w:p>
        </w:tc>
        <w:tc>
          <w:tcPr>
            <w:tcW w:w="1596" w:type="dxa"/>
            <w:hideMark/>
          </w:tcPr>
          <w:p w14:paraId="23034FE1"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82.508</w:t>
            </w:r>
          </w:p>
        </w:tc>
        <w:tc>
          <w:tcPr>
            <w:tcW w:w="1696" w:type="dxa"/>
            <w:hideMark/>
          </w:tcPr>
          <w:p w14:paraId="511C2435" w14:textId="77777777" w:rsidR="00A43C1E" w:rsidRPr="00CE411B" w:rsidRDefault="00A43C1E" w:rsidP="0078385F">
            <w:pPr>
              <w:keepNext/>
              <w:keepLines/>
              <w:jc w:val="right"/>
              <w:rPr>
                <w:rFonts w:ascii="Arial" w:hAnsi="Arial" w:cs="Arial"/>
                <w:lang w:val="en-GB"/>
              </w:rPr>
            </w:pPr>
          </w:p>
        </w:tc>
      </w:tr>
      <w:tr w:rsidR="00A43C1E" w:rsidRPr="00CE411B" w14:paraId="75BACC75" w14:textId="77777777" w:rsidTr="00DE379F">
        <w:trPr>
          <w:trHeight w:val="227"/>
          <w:jc w:val="center"/>
        </w:trPr>
        <w:tc>
          <w:tcPr>
            <w:tcW w:w="0" w:type="auto"/>
            <w:hideMark/>
          </w:tcPr>
          <w:p w14:paraId="5CFA346C" w14:textId="77777777" w:rsidR="00A43C1E" w:rsidRPr="00CE411B" w:rsidRDefault="00A43C1E" w:rsidP="0078385F">
            <w:pPr>
              <w:keepNext/>
              <w:keepLines/>
              <w:jc w:val="both"/>
              <w:rPr>
                <w:rFonts w:ascii="Arial" w:hAnsi="Arial" w:cs="Arial"/>
                <w:lang w:val="en-GB"/>
              </w:rPr>
            </w:pPr>
            <w:r w:rsidRPr="00CE411B">
              <w:rPr>
                <w:rFonts w:ascii="Arial" w:hAnsi="Arial" w:cs="Arial"/>
                <w:lang w:val="en-GB"/>
              </w:rPr>
              <w:t>December</w:t>
            </w:r>
          </w:p>
        </w:tc>
        <w:tc>
          <w:tcPr>
            <w:tcW w:w="1589" w:type="dxa"/>
            <w:hideMark/>
          </w:tcPr>
          <w:p w14:paraId="05B9E92E"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71.892</w:t>
            </w:r>
          </w:p>
        </w:tc>
        <w:tc>
          <w:tcPr>
            <w:tcW w:w="1596" w:type="dxa"/>
            <w:hideMark/>
          </w:tcPr>
          <w:p w14:paraId="48334A4D"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99.554</w:t>
            </w:r>
          </w:p>
        </w:tc>
        <w:tc>
          <w:tcPr>
            <w:tcW w:w="1596" w:type="dxa"/>
            <w:hideMark/>
          </w:tcPr>
          <w:p w14:paraId="72B63579"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99.788</w:t>
            </w:r>
          </w:p>
        </w:tc>
        <w:tc>
          <w:tcPr>
            <w:tcW w:w="1596" w:type="dxa"/>
            <w:hideMark/>
          </w:tcPr>
          <w:p w14:paraId="532E6A6D" w14:textId="77777777" w:rsidR="00A43C1E" w:rsidRPr="00CE411B" w:rsidRDefault="00A43C1E" w:rsidP="0078385F">
            <w:pPr>
              <w:keepNext/>
              <w:keepLines/>
              <w:jc w:val="right"/>
              <w:rPr>
                <w:rFonts w:ascii="Arial" w:hAnsi="Arial" w:cs="Arial"/>
                <w:lang w:val="en-GB"/>
              </w:rPr>
            </w:pPr>
            <w:r w:rsidRPr="00CE411B">
              <w:rPr>
                <w:rFonts w:ascii="Arial" w:hAnsi="Arial" w:cs="Arial"/>
                <w:lang w:val="en-GB"/>
              </w:rPr>
              <w:t>90.787</w:t>
            </w:r>
          </w:p>
        </w:tc>
        <w:tc>
          <w:tcPr>
            <w:tcW w:w="1696" w:type="dxa"/>
            <w:hideMark/>
          </w:tcPr>
          <w:p w14:paraId="36B5C106" w14:textId="77777777" w:rsidR="00A43C1E" w:rsidRPr="00CE411B" w:rsidRDefault="00A43C1E" w:rsidP="0078385F">
            <w:pPr>
              <w:keepNext/>
              <w:keepLines/>
              <w:jc w:val="right"/>
              <w:rPr>
                <w:rFonts w:ascii="Arial" w:hAnsi="Arial" w:cs="Arial"/>
                <w:lang w:val="en-GB"/>
              </w:rPr>
            </w:pPr>
          </w:p>
        </w:tc>
      </w:tr>
    </w:tbl>
    <w:p w14:paraId="0E826666" w14:textId="77777777" w:rsidR="00A43C1E" w:rsidRPr="00CE411B" w:rsidRDefault="00A43C1E" w:rsidP="0078385F">
      <w:pPr>
        <w:pStyle w:val="BodyTextMain"/>
        <w:keepNext/>
        <w:keepLines/>
        <w:rPr>
          <w:lang w:val="en-GB"/>
        </w:rPr>
      </w:pPr>
    </w:p>
    <w:p w14:paraId="224F40B0" w14:textId="7EC8349D" w:rsidR="00A43C1E" w:rsidRPr="00CE411B" w:rsidRDefault="00A43C1E" w:rsidP="0078385F">
      <w:pPr>
        <w:pStyle w:val="Footnote"/>
        <w:keepNext/>
        <w:keepLines/>
        <w:rPr>
          <w:shd w:val="clear" w:color="auto" w:fill="FFFFFF"/>
          <w:lang w:val="en-GB"/>
        </w:rPr>
      </w:pPr>
      <w:r w:rsidRPr="00CE411B">
        <w:rPr>
          <w:lang w:val="en-GB"/>
        </w:rPr>
        <w:t xml:space="preserve">Note: </w:t>
      </w:r>
      <w:r w:rsidR="00605496" w:rsidRPr="00CE411B">
        <w:rPr>
          <w:lang w:val="en-GB"/>
        </w:rPr>
        <w:t xml:space="preserve">Ford’s </w:t>
      </w:r>
      <w:r w:rsidRPr="00CE411B">
        <w:rPr>
          <w:shd w:val="clear" w:color="auto" w:fill="FFFFFF"/>
          <w:lang w:val="en-GB"/>
        </w:rPr>
        <w:t xml:space="preserve">auto sales </w:t>
      </w:r>
      <w:r w:rsidR="00605496" w:rsidRPr="00CE411B">
        <w:rPr>
          <w:shd w:val="clear" w:color="auto" w:fill="FFFFFF"/>
          <w:lang w:val="en-GB"/>
        </w:rPr>
        <w:t xml:space="preserve">in China </w:t>
      </w:r>
      <w:r w:rsidRPr="00CE411B">
        <w:rPr>
          <w:shd w:val="clear" w:color="auto" w:fill="FFFFFF"/>
          <w:lang w:val="en-GB"/>
        </w:rPr>
        <w:t xml:space="preserve">only include the </w:t>
      </w:r>
      <w:r w:rsidR="00AE0FB7" w:rsidRPr="00CE411B">
        <w:rPr>
          <w:shd w:val="clear" w:color="auto" w:fill="FFFFFF"/>
          <w:lang w:val="en-GB"/>
        </w:rPr>
        <w:t xml:space="preserve">models </w:t>
      </w:r>
      <w:r w:rsidRPr="00CE411B">
        <w:rPr>
          <w:shd w:val="clear" w:color="auto" w:fill="FFFFFF"/>
          <w:lang w:val="en-GB"/>
        </w:rPr>
        <w:t xml:space="preserve">produced </w:t>
      </w:r>
      <w:r w:rsidR="00AE0FB7" w:rsidRPr="00CE411B">
        <w:rPr>
          <w:shd w:val="clear" w:color="auto" w:fill="FFFFFF"/>
          <w:lang w:val="en-GB"/>
        </w:rPr>
        <w:t>locally</w:t>
      </w:r>
      <w:r w:rsidR="00AE0FB7">
        <w:rPr>
          <w:shd w:val="clear" w:color="auto" w:fill="FFFFFF"/>
          <w:lang w:val="en-GB"/>
        </w:rPr>
        <w:t xml:space="preserve"> </w:t>
      </w:r>
      <w:r w:rsidRPr="00CE411B">
        <w:rPr>
          <w:shd w:val="clear" w:color="auto" w:fill="FFFFFF"/>
          <w:lang w:val="en-GB"/>
        </w:rPr>
        <w:t xml:space="preserve">through the </w:t>
      </w:r>
      <w:proofErr w:type="spellStart"/>
      <w:r w:rsidRPr="00CE411B">
        <w:rPr>
          <w:shd w:val="clear" w:color="auto" w:fill="FFFFFF"/>
          <w:lang w:val="en-GB"/>
        </w:rPr>
        <w:t>Chang’an</w:t>
      </w:r>
      <w:proofErr w:type="spellEnd"/>
      <w:r w:rsidRPr="00CE411B">
        <w:rPr>
          <w:shd w:val="clear" w:color="auto" w:fill="FFFFFF"/>
          <w:lang w:val="en-GB"/>
        </w:rPr>
        <w:t xml:space="preserve">-Ford </w:t>
      </w:r>
      <w:r w:rsidR="00A50A21">
        <w:rPr>
          <w:shd w:val="clear" w:color="auto" w:fill="FFFFFF"/>
          <w:lang w:val="en-GB"/>
        </w:rPr>
        <w:t>j</w:t>
      </w:r>
      <w:r w:rsidRPr="00CE411B">
        <w:rPr>
          <w:shd w:val="clear" w:color="auto" w:fill="FFFFFF"/>
          <w:lang w:val="en-GB"/>
        </w:rPr>
        <w:t xml:space="preserve">oint </w:t>
      </w:r>
      <w:r w:rsidR="00A50A21">
        <w:rPr>
          <w:shd w:val="clear" w:color="auto" w:fill="FFFFFF"/>
          <w:lang w:val="en-GB"/>
        </w:rPr>
        <w:t>v</w:t>
      </w:r>
      <w:r w:rsidRPr="00CE411B">
        <w:rPr>
          <w:shd w:val="clear" w:color="auto" w:fill="FFFFFF"/>
          <w:lang w:val="en-GB"/>
        </w:rPr>
        <w:t xml:space="preserve">enture and exclude </w:t>
      </w:r>
      <w:r w:rsidR="00605496" w:rsidRPr="00CE411B">
        <w:rPr>
          <w:shd w:val="clear" w:color="auto" w:fill="FFFFFF"/>
          <w:lang w:val="en-GB"/>
        </w:rPr>
        <w:t xml:space="preserve">the </w:t>
      </w:r>
      <w:r w:rsidRPr="00CE411B">
        <w:rPr>
          <w:shd w:val="clear" w:color="auto" w:fill="FFFFFF"/>
          <w:lang w:val="en-GB"/>
        </w:rPr>
        <w:t>import</w:t>
      </w:r>
      <w:r w:rsidR="00605496" w:rsidRPr="00CE411B">
        <w:rPr>
          <w:shd w:val="clear" w:color="auto" w:fill="FFFFFF"/>
          <w:lang w:val="en-GB"/>
        </w:rPr>
        <w:t>ed</w:t>
      </w:r>
      <w:r w:rsidRPr="00CE411B">
        <w:rPr>
          <w:shd w:val="clear" w:color="auto" w:fill="FFFFFF"/>
          <w:lang w:val="en-GB"/>
        </w:rPr>
        <w:t xml:space="preserve"> models. Ford </w:t>
      </w:r>
      <w:r w:rsidR="00AE0FB7">
        <w:rPr>
          <w:shd w:val="clear" w:color="auto" w:fill="FFFFFF"/>
          <w:lang w:val="en-GB"/>
        </w:rPr>
        <w:t>wa</w:t>
      </w:r>
      <w:r w:rsidR="00AE0FB7" w:rsidRPr="00CE411B">
        <w:rPr>
          <w:shd w:val="clear" w:color="auto" w:fill="FFFFFF"/>
          <w:lang w:val="en-GB"/>
        </w:rPr>
        <w:t xml:space="preserve">s </w:t>
      </w:r>
      <w:r w:rsidRPr="00CE411B">
        <w:rPr>
          <w:shd w:val="clear" w:color="auto" w:fill="FFFFFF"/>
          <w:lang w:val="en-GB"/>
        </w:rPr>
        <w:t xml:space="preserve">also a </w:t>
      </w:r>
      <w:r w:rsidR="00A50A21">
        <w:rPr>
          <w:shd w:val="clear" w:color="auto" w:fill="FFFFFF"/>
          <w:lang w:val="en-GB"/>
        </w:rPr>
        <w:t>j</w:t>
      </w:r>
      <w:r w:rsidRPr="00CE411B">
        <w:rPr>
          <w:shd w:val="clear" w:color="auto" w:fill="FFFFFF"/>
          <w:lang w:val="en-GB"/>
        </w:rPr>
        <w:t xml:space="preserve">oint </w:t>
      </w:r>
      <w:r w:rsidR="00A50A21">
        <w:rPr>
          <w:shd w:val="clear" w:color="auto" w:fill="FFFFFF"/>
          <w:lang w:val="en-GB"/>
        </w:rPr>
        <w:t>v</w:t>
      </w:r>
      <w:r w:rsidRPr="00CE411B">
        <w:rPr>
          <w:shd w:val="clear" w:color="auto" w:fill="FFFFFF"/>
          <w:lang w:val="en-GB"/>
        </w:rPr>
        <w:t xml:space="preserve">enture </w:t>
      </w:r>
      <w:r w:rsidR="00605496" w:rsidRPr="00CE411B">
        <w:rPr>
          <w:shd w:val="clear" w:color="auto" w:fill="FFFFFF"/>
          <w:lang w:val="en-GB"/>
        </w:rPr>
        <w:t xml:space="preserve">partner of </w:t>
      </w:r>
      <w:hyperlink r:id="rId10" w:tgtFrame="_blank" w:history="1">
        <w:r w:rsidRPr="00CE411B">
          <w:rPr>
            <w:lang w:val="en-GB"/>
          </w:rPr>
          <w:t>Jiangling Motors Co.</w:t>
        </w:r>
      </w:hyperlink>
      <w:r w:rsidRPr="00CE411B">
        <w:rPr>
          <w:shd w:val="clear" w:color="auto" w:fill="FFFFFF"/>
          <w:lang w:val="en-GB"/>
        </w:rPr>
        <w:t> for the production of its commercial vehicles </w:t>
      </w:r>
      <w:hyperlink r:id="rId11" w:history="1">
        <w:r w:rsidRPr="00CE411B">
          <w:rPr>
            <w:lang w:val="en-GB"/>
          </w:rPr>
          <w:t>Transit</w:t>
        </w:r>
      </w:hyperlink>
      <w:r w:rsidRPr="00CE411B">
        <w:rPr>
          <w:shd w:val="clear" w:color="auto" w:fill="FFFFFF"/>
          <w:lang w:val="en-GB"/>
        </w:rPr>
        <w:t>, Transit Classic</w:t>
      </w:r>
      <w:r w:rsidR="00A50A21">
        <w:rPr>
          <w:shd w:val="clear" w:color="auto" w:fill="FFFFFF"/>
          <w:lang w:val="en-GB"/>
        </w:rPr>
        <w:t>,</w:t>
      </w:r>
      <w:r w:rsidRPr="00CE411B">
        <w:rPr>
          <w:shd w:val="clear" w:color="auto" w:fill="FFFFFF"/>
          <w:lang w:val="en-GB"/>
        </w:rPr>
        <w:t xml:space="preserve"> and </w:t>
      </w:r>
      <w:proofErr w:type="spellStart"/>
      <w:r w:rsidR="008E7BFC">
        <w:fldChar w:fldCharType="begin"/>
      </w:r>
      <w:r w:rsidR="008E7BFC">
        <w:instrText xml:space="preserve"> HYPERLINK "http://carsalesbase.com/china-car-sales-data/ford/ford-tourneo/" </w:instrText>
      </w:r>
      <w:r w:rsidR="008E7BFC">
        <w:fldChar w:fldCharType="separate"/>
      </w:r>
      <w:r w:rsidRPr="00CE411B">
        <w:rPr>
          <w:lang w:val="en-GB"/>
        </w:rPr>
        <w:t>Tourneo</w:t>
      </w:r>
      <w:proofErr w:type="spellEnd"/>
      <w:r w:rsidR="008E7BFC">
        <w:rPr>
          <w:lang w:val="en-GB"/>
        </w:rPr>
        <w:fldChar w:fldCharType="end"/>
      </w:r>
      <w:r w:rsidRPr="00CE411B">
        <w:rPr>
          <w:shd w:val="clear" w:color="auto" w:fill="FFFFFF"/>
          <w:lang w:val="en-GB"/>
        </w:rPr>
        <w:t xml:space="preserve">. </w:t>
      </w:r>
    </w:p>
    <w:p w14:paraId="5571683E" w14:textId="61976ADC" w:rsidR="00A43C1E" w:rsidRPr="00CE411B" w:rsidRDefault="00A43C1E" w:rsidP="0078385F">
      <w:pPr>
        <w:pStyle w:val="Footnote"/>
        <w:keepNext/>
        <w:keepLines/>
        <w:rPr>
          <w:lang w:val="en-GB"/>
        </w:rPr>
      </w:pPr>
      <w:r w:rsidRPr="00CE411B">
        <w:rPr>
          <w:lang w:val="en-GB"/>
        </w:rPr>
        <w:t xml:space="preserve">Source: </w:t>
      </w:r>
      <w:r w:rsidR="00AE0FB7" w:rsidRPr="00AE0FB7">
        <w:rPr>
          <w:lang w:val="en-GB"/>
        </w:rPr>
        <w:t xml:space="preserve">Bart </w:t>
      </w:r>
      <w:proofErr w:type="spellStart"/>
      <w:r w:rsidR="00AE0FB7" w:rsidRPr="00AE0FB7">
        <w:rPr>
          <w:lang w:val="en-GB"/>
        </w:rPr>
        <w:t>Demandt</w:t>
      </w:r>
      <w:proofErr w:type="spellEnd"/>
      <w:r w:rsidR="00AE0FB7" w:rsidRPr="00AE0FB7">
        <w:rPr>
          <w:lang w:val="en-GB"/>
        </w:rPr>
        <w:t xml:space="preserve">, </w:t>
      </w:r>
      <w:r w:rsidR="00A50A21">
        <w:rPr>
          <w:lang w:val="en-GB"/>
        </w:rPr>
        <w:t>“</w:t>
      </w:r>
      <w:r w:rsidRPr="00CE411B">
        <w:rPr>
          <w:lang w:val="en-GB"/>
        </w:rPr>
        <w:t>Ford China Auto Sales Figures</w:t>
      </w:r>
      <w:r w:rsidR="00A50A21">
        <w:rPr>
          <w:lang w:val="en-GB"/>
        </w:rPr>
        <w:t>,”</w:t>
      </w:r>
      <w:r w:rsidRPr="00CE411B">
        <w:rPr>
          <w:lang w:val="en-GB"/>
        </w:rPr>
        <w:t xml:space="preserve"> </w:t>
      </w:r>
      <w:proofErr w:type="spellStart"/>
      <w:r w:rsidRPr="00CE411B">
        <w:rPr>
          <w:lang w:val="en-GB"/>
        </w:rPr>
        <w:t>Car</w:t>
      </w:r>
      <w:r w:rsidR="00A50A21">
        <w:rPr>
          <w:lang w:val="en-GB"/>
        </w:rPr>
        <w:t>S</w:t>
      </w:r>
      <w:r w:rsidRPr="00CE411B">
        <w:rPr>
          <w:lang w:val="en-GB"/>
        </w:rPr>
        <w:t>ales</w:t>
      </w:r>
      <w:r w:rsidR="00A50A21">
        <w:rPr>
          <w:lang w:val="en-GB"/>
        </w:rPr>
        <w:t>B</w:t>
      </w:r>
      <w:r w:rsidRPr="00CE411B">
        <w:rPr>
          <w:lang w:val="en-GB"/>
        </w:rPr>
        <w:t>ase</w:t>
      </w:r>
      <w:proofErr w:type="spellEnd"/>
      <w:r w:rsidR="00A50A21">
        <w:rPr>
          <w:lang w:val="en-GB"/>
        </w:rPr>
        <w:t xml:space="preserve"> </w:t>
      </w:r>
      <w:r w:rsidR="00AE0FB7">
        <w:rPr>
          <w:lang w:val="en-GB"/>
        </w:rPr>
        <w:t>(</w:t>
      </w:r>
      <w:r w:rsidR="00A50A21">
        <w:rPr>
          <w:lang w:val="en-GB"/>
        </w:rPr>
        <w:t>blog</w:t>
      </w:r>
      <w:r w:rsidR="00AE0FB7">
        <w:rPr>
          <w:lang w:val="en-GB"/>
        </w:rPr>
        <w:t>)</w:t>
      </w:r>
      <w:r w:rsidR="00A50A21">
        <w:rPr>
          <w:lang w:val="en-GB"/>
        </w:rPr>
        <w:t>,</w:t>
      </w:r>
      <w:r w:rsidRPr="00CE411B">
        <w:rPr>
          <w:lang w:val="en-GB"/>
        </w:rPr>
        <w:t xml:space="preserve"> </w:t>
      </w:r>
      <w:r w:rsidR="00A50A21">
        <w:rPr>
          <w:lang w:val="en-GB"/>
        </w:rPr>
        <w:t>a</w:t>
      </w:r>
      <w:r w:rsidR="00A50A21" w:rsidRPr="00CE411B">
        <w:rPr>
          <w:lang w:val="en-GB"/>
        </w:rPr>
        <w:t>ccessed June 9, 2018</w:t>
      </w:r>
      <w:r w:rsidR="00A50A21">
        <w:rPr>
          <w:lang w:val="en-GB"/>
        </w:rPr>
        <w:t xml:space="preserve">, </w:t>
      </w:r>
      <w:r w:rsidRPr="00A50A21">
        <w:rPr>
          <w:rStyle w:val="Hyperlink"/>
          <w:color w:val="auto"/>
          <w:u w:val="none"/>
          <w:lang w:val="en-GB"/>
        </w:rPr>
        <w:t>http://carsalesbase.com/china-car-sales-data/ford</w:t>
      </w:r>
      <w:r w:rsidRPr="00CE411B">
        <w:rPr>
          <w:lang w:val="en-GB"/>
        </w:rPr>
        <w:t>.</w:t>
      </w:r>
    </w:p>
    <w:p w14:paraId="3B9EFE2B" w14:textId="77777777" w:rsidR="00A43C1E" w:rsidRPr="00CE411B" w:rsidRDefault="00A43C1E" w:rsidP="0078385F">
      <w:pPr>
        <w:pStyle w:val="BodyTextMain"/>
        <w:keepNext/>
        <w:keepLines/>
        <w:rPr>
          <w:lang w:val="en-GB"/>
        </w:rPr>
      </w:pPr>
    </w:p>
    <w:p w14:paraId="2E6AFECD" w14:textId="28363BEE" w:rsidR="00A43C1E" w:rsidRDefault="00A43C1E" w:rsidP="00A43C1E">
      <w:pPr>
        <w:pStyle w:val="BodyTextMain"/>
        <w:rPr>
          <w:lang w:val="en-GB"/>
        </w:rPr>
      </w:pPr>
    </w:p>
    <w:p w14:paraId="59BDCFD8" w14:textId="240E73F2" w:rsidR="00A43C1E" w:rsidRPr="00CE411B" w:rsidRDefault="00A43C1E" w:rsidP="0078385F">
      <w:pPr>
        <w:pStyle w:val="ExhibitHeading"/>
        <w:keepNext/>
        <w:keepLines/>
        <w:rPr>
          <w:lang w:val="en-GB"/>
        </w:rPr>
      </w:pPr>
      <w:r w:rsidRPr="00CE411B">
        <w:rPr>
          <w:lang w:val="en-GB"/>
        </w:rPr>
        <w:lastRenderedPageBreak/>
        <w:t>EXHIBIT 3: GEELY SALES IN CHINA</w:t>
      </w:r>
    </w:p>
    <w:p w14:paraId="61DB80D9" w14:textId="77777777" w:rsidR="00A43C1E" w:rsidRPr="00CE411B" w:rsidRDefault="00A43C1E" w:rsidP="0078385F">
      <w:pPr>
        <w:pStyle w:val="Footnote"/>
        <w:keepNext/>
        <w:keepLines/>
        <w:rPr>
          <w:lang w:val="en-GB"/>
        </w:rPr>
      </w:pPr>
    </w:p>
    <w:tbl>
      <w:tblPr>
        <w:tblStyle w:val="TableGrid"/>
        <w:tblW w:w="5303" w:type="dxa"/>
        <w:jc w:val="center"/>
        <w:tblLayout w:type="fixed"/>
        <w:tblLook w:val="04A0" w:firstRow="1" w:lastRow="0" w:firstColumn="1" w:lastColumn="0" w:noHBand="0" w:noVBand="1"/>
      </w:tblPr>
      <w:tblGrid>
        <w:gridCol w:w="808"/>
        <w:gridCol w:w="2364"/>
        <w:gridCol w:w="2131"/>
      </w:tblGrid>
      <w:tr w:rsidR="00A43C1E" w:rsidRPr="00CE411B" w14:paraId="752339B2" w14:textId="77777777" w:rsidTr="00DE379F">
        <w:trPr>
          <w:trHeight w:val="125"/>
          <w:jc w:val="center"/>
        </w:trPr>
        <w:tc>
          <w:tcPr>
            <w:tcW w:w="808" w:type="dxa"/>
            <w:hideMark/>
          </w:tcPr>
          <w:p w14:paraId="6C8F243C" w14:textId="77777777" w:rsidR="00A43C1E" w:rsidRPr="00CE411B" w:rsidRDefault="00A43C1E" w:rsidP="0078385F">
            <w:pPr>
              <w:keepNext/>
              <w:keepLines/>
              <w:rPr>
                <w:rFonts w:ascii="Arial" w:hAnsi="Arial" w:cs="Arial"/>
                <w:b/>
                <w:color w:val="000000" w:themeColor="text1"/>
                <w:lang w:val="en-GB"/>
              </w:rPr>
            </w:pPr>
          </w:p>
        </w:tc>
        <w:tc>
          <w:tcPr>
            <w:tcW w:w="2364" w:type="dxa"/>
            <w:hideMark/>
          </w:tcPr>
          <w:p w14:paraId="79F2101F" w14:textId="66777ADD" w:rsidR="00A43C1E" w:rsidRPr="00CE411B" w:rsidRDefault="00A43C1E" w:rsidP="0078385F">
            <w:pPr>
              <w:keepNext/>
              <w:keepLines/>
              <w:spacing w:after="30"/>
              <w:jc w:val="center"/>
              <w:outlineLvl w:val="4"/>
              <w:rPr>
                <w:rFonts w:ascii="Arial" w:hAnsi="Arial" w:cs="Arial"/>
                <w:b/>
                <w:color w:val="000000" w:themeColor="text1"/>
                <w:lang w:val="en-GB"/>
              </w:rPr>
            </w:pPr>
            <w:r w:rsidRPr="00CE411B">
              <w:rPr>
                <w:rFonts w:ascii="Arial" w:hAnsi="Arial" w:cs="Arial"/>
                <w:b/>
                <w:color w:val="000000" w:themeColor="text1"/>
                <w:lang w:val="en-GB"/>
              </w:rPr>
              <w:t>All Models</w:t>
            </w:r>
          </w:p>
        </w:tc>
        <w:tc>
          <w:tcPr>
            <w:tcW w:w="2131" w:type="dxa"/>
            <w:hideMark/>
          </w:tcPr>
          <w:p w14:paraId="56617DC8" w14:textId="6DF0B8EE" w:rsidR="00A43C1E" w:rsidRPr="00CE411B" w:rsidRDefault="00A43C1E" w:rsidP="0078385F">
            <w:pPr>
              <w:keepNext/>
              <w:keepLines/>
              <w:spacing w:after="30"/>
              <w:jc w:val="center"/>
              <w:outlineLvl w:val="4"/>
              <w:rPr>
                <w:rFonts w:ascii="Arial" w:hAnsi="Arial" w:cs="Arial"/>
                <w:b/>
                <w:color w:val="000000" w:themeColor="text1"/>
                <w:lang w:val="en-GB"/>
              </w:rPr>
            </w:pPr>
            <w:r w:rsidRPr="00CE411B">
              <w:rPr>
                <w:rFonts w:ascii="Arial" w:hAnsi="Arial" w:cs="Arial"/>
                <w:b/>
                <w:color w:val="000000" w:themeColor="text1"/>
                <w:lang w:val="en-GB"/>
              </w:rPr>
              <w:t>Market Share</w:t>
            </w:r>
          </w:p>
        </w:tc>
      </w:tr>
      <w:tr w:rsidR="00A43C1E" w:rsidRPr="00CE411B" w14:paraId="43E09D4F" w14:textId="77777777" w:rsidTr="00DE379F">
        <w:trPr>
          <w:trHeight w:val="230"/>
          <w:jc w:val="center"/>
        </w:trPr>
        <w:tc>
          <w:tcPr>
            <w:tcW w:w="808" w:type="dxa"/>
            <w:hideMark/>
          </w:tcPr>
          <w:p w14:paraId="63694BE9"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2017</w:t>
            </w:r>
          </w:p>
        </w:tc>
        <w:tc>
          <w:tcPr>
            <w:tcW w:w="2364" w:type="dxa"/>
            <w:hideMark/>
          </w:tcPr>
          <w:p w14:paraId="5992195D"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1.251.656</w:t>
            </w:r>
          </w:p>
        </w:tc>
        <w:tc>
          <w:tcPr>
            <w:tcW w:w="2131" w:type="dxa"/>
            <w:hideMark/>
          </w:tcPr>
          <w:p w14:paraId="54E3D7F4" w14:textId="10B1662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w:t>
            </w:r>
            <w:r w:rsidR="00D02526">
              <w:rPr>
                <w:rFonts w:ascii="Arial" w:hAnsi="Arial" w:cs="Arial"/>
                <w:color w:val="000000" w:themeColor="text1"/>
                <w:lang w:val="en-GB"/>
              </w:rPr>
              <w:t>.</w:t>
            </w:r>
            <w:r w:rsidRPr="00CE411B">
              <w:rPr>
                <w:rFonts w:ascii="Arial" w:hAnsi="Arial" w:cs="Arial"/>
                <w:color w:val="000000" w:themeColor="text1"/>
                <w:lang w:val="en-GB"/>
              </w:rPr>
              <w:t>16%</w:t>
            </w:r>
          </w:p>
        </w:tc>
      </w:tr>
      <w:tr w:rsidR="00A43C1E" w:rsidRPr="00CE411B" w14:paraId="11014C76" w14:textId="77777777" w:rsidTr="00DE379F">
        <w:trPr>
          <w:trHeight w:val="230"/>
          <w:jc w:val="center"/>
        </w:trPr>
        <w:tc>
          <w:tcPr>
            <w:tcW w:w="808" w:type="dxa"/>
            <w:hideMark/>
          </w:tcPr>
          <w:p w14:paraId="1AFFA83B"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2016</w:t>
            </w:r>
          </w:p>
        </w:tc>
        <w:tc>
          <w:tcPr>
            <w:tcW w:w="2364" w:type="dxa"/>
            <w:hideMark/>
          </w:tcPr>
          <w:p w14:paraId="5CE5B2AD"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778.896</w:t>
            </w:r>
          </w:p>
        </w:tc>
        <w:tc>
          <w:tcPr>
            <w:tcW w:w="2131" w:type="dxa"/>
            <w:hideMark/>
          </w:tcPr>
          <w:p w14:paraId="73048F7B" w14:textId="284D3CCB"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30%</w:t>
            </w:r>
          </w:p>
        </w:tc>
      </w:tr>
      <w:tr w:rsidR="00A43C1E" w:rsidRPr="00CE411B" w14:paraId="225342C5" w14:textId="77777777" w:rsidTr="00DE379F">
        <w:trPr>
          <w:trHeight w:val="240"/>
          <w:jc w:val="center"/>
        </w:trPr>
        <w:tc>
          <w:tcPr>
            <w:tcW w:w="808" w:type="dxa"/>
            <w:hideMark/>
          </w:tcPr>
          <w:p w14:paraId="79DEF832"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2015</w:t>
            </w:r>
          </w:p>
        </w:tc>
        <w:tc>
          <w:tcPr>
            <w:tcW w:w="2364" w:type="dxa"/>
            <w:hideMark/>
          </w:tcPr>
          <w:p w14:paraId="79E4923E"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532.384</w:t>
            </w:r>
          </w:p>
        </w:tc>
        <w:tc>
          <w:tcPr>
            <w:tcW w:w="2131" w:type="dxa"/>
            <w:hideMark/>
          </w:tcPr>
          <w:p w14:paraId="50CB4CEF" w14:textId="3621F1E4"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w:t>
            </w:r>
            <w:r w:rsidR="00D02526">
              <w:rPr>
                <w:rFonts w:ascii="Arial" w:hAnsi="Arial" w:cs="Arial"/>
                <w:color w:val="000000" w:themeColor="text1"/>
                <w:lang w:val="en-GB"/>
              </w:rPr>
              <w:t>.</w:t>
            </w:r>
            <w:r w:rsidRPr="00CE411B">
              <w:rPr>
                <w:rFonts w:ascii="Arial" w:hAnsi="Arial" w:cs="Arial"/>
                <w:color w:val="000000" w:themeColor="text1"/>
                <w:lang w:val="en-GB"/>
              </w:rPr>
              <w:t>64%</w:t>
            </w:r>
          </w:p>
        </w:tc>
      </w:tr>
      <w:tr w:rsidR="00A43C1E" w:rsidRPr="00CE411B" w14:paraId="6956862B" w14:textId="77777777" w:rsidTr="00DE379F">
        <w:trPr>
          <w:trHeight w:val="230"/>
          <w:jc w:val="center"/>
        </w:trPr>
        <w:tc>
          <w:tcPr>
            <w:tcW w:w="808" w:type="dxa"/>
            <w:hideMark/>
          </w:tcPr>
          <w:p w14:paraId="6F354027"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2014</w:t>
            </w:r>
          </w:p>
        </w:tc>
        <w:tc>
          <w:tcPr>
            <w:tcW w:w="2364" w:type="dxa"/>
            <w:hideMark/>
          </w:tcPr>
          <w:p w14:paraId="68EB080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425.773</w:t>
            </w:r>
          </w:p>
        </w:tc>
        <w:tc>
          <w:tcPr>
            <w:tcW w:w="2131" w:type="dxa"/>
            <w:hideMark/>
          </w:tcPr>
          <w:p w14:paraId="1BA02274" w14:textId="4F498FDE"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w:t>
            </w:r>
            <w:r w:rsidR="00D02526">
              <w:rPr>
                <w:rFonts w:ascii="Arial" w:hAnsi="Arial" w:cs="Arial"/>
                <w:color w:val="000000" w:themeColor="text1"/>
                <w:lang w:val="en-GB"/>
              </w:rPr>
              <w:t>.</w:t>
            </w:r>
            <w:r w:rsidRPr="00CE411B">
              <w:rPr>
                <w:rFonts w:ascii="Arial" w:hAnsi="Arial" w:cs="Arial"/>
                <w:color w:val="000000" w:themeColor="text1"/>
                <w:lang w:val="en-GB"/>
              </w:rPr>
              <w:t>31%</w:t>
            </w:r>
          </w:p>
        </w:tc>
      </w:tr>
      <w:tr w:rsidR="00A43C1E" w:rsidRPr="00CE411B" w14:paraId="44AB3AC2" w14:textId="77777777" w:rsidTr="00DE379F">
        <w:trPr>
          <w:trHeight w:val="230"/>
          <w:jc w:val="center"/>
        </w:trPr>
        <w:tc>
          <w:tcPr>
            <w:tcW w:w="808" w:type="dxa"/>
            <w:hideMark/>
          </w:tcPr>
          <w:p w14:paraId="37660B25"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2013</w:t>
            </w:r>
          </w:p>
        </w:tc>
        <w:tc>
          <w:tcPr>
            <w:tcW w:w="2364" w:type="dxa"/>
            <w:hideMark/>
          </w:tcPr>
          <w:p w14:paraId="60C65704"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549.393</w:t>
            </w:r>
          </w:p>
        </w:tc>
        <w:tc>
          <w:tcPr>
            <w:tcW w:w="2131" w:type="dxa"/>
            <w:hideMark/>
          </w:tcPr>
          <w:p w14:paraId="340526B8" w14:textId="542121E5"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37%</w:t>
            </w:r>
          </w:p>
        </w:tc>
      </w:tr>
      <w:tr w:rsidR="00A43C1E" w:rsidRPr="00CE411B" w14:paraId="30C237AE" w14:textId="77777777" w:rsidTr="00DE379F">
        <w:trPr>
          <w:trHeight w:val="240"/>
          <w:jc w:val="center"/>
        </w:trPr>
        <w:tc>
          <w:tcPr>
            <w:tcW w:w="808" w:type="dxa"/>
            <w:hideMark/>
          </w:tcPr>
          <w:p w14:paraId="77F9FD1D"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2012</w:t>
            </w:r>
          </w:p>
        </w:tc>
        <w:tc>
          <w:tcPr>
            <w:tcW w:w="2364" w:type="dxa"/>
            <w:hideMark/>
          </w:tcPr>
          <w:p w14:paraId="4C703D2B"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491.445</w:t>
            </w:r>
          </w:p>
        </w:tc>
        <w:tc>
          <w:tcPr>
            <w:tcW w:w="2131" w:type="dxa"/>
            <w:hideMark/>
          </w:tcPr>
          <w:p w14:paraId="08E76960" w14:textId="161E3DC3"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72%</w:t>
            </w:r>
          </w:p>
        </w:tc>
      </w:tr>
      <w:tr w:rsidR="00A43C1E" w:rsidRPr="00CE411B" w14:paraId="583EC02B" w14:textId="77777777" w:rsidTr="00DE379F">
        <w:trPr>
          <w:trHeight w:val="230"/>
          <w:jc w:val="center"/>
        </w:trPr>
        <w:tc>
          <w:tcPr>
            <w:tcW w:w="808" w:type="dxa"/>
            <w:hideMark/>
          </w:tcPr>
          <w:p w14:paraId="25DEE3B5"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2011</w:t>
            </w:r>
          </w:p>
        </w:tc>
        <w:tc>
          <w:tcPr>
            <w:tcW w:w="2364" w:type="dxa"/>
            <w:hideMark/>
          </w:tcPr>
          <w:p w14:paraId="72D253E5"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432.752</w:t>
            </w:r>
          </w:p>
        </w:tc>
        <w:tc>
          <w:tcPr>
            <w:tcW w:w="2131" w:type="dxa"/>
            <w:hideMark/>
          </w:tcPr>
          <w:p w14:paraId="09E95A6D" w14:textId="21342713"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52%</w:t>
            </w:r>
          </w:p>
        </w:tc>
      </w:tr>
      <w:tr w:rsidR="00A43C1E" w:rsidRPr="00CE411B" w14:paraId="5F6BC32C" w14:textId="77777777" w:rsidTr="00DE379F">
        <w:trPr>
          <w:trHeight w:val="230"/>
          <w:jc w:val="center"/>
        </w:trPr>
        <w:tc>
          <w:tcPr>
            <w:tcW w:w="808" w:type="dxa"/>
            <w:hideMark/>
          </w:tcPr>
          <w:p w14:paraId="7A5F10C7"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2010</w:t>
            </w:r>
          </w:p>
        </w:tc>
        <w:tc>
          <w:tcPr>
            <w:tcW w:w="2364" w:type="dxa"/>
            <w:hideMark/>
          </w:tcPr>
          <w:p w14:paraId="2C13965C"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414.465</w:t>
            </w:r>
          </w:p>
        </w:tc>
        <w:tc>
          <w:tcPr>
            <w:tcW w:w="2131" w:type="dxa"/>
            <w:hideMark/>
          </w:tcPr>
          <w:p w14:paraId="067C08D7" w14:textId="68CBD772"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70%</w:t>
            </w:r>
          </w:p>
        </w:tc>
      </w:tr>
      <w:tr w:rsidR="00A43C1E" w:rsidRPr="00CE411B" w14:paraId="7304C088" w14:textId="77777777" w:rsidTr="00DE379F">
        <w:trPr>
          <w:trHeight w:val="240"/>
          <w:jc w:val="center"/>
        </w:trPr>
        <w:tc>
          <w:tcPr>
            <w:tcW w:w="808" w:type="dxa"/>
            <w:hideMark/>
          </w:tcPr>
          <w:p w14:paraId="442B4920"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2009</w:t>
            </w:r>
          </w:p>
        </w:tc>
        <w:tc>
          <w:tcPr>
            <w:tcW w:w="2364" w:type="dxa"/>
            <w:hideMark/>
          </w:tcPr>
          <w:p w14:paraId="4BA117CE"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329.018</w:t>
            </w:r>
          </w:p>
        </w:tc>
        <w:tc>
          <w:tcPr>
            <w:tcW w:w="2131" w:type="dxa"/>
            <w:hideMark/>
          </w:tcPr>
          <w:p w14:paraId="7E1B291A" w14:textId="6F151E8E"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98%</w:t>
            </w:r>
          </w:p>
        </w:tc>
      </w:tr>
      <w:tr w:rsidR="00A43C1E" w:rsidRPr="00CE411B" w14:paraId="1BFB6173" w14:textId="77777777" w:rsidTr="00DE379F">
        <w:trPr>
          <w:trHeight w:val="230"/>
          <w:jc w:val="center"/>
        </w:trPr>
        <w:tc>
          <w:tcPr>
            <w:tcW w:w="808" w:type="dxa"/>
            <w:hideMark/>
          </w:tcPr>
          <w:p w14:paraId="185B0570"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2008</w:t>
            </w:r>
          </w:p>
        </w:tc>
        <w:tc>
          <w:tcPr>
            <w:tcW w:w="2364" w:type="dxa"/>
            <w:hideMark/>
          </w:tcPr>
          <w:p w14:paraId="76EC600B"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221.786</w:t>
            </w:r>
          </w:p>
        </w:tc>
        <w:tc>
          <w:tcPr>
            <w:tcW w:w="2131" w:type="dxa"/>
            <w:hideMark/>
          </w:tcPr>
          <w:p w14:paraId="652D7556" w14:textId="18422E3E"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w:t>
            </w:r>
            <w:r w:rsidR="00D02526">
              <w:rPr>
                <w:rFonts w:ascii="Arial" w:hAnsi="Arial" w:cs="Arial"/>
                <w:color w:val="000000" w:themeColor="text1"/>
                <w:lang w:val="en-GB"/>
              </w:rPr>
              <w:t>.</w:t>
            </w:r>
            <w:r w:rsidRPr="00CE411B">
              <w:rPr>
                <w:rFonts w:ascii="Arial" w:hAnsi="Arial" w:cs="Arial"/>
                <w:color w:val="000000" w:themeColor="text1"/>
                <w:lang w:val="en-GB"/>
              </w:rPr>
              <w:t>08%</w:t>
            </w:r>
          </w:p>
        </w:tc>
      </w:tr>
      <w:tr w:rsidR="00A43C1E" w:rsidRPr="00CE411B" w14:paraId="0C198703" w14:textId="77777777" w:rsidTr="00DE379F">
        <w:trPr>
          <w:trHeight w:val="230"/>
          <w:jc w:val="center"/>
        </w:trPr>
        <w:tc>
          <w:tcPr>
            <w:tcW w:w="808" w:type="dxa"/>
            <w:hideMark/>
          </w:tcPr>
          <w:p w14:paraId="15D64043"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2007</w:t>
            </w:r>
          </w:p>
        </w:tc>
        <w:tc>
          <w:tcPr>
            <w:tcW w:w="2364" w:type="dxa"/>
            <w:hideMark/>
          </w:tcPr>
          <w:p w14:paraId="576C08C1"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219.512</w:t>
            </w:r>
          </w:p>
        </w:tc>
        <w:tc>
          <w:tcPr>
            <w:tcW w:w="2131" w:type="dxa"/>
            <w:hideMark/>
          </w:tcPr>
          <w:p w14:paraId="6698B9B7" w14:textId="3DF4AF5B"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w:t>
            </w:r>
            <w:r w:rsidR="00D02526">
              <w:rPr>
                <w:rFonts w:ascii="Arial" w:hAnsi="Arial" w:cs="Arial"/>
                <w:color w:val="000000" w:themeColor="text1"/>
                <w:lang w:val="en-GB"/>
              </w:rPr>
              <w:t>.</w:t>
            </w:r>
            <w:r w:rsidRPr="00CE411B">
              <w:rPr>
                <w:rFonts w:ascii="Arial" w:hAnsi="Arial" w:cs="Arial"/>
                <w:color w:val="000000" w:themeColor="text1"/>
                <w:lang w:val="en-GB"/>
              </w:rPr>
              <w:t>16%</w:t>
            </w:r>
          </w:p>
        </w:tc>
      </w:tr>
      <w:tr w:rsidR="00A43C1E" w:rsidRPr="00CE411B" w14:paraId="0F033836" w14:textId="77777777" w:rsidTr="00DE379F">
        <w:trPr>
          <w:trHeight w:val="240"/>
          <w:jc w:val="center"/>
        </w:trPr>
        <w:tc>
          <w:tcPr>
            <w:tcW w:w="808" w:type="dxa"/>
            <w:hideMark/>
          </w:tcPr>
          <w:p w14:paraId="4A5D3649"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2006</w:t>
            </w:r>
          </w:p>
        </w:tc>
        <w:tc>
          <w:tcPr>
            <w:tcW w:w="2364" w:type="dxa"/>
            <w:hideMark/>
          </w:tcPr>
          <w:p w14:paraId="74F8713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205.346</w:t>
            </w:r>
          </w:p>
        </w:tc>
        <w:tc>
          <w:tcPr>
            <w:tcW w:w="2131" w:type="dxa"/>
            <w:hideMark/>
          </w:tcPr>
          <w:p w14:paraId="7A1B93D4" w14:textId="6EF7FDB0"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w:t>
            </w:r>
            <w:r w:rsidR="00D02526">
              <w:rPr>
                <w:rFonts w:ascii="Arial" w:hAnsi="Arial" w:cs="Arial"/>
                <w:color w:val="000000" w:themeColor="text1"/>
                <w:lang w:val="en-GB"/>
              </w:rPr>
              <w:t>.</w:t>
            </w:r>
            <w:r w:rsidRPr="00CE411B">
              <w:rPr>
                <w:rFonts w:ascii="Arial" w:hAnsi="Arial" w:cs="Arial"/>
                <w:color w:val="000000" w:themeColor="text1"/>
                <w:lang w:val="en-GB"/>
              </w:rPr>
              <w:t>89%</w:t>
            </w:r>
          </w:p>
        </w:tc>
      </w:tr>
      <w:tr w:rsidR="00A43C1E" w:rsidRPr="00CE411B" w14:paraId="3388DBBC" w14:textId="77777777" w:rsidTr="00DE379F">
        <w:trPr>
          <w:trHeight w:val="230"/>
          <w:jc w:val="center"/>
        </w:trPr>
        <w:tc>
          <w:tcPr>
            <w:tcW w:w="808" w:type="dxa"/>
            <w:hideMark/>
          </w:tcPr>
          <w:p w14:paraId="09901D67"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2005</w:t>
            </w:r>
          </w:p>
        </w:tc>
        <w:tc>
          <w:tcPr>
            <w:tcW w:w="2364" w:type="dxa"/>
            <w:hideMark/>
          </w:tcPr>
          <w:p w14:paraId="78C4AB37"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143.279</w:t>
            </w:r>
          </w:p>
        </w:tc>
        <w:tc>
          <w:tcPr>
            <w:tcW w:w="2131" w:type="dxa"/>
            <w:hideMark/>
          </w:tcPr>
          <w:p w14:paraId="2BE96307" w14:textId="3ACC3BA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w:t>
            </w:r>
            <w:r w:rsidR="00D02526">
              <w:rPr>
                <w:rFonts w:ascii="Arial" w:hAnsi="Arial" w:cs="Arial"/>
                <w:color w:val="000000" w:themeColor="text1"/>
                <w:lang w:val="en-GB"/>
              </w:rPr>
              <w:t>.</w:t>
            </w:r>
            <w:r w:rsidRPr="00CE411B">
              <w:rPr>
                <w:rFonts w:ascii="Arial" w:hAnsi="Arial" w:cs="Arial"/>
                <w:color w:val="000000" w:themeColor="text1"/>
                <w:lang w:val="en-GB"/>
              </w:rPr>
              <w:t>45%</w:t>
            </w:r>
          </w:p>
        </w:tc>
      </w:tr>
      <w:tr w:rsidR="00A43C1E" w:rsidRPr="00CE411B" w14:paraId="3F90F7BD" w14:textId="77777777" w:rsidTr="00DE379F">
        <w:trPr>
          <w:trHeight w:val="230"/>
          <w:jc w:val="center"/>
        </w:trPr>
        <w:tc>
          <w:tcPr>
            <w:tcW w:w="808" w:type="dxa"/>
            <w:hideMark/>
          </w:tcPr>
          <w:p w14:paraId="24628D1F"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2004</w:t>
            </w:r>
          </w:p>
        </w:tc>
        <w:tc>
          <w:tcPr>
            <w:tcW w:w="2364" w:type="dxa"/>
            <w:hideMark/>
          </w:tcPr>
          <w:p w14:paraId="73CC9F3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98.283</w:t>
            </w:r>
          </w:p>
        </w:tc>
        <w:tc>
          <w:tcPr>
            <w:tcW w:w="2131" w:type="dxa"/>
            <w:hideMark/>
          </w:tcPr>
          <w:p w14:paraId="0C053A0F" w14:textId="4819531A"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99%</w:t>
            </w:r>
          </w:p>
        </w:tc>
      </w:tr>
      <w:tr w:rsidR="00A43C1E" w:rsidRPr="00CE411B" w14:paraId="1C409E3F" w14:textId="77777777" w:rsidTr="00DE379F">
        <w:trPr>
          <w:trHeight w:val="230"/>
          <w:jc w:val="center"/>
        </w:trPr>
        <w:tc>
          <w:tcPr>
            <w:tcW w:w="808" w:type="dxa"/>
            <w:hideMark/>
          </w:tcPr>
          <w:p w14:paraId="377CE088"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2003</w:t>
            </w:r>
          </w:p>
        </w:tc>
        <w:tc>
          <w:tcPr>
            <w:tcW w:w="2364" w:type="dxa"/>
            <w:hideMark/>
          </w:tcPr>
          <w:p w14:paraId="4CBE9733"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73.779</w:t>
            </w:r>
          </w:p>
        </w:tc>
        <w:tc>
          <w:tcPr>
            <w:tcW w:w="2131" w:type="dxa"/>
            <w:hideMark/>
          </w:tcPr>
          <w:p w14:paraId="46BB588B" w14:textId="0E95F9B2"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w:t>
            </w:r>
            <w:r w:rsidR="00D02526">
              <w:rPr>
                <w:rFonts w:ascii="Arial" w:hAnsi="Arial" w:cs="Arial"/>
                <w:color w:val="000000" w:themeColor="text1"/>
                <w:lang w:val="en-GB"/>
              </w:rPr>
              <w:t>.</w:t>
            </w:r>
            <w:r w:rsidRPr="00CE411B">
              <w:rPr>
                <w:rFonts w:ascii="Arial" w:hAnsi="Arial" w:cs="Arial"/>
                <w:color w:val="000000" w:themeColor="text1"/>
                <w:lang w:val="en-GB"/>
              </w:rPr>
              <w:t>44%</w:t>
            </w:r>
          </w:p>
        </w:tc>
      </w:tr>
    </w:tbl>
    <w:p w14:paraId="5F1516F7" w14:textId="77777777" w:rsidR="00A43C1E" w:rsidRPr="00CE411B" w:rsidRDefault="00A43C1E" w:rsidP="0078385F">
      <w:pPr>
        <w:pStyle w:val="Footnote"/>
        <w:keepNext/>
        <w:keepLines/>
        <w:rPr>
          <w:lang w:val="en-GB"/>
        </w:rPr>
      </w:pPr>
    </w:p>
    <w:tbl>
      <w:tblPr>
        <w:tblStyle w:val="TableGrid"/>
        <w:tblW w:w="9067" w:type="dxa"/>
        <w:jc w:val="center"/>
        <w:tblLook w:val="04A0" w:firstRow="1" w:lastRow="0" w:firstColumn="1" w:lastColumn="0" w:noHBand="0" w:noVBand="1"/>
      </w:tblPr>
      <w:tblGrid>
        <w:gridCol w:w="1530"/>
        <w:gridCol w:w="1440"/>
        <w:gridCol w:w="1530"/>
        <w:gridCol w:w="1440"/>
        <w:gridCol w:w="1440"/>
        <w:gridCol w:w="1687"/>
      </w:tblGrid>
      <w:tr w:rsidR="00A16221" w:rsidRPr="002976C5" w14:paraId="6FDF6ACA" w14:textId="77777777" w:rsidTr="00DE379F">
        <w:trPr>
          <w:jc w:val="center"/>
        </w:trPr>
        <w:tc>
          <w:tcPr>
            <w:tcW w:w="1530" w:type="dxa"/>
            <w:hideMark/>
          </w:tcPr>
          <w:p w14:paraId="462A6DDC" w14:textId="77777777" w:rsidR="00A43C1E" w:rsidRPr="00DE379F" w:rsidRDefault="00A43C1E" w:rsidP="0078385F">
            <w:pPr>
              <w:keepNext/>
              <w:keepLines/>
              <w:rPr>
                <w:rFonts w:ascii="Arial" w:hAnsi="Arial" w:cs="Arial"/>
                <w:b/>
                <w:color w:val="000000" w:themeColor="text1"/>
                <w:lang w:val="en-GB"/>
              </w:rPr>
            </w:pPr>
          </w:p>
        </w:tc>
        <w:tc>
          <w:tcPr>
            <w:tcW w:w="1440" w:type="dxa"/>
            <w:hideMark/>
          </w:tcPr>
          <w:p w14:paraId="2B81AE4D" w14:textId="433E62DF" w:rsidR="00A43C1E" w:rsidRPr="00DE379F" w:rsidRDefault="00A43C1E" w:rsidP="0078385F">
            <w:pPr>
              <w:keepNext/>
              <w:keepLines/>
              <w:spacing w:after="30"/>
              <w:jc w:val="center"/>
              <w:outlineLvl w:val="4"/>
              <w:rPr>
                <w:rFonts w:ascii="Arial" w:hAnsi="Arial" w:cs="Arial"/>
                <w:b/>
                <w:color w:val="000000" w:themeColor="text1"/>
                <w:lang w:val="en-GB"/>
              </w:rPr>
            </w:pPr>
            <w:r w:rsidRPr="00DE379F">
              <w:rPr>
                <w:rFonts w:ascii="Arial" w:hAnsi="Arial" w:cs="Arial"/>
                <w:b/>
                <w:color w:val="000000" w:themeColor="text1"/>
                <w:lang w:val="en-GB"/>
              </w:rPr>
              <w:t>All Models</w:t>
            </w:r>
            <w:r w:rsidR="00A16221" w:rsidRPr="00DE379F">
              <w:rPr>
                <w:rFonts w:ascii="Arial" w:hAnsi="Arial" w:cs="Arial"/>
                <w:b/>
                <w:color w:val="000000" w:themeColor="text1"/>
                <w:lang w:val="en-GB"/>
              </w:rPr>
              <w:t xml:space="preserve"> </w:t>
            </w:r>
            <w:r w:rsidRPr="00DE379F">
              <w:rPr>
                <w:rFonts w:ascii="Arial" w:hAnsi="Arial" w:cs="Arial"/>
                <w:b/>
                <w:color w:val="000000" w:themeColor="text1"/>
                <w:lang w:val="en-GB"/>
              </w:rPr>
              <w:t>2014</w:t>
            </w:r>
          </w:p>
        </w:tc>
        <w:tc>
          <w:tcPr>
            <w:tcW w:w="1530" w:type="dxa"/>
            <w:hideMark/>
          </w:tcPr>
          <w:p w14:paraId="139E8113" w14:textId="52B693DD" w:rsidR="00A43C1E" w:rsidRPr="00DE379F" w:rsidRDefault="00A43C1E" w:rsidP="0078385F">
            <w:pPr>
              <w:keepNext/>
              <w:keepLines/>
              <w:spacing w:after="30"/>
              <w:jc w:val="center"/>
              <w:outlineLvl w:val="4"/>
              <w:rPr>
                <w:rFonts w:ascii="Arial" w:hAnsi="Arial" w:cs="Arial"/>
                <w:b/>
                <w:color w:val="000000" w:themeColor="text1"/>
                <w:lang w:val="en-GB"/>
              </w:rPr>
            </w:pPr>
            <w:r w:rsidRPr="00DE379F">
              <w:rPr>
                <w:rFonts w:ascii="Arial" w:hAnsi="Arial" w:cs="Arial"/>
                <w:b/>
                <w:color w:val="000000" w:themeColor="text1"/>
                <w:lang w:val="en-GB"/>
              </w:rPr>
              <w:t>All Models</w:t>
            </w:r>
            <w:r w:rsidR="00A16221" w:rsidRPr="00DE379F">
              <w:rPr>
                <w:rFonts w:ascii="Arial" w:hAnsi="Arial" w:cs="Arial"/>
                <w:b/>
                <w:color w:val="000000" w:themeColor="text1"/>
                <w:lang w:val="en-GB"/>
              </w:rPr>
              <w:t xml:space="preserve"> </w:t>
            </w:r>
            <w:r w:rsidRPr="00DE379F">
              <w:rPr>
                <w:rFonts w:ascii="Arial" w:hAnsi="Arial" w:cs="Arial"/>
                <w:b/>
                <w:color w:val="000000" w:themeColor="text1"/>
                <w:lang w:val="en-GB"/>
              </w:rPr>
              <w:t>2015</w:t>
            </w:r>
          </w:p>
        </w:tc>
        <w:tc>
          <w:tcPr>
            <w:tcW w:w="1440" w:type="dxa"/>
            <w:hideMark/>
          </w:tcPr>
          <w:p w14:paraId="7F31ACC3" w14:textId="397D3D61" w:rsidR="00A43C1E" w:rsidRPr="00DE379F" w:rsidRDefault="00A43C1E" w:rsidP="0078385F">
            <w:pPr>
              <w:keepNext/>
              <w:keepLines/>
              <w:spacing w:after="30"/>
              <w:jc w:val="center"/>
              <w:outlineLvl w:val="4"/>
              <w:rPr>
                <w:rFonts w:ascii="Arial" w:hAnsi="Arial" w:cs="Arial"/>
                <w:b/>
                <w:color w:val="000000" w:themeColor="text1"/>
                <w:lang w:val="en-GB"/>
              </w:rPr>
            </w:pPr>
            <w:r w:rsidRPr="00DE379F">
              <w:rPr>
                <w:rFonts w:ascii="Arial" w:hAnsi="Arial" w:cs="Arial"/>
                <w:b/>
                <w:color w:val="000000" w:themeColor="text1"/>
                <w:lang w:val="en-GB"/>
              </w:rPr>
              <w:t>All Models</w:t>
            </w:r>
            <w:r w:rsidR="00A16221" w:rsidRPr="00DE379F">
              <w:rPr>
                <w:rFonts w:ascii="Arial" w:hAnsi="Arial" w:cs="Arial"/>
                <w:b/>
                <w:color w:val="000000" w:themeColor="text1"/>
                <w:lang w:val="en-GB"/>
              </w:rPr>
              <w:t xml:space="preserve"> </w:t>
            </w:r>
            <w:r w:rsidRPr="00DE379F">
              <w:rPr>
                <w:rFonts w:ascii="Arial" w:hAnsi="Arial" w:cs="Arial"/>
                <w:b/>
                <w:color w:val="000000" w:themeColor="text1"/>
                <w:lang w:val="en-GB"/>
              </w:rPr>
              <w:t>2016</w:t>
            </w:r>
          </w:p>
        </w:tc>
        <w:tc>
          <w:tcPr>
            <w:tcW w:w="1440" w:type="dxa"/>
            <w:hideMark/>
          </w:tcPr>
          <w:p w14:paraId="032982D3" w14:textId="20FBADF9" w:rsidR="00A43C1E" w:rsidRPr="00DE379F" w:rsidRDefault="00A43C1E" w:rsidP="0078385F">
            <w:pPr>
              <w:keepNext/>
              <w:keepLines/>
              <w:spacing w:after="30"/>
              <w:jc w:val="center"/>
              <w:outlineLvl w:val="4"/>
              <w:rPr>
                <w:rFonts w:ascii="Arial" w:hAnsi="Arial" w:cs="Arial"/>
                <w:b/>
                <w:color w:val="000000" w:themeColor="text1"/>
                <w:lang w:val="en-GB"/>
              </w:rPr>
            </w:pPr>
            <w:r w:rsidRPr="00DE379F">
              <w:rPr>
                <w:rFonts w:ascii="Arial" w:hAnsi="Arial" w:cs="Arial"/>
                <w:b/>
                <w:color w:val="000000" w:themeColor="text1"/>
                <w:lang w:val="en-GB"/>
              </w:rPr>
              <w:t>All Models</w:t>
            </w:r>
            <w:r w:rsidR="00A16221" w:rsidRPr="00DE379F">
              <w:rPr>
                <w:rFonts w:ascii="Arial" w:hAnsi="Arial" w:cs="Arial"/>
                <w:b/>
                <w:color w:val="000000" w:themeColor="text1"/>
                <w:lang w:val="en-GB"/>
              </w:rPr>
              <w:t xml:space="preserve"> </w:t>
            </w:r>
            <w:r w:rsidRPr="00DE379F">
              <w:rPr>
                <w:rFonts w:ascii="Arial" w:hAnsi="Arial" w:cs="Arial"/>
                <w:b/>
                <w:color w:val="000000" w:themeColor="text1"/>
                <w:lang w:val="en-GB"/>
              </w:rPr>
              <w:t>2017</w:t>
            </w:r>
          </w:p>
        </w:tc>
        <w:tc>
          <w:tcPr>
            <w:tcW w:w="1687" w:type="dxa"/>
            <w:hideMark/>
          </w:tcPr>
          <w:p w14:paraId="380340F3" w14:textId="3501165F" w:rsidR="00A43C1E" w:rsidRPr="00DE379F" w:rsidRDefault="00A43C1E" w:rsidP="0078385F">
            <w:pPr>
              <w:keepNext/>
              <w:keepLines/>
              <w:spacing w:after="30"/>
              <w:jc w:val="center"/>
              <w:outlineLvl w:val="4"/>
              <w:rPr>
                <w:rFonts w:ascii="Arial" w:hAnsi="Arial" w:cs="Arial"/>
                <w:b/>
                <w:color w:val="000000" w:themeColor="text1"/>
                <w:lang w:val="en-GB"/>
              </w:rPr>
            </w:pPr>
            <w:r w:rsidRPr="00DE379F">
              <w:rPr>
                <w:rFonts w:ascii="Arial" w:hAnsi="Arial" w:cs="Arial"/>
                <w:b/>
                <w:color w:val="000000" w:themeColor="text1"/>
                <w:lang w:val="en-GB"/>
              </w:rPr>
              <w:t>All Models</w:t>
            </w:r>
            <w:r w:rsidR="00A16221" w:rsidRPr="00DE379F">
              <w:rPr>
                <w:rFonts w:ascii="Arial" w:hAnsi="Arial" w:cs="Arial"/>
                <w:b/>
                <w:color w:val="000000" w:themeColor="text1"/>
                <w:lang w:val="en-GB"/>
              </w:rPr>
              <w:t xml:space="preserve"> </w:t>
            </w:r>
            <w:r w:rsidRPr="00DE379F">
              <w:rPr>
                <w:rFonts w:ascii="Arial" w:hAnsi="Arial" w:cs="Arial"/>
                <w:b/>
                <w:color w:val="000000" w:themeColor="text1"/>
                <w:lang w:val="en-GB"/>
              </w:rPr>
              <w:t>2018</w:t>
            </w:r>
          </w:p>
        </w:tc>
      </w:tr>
      <w:tr w:rsidR="00A16221" w:rsidRPr="00CE411B" w14:paraId="4358F5DC" w14:textId="77777777" w:rsidTr="00DE379F">
        <w:trPr>
          <w:jc w:val="center"/>
        </w:trPr>
        <w:tc>
          <w:tcPr>
            <w:tcW w:w="1530" w:type="dxa"/>
            <w:hideMark/>
          </w:tcPr>
          <w:p w14:paraId="6910B048"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January</w:t>
            </w:r>
          </w:p>
        </w:tc>
        <w:tc>
          <w:tcPr>
            <w:tcW w:w="1440" w:type="dxa"/>
            <w:hideMark/>
          </w:tcPr>
          <w:p w14:paraId="40479F6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33.433</w:t>
            </w:r>
          </w:p>
        </w:tc>
        <w:tc>
          <w:tcPr>
            <w:tcW w:w="1530" w:type="dxa"/>
            <w:hideMark/>
          </w:tcPr>
          <w:p w14:paraId="16BA5BA7"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58.977</w:t>
            </w:r>
          </w:p>
        </w:tc>
        <w:tc>
          <w:tcPr>
            <w:tcW w:w="1440" w:type="dxa"/>
            <w:hideMark/>
          </w:tcPr>
          <w:p w14:paraId="065AE27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60.138</w:t>
            </w:r>
          </w:p>
        </w:tc>
        <w:tc>
          <w:tcPr>
            <w:tcW w:w="1440" w:type="dxa"/>
            <w:hideMark/>
          </w:tcPr>
          <w:p w14:paraId="67AEF666"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102.706</w:t>
            </w:r>
          </w:p>
        </w:tc>
        <w:tc>
          <w:tcPr>
            <w:tcW w:w="1687" w:type="dxa"/>
            <w:hideMark/>
          </w:tcPr>
          <w:p w14:paraId="3E2F9AF8"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148.916</w:t>
            </w:r>
          </w:p>
        </w:tc>
      </w:tr>
      <w:tr w:rsidR="00A16221" w:rsidRPr="00CE411B" w14:paraId="47944DF5" w14:textId="77777777" w:rsidTr="00DE379F">
        <w:trPr>
          <w:jc w:val="center"/>
        </w:trPr>
        <w:tc>
          <w:tcPr>
            <w:tcW w:w="1530" w:type="dxa"/>
            <w:hideMark/>
          </w:tcPr>
          <w:p w14:paraId="46DCC3A0"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February</w:t>
            </w:r>
          </w:p>
        </w:tc>
        <w:tc>
          <w:tcPr>
            <w:tcW w:w="1440" w:type="dxa"/>
            <w:hideMark/>
          </w:tcPr>
          <w:p w14:paraId="1E49AEA3"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22.410</w:t>
            </w:r>
          </w:p>
        </w:tc>
        <w:tc>
          <w:tcPr>
            <w:tcW w:w="1530" w:type="dxa"/>
            <w:hideMark/>
          </w:tcPr>
          <w:p w14:paraId="0BBD711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33.233</w:t>
            </w:r>
          </w:p>
        </w:tc>
        <w:tc>
          <w:tcPr>
            <w:tcW w:w="1440" w:type="dxa"/>
            <w:hideMark/>
          </w:tcPr>
          <w:p w14:paraId="7DA7687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33.387</w:t>
            </w:r>
          </w:p>
        </w:tc>
        <w:tc>
          <w:tcPr>
            <w:tcW w:w="1440" w:type="dxa"/>
            <w:hideMark/>
          </w:tcPr>
          <w:p w14:paraId="1A5EE45D"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89.129</w:t>
            </w:r>
          </w:p>
        </w:tc>
        <w:tc>
          <w:tcPr>
            <w:tcW w:w="1687" w:type="dxa"/>
            <w:hideMark/>
          </w:tcPr>
          <w:p w14:paraId="456B7C8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106.231</w:t>
            </w:r>
          </w:p>
        </w:tc>
      </w:tr>
      <w:tr w:rsidR="00A16221" w:rsidRPr="00CE411B" w14:paraId="033F739E" w14:textId="77777777" w:rsidTr="00DE379F">
        <w:trPr>
          <w:jc w:val="center"/>
        </w:trPr>
        <w:tc>
          <w:tcPr>
            <w:tcW w:w="1530" w:type="dxa"/>
            <w:hideMark/>
          </w:tcPr>
          <w:p w14:paraId="1F7F9BD4"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March</w:t>
            </w:r>
          </w:p>
        </w:tc>
        <w:tc>
          <w:tcPr>
            <w:tcW w:w="1440" w:type="dxa"/>
            <w:hideMark/>
          </w:tcPr>
          <w:p w14:paraId="7D89D61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34.805</w:t>
            </w:r>
          </w:p>
        </w:tc>
        <w:tc>
          <w:tcPr>
            <w:tcW w:w="1530" w:type="dxa"/>
            <w:hideMark/>
          </w:tcPr>
          <w:p w14:paraId="2BE7853A"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49.446</w:t>
            </w:r>
          </w:p>
        </w:tc>
        <w:tc>
          <w:tcPr>
            <w:tcW w:w="1440" w:type="dxa"/>
            <w:hideMark/>
          </w:tcPr>
          <w:p w14:paraId="6BEEDD8E"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50.052</w:t>
            </w:r>
          </w:p>
        </w:tc>
        <w:tc>
          <w:tcPr>
            <w:tcW w:w="1440" w:type="dxa"/>
            <w:hideMark/>
          </w:tcPr>
          <w:p w14:paraId="45B6887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87.135</w:t>
            </w:r>
          </w:p>
        </w:tc>
        <w:tc>
          <w:tcPr>
            <w:tcW w:w="1687" w:type="dxa"/>
            <w:hideMark/>
          </w:tcPr>
          <w:p w14:paraId="069E556A"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112.457</w:t>
            </w:r>
          </w:p>
        </w:tc>
      </w:tr>
      <w:tr w:rsidR="00A16221" w:rsidRPr="00CE411B" w14:paraId="4EFD94D2" w14:textId="77777777" w:rsidTr="00DE379F">
        <w:trPr>
          <w:jc w:val="center"/>
        </w:trPr>
        <w:tc>
          <w:tcPr>
            <w:tcW w:w="1530" w:type="dxa"/>
            <w:hideMark/>
          </w:tcPr>
          <w:p w14:paraId="3443190A"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April</w:t>
            </w:r>
          </w:p>
        </w:tc>
        <w:tc>
          <w:tcPr>
            <w:tcW w:w="1440" w:type="dxa"/>
            <w:hideMark/>
          </w:tcPr>
          <w:p w14:paraId="0D2467A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35.608</w:t>
            </w:r>
          </w:p>
        </w:tc>
        <w:tc>
          <w:tcPr>
            <w:tcW w:w="1530" w:type="dxa"/>
            <w:hideMark/>
          </w:tcPr>
          <w:p w14:paraId="48A96C66"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39.357</w:t>
            </w:r>
          </w:p>
        </w:tc>
        <w:tc>
          <w:tcPr>
            <w:tcW w:w="1440" w:type="dxa"/>
            <w:hideMark/>
          </w:tcPr>
          <w:p w14:paraId="26B07320"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45.197</w:t>
            </w:r>
          </w:p>
        </w:tc>
        <w:tc>
          <w:tcPr>
            <w:tcW w:w="1440" w:type="dxa"/>
            <w:hideMark/>
          </w:tcPr>
          <w:p w14:paraId="5A3D65F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86.772</w:t>
            </w:r>
          </w:p>
        </w:tc>
        <w:tc>
          <w:tcPr>
            <w:tcW w:w="1687" w:type="dxa"/>
            <w:hideMark/>
          </w:tcPr>
          <w:p w14:paraId="007CCE28"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119.889</w:t>
            </w:r>
          </w:p>
        </w:tc>
      </w:tr>
      <w:tr w:rsidR="00A16221" w:rsidRPr="00CE411B" w14:paraId="53EC4979" w14:textId="77777777" w:rsidTr="00DE379F">
        <w:trPr>
          <w:jc w:val="center"/>
        </w:trPr>
        <w:tc>
          <w:tcPr>
            <w:tcW w:w="1530" w:type="dxa"/>
            <w:hideMark/>
          </w:tcPr>
          <w:p w14:paraId="71431048"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May</w:t>
            </w:r>
          </w:p>
        </w:tc>
        <w:tc>
          <w:tcPr>
            <w:tcW w:w="1440" w:type="dxa"/>
            <w:hideMark/>
          </w:tcPr>
          <w:p w14:paraId="34D49736"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30.585</w:t>
            </w:r>
          </w:p>
        </w:tc>
        <w:tc>
          <w:tcPr>
            <w:tcW w:w="1530" w:type="dxa"/>
            <w:hideMark/>
          </w:tcPr>
          <w:p w14:paraId="5AB9D29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39.079</w:t>
            </w:r>
          </w:p>
        </w:tc>
        <w:tc>
          <w:tcPr>
            <w:tcW w:w="1440" w:type="dxa"/>
            <w:hideMark/>
          </w:tcPr>
          <w:p w14:paraId="25D12B93"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48.552</w:t>
            </w:r>
          </w:p>
        </w:tc>
        <w:tc>
          <w:tcPr>
            <w:tcW w:w="1440" w:type="dxa"/>
            <w:hideMark/>
          </w:tcPr>
          <w:p w14:paraId="648160C5"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76.679</w:t>
            </w:r>
          </w:p>
        </w:tc>
        <w:tc>
          <w:tcPr>
            <w:tcW w:w="1687" w:type="dxa"/>
            <w:hideMark/>
          </w:tcPr>
          <w:p w14:paraId="526A5283" w14:textId="77777777" w:rsidR="00A43C1E" w:rsidRPr="00CE411B" w:rsidRDefault="00A43C1E" w:rsidP="0078385F">
            <w:pPr>
              <w:keepNext/>
              <w:keepLines/>
              <w:jc w:val="right"/>
              <w:rPr>
                <w:rFonts w:ascii="Arial" w:hAnsi="Arial" w:cs="Arial"/>
                <w:color w:val="000000" w:themeColor="text1"/>
                <w:lang w:val="en-GB"/>
              </w:rPr>
            </w:pPr>
          </w:p>
        </w:tc>
      </w:tr>
      <w:tr w:rsidR="00A16221" w:rsidRPr="00CE411B" w14:paraId="500D4B5A" w14:textId="77777777" w:rsidTr="00DE379F">
        <w:trPr>
          <w:jc w:val="center"/>
        </w:trPr>
        <w:tc>
          <w:tcPr>
            <w:tcW w:w="1530" w:type="dxa"/>
            <w:hideMark/>
          </w:tcPr>
          <w:p w14:paraId="2ACB97A7"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June</w:t>
            </w:r>
          </w:p>
        </w:tc>
        <w:tc>
          <w:tcPr>
            <w:tcW w:w="1440" w:type="dxa"/>
            <w:hideMark/>
          </w:tcPr>
          <w:p w14:paraId="5F859C56"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32.606</w:t>
            </w:r>
          </w:p>
        </w:tc>
        <w:tc>
          <w:tcPr>
            <w:tcW w:w="1530" w:type="dxa"/>
            <w:hideMark/>
          </w:tcPr>
          <w:p w14:paraId="23CB71B3"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34.021</w:t>
            </w:r>
          </w:p>
        </w:tc>
        <w:tc>
          <w:tcPr>
            <w:tcW w:w="1440" w:type="dxa"/>
            <w:hideMark/>
          </w:tcPr>
          <w:p w14:paraId="4ED5AD6D"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51.350</w:t>
            </w:r>
          </w:p>
        </w:tc>
        <w:tc>
          <w:tcPr>
            <w:tcW w:w="1440" w:type="dxa"/>
            <w:hideMark/>
          </w:tcPr>
          <w:p w14:paraId="766B20C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89.151</w:t>
            </w:r>
          </w:p>
        </w:tc>
        <w:tc>
          <w:tcPr>
            <w:tcW w:w="1687" w:type="dxa"/>
            <w:hideMark/>
          </w:tcPr>
          <w:p w14:paraId="06D5B855" w14:textId="77777777" w:rsidR="00A43C1E" w:rsidRPr="00CE411B" w:rsidRDefault="00A43C1E" w:rsidP="0078385F">
            <w:pPr>
              <w:keepNext/>
              <w:keepLines/>
              <w:jc w:val="right"/>
              <w:rPr>
                <w:rFonts w:ascii="Arial" w:hAnsi="Arial" w:cs="Arial"/>
                <w:color w:val="000000" w:themeColor="text1"/>
                <w:lang w:val="en-GB"/>
              </w:rPr>
            </w:pPr>
          </w:p>
        </w:tc>
      </w:tr>
      <w:tr w:rsidR="00A16221" w:rsidRPr="00CE411B" w14:paraId="7F4E36CB" w14:textId="77777777" w:rsidTr="00DE379F">
        <w:trPr>
          <w:jc w:val="center"/>
        </w:trPr>
        <w:tc>
          <w:tcPr>
            <w:tcW w:w="1530" w:type="dxa"/>
            <w:hideMark/>
          </w:tcPr>
          <w:p w14:paraId="2910978F"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July</w:t>
            </w:r>
          </w:p>
        </w:tc>
        <w:tc>
          <w:tcPr>
            <w:tcW w:w="1440" w:type="dxa"/>
            <w:hideMark/>
          </w:tcPr>
          <w:p w14:paraId="7C9316F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20.832</w:t>
            </w:r>
          </w:p>
        </w:tc>
        <w:tc>
          <w:tcPr>
            <w:tcW w:w="1530" w:type="dxa"/>
            <w:hideMark/>
          </w:tcPr>
          <w:p w14:paraId="31E4457D"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29.938</w:t>
            </w:r>
          </w:p>
        </w:tc>
        <w:tc>
          <w:tcPr>
            <w:tcW w:w="1440" w:type="dxa"/>
            <w:hideMark/>
          </w:tcPr>
          <w:p w14:paraId="1D4AA4C1"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48.629</w:t>
            </w:r>
          </w:p>
        </w:tc>
        <w:tc>
          <w:tcPr>
            <w:tcW w:w="1440" w:type="dxa"/>
            <w:hideMark/>
          </w:tcPr>
          <w:p w14:paraId="539F3982"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91.210</w:t>
            </w:r>
          </w:p>
        </w:tc>
        <w:tc>
          <w:tcPr>
            <w:tcW w:w="1687" w:type="dxa"/>
            <w:hideMark/>
          </w:tcPr>
          <w:p w14:paraId="1E6E0F50" w14:textId="77777777" w:rsidR="00A43C1E" w:rsidRPr="00CE411B" w:rsidRDefault="00A43C1E" w:rsidP="0078385F">
            <w:pPr>
              <w:keepNext/>
              <w:keepLines/>
              <w:jc w:val="right"/>
              <w:rPr>
                <w:rFonts w:ascii="Arial" w:hAnsi="Arial" w:cs="Arial"/>
                <w:color w:val="000000" w:themeColor="text1"/>
                <w:lang w:val="en-GB"/>
              </w:rPr>
            </w:pPr>
          </w:p>
        </w:tc>
      </w:tr>
      <w:tr w:rsidR="00A16221" w:rsidRPr="00CE411B" w14:paraId="4DA1352B" w14:textId="77777777" w:rsidTr="00DE379F">
        <w:trPr>
          <w:jc w:val="center"/>
        </w:trPr>
        <w:tc>
          <w:tcPr>
            <w:tcW w:w="1530" w:type="dxa"/>
            <w:hideMark/>
          </w:tcPr>
          <w:p w14:paraId="7698F591"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August</w:t>
            </w:r>
          </w:p>
        </w:tc>
        <w:tc>
          <w:tcPr>
            <w:tcW w:w="1440" w:type="dxa"/>
            <w:hideMark/>
          </w:tcPr>
          <w:p w14:paraId="6511A433"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27.950</w:t>
            </w:r>
          </w:p>
        </w:tc>
        <w:tc>
          <w:tcPr>
            <w:tcW w:w="1530" w:type="dxa"/>
            <w:hideMark/>
          </w:tcPr>
          <w:p w14:paraId="70D52159"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32.708</w:t>
            </w:r>
          </w:p>
        </w:tc>
        <w:tc>
          <w:tcPr>
            <w:tcW w:w="1440" w:type="dxa"/>
            <w:hideMark/>
          </w:tcPr>
          <w:p w14:paraId="3B6D57F5"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53.698</w:t>
            </w:r>
          </w:p>
        </w:tc>
        <w:tc>
          <w:tcPr>
            <w:tcW w:w="1440" w:type="dxa"/>
            <w:hideMark/>
          </w:tcPr>
          <w:p w14:paraId="6CD418F5"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97.664</w:t>
            </w:r>
          </w:p>
        </w:tc>
        <w:tc>
          <w:tcPr>
            <w:tcW w:w="1687" w:type="dxa"/>
            <w:hideMark/>
          </w:tcPr>
          <w:p w14:paraId="1FCE6FBC" w14:textId="77777777" w:rsidR="00A43C1E" w:rsidRPr="00CE411B" w:rsidRDefault="00A43C1E" w:rsidP="0078385F">
            <w:pPr>
              <w:keepNext/>
              <w:keepLines/>
              <w:jc w:val="right"/>
              <w:rPr>
                <w:rFonts w:ascii="Arial" w:hAnsi="Arial" w:cs="Arial"/>
                <w:color w:val="000000" w:themeColor="text1"/>
                <w:lang w:val="en-GB"/>
              </w:rPr>
            </w:pPr>
          </w:p>
        </w:tc>
      </w:tr>
      <w:tr w:rsidR="00A16221" w:rsidRPr="00CE411B" w14:paraId="71CFCF00" w14:textId="77777777" w:rsidTr="00DE379F">
        <w:trPr>
          <w:jc w:val="center"/>
        </w:trPr>
        <w:tc>
          <w:tcPr>
            <w:tcW w:w="1530" w:type="dxa"/>
            <w:hideMark/>
          </w:tcPr>
          <w:p w14:paraId="3C81A377"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September</w:t>
            </w:r>
          </w:p>
        </w:tc>
        <w:tc>
          <w:tcPr>
            <w:tcW w:w="1440" w:type="dxa"/>
            <w:hideMark/>
          </w:tcPr>
          <w:p w14:paraId="5468D4D6"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38.533</w:t>
            </w:r>
          </w:p>
        </w:tc>
        <w:tc>
          <w:tcPr>
            <w:tcW w:w="1530" w:type="dxa"/>
            <w:hideMark/>
          </w:tcPr>
          <w:p w14:paraId="54B9EFF4"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45.782</w:t>
            </w:r>
          </w:p>
        </w:tc>
        <w:tc>
          <w:tcPr>
            <w:tcW w:w="1440" w:type="dxa"/>
            <w:hideMark/>
          </w:tcPr>
          <w:p w14:paraId="7C375827"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76.932</w:t>
            </w:r>
          </w:p>
        </w:tc>
        <w:tc>
          <w:tcPr>
            <w:tcW w:w="1440" w:type="dxa"/>
            <w:hideMark/>
          </w:tcPr>
          <w:p w14:paraId="723DBB50"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112.531</w:t>
            </w:r>
          </w:p>
        </w:tc>
        <w:tc>
          <w:tcPr>
            <w:tcW w:w="1687" w:type="dxa"/>
            <w:hideMark/>
          </w:tcPr>
          <w:p w14:paraId="4547E2AD" w14:textId="77777777" w:rsidR="00A43C1E" w:rsidRPr="00CE411B" w:rsidRDefault="00A43C1E" w:rsidP="0078385F">
            <w:pPr>
              <w:keepNext/>
              <w:keepLines/>
              <w:jc w:val="right"/>
              <w:rPr>
                <w:rFonts w:ascii="Arial" w:hAnsi="Arial" w:cs="Arial"/>
                <w:color w:val="000000" w:themeColor="text1"/>
                <w:lang w:val="en-GB"/>
              </w:rPr>
            </w:pPr>
          </w:p>
        </w:tc>
      </w:tr>
      <w:tr w:rsidR="00A16221" w:rsidRPr="00CE411B" w14:paraId="3CAD07CE" w14:textId="77777777" w:rsidTr="00DE379F">
        <w:trPr>
          <w:jc w:val="center"/>
        </w:trPr>
        <w:tc>
          <w:tcPr>
            <w:tcW w:w="1530" w:type="dxa"/>
            <w:hideMark/>
          </w:tcPr>
          <w:p w14:paraId="4C453021"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October</w:t>
            </w:r>
          </w:p>
        </w:tc>
        <w:tc>
          <w:tcPr>
            <w:tcW w:w="1440" w:type="dxa"/>
            <w:hideMark/>
          </w:tcPr>
          <w:p w14:paraId="15544905"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45.635</w:t>
            </w:r>
          </w:p>
        </w:tc>
        <w:tc>
          <w:tcPr>
            <w:tcW w:w="1530" w:type="dxa"/>
            <w:hideMark/>
          </w:tcPr>
          <w:p w14:paraId="5D81EEED"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53.858</w:t>
            </w:r>
          </w:p>
        </w:tc>
        <w:tc>
          <w:tcPr>
            <w:tcW w:w="1440" w:type="dxa"/>
            <w:hideMark/>
          </w:tcPr>
          <w:p w14:paraId="5CB7D715"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96.306</w:t>
            </w:r>
          </w:p>
        </w:tc>
        <w:tc>
          <w:tcPr>
            <w:tcW w:w="1440" w:type="dxa"/>
            <w:hideMark/>
          </w:tcPr>
          <w:p w14:paraId="13C32A6E"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128.304</w:t>
            </w:r>
          </w:p>
        </w:tc>
        <w:tc>
          <w:tcPr>
            <w:tcW w:w="1687" w:type="dxa"/>
            <w:hideMark/>
          </w:tcPr>
          <w:p w14:paraId="413F83B8" w14:textId="77777777" w:rsidR="00A43C1E" w:rsidRPr="00CE411B" w:rsidRDefault="00A43C1E" w:rsidP="0078385F">
            <w:pPr>
              <w:keepNext/>
              <w:keepLines/>
              <w:jc w:val="right"/>
              <w:rPr>
                <w:rFonts w:ascii="Arial" w:hAnsi="Arial" w:cs="Arial"/>
                <w:color w:val="000000" w:themeColor="text1"/>
                <w:lang w:val="en-GB"/>
              </w:rPr>
            </w:pPr>
          </w:p>
        </w:tc>
      </w:tr>
      <w:tr w:rsidR="00A16221" w:rsidRPr="00CE411B" w14:paraId="3722A288" w14:textId="77777777" w:rsidTr="00DE379F">
        <w:trPr>
          <w:jc w:val="center"/>
        </w:trPr>
        <w:tc>
          <w:tcPr>
            <w:tcW w:w="1530" w:type="dxa"/>
            <w:hideMark/>
          </w:tcPr>
          <w:p w14:paraId="55113B22"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November</w:t>
            </w:r>
          </w:p>
        </w:tc>
        <w:tc>
          <w:tcPr>
            <w:tcW w:w="1440" w:type="dxa"/>
            <w:hideMark/>
          </w:tcPr>
          <w:p w14:paraId="11166444"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44.842</w:t>
            </w:r>
          </w:p>
        </w:tc>
        <w:tc>
          <w:tcPr>
            <w:tcW w:w="1530" w:type="dxa"/>
            <w:hideMark/>
          </w:tcPr>
          <w:p w14:paraId="2311412C"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56.443</w:t>
            </w:r>
          </w:p>
        </w:tc>
        <w:tc>
          <w:tcPr>
            <w:tcW w:w="1440" w:type="dxa"/>
            <w:hideMark/>
          </w:tcPr>
          <w:p w14:paraId="67FDFEDD"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102.515</w:t>
            </w:r>
          </w:p>
        </w:tc>
        <w:tc>
          <w:tcPr>
            <w:tcW w:w="1440" w:type="dxa"/>
            <w:hideMark/>
          </w:tcPr>
          <w:p w14:paraId="162741E0"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143.848</w:t>
            </w:r>
          </w:p>
        </w:tc>
        <w:tc>
          <w:tcPr>
            <w:tcW w:w="1687" w:type="dxa"/>
            <w:hideMark/>
          </w:tcPr>
          <w:p w14:paraId="7B16DCD4" w14:textId="77777777" w:rsidR="00A43C1E" w:rsidRPr="00CE411B" w:rsidRDefault="00A43C1E" w:rsidP="0078385F">
            <w:pPr>
              <w:keepNext/>
              <w:keepLines/>
              <w:jc w:val="right"/>
              <w:rPr>
                <w:rFonts w:ascii="Arial" w:hAnsi="Arial" w:cs="Arial"/>
                <w:color w:val="000000" w:themeColor="text1"/>
                <w:lang w:val="en-GB"/>
              </w:rPr>
            </w:pPr>
          </w:p>
        </w:tc>
      </w:tr>
      <w:tr w:rsidR="00A16221" w:rsidRPr="00CE411B" w14:paraId="2B8D5A3A" w14:textId="77777777" w:rsidTr="00DE379F">
        <w:trPr>
          <w:jc w:val="center"/>
        </w:trPr>
        <w:tc>
          <w:tcPr>
            <w:tcW w:w="1530" w:type="dxa"/>
            <w:hideMark/>
          </w:tcPr>
          <w:p w14:paraId="46C21C70" w14:textId="77777777" w:rsidR="00A43C1E" w:rsidRPr="00CE411B" w:rsidRDefault="00A43C1E" w:rsidP="0078385F">
            <w:pPr>
              <w:keepNext/>
              <w:keepLines/>
              <w:rPr>
                <w:rFonts w:ascii="Arial" w:hAnsi="Arial" w:cs="Arial"/>
                <w:color w:val="000000" w:themeColor="text1"/>
                <w:lang w:val="en-GB"/>
              </w:rPr>
            </w:pPr>
            <w:r w:rsidRPr="00CE411B">
              <w:rPr>
                <w:rFonts w:ascii="Arial" w:hAnsi="Arial" w:cs="Arial"/>
                <w:color w:val="000000" w:themeColor="text1"/>
                <w:lang w:val="en-GB"/>
              </w:rPr>
              <w:t>December</w:t>
            </w:r>
          </w:p>
        </w:tc>
        <w:tc>
          <w:tcPr>
            <w:tcW w:w="1440" w:type="dxa"/>
            <w:hideMark/>
          </w:tcPr>
          <w:p w14:paraId="1FC9D725"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58.534</w:t>
            </w:r>
          </w:p>
        </w:tc>
        <w:tc>
          <w:tcPr>
            <w:tcW w:w="1530" w:type="dxa"/>
            <w:hideMark/>
          </w:tcPr>
          <w:p w14:paraId="1D4F73D8"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58.509</w:t>
            </w:r>
          </w:p>
        </w:tc>
        <w:tc>
          <w:tcPr>
            <w:tcW w:w="1440" w:type="dxa"/>
            <w:hideMark/>
          </w:tcPr>
          <w:p w14:paraId="0C1BF14D"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110.494</w:t>
            </w:r>
          </w:p>
        </w:tc>
        <w:tc>
          <w:tcPr>
            <w:tcW w:w="1440" w:type="dxa"/>
            <w:hideMark/>
          </w:tcPr>
          <w:p w14:paraId="2704C38F" w14:textId="77777777" w:rsidR="00A43C1E" w:rsidRPr="00CE411B" w:rsidRDefault="00A43C1E" w:rsidP="0078385F">
            <w:pPr>
              <w:keepNext/>
              <w:keepLines/>
              <w:jc w:val="right"/>
              <w:rPr>
                <w:rFonts w:ascii="Arial" w:hAnsi="Arial" w:cs="Arial"/>
                <w:color w:val="000000" w:themeColor="text1"/>
                <w:lang w:val="en-GB"/>
              </w:rPr>
            </w:pPr>
            <w:r w:rsidRPr="00CE411B">
              <w:rPr>
                <w:rFonts w:ascii="Arial" w:hAnsi="Arial" w:cs="Arial"/>
                <w:color w:val="000000" w:themeColor="text1"/>
                <w:lang w:val="en-GB"/>
              </w:rPr>
              <w:t>146.626</w:t>
            </w:r>
          </w:p>
        </w:tc>
        <w:tc>
          <w:tcPr>
            <w:tcW w:w="1687" w:type="dxa"/>
            <w:hideMark/>
          </w:tcPr>
          <w:p w14:paraId="7CCEFB58" w14:textId="77777777" w:rsidR="00A43C1E" w:rsidRPr="00CE411B" w:rsidRDefault="00A43C1E" w:rsidP="0078385F">
            <w:pPr>
              <w:keepNext/>
              <w:keepLines/>
              <w:jc w:val="right"/>
              <w:rPr>
                <w:rFonts w:ascii="Arial" w:hAnsi="Arial" w:cs="Arial"/>
                <w:color w:val="000000" w:themeColor="text1"/>
                <w:lang w:val="en-GB"/>
              </w:rPr>
            </w:pPr>
          </w:p>
        </w:tc>
      </w:tr>
    </w:tbl>
    <w:p w14:paraId="471EEDB4" w14:textId="77777777" w:rsidR="00A43C1E" w:rsidRPr="00CE411B" w:rsidRDefault="00A43C1E" w:rsidP="0078385F">
      <w:pPr>
        <w:pStyle w:val="Footnote"/>
        <w:rPr>
          <w:lang w:val="en-GB"/>
        </w:rPr>
      </w:pPr>
    </w:p>
    <w:p w14:paraId="0891E26B" w14:textId="5CACD20F" w:rsidR="00A43C1E" w:rsidRPr="00CE411B" w:rsidRDefault="00A16221" w:rsidP="0078385F">
      <w:pPr>
        <w:pStyle w:val="Footnote"/>
        <w:keepNext/>
        <w:keepLines/>
        <w:rPr>
          <w:lang w:val="en-GB"/>
        </w:rPr>
      </w:pPr>
      <w:r w:rsidRPr="00CE411B">
        <w:rPr>
          <w:lang w:val="en-GB"/>
        </w:rPr>
        <w:t xml:space="preserve">Source: </w:t>
      </w:r>
      <w:r w:rsidR="00AE0FB7" w:rsidRPr="00AE0FB7">
        <w:rPr>
          <w:lang w:val="en-GB"/>
        </w:rPr>
        <w:t xml:space="preserve">Bart </w:t>
      </w:r>
      <w:proofErr w:type="spellStart"/>
      <w:r w:rsidR="00AE0FB7" w:rsidRPr="00AE0FB7">
        <w:rPr>
          <w:lang w:val="en-GB"/>
        </w:rPr>
        <w:t>Demandt</w:t>
      </w:r>
      <w:proofErr w:type="spellEnd"/>
      <w:r w:rsidR="00AE0FB7" w:rsidRPr="00AE0FB7">
        <w:rPr>
          <w:lang w:val="en-GB"/>
        </w:rPr>
        <w:t xml:space="preserve">, </w:t>
      </w:r>
      <w:r w:rsidR="00D02526">
        <w:rPr>
          <w:lang w:val="en-GB"/>
        </w:rPr>
        <w:t>“</w:t>
      </w:r>
      <w:proofErr w:type="spellStart"/>
      <w:r w:rsidRPr="00CE411B">
        <w:rPr>
          <w:lang w:val="en-GB"/>
        </w:rPr>
        <w:t>Geely</w:t>
      </w:r>
      <w:proofErr w:type="spellEnd"/>
      <w:r w:rsidRPr="00CE411B">
        <w:rPr>
          <w:lang w:val="en-GB"/>
        </w:rPr>
        <w:t xml:space="preserve"> China Auto Sales Figures</w:t>
      </w:r>
      <w:r w:rsidR="00D02526">
        <w:rPr>
          <w:lang w:val="en-GB"/>
        </w:rPr>
        <w:t>,”</w:t>
      </w:r>
      <w:r w:rsidRPr="00CE411B">
        <w:rPr>
          <w:lang w:val="en-GB"/>
        </w:rPr>
        <w:t xml:space="preserve"> </w:t>
      </w:r>
      <w:proofErr w:type="spellStart"/>
      <w:r w:rsidRPr="00CE411B">
        <w:rPr>
          <w:lang w:val="en-GB"/>
        </w:rPr>
        <w:t>Car</w:t>
      </w:r>
      <w:r w:rsidR="00D02526">
        <w:rPr>
          <w:lang w:val="en-GB"/>
        </w:rPr>
        <w:t>S</w:t>
      </w:r>
      <w:r w:rsidRPr="00CE411B">
        <w:rPr>
          <w:lang w:val="en-GB"/>
        </w:rPr>
        <w:t>ales</w:t>
      </w:r>
      <w:r w:rsidR="00D02526">
        <w:rPr>
          <w:lang w:val="en-GB"/>
        </w:rPr>
        <w:t>B</w:t>
      </w:r>
      <w:r w:rsidRPr="00CE411B">
        <w:rPr>
          <w:lang w:val="en-GB"/>
        </w:rPr>
        <w:t>ase</w:t>
      </w:r>
      <w:proofErr w:type="spellEnd"/>
      <w:r w:rsidR="00AE0FB7">
        <w:rPr>
          <w:lang w:val="en-GB"/>
        </w:rPr>
        <w:t xml:space="preserve"> (</w:t>
      </w:r>
      <w:r w:rsidR="00D02526">
        <w:rPr>
          <w:lang w:val="en-GB"/>
        </w:rPr>
        <w:t>blog</w:t>
      </w:r>
      <w:r w:rsidR="00AE0FB7">
        <w:rPr>
          <w:lang w:val="en-GB"/>
        </w:rPr>
        <w:t>)</w:t>
      </w:r>
      <w:r w:rsidR="00D02526">
        <w:rPr>
          <w:lang w:val="en-GB"/>
        </w:rPr>
        <w:t xml:space="preserve">, accessed June 9, 2018, </w:t>
      </w:r>
      <w:r w:rsidRPr="00D02526">
        <w:rPr>
          <w:rStyle w:val="Hyperlink"/>
          <w:color w:val="auto"/>
          <w:u w:val="none"/>
          <w:lang w:val="en-GB"/>
        </w:rPr>
        <w:t>http://carsalesbase.com/china-car-sales-data/geely</w:t>
      </w:r>
      <w:r w:rsidRPr="00CE411B">
        <w:rPr>
          <w:lang w:val="en-GB"/>
        </w:rPr>
        <w:t>.</w:t>
      </w:r>
    </w:p>
    <w:p w14:paraId="5FA7D60C" w14:textId="77777777" w:rsidR="00A43C1E" w:rsidRPr="00CE411B" w:rsidRDefault="00A43C1E" w:rsidP="0078385F">
      <w:pPr>
        <w:pStyle w:val="BodyTextMain"/>
        <w:keepNext/>
        <w:keepLines/>
        <w:rPr>
          <w:lang w:val="en-GB"/>
        </w:rPr>
      </w:pPr>
    </w:p>
    <w:p w14:paraId="44CB6685" w14:textId="77777777" w:rsidR="00A43C1E" w:rsidRPr="00CE411B" w:rsidRDefault="00A43C1E" w:rsidP="00A43C1E">
      <w:pPr>
        <w:pStyle w:val="BodyTextMain"/>
        <w:rPr>
          <w:lang w:val="en-GB"/>
        </w:rPr>
      </w:pPr>
    </w:p>
    <w:p w14:paraId="4A28E631" w14:textId="77777777" w:rsidR="00A43C1E" w:rsidRPr="00CE411B" w:rsidRDefault="00A43C1E" w:rsidP="00A43C1E">
      <w:pPr>
        <w:pStyle w:val="BodyTextMain"/>
        <w:rPr>
          <w:lang w:val="en-GB"/>
        </w:rPr>
      </w:pPr>
    </w:p>
    <w:p w14:paraId="1E13B288" w14:textId="77777777" w:rsidR="00A43C1E" w:rsidRPr="00CE411B" w:rsidRDefault="00A43C1E" w:rsidP="00A43C1E">
      <w:pPr>
        <w:pStyle w:val="BodyTextMain"/>
        <w:rPr>
          <w:lang w:val="en-GB"/>
        </w:rPr>
      </w:pPr>
    </w:p>
    <w:p w14:paraId="2CFB8E1A" w14:textId="115922C9" w:rsidR="00A43C1E" w:rsidRPr="00CE411B" w:rsidRDefault="00A43C1E">
      <w:pPr>
        <w:spacing w:after="200" w:line="276" w:lineRule="auto"/>
        <w:rPr>
          <w:szCs w:val="22"/>
          <w:lang w:val="en-GB"/>
        </w:rPr>
      </w:pPr>
      <w:r w:rsidRPr="00CE411B">
        <w:rPr>
          <w:lang w:val="en-GB"/>
        </w:rPr>
        <w:br w:type="page"/>
      </w:r>
    </w:p>
    <w:p w14:paraId="239821A2" w14:textId="68B239D4" w:rsidR="00D315F3" w:rsidRPr="00CE411B" w:rsidRDefault="00A16221" w:rsidP="00A16221">
      <w:pPr>
        <w:pStyle w:val="Casehead1"/>
        <w:rPr>
          <w:lang w:val="en-GB"/>
        </w:rPr>
      </w:pPr>
      <w:r w:rsidRPr="00CE411B">
        <w:rPr>
          <w:lang w:val="en-GB"/>
        </w:rPr>
        <w:lastRenderedPageBreak/>
        <w:t>Endnotes</w:t>
      </w:r>
    </w:p>
    <w:sectPr w:rsidR="00D315F3" w:rsidRPr="00CE411B" w:rsidSect="00D315F3">
      <w:headerReference w:type="default" r:id="rId12"/>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D3936" w14:textId="77777777" w:rsidR="0078385F" w:rsidRDefault="0078385F" w:rsidP="00D75295">
      <w:r>
        <w:separator/>
      </w:r>
    </w:p>
  </w:endnote>
  <w:endnote w:type="continuationSeparator" w:id="0">
    <w:p w14:paraId="1AF02598" w14:textId="77777777" w:rsidR="0078385F" w:rsidRDefault="0078385F" w:rsidP="00D75295">
      <w:r>
        <w:continuationSeparator/>
      </w:r>
    </w:p>
  </w:endnote>
  <w:endnote w:id="1">
    <w:p w14:paraId="4733AEE9" w14:textId="77777777" w:rsidR="008E7BFC" w:rsidRPr="00AC4C05" w:rsidRDefault="008E7BFC" w:rsidP="008E7BFC">
      <w:pPr>
        <w:pStyle w:val="Footnote"/>
      </w:pPr>
      <w:r w:rsidRPr="00AC4C05">
        <w:rPr>
          <w:rStyle w:val="EndnoteReference"/>
        </w:rPr>
        <w:endnoteRef/>
      </w:r>
      <w:r w:rsidRPr="00AC4C05">
        <w:t xml:space="preserve"> </w:t>
      </w:r>
      <w:r w:rsidRPr="00AC4C05">
        <w:rPr>
          <w:rStyle w:val="FootnoteChar"/>
          <w:rFonts w:eastAsia="Calibri"/>
        </w:rPr>
        <w:t xml:space="preserve">This case has been written on the basis of published sources only. Consequently, the interpretation and perspectives presented in this case are not necessarily those of Ford, </w:t>
      </w:r>
      <w:proofErr w:type="spellStart"/>
      <w:r w:rsidRPr="00AC4C05">
        <w:rPr>
          <w:rStyle w:val="FootnoteChar"/>
          <w:rFonts w:eastAsia="Calibri"/>
        </w:rPr>
        <w:t>Geely</w:t>
      </w:r>
      <w:proofErr w:type="spellEnd"/>
      <w:r w:rsidRPr="00AC4C05">
        <w:rPr>
          <w:rStyle w:val="FootnoteChar"/>
          <w:rFonts w:eastAsia="Calibri"/>
        </w:rPr>
        <w:t>, or any of their employees.</w:t>
      </w:r>
    </w:p>
  </w:endnote>
  <w:endnote w:id="2">
    <w:p w14:paraId="21ADA0CD" w14:textId="01011EAF" w:rsidR="0078385F" w:rsidRPr="00AC4C05" w:rsidRDefault="0078385F" w:rsidP="00DE379F">
      <w:pPr>
        <w:pStyle w:val="Footnote"/>
      </w:pPr>
      <w:r w:rsidRPr="00AC4C05">
        <w:rPr>
          <w:rStyle w:val="EndnoteReference"/>
        </w:rPr>
        <w:endnoteRef/>
      </w:r>
      <w:r w:rsidRPr="00AC4C05">
        <w:t xml:space="preserve"> “Super Bowl Commercial—It’s Halftime with Subtitles,” YouTube video, 2:00, posted by “</w:t>
      </w:r>
      <w:proofErr w:type="spellStart"/>
      <w:r w:rsidRPr="00AC4C05">
        <w:t>Balazs</w:t>
      </w:r>
      <w:proofErr w:type="spellEnd"/>
      <w:r w:rsidRPr="00AC4C05">
        <w:t>,” February 10, 2012, accessed June 6, 2018, www.youtube.com/watch?reload=9&amp;v=J5E5LfdJvUA.</w:t>
      </w:r>
    </w:p>
  </w:endnote>
  <w:endnote w:id="3">
    <w:p w14:paraId="1CFE965E" w14:textId="6D0368AE" w:rsidR="0078385F" w:rsidRPr="00AC4C05" w:rsidRDefault="0078385F" w:rsidP="00DE379F">
      <w:pPr>
        <w:pStyle w:val="Footnote"/>
      </w:pPr>
      <w:r w:rsidRPr="00AC4C05">
        <w:rPr>
          <w:rStyle w:val="EndnoteReference"/>
        </w:rPr>
        <w:endnoteRef/>
      </w:r>
      <w:r w:rsidRPr="00AC4C05">
        <w:t xml:space="preserve"> Rachel Abrams, “Fiat Completes Acquisition of Chrysler,” </w:t>
      </w:r>
      <w:r w:rsidRPr="0078385F">
        <w:rPr>
          <w:i/>
        </w:rPr>
        <w:t>New York Times</w:t>
      </w:r>
      <w:r w:rsidRPr="00AC4C05">
        <w:t>, January 21, 2014, accessed June 6, 2018</w:t>
      </w:r>
      <w:r>
        <w:t>,</w:t>
      </w:r>
      <w:r w:rsidRPr="00AC4C05">
        <w:t xml:space="preserve"> https://dealbook.nytimes.com/2014/01/21/fiat-completes-acquisition-of-chrysler.</w:t>
      </w:r>
    </w:p>
  </w:endnote>
  <w:endnote w:id="4">
    <w:p w14:paraId="7459DF7C" w14:textId="297C651B" w:rsidR="0078385F" w:rsidRPr="00DE379F" w:rsidRDefault="0078385F" w:rsidP="0078385F">
      <w:pPr>
        <w:pStyle w:val="Footnote"/>
        <w:rPr>
          <w:lang w:val="en-CA"/>
        </w:rPr>
      </w:pPr>
      <w:r w:rsidRPr="00B77438">
        <w:rPr>
          <w:rStyle w:val="EndnoteReference"/>
          <w:spacing w:val="-4"/>
        </w:rPr>
        <w:endnoteRef/>
      </w:r>
      <w:r w:rsidRPr="00B77438">
        <w:rPr>
          <w:spacing w:val="-4"/>
        </w:rPr>
        <w:t xml:space="preserve"> “Best Inventions of 2008: 2. The Tesla Roadster,” </w:t>
      </w:r>
      <w:r w:rsidRPr="00B77438">
        <w:rPr>
          <w:i/>
          <w:spacing w:val="-4"/>
        </w:rPr>
        <w:t>Time</w:t>
      </w:r>
      <w:r w:rsidRPr="00B77438">
        <w:rPr>
          <w:spacing w:val="-4"/>
        </w:rPr>
        <w:t xml:space="preserve">, accessed June 9, 2018, http://content.time.com/time/specials/packages/article/0,28804,1852747_1854195_1854114,00.html; “A Giant Falls: The Bankruptcy of General Motors,” </w:t>
      </w:r>
      <w:r w:rsidRPr="00B77438">
        <w:rPr>
          <w:i/>
          <w:spacing w:val="-4"/>
        </w:rPr>
        <w:t>Economist</w:t>
      </w:r>
      <w:r w:rsidRPr="00B77438">
        <w:rPr>
          <w:spacing w:val="-4"/>
        </w:rPr>
        <w:t xml:space="preserve">, June 4, 2009, accessed June 6, 2018, www.economist.com/briefing/2009/06/04/a-giant-falls; </w:t>
      </w:r>
      <w:r w:rsidRPr="00B77438">
        <w:rPr>
          <w:spacing w:val="-4"/>
          <w:lang w:val="en-CA"/>
        </w:rPr>
        <w:t>Chris Isidore, “</w:t>
      </w:r>
      <w:r w:rsidRPr="00B77438">
        <w:rPr>
          <w:spacing w:val="-4"/>
        </w:rPr>
        <w:t xml:space="preserve">GM IPO </w:t>
      </w:r>
      <w:r w:rsidRPr="00B77438">
        <w:rPr>
          <w:spacing w:val="-4"/>
          <w:lang w:val="en-CA"/>
        </w:rPr>
        <w:t>B</w:t>
      </w:r>
      <w:proofErr w:type="spellStart"/>
      <w:r w:rsidRPr="00B77438">
        <w:rPr>
          <w:spacing w:val="-4"/>
        </w:rPr>
        <w:t>iggest</w:t>
      </w:r>
      <w:proofErr w:type="spellEnd"/>
      <w:r w:rsidRPr="00B77438">
        <w:rPr>
          <w:spacing w:val="-4"/>
        </w:rPr>
        <w:t xml:space="preserve"> </w:t>
      </w:r>
      <w:r w:rsidRPr="00B77438">
        <w:rPr>
          <w:spacing w:val="-4"/>
          <w:lang w:val="en-CA"/>
        </w:rPr>
        <w:t>E</w:t>
      </w:r>
      <w:proofErr w:type="spellStart"/>
      <w:r w:rsidRPr="00B77438">
        <w:rPr>
          <w:spacing w:val="-4"/>
        </w:rPr>
        <w:t>ver</w:t>
      </w:r>
      <w:proofErr w:type="spellEnd"/>
      <w:r w:rsidRPr="00B77438">
        <w:rPr>
          <w:spacing w:val="-4"/>
          <w:lang w:val="en-CA"/>
        </w:rPr>
        <w:t>,” CNN Money,</w:t>
      </w:r>
      <w:r w:rsidRPr="00B77438">
        <w:rPr>
          <w:spacing w:val="-4"/>
        </w:rPr>
        <w:t xml:space="preserve"> Nov</w:t>
      </w:r>
      <w:r w:rsidRPr="00B77438">
        <w:rPr>
          <w:spacing w:val="-4"/>
          <w:lang w:val="en-CA"/>
        </w:rPr>
        <w:t>ember</w:t>
      </w:r>
      <w:r w:rsidRPr="00B77438">
        <w:rPr>
          <w:spacing w:val="-4"/>
        </w:rPr>
        <w:t xml:space="preserve"> 17, 2010, accessed September 1, 2018,</w:t>
      </w:r>
      <w:r w:rsidRPr="00B77438">
        <w:rPr>
          <w:spacing w:val="-4"/>
          <w:lang w:val="en-CA"/>
        </w:rPr>
        <w:t xml:space="preserve"> </w:t>
      </w:r>
      <w:r w:rsidRPr="00B77438">
        <w:rPr>
          <w:spacing w:val="-4"/>
        </w:rPr>
        <w:t>https://money.cnn.com/2010/11/17/news/companies/gm_ipo_pricing/index.htm</w:t>
      </w:r>
      <w:r w:rsidRPr="00B77438">
        <w:rPr>
          <w:spacing w:val="-4"/>
          <w:lang w:val="en-CA"/>
        </w:rPr>
        <w:t>.</w:t>
      </w:r>
    </w:p>
  </w:endnote>
  <w:endnote w:id="5">
    <w:p w14:paraId="6B6CD9C8" w14:textId="2662A2FA" w:rsidR="0078385F" w:rsidRPr="00AC4C05" w:rsidRDefault="0078385F" w:rsidP="00DE379F">
      <w:pPr>
        <w:pStyle w:val="Footnote"/>
      </w:pPr>
      <w:r w:rsidRPr="00AC4C05">
        <w:rPr>
          <w:rStyle w:val="EndnoteReference"/>
        </w:rPr>
        <w:endnoteRef/>
      </w:r>
      <w:r w:rsidRPr="00AC4C05">
        <w:t xml:space="preserve"> Fang Yan and Alison Leung, “China’s </w:t>
      </w:r>
      <w:proofErr w:type="spellStart"/>
      <w:r w:rsidRPr="00AC4C05">
        <w:t>Geely</w:t>
      </w:r>
      <w:proofErr w:type="spellEnd"/>
      <w:r w:rsidRPr="00AC4C05">
        <w:t xml:space="preserve"> Completes Volvo Buy,” Reuters, August 1, 2010, accessed June 6, 2018, www.reuters.com/article/us-geely/chinas-geely-completes-volvo-buy-idUSTRE66S1TC20100802.</w:t>
      </w:r>
    </w:p>
  </w:endnote>
  <w:endnote w:id="6">
    <w:p w14:paraId="098C522B" w14:textId="77ED1EDC" w:rsidR="00044DBE" w:rsidRPr="00044DBE" w:rsidRDefault="00044DBE" w:rsidP="00044DBE">
      <w:pPr>
        <w:pStyle w:val="Footnote"/>
      </w:pPr>
      <w:r>
        <w:rPr>
          <w:rStyle w:val="EndnoteReference"/>
        </w:rPr>
        <w:endnoteRef/>
      </w:r>
      <w:r>
        <w:t xml:space="preserve"> A</w:t>
      </w:r>
      <w:proofErr w:type="spellStart"/>
      <w:r w:rsidRPr="00A74F98">
        <w:rPr>
          <w:rFonts w:eastAsiaTheme="minorEastAsia"/>
          <w:lang w:val="en-GB"/>
        </w:rPr>
        <w:t>ll</w:t>
      </w:r>
      <w:proofErr w:type="spellEnd"/>
      <w:r w:rsidRPr="00A74F98">
        <w:rPr>
          <w:rFonts w:eastAsiaTheme="minorEastAsia"/>
          <w:lang w:val="en-GB"/>
        </w:rPr>
        <w:t xml:space="preserve"> currency amounts are in </w:t>
      </w:r>
      <w:r>
        <w:rPr>
          <w:rFonts w:eastAsiaTheme="minorEastAsia"/>
          <w:lang w:val="en-GB"/>
        </w:rPr>
        <w:t>US$</w:t>
      </w:r>
      <w:r w:rsidRPr="00A74F98">
        <w:rPr>
          <w:rFonts w:eastAsiaTheme="minorEastAsia"/>
          <w:lang w:val="en-GB"/>
        </w:rPr>
        <w:t xml:space="preserve"> unless otherwise specified</w:t>
      </w:r>
      <w:r>
        <w:rPr>
          <w:rFonts w:eastAsiaTheme="minorEastAsia"/>
          <w:lang w:val="en-GB"/>
        </w:rPr>
        <w:t>.</w:t>
      </w:r>
    </w:p>
  </w:endnote>
  <w:endnote w:id="7">
    <w:p w14:paraId="3E462D32" w14:textId="36D3D63E" w:rsidR="0078385F" w:rsidRPr="00AC4C05" w:rsidRDefault="0078385F" w:rsidP="00DE379F">
      <w:pPr>
        <w:pStyle w:val="Footnote"/>
      </w:pPr>
      <w:r w:rsidRPr="00AC4C05">
        <w:rPr>
          <w:rStyle w:val="EndnoteReference"/>
        </w:rPr>
        <w:endnoteRef/>
      </w:r>
      <w:r w:rsidRPr="00AC4C05">
        <w:t xml:space="preserve"> James Taylor, “Lotus Now Officially Owned by </w:t>
      </w:r>
      <w:proofErr w:type="spellStart"/>
      <w:r w:rsidRPr="00AC4C05">
        <w:t>Geely</w:t>
      </w:r>
      <w:proofErr w:type="spellEnd"/>
      <w:r w:rsidRPr="00AC4C05">
        <w:t xml:space="preserve">,” </w:t>
      </w:r>
      <w:r w:rsidRPr="0055773B">
        <w:rPr>
          <w:i/>
        </w:rPr>
        <w:t>Car Magazine</w:t>
      </w:r>
      <w:r w:rsidRPr="00AC4C05">
        <w:t>, September 29, 2017,</w:t>
      </w:r>
      <w:r>
        <w:t xml:space="preserve"> </w:t>
      </w:r>
      <w:r w:rsidRPr="0078385F">
        <w:t>www.carmagazine.co.uk/car-news/industry-news/lotus/lotus-cars-bought-by-geely</w:t>
      </w:r>
      <w:r>
        <w:t xml:space="preserve">; </w:t>
      </w:r>
      <w:r w:rsidRPr="00AC4C05">
        <w:rPr>
          <w:lang w:val="en-CA"/>
        </w:rPr>
        <w:t>All currency amounts are in US$ unless otherwise specified</w:t>
      </w:r>
      <w:r>
        <w:rPr>
          <w:lang w:val="en-CA"/>
        </w:rPr>
        <w:t xml:space="preserve">; </w:t>
      </w:r>
      <w:r w:rsidRPr="00AC4C05">
        <w:t xml:space="preserve">Pamela Ambler, “Volvo &amp; </w:t>
      </w:r>
      <w:proofErr w:type="spellStart"/>
      <w:r w:rsidRPr="00AC4C05">
        <w:t>Geely</w:t>
      </w:r>
      <w:proofErr w:type="spellEnd"/>
      <w:r w:rsidRPr="00AC4C05">
        <w:t xml:space="preserve">: The Unlikely Marriage of Swedish Tech and Chinese Manufacturing Might that Earned Record Profits,” </w:t>
      </w:r>
      <w:r w:rsidRPr="00914A29">
        <w:rPr>
          <w:i/>
        </w:rPr>
        <w:t>Forbes</w:t>
      </w:r>
      <w:r w:rsidRPr="00AC4C05">
        <w:t xml:space="preserve">, January 23, 2018, accessed June 9, 2018, </w:t>
      </w:r>
      <w:r w:rsidRPr="0078385F">
        <w:t>www.forbes.com/sites/pamelaambler/2018/01/23/volvo-geely-the-unlikely-marriage-of-swedish-tech-and-chinese-manufacturing-might-that-earned-record-profits/#413145d34ecc</w:t>
      </w:r>
      <w:r>
        <w:t xml:space="preserve">; Bloomberg News, </w:t>
      </w:r>
      <w:r w:rsidRPr="00AC4C05">
        <w:t xml:space="preserve">“Chairman of China’s </w:t>
      </w:r>
      <w:proofErr w:type="spellStart"/>
      <w:r w:rsidRPr="00AC4C05">
        <w:t>Geely</w:t>
      </w:r>
      <w:proofErr w:type="spellEnd"/>
      <w:r w:rsidRPr="00AC4C05">
        <w:t xml:space="preserve"> Acquires 10% of Daimler,” </w:t>
      </w:r>
      <w:r w:rsidRPr="0078385F">
        <w:rPr>
          <w:i/>
        </w:rPr>
        <w:t>Detroit News</w:t>
      </w:r>
      <w:r w:rsidRPr="00AC4C05">
        <w:t>, February 23, 2018, accessed June 9, 2018, https://eu.detroitnews.com/story/business/autos/foreign/2018/02/23/china-geely-ten-percent-daimler/110752944.</w:t>
      </w:r>
    </w:p>
  </w:endnote>
  <w:endnote w:id="8">
    <w:p w14:paraId="584B4426" w14:textId="2E52308D" w:rsidR="0078385F" w:rsidRPr="00893349" w:rsidRDefault="0078385F" w:rsidP="0078385F">
      <w:pPr>
        <w:pStyle w:val="Footnote"/>
      </w:pPr>
      <w:r w:rsidRPr="00DE659A">
        <w:rPr>
          <w:rStyle w:val="EndnoteReference"/>
        </w:rPr>
        <w:endnoteRef/>
      </w:r>
      <w:r w:rsidRPr="00AC4C05">
        <w:rPr>
          <w:rStyle w:val="EndnoteReference"/>
          <w:b/>
          <w:i/>
        </w:rPr>
        <w:t xml:space="preserve"> </w:t>
      </w:r>
      <w:r w:rsidRPr="00AC4C05">
        <w:t>“Jim Hackett</w:t>
      </w:r>
      <w:r>
        <w:t>:</w:t>
      </w:r>
      <w:r w:rsidRPr="00AC4C05">
        <w:t xml:space="preserve"> President and Chief Executive Officer, Ford Motor Company,” Ford</w:t>
      </w:r>
      <w:r>
        <w:t xml:space="preserve"> Motor Company</w:t>
      </w:r>
      <w:r w:rsidRPr="00AC4C05">
        <w:t>, accessed June 9, 2018</w:t>
      </w:r>
      <w:r>
        <w:t>,</w:t>
      </w:r>
      <w:r w:rsidRPr="00AC4C05">
        <w:t xml:space="preserve"> https://media.ford.com/content/fordmedia/fna/us/en/people/james-hackett.html</w:t>
      </w:r>
      <w:r>
        <w:t>;</w:t>
      </w:r>
      <w:r w:rsidRPr="00AC4C05">
        <w:rPr>
          <w:rStyle w:val="EndnoteReference"/>
          <w:b/>
          <w:i/>
        </w:rPr>
        <w:t xml:space="preserve"> </w:t>
      </w:r>
      <w:r w:rsidRPr="00DE659A">
        <w:rPr>
          <w:rStyle w:val="EndnoteReference"/>
        </w:rPr>
        <w:t>“</w:t>
      </w:r>
      <w:r w:rsidRPr="00DE659A">
        <w:rPr>
          <w:bCs/>
          <w:iCs/>
        </w:rPr>
        <w:t xml:space="preserve">Car Sales by Country: Ford 2017,” Statista, accessed August 31, 2018, </w:t>
      </w:r>
      <w:r w:rsidRPr="00E8548C">
        <w:t>www.statista.com/statistics/475637/vehicle-sales-of-ford-in-leading-countries.</w:t>
      </w:r>
    </w:p>
  </w:endnote>
  <w:endnote w:id="9">
    <w:p w14:paraId="292E56CC" w14:textId="77CEEC40" w:rsidR="0078385F" w:rsidRPr="00B77438" w:rsidRDefault="0078385F" w:rsidP="00DE379F">
      <w:pPr>
        <w:pStyle w:val="Footnote"/>
        <w:rPr>
          <w:spacing w:val="-2"/>
        </w:rPr>
      </w:pPr>
      <w:r w:rsidRPr="00B77438">
        <w:rPr>
          <w:rStyle w:val="EndnoteReference"/>
          <w:spacing w:val="-2"/>
        </w:rPr>
        <w:endnoteRef/>
      </w:r>
      <w:r w:rsidRPr="00B77438">
        <w:rPr>
          <w:spacing w:val="-2"/>
        </w:rPr>
        <w:t xml:space="preserve"> Doug Young, “</w:t>
      </w:r>
      <w:proofErr w:type="spellStart"/>
      <w:r w:rsidRPr="00B77438">
        <w:rPr>
          <w:spacing w:val="-2"/>
        </w:rPr>
        <w:t>Geely’s</w:t>
      </w:r>
      <w:proofErr w:type="spellEnd"/>
      <w:r w:rsidRPr="00B77438">
        <w:rPr>
          <w:spacing w:val="-2"/>
        </w:rPr>
        <w:t xml:space="preserve"> Folksy Li Known as China’s Henry Ford,” Reuters, July 22, 2010, accessed June 9, 2018, www.reuters.com/article/us-geely-volvo-news</w:t>
      </w:r>
      <w:bookmarkStart w:id="3" w:name="_GoBack"/>
      <w:bookmarkEnd w:id="3"/>
      <w:r w:rsidRPr="00B77438">
        <w:rPr>
          <w:spacing w:val="-2"/>
        </w:rPr>
        <w:t xml:space="preserve">maker/geelys-folksy-li-known-as-chinas-henry-ford-idUSTRE66L2ER20100722; “Li </w:t>
      </w:r>
      <w:proofErr w:type="spellStart"/>
      <w:r w:rsidRPr="00B77438">
        <w:rPr>
          <w:spacing w:val="-2"/>
        </w:rPr>
        <w:t>Shufu</w:t>
      </w:r>
      <w:proofErr w:type="spellEnd"/>
      <w:r w:rsidRPr="00B77438">
        <w:rPr>
          <w:spacing w:val="-2"/>
        </w:rPr>
        <w:t xml:space="preserve"> Quotes,” </w:t>
      </w:r>
      <w:proofErr w:type="spellStart"/>
      <w:r w:rsidRPr="00B77438">
        <w:rPr>
          <w:spacing w:val="-2"/>
        </w:rPr>
        <w:t>Brainyquote</w:t>
      </w:r>
      <w:proofErr w:type="spellEnd"/>
      <w:r w:rsidRPr="00B77438">
        <w:rPr>
          <w:spacing w:val="-2"/>
        </w:rPr>
        <w:t>, accessed June 10, 2018, www.brainyquote.com/quotes/li_shufu_737524; “Our History: Company Timeline,” Ford, accessed November 16, 2018, http://corporate.ford.com/history.html.</w:t>
      </w:r>
    </w:p>
  </w:endnote>
  <w:endnote w:id="10">
    <w:p w14:paraId="6EB6E483" w14:textId="584A4A63" w:rsidR="0078385F" w:rsidRPr="00AC4C05" w:rsidRDefault="0078385F" w:rsidP="00DE379F">
      <w:pPr>
        <w:pStyle w:val="EndnoteText"/>
        <w:jc w:val="both"/>
        <w:rPr>
          <w:rFonts w:ascii="Arial" w:hAnsi="Arial" w:cs="Arial"/>
          <w:sz w:val="17"/>
          <w:szCs w:val="17"/>
          <w:lang w:val="en-US"/>
        </w:rPr>
      </w:pPr>
      <w:r w:rsidRPr="00AC4C05">
        <w:rPr>
          <w:rStyle w:val="EndnoteReference"/>
          <w:rFonts w:ascii="Arial" w:hAnsi="Arial" w:cs="Arial"/>
          <w:sz w:val="17"/>
          <w:szCs w:val="17"/>
        </w:rPr>
        <w:endnoteRef/>
      </w:r>
      <w:r w:rsidRPr="00AC4C05">
        <w:rPr>
          <w:rFonts w:ascii="Arial" w:hAnsi="Arial" w:cs="Arial"/>
          <w:sz w:val="17"/>
          <w:szCs w:val="17"/>
        </w:rPr>
        <w:t xml:space="preserve"> </w:t>
      </w:r>
      <w:proofErr w:type="spellStart"/>
      <w:r>
        <w:rPr>
          <w:rFonts w:ascii="Arial" w:hAnsi="Arial" w:cs="Arial"/>
          <w:sz w:val="17"/>
          <w:szCs w:val="17"/>
          <w:lang w:val="en-CA"/>
        </w:rPr>
        <w:t>Geely</w:t>
      </w:r>
      <w:proofErr w:type="spellEnd"/>
      <w:r>
        <w:rPr>
          <w:rFonts w:ascii="Arial" w:hAnsi="Arial" w:cs="Arial"/>
          <w:sz w:val="17"/>
          <w:szCs w:val="17"/>
          <w:lang w:val="en-CA"/>
        </w:rPr>
        <w:t xml:space="preserve"> Auto Group, “</w:t>
      </w:r>
      <w:r w:rsidRPr="00AC4C05">
        <w:rPr>
          <w:rFonts w:ascii="Arial" w:hAnsi="Arial" w:cs="Arial"/>
          <w:sz w:val="17"/>
          <w:szCs w:val="17"/>
        </w:rPr>
        <w:t xml:space="preserve">Zhejiang </w:t>
      </w:r>
      <w:proofErr w:type="spellStart"/>
      <w:r w:rsidRPr="00AC4C05">
        <w:rPr>
          <w:rFonts w:ascii="Arial" w:hAnsi="Arial" w:cs="Arial"/>
          <w:sz w:val="17"/>
          <w:szCs w:val="17"/>
        </w:rPr>
        <w:t>Geely</w:t>
      </w:r>
      <w:proofErr w:type="spellEnd"/>
      <w:r w:rsidRPr="00AC4C05">
        <w:rPr>
          <w:rFonts w:ascii="Arial" w:hAnsi="Arial" w:cs="Arial"/>
          <w:sz w:val="17"/>
          <w:szCs w:val="17"/>
        </w:rPr>
        <w:t xml:space="preserve"> Holding Group Included in Fortune Global 500</w:t>
      </w:r>
      <w:r w:rsidRPr="00AC4C05">
        <w:rPr>
          <w:rFonts w:ascii="Arial" w:hAnsi="Arial" w:cs="Arial"/>
          <w:sz w:val="17"/>
          <w:szCs w:val="17"/>
          <w:lang w:val="en-US"/>
        </w:rPr>
        <w:t>,</w:t>
      </w:r>
      <w:r>
        <w:rPr>
          <w:rFonts w:ascii="Arial" w:hAnsi="Arial" w:cs="Arial"/>
          <w:sz w:val="17"/>
          <w:szCs w:val="17"/>
          <w:lang w:val="en-US"/>
        </w:rPr>
        <w:t xml:space="preserve">” news release, </w:t>
      </w:r>
      <w:proofErr w:type="spellStart"/>
      <w:r>
        <w:rPr>
          <w:rFonts w:ascii="Arial" w:hAnsi="Arial" w:cs="Arial"/>
          <w:sz w:val="17"/>
          <w:szCs w:val="17"/>
          <w:lang w:val="en-US"/>
        </w:rPr>
        <w:t>Geely</w:t>
      </w:r>
      <w:proofErr w:type="spellEnd"/>
      <w:r>
        <w:rPr>
          <w:rFonts w:ascii="Arial" w:hAnsi="Arial" w:cs="Arial"/>
          <w:sz w:val="17"/>
          <w:szCs w:val="17"/>
          <w:lang w:val="en-US"/>
        </w:rPr>
        <w:t>,</w:t>
      </w:r>
      <w:r w:rsidRPr="00AC4C05">
        <w:rPr>
          <w:rFonts w:ascii="Arial" w:hAnsi="Arial" w:cs="Arial"/>
          <w:sz w:val="17"/>
          <w:szCs w:val="17"/>
          <w:lang w:val="en-US"/>
        </w:rPr>
        <w:t xml:space="preserve"> </w:t>
      </w:r>
      <w:r w:rsidRPr="00CC3677">
        <w:rPr>
          <w:rFonts w:ascii="Arial" w:hAnsi="Arial" w:cs="Arial"/>
          <w:sz w:val="17"/>
          <w:szCs w:val="17"/>
          <w:lang w:val="en-US"/>
        </w:rPr>
        <w:t>July 9, 2012</w:t>
      </w:r>
      <w:r>
        <w:rPr>
          <w:rFonts w:ascii="Arial" w:hAnsi="Arial" w:cs="Arial"/>
          <w:sz w:val="17"/>
          <w:szCs w:val="17"/>
          <w:lang w:val="en-US"/>
        </w:rPr>
        <w:t xml:space="preserve">, </w:t>
      </w:r>
      <w:r w:rsidRPr="00AC4C05">
        <w:rPr>
          <w:rFonts w:ascii="Arial" w:hAnsi="Arial" w:cs="Arial"/>
          <w:sz w:val="17"/>
          <w:szCs w:val="17"/>
          <w:lang w:val="en-US"/>
        </w:rPr>
        <w:t>a</w:t>
      </w:r>
      <w:r w:rsidRPr="00AC4C05">
        <w:rPr>
          <w:rFonts w:ascii="Arial" w:eastAsia="Times New Roman" w:hAnsi="Arial" w:cs="Arial"/>
          <w:sz w:val="17"/>
          <w:szCs w:val="17"/>
          <w:lang w:val="en-US" w:eastAsia="en-US"/>
        </w:rPr>
        <w:t>ccessed September 1, 2018</w:t>
      </w:r>
      <w:r>
        <w:rPr>
          <w:rFonts w:ascii="Arial" w:eastAsia="Times New Roman" w:hAnsi="Arial" w:cs="Arial"/>
          <w:sz w:val="17"/>
          <w:szCs w:val="17"/>
          <w:lang w:val="en-US" w:eastAsia="en-US"/>
        </w:rPr>
        <w:t>,</w:t>
      </w:r>
      <w:r>
        <w:rPr>
          <w:rFonts w:ascii="Arial" w:hAnsi="Arial" w:cs="Arial"/>
          <w:sz w:val="17"/>
          <w:szCs w:val="17"/>
          <w:lang w:val="en-CA"/>
        </w:rPr>
        <w:t xml:space="preserve"> </w:t>
      </w:r>
      <w:r w:rsidRPr="00AC4C05">
        <w:rPr>
          <w:rFonts w:ascii="Arial" w:hAnsi="Arial" w:cs="Arial"/>
          <w:sz w:val="17"/>
          <w:szCs w:val="17"/>
        </w:rPr>
        <w:t>http://global.geely.com/2012/07/09/zhejiang-geely-holding-group-included-in-fortune-global-500</w:t>
      </w:r>
      <w:r>
        <w:rPr>
          <w:rFonts w:ascii="Arial" w:hAnsi="Arial" w:cs="Arial"/>
          <w:sz w:val="17"/>
          <w:szCs w:val="17"/>
          <w:lang w:val="en-CA"/>
        </w:rPr>
        <w:t>;</w:t>
      </w:r>
      <w:r w:rsidRPr="00AC4C05">
        <w:rPr>
          <w:rFonts w:ascii="Arial" w:hAnsi="Arial" w:cs="Arial"/>
          <w:sz w:val="17"/>
          <w:szCs w:val="17"/>
          <w:lang w:val="en-US"/>
        </w:rPr>
        <w:t xml:space="preserve"> </w:t>
      </w:r>
      <w:r>
        <w:rPr>
          <w:rFonts w:ascii="Arial" w:hAnsi="Arial" w:cs="Arial"/>
          <w:sz w:val="17"/>
          <w:szCs w:val="17"/>
          <w:lang w:val="en-CA"/>
        </w:rPr>
        <w:t xml:space="preserve">Monika From </w:t>
      </w:r>
      <w:proofErr w:type="spellStart"/>
      <w:r>
        <w:rPr>
          <w:rFonts w:ascii="Arial" w:hAnsi="Arial" w:cs="Arial"/>
          <w:sz w:val="17"/>
          <w:szCs w:val="17"/>
          <w:lang w:val="en-CA"/>
        </w:rPr>
        <w:t>Gasgoo</w:t>
      </w:r>
      <w:proofErr w:type="spellEnd"/>
      <w:r>
        <w:rPr>
          <w:rFonts w:ascii="Arial" w:hAnsi="Arial" w:cs="Arial"/>
          <w:sz w:val="17"/>
          <w:szCs w:val="17"/>
          <w:lang w:val="en-CA"/>
        </w:rPr>
        <w:t>, “</w:t>
      </w:r>
      <w:r w:rsidRPr="00AC4C05">
        <w:rPr>
          <w:rFonts w:ascii="Arial" w:hAnsi="Arial" w:cs="Arial"/>
          <w:sz w:val="17"/>
          <w:szCs w:val="17"/>
        </w:rPr>
        <w:t xml:space="preserve">Chinese </w:t>
      </w:r>
      <w:r>
        <w:rPr>
          <w:rFonts w:ascii="Arial" w:hAnsi="Arial" w:cs="Arial"/>
          <w:sz w:val="17"/>
          <w:szCs w:val="17"/>
          <w:lang w:val="en-CA"/>
        </w:rPr>
        <w:t>A</w:t>
      </w:r>
      <w:proofErr w:type="spellStart"/>
      <w:r w:rsidRPr="00AC4C05">
        <w:rPr>
          <w:rFonts w:ascii="Arial" w:hAnsi="Arial" w:cs="Arial"/>
          <w:sz w:val="17"/>
          <w:szCs w:val="17"/>
        </w:rPr>
        <w:t>utomakers</w:t>
      </w:r>
      <w:proofErr w:type="spellEnd"/>
      <w:r w:rsidRPr="00AC4C05">
        <w:rPr>
          <w:rFonts w:ascii="Arial" w:hAnsi="Arial" w:cs="Arial"/>
          <w:sz w:val="17"/>
          <w:szCs w:val="17"/>
        </w:rPr>
        <w:t xml:space="preserve"> </w:t>
      </w:r>
      <w:r>
        <w:rPr>
          <w:rFonts w:ascii="Arial" w:hAnsi="Arial" w:cs="Arial"/>
          <w:sz w:val="17"/>
          <w:szCs w:val="17"/>
          <w:lang w:val="en-CA"/>
        </w:rPr>
        <w:t>T</w:t>
      </w:r>
      <w:proofErr w:type="spellStart"/>
      <w:r w:rsidRPr="00AC4C05">
        <w:rPr>
          <w:rFonts w:ascii="Arial" w:hAnsi="Arial" w:cs="Arial"/>
          <w:sz w:val="17"/>
          <w:szCs w:val="17"/>
        </w:rPr>
        <w:t>abulated</w:t>
      </w:r>
      <w:proofErr w:type="spellEnd"/>
      <w:r w:rsidRPr="00AC4C05">
        <w:rPr>
          <w:rFonts w:ascii="Arial" w:hAnsi="Arial" w:cs="Arial"/>
          <w:sz w:val="17"/>
          <w:szCs w:val="17"/>
        </w:rPr>
        <w:t xml:space="preserve"> on 2018 Fortune Global 500 </w:t>
      </w:r>
      <w:r>
        <w:rPr>
          <w:rFonts w:ascii="Arial" w:hAnsi="Arial" w:cs="Arial"/>
          <w:sz w:val="17"/>
          <w:szCs w:val="17"/>
          <w:lang w:val="en-CA"/>
        </w:rPr>
        <w:t>L</w:t>
      </w:r>
      <w:proofErr w:type="spellStart"/>
      <w:r w:rsidRPr="00AC4C05">
        <w:rPr>
          <w:rFonts w:ascii="Arial" w:hAnsi="Arial" w:cs="Arial"/>
          <w:sz w:val="17"/>
          <w:szCs w:val="17"/>
        </w:rPr>
        <w:t>ist</w:t>
      </w:r>
      <w:proofErr w:type="spellEnd"/>
      <w:r w:rsidRPr="00AC4C05">
        <w:rPr>
          <w:rFonts w:ascii="Arial" w:hAnsi="Arial" w:cs="Arial"/>
          <w:sz w:val="17"/>
          <w:szCs w:val="17"/>
          <w:lang w:val="en-US"/>
        </w:rPr>
        <w:t>,</w:t>
      </w:r>
      <w:r>
        <w:rPr>
          <w:rFonts w:ascii="Arial" w:hAnsi="Arial" w:cs="Arial"/>
          <w:sz w:val="17"/>
          <w:szCs w:val="17"/>
          <w:lang w:val="en-US"/>
        </w:rPr>
        <w:t>” China Automotive News,</w:t>
      </w:r>
      <w:r w:rsidRPr="00AC4C05">
        <w:rPr>
          <w:rFonts w:ascii="Arial" w:hAnsi="Arial" w:cs="Arial"/>
          <w:sz w:val="17"/>
          <w:szCs w:val="17"/>
          <w:lang w:val="en-US"/>
        </w:rPr>
        <w:t xml:space="preserve"> a</w:t>
      </w:r>
      <w:r w:rsidRPr="00AC4C05">
        <w:rPr>
          <w:rFonts w:ascii="Arial" w:eastAsia="Times New Roman" w:hAnsi="Arial" w:cs="Arial"/>
          <w:sz w:val="17"/>
          <w:szCs w:val="17"/>
          <w:lang w:val="en-US" w:eastAsia="en-US"/>
        </w:rPr>
        <w:t>ccessed September 1, 2018</w:t>
      </w:r>
      <w:r>
        <w:rPr>
          <w:rFonts w:ascii="Arial" w:eastAsia="Times New Roman" w:hAnsi="Arial" w:cs="Arial"/>
          <w:sz w:val="17"/>
          <w:szCs w:val="17"/>
          <w:lang w:val="en-US" w:eastAsia="en-US"/>
        </w:rPr>
        <w:t xml:space="preserve">, </w:t>
      </w:r>
      <w:r w:rsidRPr="00AC4C05">
        <w:rPr>
          <w:rFonts w:ascii="Arial" w:hAnsi="Arial" w:cs="Arial"/>
          <w:sz w:val="17"/>
          <w:szCs w:val="17"/>
        </w:rPr>
        <w:t>http://autonews.gasgoo.com/china_news/70014926.html</w:t>
      </w:r>
      <w:r>
        <w:rPr>
          <w:rFonts w:ascii="Arial" w:hAnsi="Arial" w:cs="Arial"/>
          <w:sz w:val="17"/>
          <w:szCs w:val="17"/>
          <w:lang w:val="en-CA"/>
        </w:rPr>
        <w:t>.</w:t>
      </w:r>
      <w:r w:rsidRPr="00AC4C05">
        <w:rPr>
          <w:rFonts w:ascii="Arial" w:hAnsi="Arial" w:cs="Arial"/>
          <w:sz w:val="17"/>
          <w:szCs w:val="17"/>
          <w:lang w:val="en-US"/>
        </w:rPr>
        <w:t xml:space="preserve"> </w:t>
      </w:r>
    </w:p>
  </w:endnote>
  <w:endnote w:id="11">
    <w:p w14:paraId="673C2B6E" w14:textId="618E5A6A" w:rsidR="0078385F" w:rsidRPr="00AC4C05" w:rsidRDefault="0078385F" w:rsidP="00DE379F">
      <w:pPr>
        <w:pStyle w:val="EndnoteText"/>
        <w:jc w:val="both"/>
        <w:rPr>
          <w:rFonts w:ascii="Arial" w:eastAsia="Times New Roman" w:hAnsi="Arial" w:cs="Arial"/>
          <w:sz w:val="17"/>
          <w:szCs w:val="17"/>
          <w:lang w:val="en-US" w:eastAsia="en-US"/>
        </w:rPr>
      </w:pPr>
      <w:r w:rsidRPr="00AC4C05">
        <w:rPr>
          <w:rStyle w:val="EndnoteReference"/>
          <w:rFonts w:ascii="Arial" w:hAnsi="Arial" w:cs="Arial"/>
          <w:sz w:val="17"/>
          <w:szCs w:val="17"/>
        </w:rPr>
        <w:endnoteRef/>
      </w:r>
      <w:r w:rsidRPr="00AC4C05">
        <w:rPr>
          <w:rFonts w:ascii="Arial" w:hAnsi="Arial" w:cs="Arial"/>
          <w:sz w:val="17"/>
          <w:szCs w:val="17"/>
        </w:rPr>
        <w:t xml:space="preserve"> </w:t>
      </w:r>
      <w:r>
        <w:rPr>
          <w:rFonts w:ascii="Arial" w:hAnsi="Arial" w:cs="Arial"/>
          <w:sz w:val="17"/>
          <w:szCs w:val="17"/>
          <w:lang w:val="en-CA"/>
        </w:rPr>
        <w:t xml:space="preserve">Peter </w:t>
      </w:r>
      <w:proofErr w:type="spellStart"/>
      <w:r>
        <w:rPr>
          <w:rFonts w:ascii="Arial" w:hAnsi="Arial" w:cs="Arial"/>
          <w:sz w:val="17"/>
          <w:szCs w:val="17"/>
          <w:lang w:val="en-CA"/>
        </w:rPr>
        <w:t>Edmonston</w:t>
      </w:r>
      <w:proofErr w:type="spellEnd"/>
      <w:r>
        <w:rPr>
          <w:rFonts w:ascii="Arial" w:hAnsi="Arial" w:cs="Arial"/>
          <w:sz w:val="17"/>
          <w:szCs w:val="17"/>
          <w:lang w:val="en-CA"/>
        </w:rPr>
        <w:t>, “</w:t>
      </w:r>
      <w:r w:rsidRPr="00AC4C05">
        <w:rPr>
          <w:rFonts w:ascii="Arial" w:eastAsia="Times New Roman" w:hAnsi="Arial" w:cs="Arial"/>
          <w:sz w:val="17"/>
          <w:szCs w:val="17"/>
          <w:lang w:val="en-US" w:eastAsia="en-US"/>
        </w:rPr>
        <w:t>G.M.’s Big Bankruptcy, by the Numbers,</w:t>
      </w:r>
      <w:r>
        <w:rPr>
          <w:rFonts w:ascii="Arial" w:eastAsia="Times New Roman" w:hAnsi="Arial" w:cs="Arial"/>
          <w:sz w:val="17"/>
          <w:szCs w:val="17"/>
          <w:lang w:val="en-US" w:eastAsia="en-US"/>
        </w:rPr>
        <w:t>”</w:t>
      </w:r>
      <w:r w:rsidRPr="00AC4C05">
        <w:rPr>
          <w:rFonts w:ascii="Arial" w:eastAsia="Times New Roman" w:hAnsi="Arial" w:cs="Arial"/>
          <w:sz w:val="17"/>
          <w:szCs w:val="17"/>
          <w:lang w:val="en-US" w:eastAsia="en-US"/>
        </w:rPr>
        <w:t xml:space="preserve"> </w:t>
      </w:r>
      <w:r w:rsidRPr="00DE379F">
        <w:rPr>
          <w:rFonts w:ascii="Arial" w:hAnsi="Arial" w:cs="Arial"/>
          <w:i/>
          <w:sz w:val="17"/>
          <w:szCs w:val="17"/>
        </w:rPr>
        <w:t>New York Times</w:t>
      </w:r>
      <w:r>
        <w:rPr>
          <w:rFonts w:ascii="Arial" w:eastAsia="Times New Roman" w:hAnsi="Arial" w:cs="Arial"/>
          <w:sz w:val="17"/>
          <w:szCs w:val="17"/>
          <w:lang w:val="en-US" w:eastAsia="en-US"/>
        </w:rPr>
        <w:t xml:space="preserve">, June 1, 2009, </w:t>
      </w:r>
      <w:r w:rsidRPr="00AC4C05">
        <w:rPr>
          <w:rFonts w:ascii="Arial" w:eastAsia="Times New Roman" w:hAnsi="Arial" w:cs="Arial"/>
          <w:sz w:val="17"/>
          <w:szCs w:val="17"/>
          <w:lang w:val="en-US" w:eastAsia="en-US"/>
        </w:rPr>
        <w:t>accessed September 1, 2018</w:t>
      </w:r>
      <w:r>
        <w:rPr>
          <w:rFonts w:ascii="Arial" w:eastAsia="Times New Roman" w:hAnsi="Arial" w:cs="Arial"/>
          <w:sz w:val="17"/>
          <w:szCs w:val="17"/>
          <w:lang w:val="en-US" w:eastAsia="en-US"/>
        </w:rPr>
        <w:t xml:space="preserve">, </w:t>
      </w:r>
      <w:r w:rsidRPr="00AC4C05">
        <w:rPr>
          <w:rFonts w:ascii="Arial" w:eastAsia="Times New Roman" w:hAnsi="Arial" w:cs="Arial"/>
          <w:sz w:val="17"/>
          <w:szCs w:val="17"/>
          <w:lang w:val="en-US" w:eastAsia="en-US"/>
        </w:rPr>
        <w:t>https://dealbook.nytimes.com/2009/06/01/gms-big-bankruptcy-by-the-numbers</w:t>
      </w:r>
      <w:r>
        <w:rPr>
          <w:rFonts w:ascii="Arial" w:hAnsi="Arial" w:cs="Arial"/>
          <w:sz w:val="17"/>
          <w:szCs w:val="17"/>
        </w:rPr>
        <w:t>;</w:t>
      </w:r>
      <w:r>
        <w:rPr>
          <w:rFonts w:ascii="Arial" w:hAnsi="Arial" w:cs="Arial"/>
          <w:sz w:val="17"/>
          <w:szCs w:val="17"/>
          <w:lang w:val="en-CA"/>
        </w:rPr>
        <w:t xml:space="preserve"> Associated Press, “</w:t>
      </w:r>
      <w:r w:rsidRPr="00AC4C05">
        <w:rPr>
          <w:rFonts w:ascii="Arial" w:eastAsia="Times New Roman" w:hAnsi="Arial" w:cs="Arial"/>
          <w:sz w:val="17"/>
          <w:szCs w:val="17"/>
          <w:lang w:val="en-US" w:eastAsia="en-US"/>
        </w:rPr>
        <w:t xml:space="preserve">Iconic GM </w:t>
      </w:r>
      <w:r>
        <w:rPr>
          <w:rFonts w:ascii="Arial" w:eastAsia="Times New Roman" w:hAnsi="Arial" w:cs="Arial"/>
          <w:sz w:val="17"/>
          <w:szCs w:val="17"/>
          <w:lang w:val="en-US" w:eastAsia="en-US"/>
        </w:rPr>
        <w:t>W</w:t>
      </w:r>
      <w:r w:rsidRPr="00AC4C05">
        <w:rPr>
          <w:rFonts w:ascii="Arial" w:eastAsia="Times New Roman" w:hAnsi="Arial" w:cs="Arial"/>
          <w:sz w:val="17"/>
          <w:szCs w:val="17"/>
          <w:lang w:val="en-US" w:eastAsia="en-US"/>
        </w:rPr>
        <w:t xml:space="preserve">as </w:t>
      </w:r>
      <w:r>
        <w:rPr>
          <w:rFonts w:ascii="Arial" w:eastAsia="Times New Roman" w:hAnsi="Arial" w:cs="Arial"/>
          <w:sz w:val="17"/>
          <w:szCs w:val="17"/>
          <w:lang w:val="en-US" w:eastAsia="en-US"/>
        </w:rPr>
        <w:t>O</w:t>
      </w:r>
      <w:r w:rsidRPr="00AC4C05">
        <w:rPr>
          <w:rFonts w:ascii="Arial" w:eastAsia="Times New Roman" w:hAnsi="Arial" w:cs="Arial"/>
          <w:sz w:val="17"/>
          <w:szCs w:val="17"/>
          <w:lang w:val="en-US" w:eastAsia="en-US"/>
        </w:rPr>
        <w:t>nce ‘Heartbeat of America’</w:t>
      </w:r>
      <w:r>
        <w:rPr>
          <w:rFonts w:ascii="Arial" w:eastAsia="Times New Roman" w:hAnsi="Arial" w:cs="Arial"/>
          <w:sz w:val="17"/>
          <w:szCs w:val="17"/>
          <w:lang w:val="en-US" w:eastAsia="en-US"/>
        </w:rPr>
        <w:t xml:space="preserve">,” NBC News, </w:t>
      </w:r>
      <w:r w:rsidRPr="00AC4C05">
        <w:rPr>
          <w:rFonts w:ascii="Arial" w:eastAsia="Times New Roman" w:hAnsi="Arial" w:cs="Arial"/>
          <w:sz w:val="17"/>
          <w:szCs w:val="17"/>
          <w:lang w:val="en-US" w:eastAsia="en-US"/>
        </w:rPr>
        <w:t>accessed August 31, 2018</w:t>
      </w:r>
      <w:r>
        <w:rPr>
          <w:rFonts w:ascii="Arial" w:eastAsia="Times New Roman" w:hAnsi="Arial" w:cs="Arial"/>
          <w:sz w:val="17"/>
          <w:szCs w:val="17"/>
          <w:lang w:val="en-US" w:eastAsia="en-US"/>
        </w:rPr>
        <w:t xml:space="preserve">, </w:t>
      </w:r>
      <w:r w:rsidRPr="00AC4C05">
        <w:rPr>
          <w:rFonts w:ascii="Arial" w:eastAsia="Times New Roman" w:hAnsi="Arial" w:cs="Arial"/>
          <w:sz w:val="17"/>
          <w:szCs w:val="17"/>
          <w:lang w:val="en-US" w:eastAsia="en-US"/>
        </w:rPr>
        <w:t>www.nbcnews.com/id/31017823/ns/business-autos/t/iconic-gm-was-once-heartbeat-america/#.W4m6jc5Kipo.</w:t>
      </w:r>
    </w:p>
  </w:endnote>
  <w:endnote w:id="12">
    <w:p w14:paraId="4AA6BDCB" w14:textId="1E248756" w:rsidR="0078385F" w:rsidRPr="00AC4C05" w:rsidRDefault="0078385F" w:rsidP="00DE379F">
      <w:pPr>
        <w:pStyle w:val="Footnote"/>
      </w:pPr>
      <w:r w:rsidRPr="00AC4C05">
        <w:rPr>
          <w:rStyle w:val="EndnoteReference"/>
        </w:rPr>
        <w:endnoteRef/>
      </w:r>
      <w:r w:rsidRPr="00AC4C05">
        <w:t xml:space="preserve"> </w:t>
      </w:r>
      <w:proofErr w:type="spellStart"/>
      <w:r w:rsidRPr="00AC4C05">
        <w:t>Eswar</w:t>
      </w:r>
      <w:proofErr w:type="spellEnd"/>
      <w:r>
        <w:t xml:space="preserve"> Prasad and M. </w:t>
      </w:r>
      <w:proofErr w:type="spellStart"/>
      <w:r>
        <w:t>Ayhan</w:t>
      </w:r>
      <w:proofErr w:type="spellEnd"/>
      <w:r>
        <w:t xml:space="preserve"> </w:t>
      </w:r>
      <w:proofErr w:type="spellStart"/>
      <w:r w:rsidRPr="00AC4C05">
        <w:t>Kose</w:t>
      </w:r>
      <w:proofErr w:type="spellEnd"/>
      <w:r w:rsidRPr="00AC4C05">
        <w:t xml:space="preserve">, “The Financial Crisis </w:t>
      </w:r>
      <w:r>
        <w:t>a</w:t>
      </w:r>
      <w:r w:rsidRPr="00AC4C05">
        <w:t>nd Emerging Markets</w:t>
      </w:r>
      <w:r>
        <w:t>,</w:t>
      </w:r>
      <w:r w:rsidRPr="00AC4C05">
        <w:t>” Brookings, accessed June 9, 2018</w:t>
      </w:r>
      <w:r>
        <w:t>,</w:t>
      </w:r>
      <w:r w:rsidRPr="00AC4C05">
        <w:t xml:space="preserve"> www.brookings.edu/opinions/the-financial-crisis-and-emerging-markets.</w:t>
      </w:r>
    </w:p>
  </w:endnote>
  <w:endnote w:id="13">
    <w:p w14:paraId="6D37B80E" w14:textId="7B11AEB0" w:rsidR="0078385F" w:rsidRPr="00AC4C05" w:rsidRDefault="0078385F" w:rsidP="0078385F">
      <w:pPr>
        <w:pStyle w:val="Footnote"/>
      </w:pPr>
      <w:r w:rsidRPr="00AC4C05">
        <w:rPr>
          <w:rStyle w:val="EndnoteReference"/>
        </w:rPr>
        <w:endnoteRef/>
      </w:r>
      <w:r w:rsidRPr="00AC4C05">
        <w:t xml:space="preserve"> </w:t>
      </w:r>
      <w:r>
        <w:t>¥</w:t>
      </w:r>
      <w:r>
        <w:rPr>
          <w:lang w:val="en-CA"/>
        </w:rPr>
        <w:t xml:space="preserve"> = CNY = </w:t>
      </w:r>
      <w:r w:rsidRPr="00522FB2">
        <w:rPr>
          <w:lang w:val="en-CA"/>
        </w:rPr>
        <w:t xml:space="preserve">Chinese </w:t>
      </w:r>
      <w:r>
        <w:rPr>
          <w:lang w:val="en-CA"/>
        </w:rPr>
        <w:t>y</w:t>
      </w:r>
      <w:r w:rsidRPr="00522FB2">
        <w:rPr>
          <w:lang w:val="en-CA"/>
        </w:rPr>
        <w:t xml:space="preserve">uan </w:t>
      </w:r>
      <w:r>
        <w:rPr>
          <w:lang w:val="en-CA"/>
        </w:rPr>
        <w:t>r</w:t>
      </w:r>
      <w:r w:rsidRPr="00522FB2">
        <w:rPr>
          <w:lang w:val="en-CA"/>
        </w:rPr>
        <w:t>enminbi</w:t>
      </w:r>
      <w:r>
        <w:rPr>
          <w:lang w:val="en-CA"/>
        </w:rPr>
        <w:t xml:space="preserve">; </w:t>
      </w:r>
      <w:r>
        <w:t>¥</w:t>
      </w:r>
      <w:r w:rsidR="00044DBE">
        <w:t xml:space="preserve">1 = US$0.1464 </w:t>
      </w:r>
      <w:r w:rsidRPr="00AC4C05">
        <w:t>o</w:t>
      </w:r>
      <w:r>
        <w:rPr>
          <w:lang w:val="en-CA"/>
        </w:rPr>
        <w:t>n</w:t>
      </w:r>
      <w:r w:rsidRPr="00AC4C05">
        <w:t xml:space="preserve"> September 1, 2018</w:t>
      </w:r>
      <w:r>
        <w:t>;</w:t>
      </w:r>
      <w:r w:rsidRPr="00AC4C05">
        <w:t xml:space="preserve"> </w:t>
      </w:r>
      <w:proofErr w:type="spellStart"/>
      <w:r>
        <w:rPr>
          <w:lang w:val="en-CA"/>
        </w:rPr>
        <w:t>Geely</w:t>
      </w:r>
      <w:proofErr w:type="spellEnd"/>
      <w:r>
        <w:rPr>
          <w:lang w:val="en-CA"/>
        </w:rPr>
        <w:t xml:space="preserve"> Auto Group, “</w:t>
      </w:r>
      <w:proofErr w:type="spellStart"/>
      <w:r w:rsidRPr="00AC4C05">
        <w:t>Geely</w:t>
      </w:r>
      <w:proofErr w:type="spellEnd"/>
      <w:r w:rsidRPr="00AC4C05">
        <w:t xml:space="preserve"> Automobile Holdings Limited Announced Annual Results for the Year Ended 31 Dec 2012 Net Profit Up 32% to RMB2.04 Billion,</w:t>
      </w:r>
      <w:r>
        <w:t xml:space="preserve">” news release, </w:t>
      </w:r>
      <w:proofErr w:type="spellStart"/>
      <w:r>
        <w:t>Geely</w:t>
      </w:r>
      <w:proofErr w:type="spellEnd"/>
      <w:r>
        <w:t>,</w:t>
      </w:r>
      <w:r w:rsidRPr="00AC4C05">
        <w:t xml:space="preserve"> </w:t>
      </w:r>
      <w:r>
        <w:t xml:space="preserve">March 20, 2013, </w:t>
      </w:r>
      <w:r w:rsidRPr="00AC4C05">
        <w:t>accessed September 1, 2018</w:t>
      </w:r>
      <w:r>
        <w:t>,</w:t>
      </w:r>
      <w:r>
        <w:rPr>
          <w:lang w:val="en-CA"/>
        </w:rPr>
        <w:t xml:space="preserve"> </w:t>
      </w:r>
      <w:r w:rsidRPr="0078385F">
        <w:t>http://global.geely.com/2013/03/20/geely-automobile-holdings-limited-announced-annual-results-for-the-year-ended-31-dec-2012-net-profit-up-32-to-rmb2-04-billion</w:t>
      </w:r>
      <w:r>
        <w:rPr>
          <w:lang w:val="en-CA"/>
        </w:rPr>
        <w:t xml:space="preserve">; </w:t>
      </w:r>
      <w:proofErr w:type="spellStart"/>
      <w:r>
        <w:rPr>
          <w:lang w:val="en-CA"/>
        </w:rPr>
        <w:t>Geely</w:t>
      </w:r>
      <w:proofErr w:type="spellEnd"/>
      <w:r>
        <w:rPr>
          <w:lang w:val="en-CA"/>
        </w:rPr>
        <w:t xml:space="preserve"> Auto Group, “</w:t>
      </w:r>
      <w:proofErr w:type="spellStart"/>
      <w:r w:rsidRPr="00AC4C05">
        <w:t>Geely</w:t>
      </w:r>
      <w:proofErr w:type="spellEnd"/>
      <w:r w:rsidRPr="00AC4C05">
        <w:t xml:space="preserve"> Auto 2017 Annual Results Announced,</w:t>
      </w:r>
      <w:r>
        <w:t xml:space="preserve">” news release, </w:t>
      </w:r>
      <w:proofErr w:type="spellStart"/>
      <w:r>
        <w:t>Geely</w:t>
      </w:r>
      <w:proofErr w:type="spellEnd"/>
      <w:r>
        <w:t>,</w:t>
      </w:r>
      <w:r w:rsidRPr="00AC4C05">
        <w:t xml:space="preserve"> </w:t>
      </w:r>
      <w:r>
        <w:t xml:space="preserve">March 21, 2018, </w:t>
      </w:r>
      <w:r w:rsidRPr="00AC4C05">
        <w:t>accessed September 1, 2018</w:t>
      </w:r>
      <w:r>
        <w:t>,</w:t>
      </w:r>
      <w:r>
        <w:rPr>
          <w:lang w:val="en-CA"/>
        </w:rPr>
        <w:t xml:space="preserve"> </w:t>
      </w:r>
      <w:r w:rsidRPr="00AC4C05">
        <w:t>http://global.geely.com/2018/03/21/geely-auto-2017-annual-results-announced</w:t>
      </w:r>
      <w:r>
        <w:rPr>
          <w:lang w:val="en-CA"/>
        </w:rPr>
        <w:t>.</w:t>
      </w:r>
      <w:r w:rsidRPr="00AC4C05">
        <w:t xml:space="preserve"> </w:t>
      </w:r>
    </w:p>
  </w:endnote>
  <w:endnote w:id="14">
    <w:p w14:paraId="6BEE5DAF" w14:textId="461104BA" w:rsidR="0078385F" w:rsidRPr="00AC4C05" w:rsidRDefault="0078385F" w:rsidP="00DE379F">
      <w:pPr>
        <w:pStyle w:val="EndnoteText"/>
        <w:jc w:val="both"/>
        <w:rPr>
          <w:rFonts w:ascii="Arial" w:hAnsi="Arial" w:cs="Arial"/>
          <w:sz w:val="17"/>
          <w:szCs w:val="17"/>
          <w:lang w:val="en-US"/>
        </w:rPr>
      </w:pPr>
      <w:r w:rsidRPr="00AC4C05">
        <w:rPr>
          <w:rStyle w:val="EndnoteReference"/>
          <w:rFonts w:ascii="Arial" w:hAnsi="Arial" w:cs="Arial"/>
          <w:sz w:val="17"/>
          <w:szCs w:val="17"/>
        </w:rPr>
        <w:endnoteRef/>
      </w:r>
      <w:r w:rsidRPr="00AC4C05">
        <w:rPr>
          <w:rFonts w:ascii="Arial" w:hAnsi="Arial" w:cs="Arial"/>
          <w:sz w:val="17"/>
          <w:szCs w:val="17"/>
        </w:rPr>
        <w:t xml:space="preserve"> </w:t>
      </w:r>
      <w:r>
        <w:rPr>
          <w:rFonts w:ascii="Arial" w:hAnsi="Arial" w:cs="Arial"/>
          <w:sz w:val="17"/>
          <w:szCs w:val="17"/>
          <w:lang w:val="en-CA"/>
        </w:rPr>
        <w:t xml:space="preserve">Reuters, </w:t>
      </w:r>
      <w:r w:rsidRPr="00AC4C05">
        <w:rPr>
          <w:rFonts w:ascii="Arial" w:hAnsi="Arial" w:cs="Arial"/>
          <w:sz w:val="17"/>
          <w:szCs w:val="17"/>
          <w:lang w:val="en-US"/>
        </w:rPr>
        <w:t xml:space="preserve">“China’s </w:t>
      </w:r>
      <w:proofErr w:type="spellStart"/>
      <w:r w:rsidRPr="00AC4C05">
        <w:rPr>
          <w:rFonts w:ascii="Arial" w:hAnsi="Arial" w:cs="Arial"/>
          <w:sz w:val="17"/>
          <w:szCs w:val="17"/>
          <w:lang w:val="en-US"/>
        </w:rPr>
        <w:t>Geely</w:t>
      </w:r>
      <w:proofErr w:type="spellEnd"/>
      <w:r w:rsidRPr="00AC4C05">
        <w:rPr>
          <w:rFonts w:ascii="Arial" w:hAnsi="Arial" w:cs="Arial"/>
          <w:sz w:val="17"/>
          <w:szCs w:val="17"/>
          <w:lang w:val="en-US"/>
        </w:rPr>
        <w:t xml:space="preserve"> </w:t>
      </w:r>
      <w:r>
        <w:rPr>
          <w:rFonts w:ascii="Arial" w:hAnsi="Arial" w:cs="Arial"/>
          <w:sz w:val="17"/>
          <w:szCs w:val="17"/>
          <w:lang w:val="en-US"/>
        </w:rPr>
        <w:t>B</w:t>
      </w:r>
      <w:r w:rsidRPr="00AC4C05">
        <w:rPr>
          <w:rFonts w:ascii="Arial" w:hAnsi="Arial" w:cs="Arial"/>
          <w:sz w:val="17"/>
          <w:szCs w:val="17"/>
          <w:lang w:val="en-US"/>
        </w:rPr>
        <w:t xml:space="preserve">uilding </w:t>
      </w:r>
      <w:r>
        <w:rPr>
          <w:rFonts w:ascii="Arial" w:hAnsi="Arial" w:cs="Arial"/>
          <w:sz w:val="17"/>
          <w:szCs w:val="17"/>
          <w:lang w:val="en-US"/>
        </w:rPr>
        <w:t>N</w:t>
      </w:r>
      <w:r w:rsidRPr="00AC4C05">
        <w:rPr>
          <w:rFonts w:ascii="Arial" w:hAnsi="Arial" w:cs="Arial"/>
          <w:sz w:val="17"/>
          <w:szCs w:val="17"/>
          <w:lang w:val="en-US"/>
        </w:rPr>
        <w:t xml:space="preserve">ew </w:t>
      </w:r>
      <w:r>
        <w:rPr>
          <w:rFonts w:ascii="Arial" w:hAnsi="Arial" w:cs="Arial"/>
          <w:sz w:val="17"/>
          <w:szCs w:val="17"/>
          <w:lang w:val="en-US"/>
        </w:rPr>
        <w:t>P</w:t>
      </w:r>
      <w:r w:rsidRPr="00AC4C05">
        <w:rPr>
          <w:rFonts w:ascii="Arial" w:hAnsi="Arial" w:cs="Arial"/>
          <w:sz w:val="17"/>
          <w:szCs w:val="17"/>
          <w:lang w:val="en-US"/>
        </w:rPr>
        <w:t xml:space="preserve">lant to </w:t>
      </w:r>
      <w:r>
        <w:rPr>
          <w:rFonts w:ascii="Arial" w:hAnsi="Arial" w:cs="Arial"/>
          <w:sz w:val="17"/>
          <w:szCs w:val="17"/>
          <w:lang w:val="en-US"/>
        </w:rPr>
        <w:t>M</w:t>
      </w:r>
      <w:r w:rsidRPr="00AC4C05">
        <w:rPr>
          <w:rFonts w:ascii="Arial" w:hAnsi="Arial" w:cs="Arial"/>
          <w:sz w:val="17"/>
          <w:szCs w:val="17"/>
          <w:lang w:val="en-US"/>
        </w:rPr>
        <w:t xml:space="preserve">ake 250,000 </w:t>
      </w:r>
      <w:r>
        <w:rPr>
          <w:rFonts w:ascii="Arial" w:hAnsi="Arial" w:cs="Arial"/>
          <w:sz w:val="17"/>
          <w:szCs w:val="17"/>
          <w:lang w:val="en-US"/>
        </w:rPr>
        <w:t>B</w:t>
      </w:r>
      <w:r w:rsidRPr="00AC4C05">
        <w:rPr>
          <w:rFonts w:ascii="Arial" w:hAnsi="Arial" w:cs="Arial"/>
          <w:sz w:val="17"/>
          <w:szCs w:val="17"/>
          <w:lang w:val="en-US"/>
        </w:rPr>
        <w:t>igger-</w:t>
      </w:r>
      <w:r>
        <w:rPr>
          <w:rFonts w:ascii="Arial" w:hAnsi="Arial" w:cs="Arial"/>
          <w:sz w:val="17"/>
          <w:szCs w:val="17"/>
          <w:lang w:val="en-US"/>
        </w:rPr>
        <w:t>S</w:t>
      </w:r>
      <w:r w:rsidRPr="00AC4C05">
        <w:rPr>
          <w:rFonts w:ascii="Arial" w:hAnsi="Arial" w:cs="Arial"/>
          <w:sz w:val="17"/>
          <w:szCs w:val="17"/>
          <w:lang w:val="en-US"/>
        </w:rPr>
        <w:t xml:space="preserve">ized </w:t>
      </w:r>
      <w:r>
        <w:rPr>
          <w:rFonts w:ascii="Arial" w:hAnsi="Arial" w:cs="Arial"/>
          <w:sz w:val="17"/>
          <w:szCs w:val="17"/>
          <w:lang w:val="en-US"/>
        </w:rPr>
        <w:t>C</w:t>
      </w:r>
      <w:r w:rsidRPr="00AC4C05">
        <w:rPr>
          <w:rFonts w:ascii="Arial" w:hAnsi="Arial" w:cs="Arial"/>
          <w:sz w:val="17"/>
          <w:szCs w:val="17"/>
          <w:lang w:val="en-US"/>
        </w:rPr>
        <w:t xml:space="preserve">ars,” Nasdaq, </w:t>
      </w:r>
      <w:r w:rsidRPr="00F51D97">
        <w:rPr>
          <w:rFonts w:ascii="Arial" w:hAnsi="Arial" w:cs="Arial"/>
          <w:sz w:val="17"/>
          <w:szCs w:val="17"/>
          <w:lang w:val="en-US"/>
        </w:rPr>
        <w:t>August 29, 2018</w:t>
      </w:r>
      <w:r>
        <w:rPr>
          <w:rFonts w:ascii="Arial" w:hAnsi="Arial" w:cs="Arial"/>
          <w:sz w:val="17"/>
          <w:szCs w:val="17"/>
          <w:lang w:val="en-US"/>
        </w:rPr>
        <w:t xml:space="preserve">, </w:t>
      </w:r>
      <w:r w:rsidRPr="00AC4C05">
        <w:rPr>
          <w:rFonts w:ascii="Arial" w:hAnsi="Arial" w:cs="Arial"/>
          <w:sz w:val="17"/>
          <w:szCs w:val="17"/>
          <w:lang w:val="en-US"/>
        </w:rPr>
        <w:t>a</w:t>
      </w:r>
      <w:r w:rsidRPr="00AC4C05">
        <w:rPr>
          <w:rFonts w:ascii="Arial" w:eastAsia="Times New Roman" w:hAnsi="Arial" w:cs="Arial"/>
          <w:sz w:val="17"/>
          <w:szCs w:val="17"/>
          <w:lang w:val="en-US" w:eastAsia="en-US"/>
        </w:rPr>
        <w:t>ccessed September 1, 2018</w:t>
      </w:r>
      <w:r>
        <w:rPr>
          <w:rFonts w:ascii="Arial" w:eastAsia="Times New Roman" w:hAnsi="Arial" w:cs="Arial"/>
          <w:sz w:val="17"/>
          <w:szCs w:val="17"/>
          <w:lang w:val="en-US" w:eastAsia="en-US"/>
        </w:rPr>
        <w:t>,</w:t>
      </w:r>
      <w:r>
        <w:rPr>
          <w:rFonts w:ascii="Arial" w:hAnsi="Arial" w:cs="Arial"/>
          <w:sz w:val="17"/>
          <w:szCs w:val="17"/>
          <w:lang w:val="en-CA"/>
        </w:rPr>
        <w:t xml:space="preserve"> </w:t>
      </w:r>
      <w:r w:rsidRPr="00AC4C05">
        <w:rPr>
          <w:rFonts w:ascii="Arial" w:hAnsi="Arial" w:cs="Arial"/>
          <w:sz w:val="17"/>
          <w:szCs w:val="17"/>
        </w:rPr>
        <w:t>www.nasdaq.com/article/chinas-geely-building-new-plant-to-make-250000-biggersized-cars-20180829-00133</w:t>
      </w:r>
      <w:r>
        <w:rPr>
          <w:rFonts w:ascii="Arial" w:hAnsi="Arial" w:cs="Arial"/>
          <w:sz w:val="17"/>
          <w:szCs w:val="17"/>
        </w:rPr>
        <w:t>;</w:t>
      </w:r>
      <w:r w:rsidRPr="00AC4C05">
        <w:rPr>
          <w:rFonts w:ascii="Arial" w:hAnsi="Arial" w:cs="Arial"/>
          <w:sz w:val="17"/>
          <w:szCs w:val="17"/>
          <w:lang w:val="en-US"/>
        </w:rPr>
        <w:t xml:space="preserve"> </w:t>
      </w:r>
      <w:r>
        <w:rPr>
          <w:rFonts w:ascii="Arial" w:hAnsi="Arial" w:cs="Arial"/>
          <w:sz w:val="17"/>
          <w:szCs w:val="17"/>
          <w:lang w:val="en-CA"/>
        </w:rPr>
        <w:t>Charles Clover, “</w:t>
      </w:r>
      <w:r w:rsidRPr="00AC4C05">
        <w:rPr>
          <w:rFonts w:ascii="Arial" w:hAnsi="Arial" w:cs="Arial"/>
          <w:sz w:val="17"/>
          <w:szCs w:val="17"/>
        </w:rPr>
        <w:t xml:space="preserve">Chinese </w:t>
      </w:r>
      <w:r>
        <w:rPr>
          <w:rFonts w:ascii="Arial" w:hAnsi="Arial" w:cs="Arial"/>
          <w:sz w:val="17"/>
          <w:szCs w:val="17"/>
          <w:lang w:val="en-CA"/>
        </w:rPr>
        <w:t>C</w:t>
      </w:r>
      <w:proofErr w:type="spellStart"/>
      <w:r w:rsidRPr="00AC4C05">
        <w:rPr>
          <w:rFonts w:ascii="Arial" w:hAnsi="Arial" w:cs="Arial"/>
          <w:sz w:val="17"/>
          <w:szCs w:val="17"/>
        </w:rPr>
        <w:t>armaker</w:t>
      </w:r>
      <w:proofErr w:type="spellEnd"/>
      <w:r w:rsidRPr="00AC4C05">
        <w:rPr>
          <w:rFonts w:ascii="Arial" w:hAnsi="Arial" w:cs="Arial"/>
          <w:sz w:val="17"/>
          <w:szCs w:val="17"/>
        </w:rPr>
        <w:t xml:space="preserve"> </w:t>
      </w:r>
      <w:proofErr w:type="spellStart"/>
      <w:r w:rsidRPr="00AC4C05">
        <w:rPr>
          <w:rFonts w:ascii="Arial" w:hAnsi="Arial" w:cs="Arial"/>
          <w:sz w:val="17"/>
          <w:szCs w:val="17"/>
        </w:rPr>
        <w:t>Geely</w:t>
      </w:r>
      <w:proofErr w:type="spellEnd"/>
      <w:r w:rsidRPr="00AC4C05">
        <w:rPr>
          <w:rFonts w:ascii="Arial" w:hAnsi="Arial" w:cs="Arial"/>
          <w:sz w:val="17"/>
          <w:szCs w:val="17"/>
        </w:rPr>
        <w:t xml:space="preserve"> </w:t>
      </w:r>
      <w:r>
        <w:rPr>
          <w:rFonts w:ascii="Arial" w:hAnsi="Arial" w:cs="Arial"/>
          <w:sz w:val="17"/>
          <w:szCs w:val="17"/>
          <w:lang w:val="en-CA"/>
        </w:rPr>
        <w:t>E</w:t>
      </w:r>
      <w:proofErr w:type="spellStart"/>
      <w:r w:rsidRPr="00AC4C05">
        <w:rPr>
          <w:rFonts w:ascii="Arial" w:hAnsi="Arial" w:cs="Arial"/>
          <w:sz w:val="17"/>
          <w:szCs w:val="17"/>
        </w:rPr>
        <w:t>njoys</w:t>
      </w:r>
      <w:proofErr w:type="spellEnd"/>
      <w:r w:rsidRPr="00AC4C05">
        <w:rPr>
          <w:rFonts w:ascii="Arial" w:hAnsi="Arial" w:cs="Arial"/>
          <w:sz w:val="17"/>
          <w:szCs w:val="17"/>
        </w:rPr>
        <w:t xml:space="preserve"> </w:t>
      </w:r>
      <w:r>
        <w:rPr>
          <w:rFonts w:ascii="Arial" w:hAnsi="Arial" w:cs="Arial"/>
          <w:sz w:val="17"/>
          <w:szCs w:val="17"/>
          <w:lang w:val="en-CA"/>
        </w:rPr>
        <w:t>S</w:t>
      </w:r>
      <w:r w:rsidRPr="00AC4C05">
        <w:rPr>
          <w:rFonts w:ascii="Arial" w:hAnsi="Arial" w:cs="Arial"/>
          <w:sz w:val="17"/>
          <w:szCs w:val="17"/>
        </w:rPr>
        <w:t xml:space="preserve">oaring </w:t>
      </w:r>
      <w:r>
        <w:rPr>
          <w:rFonts w:ascii="Arial" w:hAnsi="Arial" w:cs="Arial"/>
          <w:sz w:val="17"/>
          <w:szCs w:val="17"/>
          <w:lang w:val="en-CA"/>
        </w:rPr>
        <w:t>N</w:t>
      </w:r>
      <w:r w:rsidRPr="00AC4C05">
        <w:rPr>
          <w:rFonts w:ascii="Arial" w:hAnsi="Arial" w:cs="Arial"/>
          <w:sz w:val="17"/>
          <w:szCs w:val="17"/>
        </w:rPr>
        <w:t xml:space="preserve">et </w:t>
      </w:r>
      <w:r>
        <w:rPr>
          <w:rFonts w:ascii="Arial" w:hAnsi="Arial" w:cs="Arial"/>
          <w:sz w:val="17"/>
          <w:szCs w:val="17"/>
          <w:lang w:val="en-CA"/>
        </w:rPr>
        <w:t>P</w:t>
      </w:r>
      <w:proofErr w:type="spellStart"/>
      <w:r w:rsidRPr="00AC4C05">
        <w:rPr>
          <w:rFonts w:ascii="Arial" w:hAnsi="Arial" w:cs="Arial"/>
          <w:sz w:val="17"/>
          <w:szCs w:val="17"/>
        </w:rPr>
        <w:t>rofits</w:t>
      </w:r>
      <w:proofErr w:type="spellEnd"/>
      <w:r>
        <w:rPr>
          <w:rFonts w:ascii="Arial" w:hAnsi="Arial" w:cs="Arial"/>
          <w:sz w:val="17"/>
          <w:szCs w:val="17"/>
          <w:lang w:val="en-CA"/>
        </w:rPr>
        <w:t>,”</w:t>
      </w:r>
      <w:r w:rsidRPr="00AC4C05">
        <w:rPr>
          <w:rFonts w:ascii="Arial" w:hAnsi="Arial" w:cs="Arial"/>
          <w:sz w:val="17"/>
          <w:szCs w:val="17"/>
        </w:rPr>
        <w:t xml:space="preserve"> </w:t>
      </w:r>
      <w:r w:rsidRPr="00DE379F">
        <w:rPr>
          <w:rFonts w:ascii="Arial" w:hAnsi="Arial" w:cs="Arial"/>
          <w:i/>
          <w:sz w:val="17"/>
          <w:szCs w:val="17"/>
        </w:rPr>
        <w:t>Financial Times</w:t>
      </w:r>
      <w:r w:rsidRPr="00AC4C05">
        <w:rPr>
          <w:rFonts w:ascii="Arial" w:hAnsi="Arial" w:cs="Arial"/>
          <w:sz w:val="17"/>
          <w:szCs w:val="17"/>
          <w:lang w:val="en-US"/>
        </w:rPr>
        <w:t xml:space="preserve">, </w:t>
      </w:r>
      <w:r>
        <w:rPr>
          <w:rFonts w:ascii="Arial" w:hAnsi="Arial" w:cs="Arial"/>
          <w:sz w:val="17"/>
          <w:szCs w:val="17"/>
          <w:lang w:val="en-US"/>
        </w:rPr>
        <w:t xml:space="preserve">March 21, 2018, </w:t>
      </w:r>
      <w:r w:rsidRPr="00AC4C05">
        <w:rPr>
          <w:rFonts w:ascii="Arial" w:hAnsi="Arial" w:cs="Arial"/>
          <w:sz w:val="17"/>
          <w:szCs w:val="17"/>
          <w:lang w:val="en-US"/>
        </w:rPr>
        <w:t>a</w:t>
      </w:r>
      <w:r w:rsidRPr="00AC4C05">
        <w:rPr>
          <w:rFonts w:ascii="Arial" w:eastAsia="Times New Roman" w:hAnsi="Arial" w:cs="Arial"/>
          <w:sz w:val="17"/>
          <w:szCs w:val="17"/>
          <w:lang w:val="en-US" w:eastAsia="en-US"/>
        </w:rPr>
        <w:t>ccessed September 1, 2018</w:t>
      </w:r>
      <w:r>
        <w:rPr>
          <w:rFonts w:ascii="Arial" w:eastAsia="Times New Roman" w:hAnsi="Arial" w:cs="Arial"/>
          <w:sz w:val="17"/>
          <w:szCs w:val="17"/>
          <w:lang w:val="en-US" w:eastAsia="en-US"/>
        </w:rPr>
        <w:t>,</w:t>
      </w:r>
      <w:r>
        <w:rPr>
          <w:rFonts w:ascii="Arial" w:hAnsi="Arial" w:cs="Arial"/>
          <w:sz w:val="17"/>
          <w:szCs w:val="17"/>
          <w:lang w:val="en-CA"/>
        </w:rPr>
        <w:t xml:space="preserve"> </w:t>
      </w:r>
      <w:r w:rsidRPr="00AC4C05">
        <w:rPr>
          <w:rFonts w:ascii="Arial" w:hAnsi="Arial" w:cs="Arial"/>
          <w:sz w:val="17"/>
          <w:szCs w:val="17"/>
        </w:rPr>
        <w:t>www.ft.com/content/9cfd3024-2ceb-11e8-9b4b-bc4b9f08f381</w:t>
      </w:r>
      <w:r>
        <w:rPr>
          <w:rFonts w:ascii="Arial" w:hAnsi="Arial" w:cs="Arial"/>
          <w:sz w:val="17"/>
          <w:szCs w:val="17"/>
          <w:lang w:val="en-US"/>
        </w:rPr>
        <w:t>.</w:t>
      </w:r>
    </w:p>
  </w:endnote>
  <w:endnote w:id="15">
    <w:p w14:paraId="57681AC9" w14:textId="1FC6A299" w:rsidR="0078385F" w:rsidRPr="00AC4C05" w:rsidRDefault="0078385F" w:rsidP="0078385F">
      <w:pPr>
        <w:pStyle w:val="Footnote"/>
      </w:pPr>
      <w:r w:rsidRPr="00AC4C05">
        <w:rPr>
          <w:rStyle w:val="EndnoteReference"/>
        </w:rPr>
        <w:endnoteRef/>
      </w:r>
      <w:r w:rsidRPr="00AC4C05">
        <w:t xml:space="preserve"> </w:t>
      </w:r>
      <w:r w:rsidRPr="00DE379F">
        <w:rPr>
          <w:spacing w:val="-2"/>
        </w:rPr>
        <w:t xml:space="preserve">Ford Motor Company, </w:t>
      </w:r>
      <w:r w:rsidRPr="00FD74B1">
        <w:rPr>
          <w:i/>
          <w:spacing w:val="-2"/>
        </w:rPr>
        <w:t xml:space="preserve">Profitable Growth for All: </w:t>
      </w:r>
      <w:r w:rsidRPr="00CC3677">
        <w:rPr>
          <w:i/>
          <w:spacing w:val="-2"/>
        </w:rPr>
        <w:t>2012</w:t>
      </w:r>
      <w:r w:rsidRPr="00DE379F">
        <w:rPr>
          <w:i/>
          <w:spacing w:val="-2"/>
        </w:rPr>
        <w:t xml:space="preserve"> Annual Report</w:t>
      </w:r>
      <w:r w:rsidRPr="00DE379F">
        <w:rPr>
          <w:spacing w:val="-2"/>
        </w:rPr>
        <w:t xml:space="preserve">, </w:t>
      </w:r>
      <w:r>
        <w:rPr>
          <w:spacing w:val="-2"/>
        </w:rPr>
        <w:t xml:space="preserve">2013, </w:t>
      </w:r>
      <w:r w:rsidRPr="00DE379F">
        <w:rPr>
          <w:spacing w:val="-2"/>
        </w:rPr>
        <w:t xml:space="preserve">accessed September 1, 2018, </w:t>
      </w:r>
      <w:r w:rsidRPr="0078385F">
        <w:rPr>
          <w:spacing w:val="-2"/>
        </w:rPr>
        <w:t xml:space="preserve">https://corporate.ford.com/content/dam/corporate/en/investors/reports-and-filings/Annual%20Reports/2012-annual-report.pdf; </w:t>
      </w:r>
      <w:r w:rsidRPr="0078385F">
        <w:rPr>
          <w:spacing w:val="-2"/>
          <w:lang w:val="en-CA"/>
        </w:rPr>
        <w:t xml:space="preserve">Ford Motor Company, </w:t>
      </w:r>
      <w:r w:rsidRPr="0078385F">
        <w:rPr>
          <w:i/>
          <w:spacing w:val="-2"/>
          <w:lang w:val="en-CA"/>
        </w:rPr>
        <w:t>2017 Fourth Quarter &amp; Full Year Financial Results</w:t>
      </w:r>
      <w:r w:rsidRPr="0078385F">
        <w:rPr>
          <w:spacing w:val="-2"/>
        </w:rPr>
        <w:t>, Ford Motor Company, January 24, 2018,</w:t>
      </w:r>
      <w:r>
        <w:t xml:space="preserve"> </w:t>
      </w:r>
      <w:r w:rsidRPr="00AC4C05">
        <w:t>accessed September 1, 2018</w:t>
      </w:r>
      <w:r>
        <w:t>,</w:t>
      </w:r>
      <w:r>
        <w:rPr>
          <w:lang w:val="en-CA"/>
        </w:rPr>
        <w:t xml:space="preserve"> </w:t>
      </w:r>
      <w:r w:rsidRPr="0078385F">
        <w:t>https://media.ford.com/content/dam/fordmedia/North%20America/US/2018/01/24/4q-17-financial.pdf</w:t>
      </w:r>
      <w:r>
        <w:t xml:space="preserve">; </w:t>
      </w:r>
      <w:r w:rsidRPr="00AC4C05">
        <w:t xml:space="preserve">Anthony Alaniz, “Ford Will Focus </w:t>
      </w:r>
      <w:r>
        <w:rPr>
          <w:lang w:val="en-CA"/>
        </w:rPr>
        <w:t>o</w:t>
      </w:r>
      <w:r w:rsidRPr="00AC4C05">
        <w:t xml:space="preserve">n Trucks </w:t>
      </w:r>
      <w:r>
        <w:rPr>
          <w:lang w:val="en-CA"/>
        </w:rPr>
        <w:t>a</w:t>
      </w:r>
      <w:proofErr w:type="spellStart"/>
      <w:r w:rsidRPr="00AC4C05">
        <w:t>nd</w:t>
      </w:r>
      <w:proofErr w:type="spellEnd"/>
      <w:r w:rsidRPr="00AC4C05">
        <w:t xml:space="preserve"> SUVs, Only Offer Two Cars </w:t>
      </w:r>
      <w:proofErr w:type="spellStart"/>
      <w:r>
        <w:rPr>
          <w:lang w:val="en-CA"/>
        </w:rPr>
        <w:t>i</w:t>
      </w:r>
      <w:proofErr w:type="spellEnd"/>
      <w:r w:rsidRPr="00AC4C05">
        <w:t xml:space="preserve">n </w:t>
      </w:r>
      <w:r>
        <w:t>US</w:t>
      </w:r>
      <w:r>
        <w:rPr>
          <w:lang w:val="en-CA"/>
        </w:rPr>
        <w:t>,</w:t>
      </w:r>
      <w:r w:rsidRPr="00AC4C05">
        <w:t>” Motor1</w:t>
      </w:r>
      <w:r>
        <w:rPr>
          <w:lang w:val="en-CA"/>
        </w:rPr>
        <w:t>.com</w:t>
      </w:r>
      <w:r w:rsidRPr="00AC4C05">
        <w:t xml:space="preserve">, </w:t>
      </w:r>
      <w:r>
        <w:rPr>
          <w:lang w:val="en-CA"/>
        </w:rPr>
        <w:t xml:space="preserve">April 25, 2018, </w:t>
      </w:r>
      <w:r w:rsidRPr="00AC4C05">
        <w:t>accessed September 2, 2018</w:t>
      </w:r>
      <w:r>
        <w:rPr>
          <w:lang w:val="en-CA"/>
        </w:rPr>
        <w:t xml:space="preserve">, </w:t>
      </w:r>
      <w:r w:rsidRPr="00AC4C05">
        <w:t>www.motor1.com/news/240320/ford-focus-suvs-crossovers.</w:t>
      </w:r>
    </w:p>
  </w:endnote>
  <w:endnote w:id="16">
    <w:p w14:paraId="09392AB8" w14:textId="383590C8" w:rsidR="0078385F" w:rsidRPr="00B77438" w:rsidRDefault="0078385F" w:rsidP="00DE379F">
      <w:pPr>
        <w:pStyle w:val="Footnote"/>
        <w:rPr>
          <w:spacing w:val="-4"/>
        </w:rPr>
      </w:pPr>
      <w:r w:rsidRPr="00B77438">
        <w:rPr>
          <w:rStyle w:val="EndnoteReference"/>
          <w:spacing w:val="-4"/>
        </w:rPr>
        <w:endnoteRef/>
      </w:r>
      <w:r w:rsidRPr="00B77438">
        <w:rPr>
          <w:spacing w:val="-4"/>
        </w:rPr>
        <w:t xml:space="preserve"> Jim O’Neill, “Jim O’Neill: Brics’ Rapid Growth Tips The Global Balance,” Telegraph, November 20, 2011, accessed June 9, 2018, www.telegraph.co.uk/finance/financialcrisis/8902824/Jim-ONeill-BRICs-rapid-growth-tips-the-global-balance.html; “China and the WTO,” World Trade Organization, accessed June 9, 2018, www.wto.org/english/thewto_e/countries_e/china_e.htm; Jan </w:t>
      </w:r>
      <w:proofErr w:type="spellStart"/>
      <w:r w:rsidRPr="00B77438">
        <w:rPr>
          <w:spacing w:val="-4"/>
        </w:rPr>
        <w:t>Johanson</w:t>
      </w:r>
      <w:proofErr w:type="spellEnd"/>
      <w:r w:rsidRPr="00B77438">
        <w:rPr>
          <w:spacing w:val="-4"/>
        </w:rPr>
        <w:t xml:space="preserve"> and Jan-Erik </w:t>
      </w:r>
      <w:proofErr w:type="spellStart"/>
      <w:r w:rsidRPr="00B77438">
        <w:rPr>
          <w:spacing w:val="-4"/>
        </w:rPr>
        <w:t>Vahlne</w:t>
      </w:r>
      <w:proofErr w:type="spellEnd"/>
      <w:r w:rsidRPr="00B77438">
        <w:rPr>
          <w:spacing w:val="-4"/>
        </w:rPr>
        <w:t xml:space="preserve">, “The Uppsala Internationalization Process Model Revisited: From Liability of Foreignness to Liability of </w:t>
      </w:r>
      <w:proofErr w:type="spellStart"/>
      <w:r w:rsidRPr="00B77438">
        <w:rPr>
          <w:spacing w:val="-4"/>
        </w:rPr>
        <w:t>Outsidership</w:t>
      </w:r>
      <w:proofErr w:type="spellEnd"/>
      <w:r w:rsidRPr="00B77438">
        <w:rPr>
          <w:spacing w:val="-4"/>
        </w:rPr>
        <w:t xml:space="preserve">,” </w:t>
      </w:r>
      <w:r w:rsidRPr="00B77438">
        <w:rPr>
          <w:i/>
          <w:spacing w:val="-4"/>
        </w:rPr>
        <w:t>Journal of International Business Studies</w:t>
      </w:r>
      <w:r w:rsidRPr="00B77438">
        <w:rPr>
          <w:spacing w:val="-4"/>
        </w:rPr>
        <w:t xml:space="preserve"> 40, no. 9 (2009): 1411–1431.</w:t>
      </w:r>
    </w:p>
  </w:endnote>
  <w:endnote w:id="17">
    <w:p w14:paraId="7E1A9980" w14:textId="542B81EF" w:rsidR="0078385F" w:rsidRPr="00AC4C05" w:rsidRDefault="0078385F" w:rsidP="00DE379F">
      <w:pPr>
        <w:pStyle w:val="Footnote"/>
      </w:pPr>
      <w:r w:rsidRPr="00AC4C05">
        <w:rPr>
          <w:rStyle w:val="EndnoteReference"/>
        </w:rPr>
        <w:endnoteRef/>
      </w:r>
      <w:r w:rsidRPr="00AC4C05">
        <w:t xml:space="preserve"> </w:t>
      </w:r>
      <w:r>
        <w:rPr>
          <w:lang w:val="en-CA"/>
        </w:rPr>
        <w:t>Bill Vlasic, “</w:t>
      </w:r>
      <w:r w:rsidRPr="00AC4C05">
        <w:t>Ford Reports a Record $14.6 Billion Loss for 2008,</w:t>
      </w:r>
      <w:r>
        <w:t xml:space="preserve">” </w:t>
      </w:r>
      <w:r w:rsidRPr="00DE379F">
        <w:rPr>
          <w:i/>
        </w:rPr>
        <w:t>New York Times</w:t>
      </w:r>
      <w:r>
        <w:t>,</w:t>
      </w:r>
      <w:r w:rsidRPr="00AC4C05">
        <w:t xml:space="preserve"> </w:t>
      </w:r>
      <w:r>
        <w:t xml:space="preserve">January 29, 2009, </w:t>
      </w:r>
      <w:r w:rsidRPr="00AC4C05">
        <w:t>accessed June 9, 2018</w:t>
      </w:r>
      <w:r>
        <w:t xml:space="preserve">, </w:t>
      </w:r>
      <w:r w:rsidRPr="00AC4C05">
        <w:t>www.nytimes.com/2009/01/30/business/30ford.html</w:t>
      </w:r>
      <w:r>
        <w:t>;</w:t>
      </w:r>
      <w:r w:rsidRPr="00AC4C05">
        <w:t xml:space="preserve"> Pankaj</w:t>
      </w:r>
      <w:r>
        <w:t xml:space="preserve"> </w:t>
      </w:r>
      <w:r w:rsidRPr="00AC4C05">
        <w:t xml:space="preserve">Ghemawat and Thomas </w:t>
      </w:r>
      <w:proofErr w:type="spellStart"/>
      <w:r w:rsidRPr="00AC4C05">
        <w:t>Hout</w:t>
      </w:r>
      <w:proofErr w:type="spellEnd"/>
      <w:r>
        <w:t>,</w:t>
      </w:r>
      <w:r w:rsidRPr="00AC4C05">
        <w:t xml:space="preserve"> “Tomorrow’s </w:t>
      </w:r>
      <w:r>
        <w:t>G</w:t>
      </w:r>
      <w:r w:rsidRPr="00AC4C05">
        <w:t xml:space="preserve">lobal </w:t>
      </w:r>
      <w:r>
        <w:t>G</w:t>
      </w:r>
      <w:r w:rsidRPr="00AC4C05">
        <w:t>iants</w:t>
      </w:r>
      <w:r>
        <w:t>?</w:t>
      </w:r>
      <w:r w:rsidRPr="00AC4C05">
        <w:t xml:space="preserve"> Not the </w:t>
      </w:r>
      <w:r>
        <w:t>U</w:t>
      </w:r>
      <w:r w:rsidRPr="00AC4C05">
        <w:t xml:space="preserve">sual </w:t>
      </w:r>
      <w:r>
        <w:t>S</w:t>
      </w:r>
      <w:r w:rsidRPr="00AC4C05">
        <w:t>uspects</w:t>
      </w:r>
      <w:r>
        <w:t>,</w:t>
      </w:r>
      <w:r w:rsidRPr="00AC4C05">
        <w:t xml:space="preserve">” </w:t>
      </w:r>
      <w:r w:rsidRPr="00DE379F">
        <w:rPr>
          <w:i/>
        </w:rPr>
        <w:t>Harvard Business Review</w:t>
      </w:r>
      <w:r w:rsidRPr="00AC4C05">
        <w:t xml:space="preserve">, </w:t>
      </w:r>
      <w:r>
        <w:t xml:space="preserve">November </w:t>
      </w:r>
      <w:r w:rsidRPr="00AC4C05">
        <w:t>2008</w:t>
      </w:r>
      <w:r>
        <w:t>,</w:t>
      </w:r>
      <w:r w:rsidRPr="00AC4C05">
        <w:t xml:space="preserve"> 80</w:t>
      </w:r>
      <w:r>
        <w:t>–</w:t>
      </w:r>
      <w:r w:rsidRPr="00AC4C05">
        <w:t>88.</w:t>
      </w:r>
      <w:r>
        <w:t xml:space="preserve"> Available from Ivey Publishing, product no. </w:t>
      </w:r>
      <w:r w:rsidRPr="0073077B">
        <w:t>R0811E</w:t>
      </w:r>
      <w:r>
        <w:t xml:space="preserve">; </w:t>
      </w:r>
      <w:r w:rsidRPr="00AC4C05">
        <w:t>Mauro F.</w:t>
      </w:r>
      <w:r>
        <w:t xml:space="preserve"> </w:t>
      </w:r>
      <w:proofErr w:type="spellStart"/>
      <w:r w:rsidRPr="00AC4C05">
        <w:t>Guillén</w:t>
      </w:r>
      <w:proofErr w:type="spellEnd"/>
      <w:r w:rsidRPr="00AC4C05">
        <w:t xml:space="preserve"> and Esteban García-Canal</w:t>
      </w:r>
      <w:r>
        <w:t>,</w:t>
      </w:r>
      <w:r w:rsidRPr="00AC4C05">
        <w:t xml:space="preserve"> </w:t>
      </w:r>
      <w:r w:rsidRPr="00DE379F">
        <w:rPr>
          <w:i/>
        </w:rPr>
        <w:t>Emerging Markets Rule: Growth Strategies of the New Global Giants</w:t>
      </w:r>
      <w:r w:rsidRPr="00AC4C05">
        <w:t xml:space="preserve"> </w:t>
      </w:r>
      <w:r>
        <w:t>(</w:t>
      </w:r>
      <w:r w:rsidRPr="00AC4C05">
        <w:t>New York</w:t>
      </w:r>
      <w:r>
        <w:t>, NY</w:t>
      </w:r>
      <w:r w:rsidRPr="00AC4C05">
        <w:t>: McGraw-Hill, 2013</w:t>
      </w:r>
      <w:r>
        <w:t xml:space="preserve">); </w:t>
      </w:r>
      <w:proofErr w:type="spellStart"/>
      <w:r w:rsidRPr="00AC4C05">
        <w:t>Tarun</w:t>
      </w:r>
      <w:proofErr w:type="spellEnd"/>
      <w:r>
        <w:t xml:space="preserve"> </w:t>
      </w:r>
      <w:r w:rsidRPr="00AC4C05">
        <w:t>Khanna and Krishna G</w:t>
      </w:r>
      <w:r>
        <w:t>.</w:t>
      </w:r>
      <w:r w:rsidRPr="00AC4C05">
        <w:t xml:space="preserve"> Palepu</w:t>
      </w:r>
      <w:r>
        <w:t>,</w:t>
      </w:r>
      <w:r w:rsidRPr="00AC4C05">
        <w:t xml:space="preserve"> </w:t>
      </w:r>
      <w:r w:rsidRPr="00DE379F">
        <w:rPr>
          <w:i/>
        </w:rPr>
        <w:t>Winning in Emerging Markets</w:t>
      </w:r>
      <w:r w:rsidRPr="00AC4C05">
        <w:t xml:space="preserve"> </w:t>
      </w:r>
      <w:r>
        <w:t>(</w:t>
      </w:r>
      <w:r w:rsidRPr="00AC4C05">
        <w:t>Boston</w:t>
      </w:r>
      <w:r>
        <w:t>, MA</w:t>
      </w:r>
      <w:r w:rsidRPr="00AC4C05">
        <w:t>: Harvard Business Review Press</w:t>
      </w:r>
      <w:r>
        <w:t>, 2014)</w:t>
      </w:r>
      <w:r w:rsidRPr="00AC4C05">
        <w:t>.</w:t>
      </w:r>
    </w:p>
  </w:endnote>
  <w:endnote w:id="18">
    <w:p w14:paraId="15613A06" w14:textId="54BDE8C7" w:rsidR="0078385F" w:rsidRPr="00AC4C05" w:rsidRDefault="0078385F" w:rsidP="0078385F">
      <w:pPr>
        <w:pStyle w:val="Footnote"/>
      </w:pPr>
      <w:r w:rsidRPr="00AC4C05">
        <w:rPr>
          <w:rStyle w:val="EndnoteReference"/>
        </w:rPr>
        <w:endnoteRef/>
      </w:r>
      <w:r w:rsidRPr="00AC4C05">
        <w:t xml:space="preserve"> </w:t>
      </w:r>
      <w:r>
        <w:t xml:space="preserve">Tata Motors, </w:t>
      </w:r>
      <w:r w:rsidRPr="00AC4C05">
        <w:t xml:space="preserve">“Tata Motors Completes Acquisition </w:t>
      </w:r>
      <w:r>
        <w:t>o</w:t>
      </w:r>
      <w:r w:rsidRPr="00AC4C05">
        <w:t>f Jaguar Land Rover</w:t>
      </w:r>
      <w:r>
        <w:t>,</w:t>
      </w:r>
      <w:r w:rsidRPr="00AC4C05">
        <w:t xml:space="preserve">” </w:t>
      </w:r>
      <w:r>
        <w:t xml:space="preserve">news release, </w:t>
      </w:r>
      <w:r w:rsidRPr="00AC4C05">
        <w:t>Tata Motors Limited</w:t>
      </w:r>
      <w:r>
        <w:t>,</w:t>
      </w:r>
      <w:r w:rsidRPr="00AC4C05">
        <w:t xml:space="preserve"> </w:t>
      </w:r>
      <w:r>
        <w:t xml:space="preserve">June 2, 2008, accessed November 16, 2018, </w:t>
      </w:r>
      <w:r w:rsidRPr="0078385F">
        <w:t>www.tatamotors.com/press/tata-motors-completes-acquisition-of-jaguar-land-rover</w:t>
      </w:r>
      <w:r w:rsidRPr="00AC4C05">
        <w:t>.</w:t>
      </w:r>
      <w:r>
        <w:t xml:space="preserve"> </w:t>
      </w:r>
      <w:r w:rsidRPr="00AC4C05">
        <w:t>Stephanie</w:t>
      </w:r>
      <w:r>
        <w:t xml:space="preserve"> </w:t>
      </w:r>
      <w:r w:rsidRPr="00AC4C05">
        <w:t>Clifford</w:t>
      </w:r>
      <w:r>
        <w:t>,</w:t>
      </w:r>
      <w:r w:rsidRPr="00AC4C05">
        <w:t xml:space="preserve"> “For Olympics, Lenovo Steps Up </w:t>
      </w:r>
      <w:r>
        <w:t>t</w:t>
      </w:r>
      <w:r w:rsidRPr="00AC4C05">
        <w:t>o World Stage</w:t>
      </w:r>
      <w:r>
        <w:t>,</w:t>
      </w:r>
      <w:r w:rsidRPr="00AC4C05">
        <w:t xml:space="preserve">” </w:t>
      </w:r>
      <w:r w:rsidRPr="00DE379F">
        <w:rPr>
          <w:i/>
        </w:rPr>
        <w:t>New York Times</w:t>
      </w:r>
      <w:r w:rsidRPr="00AC4C05">
        <w:t xml:space="preserve">, </w:t>
      </w:r>
      <w:r>
        <w:t xml:space="preserve">June 30, 2008, </w:t>
      </w:r>
      <w:r w:rsidRPr="00AC4C05">
        <w:t>accessed June 9, 2018</w:t>
      </w:r>
      <w:r>
        <w:t>,</w:t>
      </w:r>
      <w:r w:rsidRPr="00AC4C05">
        <w:t xml:space="preserve"> </w:t>
      </w:r>
      <w:r w:rsidRPr="0078385F">
        <w:t>www.nytimes.com/2008/06/20/business/media/20adco.html</w:t>
      </w:r>
      <w:r>
        <w:t xml:space="preserve">; </w:t>
      </w:r>
      <w:r>
        <w:rPr>
          <w:lang w:val="en-CA"/>
        </w:rPr>
        <w:t>George Wright, “</w:t>
      </w:r>
      <w:r w:rsidRPr="00AC4C05">
        <w:t xml:space="preserve">Lenovo </w:t>
      </w:r>
      <w:r>
        <w:t>B</w:t>
      </w:r>
      <w:r w:rsidRPr="00AC4C05">
        <w:t xml:space="preserve">uys IBM PC </w:t>
      </w:r>
      <w:r>
        <w:t>B</w:t>
      </w:r>
      <w:r w:rsidRPr="00AC4C05">
        <w:t>usiness,</w:t>
      </w:r>
      <w:r>
        <w:t xml:space="preserve">” </w:t>
      </w:r>
      <w:r w:rsidRPr="00DE379F">
        <w:rPr>
          <w:i/>
        </w:rPr>
        <w:t>Guardian</w:t>
      </w:r>
      <w:r>
        <w:t>,</w:t>
      </w:r>
      <w:r w:rsidRPr="00AC4C05">
        <w:t xml:space="preserve"> </w:t>
      </w:r>
      <w:r>
        <w:t xml:space="preserve">December 8, 2004, </w:t>
      </w:r>
      <w:r w:rsidRPr="00AC4C05">
        <w:t>accessed September 1, 2018</w:t>
      </w:r>
      <w:r>
        <w:t xml:space="preserve">, </w:t>
      </w:r>
      <w:r w:rsidRPr="0078385F">
        <w:t>www.theguardian.com/technology/2004/dec/08/business.china</w:t>
      </w:r>
      <w:r>
        <w:t xml:space="preserve">; </w:t>
      </w:r>
      <w:r>
        <w:rPr>
          <w:lang w:val="en-CA"/>
        </w:rPr>
        <w:t>Gartner, “</w:t>
      </w:r>
      <w:r w:rsidRPr="00AC4C05">
        <w:t>Gartner Says Worldwide PC Shipments Grew 1 Percent in Fourth Quarter of 2014</w:t>
      </w:r>
      <w:r>
        <w:t xml:space="preserve">,” press release, Gartner, </w:t>
      </w:r>
      <w:r w:rsidRPr="00D21BC0">
        <w:t>January 12, 2015</w:t>
      </w:r>
      <w:r>
        <w:t xml:space="preserve">, </w:t>
      </w:r>
      <w:r w:rsidRPr="00AC4C05">
        <w:t>accessed September 1, 2018</w:t>
      </w:r>
      <w:r>
        <w:t xml:space="preserve">, </w:t>
      </w:r>
      <w:r w:rsidRPr="00AC4C05">
        <w:t>www.gartner.com/newsroom/id/2960125.</w:t>
      </w:r>
    </w:p>
  </w:endnote>
  <w:endnote w:id="19">
    <w:p w14:paraId="7ADF9158" w14:textId="7BF08D70" w:rsidR="0078385F" w:rsidRPr="00AC4C05" w:rsidRDefault="0078385F" w:rsidP="00DE379F">
      <w:pPr>
        <w:pStyle w:val="Footnote"/>
      </w:pPr>
      <w:r w:rsidRPr="00AC4C05">
        <w:rPr>
          <w:rStyle w:val="EndnoteReference"/>
        </w:rPr>
        <w:endnoteRef/>
      </w:r>
      <w:r w:rsidRPr="00AC4C05">
        <w:t xml:space="preserve"> </w:t>
      </w:r>
      <w:proofErr w:type="spellStart"/>
      <w:r w:rsidRPr="00AC4C05">
        <w:t>Xie</w:t>
      </w:r>
      <w:proofErr w:type="spellEnd"/>
      <w:r>
        <w:t xml:space="preserve"> </w:t>
      </w:r>
      <w:r w:rsidRPr="00AC4C05">
        <w:t>Yu, “</w:t>
      </w:r>
      <w:r w:rsidRPr="00B403E0">
        <w:t xml:space="preserve">Haier </w:t>
      </w:r>
      <w:r>
        <w:t>B</w:t>
      </w:r>
      <w:r w:rsidRPr="00B403E0">
        <w:t xml:space="preserve">ought GE Appliances for US$5.6 billion. Now </w:t>
      </w:r>
      <w:r>
        <w:t>I</w:t>
      </w:r>
      <w:r w:rsidRPr="00B403E0">
        <w:t xml:space="preserve">t’s </w:t>
      </w:r>
      <w:r>
        <w:t>W</w:t>
      </w:r>
      <w:r w:rsidRPr="00B403E0">
        <w:t xml:space="preserve">orking on </w:t>
      </w:r>
      <w:r>
        <w:t>F</w:t>
      </w:r>
      <w:r w:rsidRPr="00B403E0">
        <w:t xml:space="preserve">ixing </w:t>
      </w:r>
      <w:r>
        <w:t>I</w:t>
      </w:r>
      <w:r w:rsidRPr="00B403E0">
        <w:t>t</w:t>
      </w:r>
      <w:r w:rsidRPr="00B403E0" w:rsidDel="00B403E0">
        <w:t xml:space="preserve"> </w:t>
      </w:r>
      <w:r>
        <w:t>,</w:t>
      </w:r>
      <w:r w:rsidRPr="00AC4C05">
        <w:t xml:space="preserve">” </w:t>
      </w:r>
      <w:r w:rsidRPr="00DE379F">
        <w:rPr>
          <w:i/>
        </w:rPr>
        <w:t>South China Morning Post</w:t>
      </w:r>
      <w:r>
        <w:t xml:space="preserve">, October 23, 2017, accessed October 10, 2018, </w:t>
      </w:r>
      <w:r w:rsidRPr="0078385F">
        <w:t>www.scmp.com/business/companies/article/2116486/chinas-haier-has-plan-help-continue-turnaround-ge-appliances</w:t>
      </w:r>
      <w:r>
        <w:t xml:space="preserve">; Paul Bond, </w:t>
      </w:r>
      <w:r w:rsidRPr="00AC4C05">
        <w:t xml:space="preserve">“How China Ownership Could Impact America’s AMC Movie Chain” </w:t>
      </w:r>
      <w:r w:rsidRPr="00DE379F">
        <w:rPr>
          <w:i/>
        </w:rPr>
        <w:t>Hollywood Reporter</w:t>
      </w:r>
      <w:r>
        <w:t xml:space="preserve">, May 22, 2012, accessed October 10, 2018, </w:t>
      </w:r>
      <w:r w:rsidRPr="0078385F">
        <w:t>www.hollywoodreporter.com/news/dalian-wanda-amc-purchase-analysis-impact-327897</w:t>
      </w:r>
      <w:r>
        <w:t xml:space="preserve">; Clint </w:t>
      </w:r>
      <w:r w:rsidRPr="00AC4C05">
        <w:t>Jasper, “</w:t>
      </w:r>
      <w:r w:rsidRPr="00B403E0">
        <w:t xml:space="preserve">Swiss Chemical Giant Syngenta Agrees </w:t>
      </w:r>
      <w:r>
        <w:t>t</w:t>
      </w:r>
      <w:r w:rsidRPr="00B403E0">
        <w:t xml:space="preserve">o Record Breaking Takeover Deal </w:t>
      </w:r>
      <w:r>
        <w:t>f</w:t>
      </w:r>
      <w:r w:rsidRPr="00B403E0">
        <w:t>rom Chinese-State Backed ChemChina</w:t>
      </w:r>
      <w:r w:rsidRPr="00AC4C05">
        <w:t>,” ABC Rural</w:t>
      </w:r>
      <w:r>
        <w:t xml:space="preserve">, </w:t>
      </w:r>
      <w:r w:rsidRPr="00A55475">
        <w:t>February</w:t>
      </w:r>
      <w:r>
        <w:t xml:space="preserve"> 3,</w:t>
      </w:r>
      <w:r w:rsidRPr="00A55475">
        <w:t xml:space="preserve"> 2016</w:t>
      </w:r>
      <w:r>
        <w:t xml:space="preserve">, accessed October 10, 2018, </w:t>
      </w:r>
      <w:r w:rsidRPr="00AC4C05">
        <w:t>www.abc.net.au/news/rural/rural-news/2016-02-04/chemchina-syngenta-deal/7138522.</w:t>
      </w:r>
    </w:p>
  </w:endnote>
  <w:endnote w:id="20">
    <w:p w14:paraId="0CFC365B" w14:textId="4CC38B47" w:rsidR="0078385F" w:rsidRPr="00AC4C05" w:rsidRDefault="0078385F" w:rsidP="00DE379F">
      <w:pPr>
        <w:pStyle w:val="Footnote"/>
      </w:pPr>
      <w:r w:rsidRPr="00AC4C05">
        <w:rPr>
          <w:rStyle w:val="EndnoteReference"/>
        </w:rPr>
        <w:endnoteRef/>
      </w:r>
      <w:r w:rsidRPr="00AC4C05">
        <w:t xml:space="preserve"> </w:t>
      </w:r>
      <w:r w:rsidRPr="00500874">
        <w:t xml:space="preserve">Mansour </w:t>
      </w:r>
      <w:proofErr w:type="spellStart"/>
      <w:r w:rsidRPr="00500874">
        <w:t>Javidan</w:t>
      </w:r>
      <w:proofErr w:type="spellEnd"/>
      <w:r w:rsidRPr="00500874">
        <w:t>, Mary Teagarden, and David Bowen, “Making It Overseas,” Harvard Business Review, April 2010, 109–113. Available from Ivey Publishing, product no. R1004L</w:t>
      </w:r>
      <w:r>
        <w:t xml:space="preserve">; </w:t>
      </w:r>
      <w:r w:rsidRPr="00AC4C05">
        <w:t>Michael</w:t>
      </w:r>
      <w:r>
        <w:t xml:space="preserve"> </w:t>
      </w:r>
      <w:proofErr w:type="spellStart"/>
      <w:r w:rsidRPr="00AC4C05">
        <w:t>Useem</w:t>
      </w:r>
      <w:proofErr w:type="spellEnd"/>
      <w:r w:rsidRPr="00AC4C05">
        <w:t xml:space="preserve">, </w:t>
      </w:r>
      <w:proofErr w:type="spellStart"/>
      <w:r w:rsidRPr="00AC4C05">
        <w:t>Harbir</w:t>
      </w:r>
      <w:proofErr w:type="spellEnd"/>
      <w:r w:rsidRPr="00AC4C05">
        <w:t xml:space="preserve"> Singh, Liang </w:t>
      </w:r>
      <w:proofErr w:type="spellStart"/>
      <w:r w:rsidRPr="00AC4C05">
        <w:t>Neng</w:t>
      </w:r>
      <w:proofErr w:type="spellEnd"/>
      <w:r w:rsidRPr="00AC4C05">
        <w:t>, and Peter Cappelli</w:t>
      </w:r>
      <w:r>
        <w:t>,</w:t>
      </w:r>
      <w:r w:rsidRPr="00AC4C05">
        <w:t xml:space="preserve"> </w:t>
      </w:r>
      <w:r w:rsidRPr="00DE379F">
        <w:rPr>
          <w:i/>
        </w:rPr>
        <w:t>Fortune Makers: The Leaders Creating China’s Great Global Companies</w:t>
      </w:r>
      <w:r w:rsidRPr="00AC4C05">
        <w:t xml:space="preserve"> </w:t>
      </w:r>
      <w:r>
        <w:t xml:space="preserve">(Philadelphia, PA: </w:t>
      </w:r>
      <w:r w:rsidRPr="009C4CB2">
        <w:t>P</w:t>
      </w:r>
      <w:r>
        <w:t>erseus Books</w:t>
      </w:r>
      <w:r w:rsidRPr="00AC4C05">
        <w:t>, 2017</w:t>
      </w:r>
      <w:r>
        <w:t>)</w:t>
      </w:r>
      <w:r w:rsidRPr="00AC4C05">
        <w:t>.</w:t>
      </w:r>
    </w:p>
  </w:endnote>
  <w:endnote w:id="21">
    <w:p w14:paraId="42BDFB6E" w14:textId="06916377" w:rsidR="0078385F" w:rsidRPr="00AC4C05" w:rsidRDefault="0078385F" w:rsidP="00DE379F">
      <w:pPr>
        <w:pStyle w:val="Footnote"/>
      </w:pPr>
      <w:r w:rsidRPr="00AC4C05">
        <w:rPr>
          <w:rStyle w:val="EndnoteReference"/>
        </w:rPr>
        <w:endnoteRef/>
      </w:r>
      <w:r w:rsidRPr="00AC4C05">
        <w:t xml:space="preserve"> </w:t>
      </w:r>
      <w:r>
        <w:t xml:space="preserve">€ = euro; US$1 = €0.86 on September 1, 2018; </w:t>
      </w:r>
      <w:r w:rsidRPr="00AC4C05">
        <w:t xml:space="preserve">Anders </w:t>
      </w:r>
      <w:proofErr w:type="spellStart"/>
      <w:r w:rsidRPr="00AC4C05">
        <w:t>Fogh</w:t>
      </w:r>
      <w:proofErr w:type="spellEnd"/>
      <w:r w:rsidRPr="00AC4C05">
        <w:t xml:space="preserve"> Rasmussen, “China’</w:t>
      </w:r>
      <w:r>
        <w:t>s</w:t>
      </w:r>
      <w:r w:rsidRPr="00AC4C05">
        <w:t xml:space="preserve"> Investment </w:t>
      </w:r>
      <w:r>
        <w:t>i</w:t>
      </w:r>
      <w:r w:rsidRPr="00AC4C05">
        <w:t>n Europe Offers Opportunities</w:t>
      </w:r>
      <w:r>
        <w:t>—</w:t>
      </w:r>
      <w:r w:rsidRPr="00AC4C05">
        <w:t>And Threats</w:t>
      </w:r>
      <w:r>
        <w:t>,</w:t>
      </w:r>
      <w:r w:rsidRPr="00AC4C05">
        <w:t xml:space="preserve">” </w:t>
      </w:r>
      <w:r w:rsidRPr="0078385F">
        <w:rPr>
          <w:i/>
        </w:rPr>
        <w:t>Financial Times</w:t>
      </w:r>
      <w:r>
        <w:t>,</w:t>
      </w:r>
      <w:r w:rsidRPr="00AC4C05">
        <w:t xml:space="preserve"> </w:t>
      </w:r>
      <w:r w:rsidRPr="00A55475">
        <w:t xml:space="preserve">November </w:t>
      </w:r>
      <w:r>
        <w:t xml:space="preserve">21, </w:t>
      </w:r>
      <w:r w:rsidRPr="00A55475">
        <w:t>2017</w:t>
      </w:r>
      <w:r>
        <w:t xml:space="preserve">, accessed October 10, 2018, </w:t>
      </w:r>
      <w:r w:rsidRPr="00AC4C05">
        <w:t>www.ft.com/content/9e7428cc-c963-11e7-8536-d321d0d897a3.</w:t>
      </w:r>
    </w:p>
  </w:endnote>
  <w:endnote w:id="22">
    <w:p w14:paraId="3B07BF62" w14:textId="29688328" w:rsidR="0078385F" w:rsidRPr="00B77438" w:rsidRDefault="0078385F" w:rsidP="00DE379F">
      <w:pPr>
        <w:pStyle w:val="Footnote"/>
        <w:rPr>
          <w:spacing w:val="-6"/>
        </w:rPr>
      </w:pPr>
      <w:r w:rsidRPr="00B77438">
        <w:rPr>
          <w:rStyle w:val="EndnoteReference"/>
          <w:spacing w:val="-6"/>
        </w:rPr>
        <w:endnoteRef/>
      </w:r>
      <w:r w:rsidRPr="00B77438">
        <w:rPr>
          <w:spacing w:val="-6"/>
        </w:rPr>
        <w:t xml:space="preserve"> “Grupo Bimbo Receives Clearance for US Acquisition,” news release, PR Newswire, October 21, 2011, accessed October 10, 2018, </w:t>
      </w:r>
      <w:r w:rsidR="00B77438" w:rsidRPr="00B77438">
        <w:rPr>
          <w:spacing w:val="-6"/>
        </w:rPr>
        <w:t>http://markets.financialcontent.com/stocks/news/read/19762255/grupo_bimbo_receives_clearance_for_us_</w:t>
      </w:r>
      <w:r w:rsidRPr="00B77438">
        <w:rPr>
          <w:spacing w:val="-6"/>
        </w:rPr>
        <w:t xml:space="preserve">acquisition; Sam Roberts, “Lorenzo </w:t>
      </w:r>
      <w:proofErr w:type="spellStart"/>
      <w:r w:rsidRPr="00B77438">
        <w:rPr>
          <w:spacing w:val="-6"/>
        </w:rPr>
        <w:t>Servitje</w:t>
      </w:r>
      <w:proofErr w:type="spellEnd"/>
      <w:r w:rsidRPr="00B77438">
        <w:rPr>
          <w:spacing w:val="-6"/>
        </w:rPr>
        <w:t xml:space="preserve">, a Founder of the World’s Biggest Bakery, </w:t>
      </w:r>
      <w:proofErr w:type="gramStart"/>
      <w:r w:rsidRPr="00B77438">
        <w:rPr>
          <w:spacing w:val="-6"/>
        </w:rPr>
        <w:t>Dies</w:t>
      </w:r>
      <w:proofErr w:type="gramEnd"/>
      <w:r w:rsidRPr="00B77438">
        <w:rPr>
          <w:spacing w:val="-6"/>
        </w:rPr>
        <w:t xml:space="preserve"> at 98,” </w:t>
      </w:r>
      <w:r w:rsidRPr="00B77438">
        <w:rPr>
          <w:i/>
          <w:spacing w:val="-6"/>
        </w:rPr>
        <w:t>New York Times</w:t>
      </w:r>
      <w:r w:rsidRPr="00B77438">
        <w:rPr>
          <w:spacing w:val="-6"/>
        </w:rPr>
        <w:t>, February 6, 2017, accessed October 10, 2018, www.nytimes.com/2017/02/06/business/lorenzo-servitje-a-founder-of-the-worlds-biggest-bakery-dies-at-98.html.</w:t>
      </w:r>
    </w:p>
  </w:endnote>
  <w:endnote w:id="23">
    <w:p w14:paraId="3345DCEE" w14:textId="0ED488C7" w:rsidR="0078385F" w:rsidRPr="00AC4C05" w:rsidRDefault="0078385F" w:rsidP="00DE379F">
      <w:pPr>
        <w:pStyle w:val="Footnote"/>
      </w:pPr>
      <w:r w:rsidRPr="00AC4C05">
        <w:rPr>
          <w:rStyle w:val="EndnoteReference"/>
        </w:rPr>
        <w:endnoteRef/>
      </w:r>
      <w:r w:rsidRPr="00AC4C05">
        <w:t xml:space="preserve"> Kenneth </w:t>
      </w:r>
      <w:proofErr w:type="spellStart"/>
      <w:r w:rsidRPr="00AC4C05">
        <w:t>Rapoza</w:t>
      </w:r>
      <w:proofErr w:type="spellEnd"/>
      <w:r w:rsidRPr="00AC4C05">
        <w:t>,</w:t>
      </w:r>
      <w:r>
        <w:t xml:space="preserve"> “</w:t>
      </w:r>
      <w:r w:rsidRPr="004A6270">
        <w:t xml:space="preserve">Emerging Markets </w:t>
      </w:r>
      <w:r>
        <w:t>t</w:t>
      </w:r>
      <w:r w:rsidRPr="004A6270">
        <w:t>o Drive Automotive Comeback</w:t>
      </w:r>
      <w:r>
        <w:t>,”</w:t>
      </w:r>
      <w:r w:rsidRPr="00AC4C05">
        <w:t xml:space="preserve"> </w:t>
      </w:r>
      <w:r w:rsidRPr="00DE379F">
        <w:rPr>
          <w:i/>
        </w:rPr>
        <w:t>Forbes</w:t>
      </w:r>
      <w:r>
        <w:t xml:space="preserve">, </w:t>
      </w:r>
      <w:r w:rsidRPr="004A6270">
        <w:t>Sep</w:t>
      </w:r>
      <w:r>
        <w:t>tember</w:t>
      </w:r>
      <w:r w:rsidRPr="004A6270">
        <w:t xml:space="preserve"> 1, 2014</w:t>
      </w:r>
      <w:r>
        <w:t xml:space="preserve">, accessed October10, 2018, </w:t>
      </w:r>
      <w:r w:rsidRPr="00AC4C05">
        <w:t>www.forbes.com/sites/kenrapoza/2014/09/01/emerging-markets-to-drive-automotive-comeback/#263ca52a45ed.</w:t>
      </w:r>
    </w:p>
  </w:endnote>
  <w:endnote w:id="24">
    <w:p w14:paraId="29A9FF3B" w14:textId="566F01AA" w:rsidR="0078385F" w:rsidRPr="00B77438" w:rsidRDefault="0078385F" w:rsidP="00DE379F">
      <w:pPr>
        <w:pStyle w:val="Footnote"/>
        <w:rPr>
          <w:spacing w:val="-2"/>
        </w:rPr>
      </w:pPr>
      <w:r w:rsidRPr="00B77438">
        <w:rPr>
          <w:rStyle w:val="EndnoteReference"/>
          <w:spacing w:val="-2"/>
        </w:rPr>
        <w:endnoteRef/>
      </w:r>
      <w:r w:rsidRPr="00B77438">
        <w:rPr>
          <w:spacing w:val="-2"/>
        </w:rPr>
        <w:t xml:space="preserve"> </w:t>
      </w:r>
      <w:proofErr w:type="spellStart"/>
      <w:r w:rsidRPr="00B77438">
        <w:rPr>
          <w:spacing w:val="-2"/>
        </w:rPr>
        <w:t>Choire</w:t>
      </w:r>
      <w:proofErr w:type="spellEnd"/>
      <w:r w:rsidRPr="00B77438">
        <w:rPr>
          <w:spacing w:val="-2"/>
        </w:rPr>
        <w:t xml:space="preserve"> </w:t>
      </w:r>
      <w:proofErr w:type="spellStart"/>
      <w:r w:rsidRPr="00B77438">
        <w:rPr>
          <w:spacing w:val="-2"/>
        </w:rPr>
        <w:t>Sicha</w:t>
      </w:r>
      <w:proofErr w:type="spellEnd"/>
      <w:r w:rsidRPr="00B77438">
        <w:rPr>
          <w:spacing w:val="-2"/>
        </w:rPr>
        <w:t xml:space="preserve">, “The 2009 GDP? It’s the Worst Since 1946—And 7.6 Million Jobs Disappeared in Two Years,” </w:t>
      </w:r>
      <w:r w:rsidRPr="00B77438">
        <w:rPr>
          <w:i/>
          <w:spacing w:val="-2"/>
        </w:rPr>
        <w:t>The Awl</w:t>
      </w:r>
      <w:r w:rsidRPr="00B77438">
        <w:rPr>
          <w:spacing w:val="-2"/>
        </w:rPr>
        <w:t xml:space="preserve">, January 29, 2010, accessed October10, 2018, www.theawl.com/2010/01/the-2009-gdp-its-the-worst-since-1946-and-7-6-million-jobs-disappeared-in-two-years; Bill Vlasic, “Ford Reports a Record $14.6 Billion Loss for 2008,” </w:t>
      </w:r>
      <w:r w:rsidRPr="00B77438">
        <w:rPr>
          <w:i/>
          <w:spacing w:val="-2"/>
        </w:rPr>
        <w:t>New York Times</w:t>
      </w:r>
      <w:r w:rsidRPr="00B77438">
        <w:rPr>
          <w:spacing w:val="-2"/>
        </w:rPr>
        <w:t>, January 30, 2009, accessed October 10, 2018, accessed October10, 2018, www.nytimes.com/2009/01/30/business/30ford.html.</w:t>
      </w:r>
    </w:p>
  </w:endnote>
  <w:endnote w:id="25">
    <w:p w14:paraId="211DA892" w14:textId="3B617BF3" w:rsidR="0078385F" w:rsidRPr="00AC4C05" w:rsidRDefault="0078385F" w:rsidP="00DE379F">
      <w:pPr>
        <w:pStyle w:val="Footnote"/>
      </w:pPr>
      <w:r w:rsidRPr="00AC4C05">
        <w:rPr>
          <w:rStyle w:val="EndnoteReference"/>
        </w:rPr>
        <w:endnoteRef/>
      </w:r>
      <w:r w:rsidRPr="00AC4C05">
        <w:t xml:space="preserve"> </w:t>
      </w:r>
      <w:r>
        <w:t xml:space="preserve">Tim </w:t>
      </w:r>
      <w:proofErr w:type="spellStart"/>
      <w:r>
        <w:t>Stenovek</w:t>
      </w:r>
      <w:proofErr w:type="spellEnd"/>
      <w:r>
        <w:t xml:space="preserve">, </w:t>
      </w:r>
      <w:r w:rsidRPr="00AC4C05">
        <w:t xml:space="preserve">“More Proof </w:t>
      </w:r>
      <w:r>
        <w:t>t</w:t>
      </w:r>
      <w:r w:rsidRPr="00AC4C05">
        <w:t xml:space="preserve">hat Uber Is Killing </w:t>
      </w:r>
      <w:r>
        <w:t>t</w:t>
      </w:r>
      <w:r w:rsidRPr="00AC4C05">
        <w:t>he Taxi Industry</w:t>
      </w:r>
      <w:r>
        <w:t>,</w:t>
      </w:r>
      <w:r w:rsidRPr="00AC4C05">
        <w:t xml:space="preserve">” </w:t>
      </w:r>
      <w:r w:rsidRPr="00DE379F">
        <w:rPr>
          <w:i/>
        </w:rPr>
        <w:t>Business Insider</w:t>
      </w:r>
      <w:r>
        <w:t xml:space="preserve">, January 6, 2016, accessed October 10, 2018, </w:t>
      </w:r>
      <w:proofErr w:type="gramStart"/>
      <w:r w:rsidRPr="0078385F">
        <w:t>www.businessinsider.com/more-proof-that-uber-is-killing-the-taxi-industry-2016-1?IR=T</w:t>
      </w:r>
      <w:r>
        <w:t>;</w:t>
      </w:r>
      <w:r w:rsidRPr="00AC4C05">
        <w:t>.</w:t>
      </w:r>
      <w:proofErr w:type="gramEnd"/>
      <w:r>
        <w:t xml:space="preserve"> Kate </w:t>
      </w:r>
      <w:r w:rsidRPr="00AC4C05">
        <w:t xml:space="preserve">Samuelson, </w:t>
      </w:r>
      <w:r>
        <w:t>“</w:t>
      </w:r>
      <w:r w:rsidRPr="008D1F23">
        <w:t>The Latest Uber Effect: People Are Ditching Their Cars</w:t>
      </w:r>
      <w:r>
        <w:t xml:space="preserve">,” </w:t>
      </w:r>
      <w:r w:rsidRPr="00DE379F">
        <w:rPr>
          <w:i/>
        </w:rPr>
        <w:t>Fortune</w:t>
      </w:r>
      <w:r w:rsidRPr="00AC4C05">
        <w:t xml:space="preserve"> </w:t>
      </w:r>
      <w:r w:rsidRPr="008D1F23">
        <w:t>May 26, 2017</w:t>
      </w:r>
      <w:r>
        <w:t xml:space="preserve">, accessed October 10, 2018, </w:t>
      </w:r>
      <w:r w:rsidRPr="00AC4C05">
        <w:t>http://fortune.com/2017/05/26/uber-lyft-people-ditching-cars.</w:t>
      </w:r>
    </w:p>
  </w:endnote>
  <w:endnote w:id="26">
    <w:p w14:paraId="09D8BBFD" w14:textId="1593DFB8" w:rsidR="0078385F" w:rsidRPr="00AC4C05" w:rsidRDefault="0078385F" w:rsidP="00DE379F">
      <w:pPr>
        <w:pStyle w:val="Footnote"/>
      </w:pPr>
      <w:r w:rsidRPr="00AC4C05">
        <w:rPr>
          <w:rStyle w:val="EndnoteReference"/>
        </w:rPr>
        <w:endnoteRef/>
      </w:r>
      <w:r w:rsidRPr="00AC4C05">
        <w:t xml:space="preserve"> </w:t>
      </w:r>
      <w:r>
        <w:t xml:space="preserve">Kim </w:t>
      </w:r>
      <w:r w:rsidRPr="00AC4C05">
        <w:t xml:space="preserve">Hill, Adam Cooper, and Debra </w:t>
      </w:r>
      <w:proofErr w:type="spellStart"/>
      <w:r w:rsidRPr="00AC4C05">
        <w:t>Menk</w:t>
      </w:r>
      <w:proofErr w:type="spellEnd"/>
      <w:r>
        <w:t>,</w:t>
      </w:r>
      <w:r w:rsidRPr="00AC4C05">
        <w:t xml:space="preserve"> “Contribution </w:t>
      </w:r>
      <w:r>
        <w:t>o</w:t>
      </w:r>
      <w:r w:rsidRPr="00AC4C05">
        <w:t xml:space="preserve">f </w:t>
      </w:r>
      <w:r>
        <w:t>t</w:t>
      </w:r>
      <w:r w:rsidRPr="00AC4C05">
        <w:t xml:space="preserve">he Automotive Industry </w:t>
      </w:r>
      <w:r>
        <w:t>t</w:t>
      </w:r>
      <w:r w:rsidRPr="00AC4C05">
        <w:t xml:space="preserve">o </w:t>
      </w:r>
      <w:r>
        <w:t>t</w:t>
      </w:r>
      <w:r w:rsidRPr="00AC4C05">
        <w:t xml:space="preserve">he Economies </w:t>
      </w:r>
      <w:r>
        <w:t>o</w:t>
      </w:r>
      <w:r w:rsidRPr="00AC4C05">
        <w:t xml:space="preserve">f All Fifty State </w:t>
      </w:r>
      <w:r>
        <w:t>a</w:t>
      </w:r>
      <w:r w:rsidRPr="00AC4C05">
        <w:t xml:space="preserve">nd </w:t>
      </w:r>
      <w:r>
        <w:t>t</w:t>
      </w:r>
      <w:r w:rsidRPr="00AC4C05">
        <w:t>he United States</w:t>
      </w:r>
      <w:r>
        <w:t>,</w:t>
      </w:r>
      <w:r w:rsidRPr="00AC4C05">
        <w:t xml:space="preserve">” Center </w:t>
      </w:r>
      <w:r>
        <w:t>f</w:t>
      </w:r>
      <w:r w:rsidRPr="00AC4C05">
        <w:t>or Automotive Research</w:t>
      </w:r>
      <w:r>
        <w:t>, a</w:t>
      </w:r>
      <w:r w:rsidRPr="00AC4C05">
        <w:t>ccessed June 9, 2018</w:t>
      </w:r>
      <w:r>
        <w:t xml:space="preserve">, </w:t>
      </w:r>
      <w:r w:rsidRPr="00AC4C05">
        <w:t>www.cargroup.org/publication/contribution-of-the-automotive-industry-to-the-economies-of-all-fifty-state-and-the-united-states.</w:t>
      </w:r>
    </w:p>
  </w:endnote>
  <w:endnote w:id="27">
    <w:p w14:paraId="42769E98" w14:textId="29BF6C84" w:rsidR="0078385F" w:rsidRPr="00B77438" w:rsidRDefault="0078385F" w:rsidP="00DE379F">
      <w:pPr>
        <w:pStyle w:val="Footnote"/>
        <w:rPr>
          <w:spacing w:val="-2"/>
        </w:rPr>
      </w:pPr>
      <w:r w:rsidRPr="00B77438">
        <w:rPr>
          <w:rStyle w:val="EndnoteReference"/>
          <w:spacing w:val="-2"/>
        </w:rPr>
        <w:endnoteRef/>
      </w:r>
      <w:r w:rsidRPr="00B77438">
        <w:rPr>
          <w:spacing w:val="-2"/>
        </w:rPr>
        <w:t xml:space="preserve"> Alon Levy, “Several European Countries to Follow Norway’s Lead, Ban Fuel-Powered Cars,” Pedestrian Observations, April 1, 2016, accessed June 9, 2018, https://pedestrianobservations.com/2016/04/01/several-european-countries-to-follow-norways-lead-ban-fuel-powered-cars; Alanna Petroff, “These Countries Want to Ban Gas and Diesel Cars,” CNN Money, September 11, 2017, accessed June 9, 2018, http://money.cnn.com/2017/09/11/autos/countries-banning-diesel-gas-cars/index.html.</w:t>
      </w:r>
    </w:p>
  </w:endnote>
  <w:endnote w:id="28">
    <w:p w14:paraId="5BAEFF57" w14:textId="170C7FF7" w:rsidR="0078385F" w:rsidRPr="00AC4C05" w:rsidRDefault="0078385F" w:rsidP="00DE379F">
      <w:pPr>
        <w:pStyle w:val="Footnote"/>
      </w:pPr>
      <w:r w:rsidRPr="00AC4C05">
        <w:rPr>
          <w:rStyle w:val="EndnoteReference"/>
        </w:rPr>
        <w:endnoteRef/>
      </w:r>
      <w:r w:rsidRPr="00AC4C05">
        <w:t xml:space="preserve"> Justin Hughes, “Auto Industry Reacts </w:t>
      </w:r>
      <w:r>
        <w:t>t</w:t>
      </w:r>
      <w:r w:rsidRPr="00AC4C05">
        <w:t xml:space="preserve">o Trump’s Proposed Steel </w:t>
      </w:r>
      <w:r>
        <w:t>a</w:t>
      </w:r>
      <w:r w:rsidRPr="00AC4C05">
        <w:t>nd Aluminum Tariffs</w:t>
      </w:r>
      <w:r>
        <w:t>,</w:t>
      </w:r>
      <w:r w:rsidRPr="00AC4C05">
        <w:t>” The Drive</w:t>
      </w:r>
      <w:r>
        <w:t xml:space="preserve">, March 5, 2018, </w:t>
      </w:r>
      <w:r w:rsidRPr="00AC4C05">
        <w:t>accessed June 9, 2018</w:t>
      </w:r>
      <w:r>
        <w:t xml:space="preserve">, </w:t>
      </w:r>
      <w:r w:rsidRPr="00AC4C05">
        <w:t>www.thedrive.com/news/18999/auto-industry-reacts-to-trumps-proposed-steel-and-aluminum-tariffs.</w:t>
      </w:r>
    </w:p>
  </w:endnote>
  <w:endnote w:id="29">
    <w:p w14:paraId="63868971" w14:textId="39AB1F38" w:rsidR="0078385F" w:rsidRPr="00B77438" w:rsidRDefault="0078385F" w:rsidP="00DE379F">
      <w:pPr>
        <w:pStyle w:val="Footnote"/>
      </w:pPr>
      <w:r w:rsidRPr="00B77438">
        <w:rPr>
          <w:rStyle w:val="EndnoteReference"/>
        </w:rPr>
        <w:endnoteRef/>
      </w:r>
      <w:r w:rsidRPr="00B77438">
        <w:t xml:space="preserve"> Bart </w:t>
      </w:r>
      <w:proofErr w:type="spellStart"/>
      <w:r w:rsidRPr="00B77438">
        <w:t>Demandt</w:t>
      </w:r>
      <w:proofErr w:type="spellEnd"/>
      <w:r w:rsidRPr="00B77438">
        <w:t xml:space="preserve">, “Ford US Car Sales Figures,” </w:t>
      </w:r>
      <w:proofErr w:type="spellStart"/>
      <w:r w:rsidRPr="00B77438">
        <w:t>CarSalesBase</w:t>
      </w:r>
      <w:proofErr w:type="spellEnd"/>
      <w:r w:rsidRPr="00B77438">
        <w:t xml:space="preserve"> (blog), accessed June 9, 2018, http://carsalesbase.com/us-car-sales-data/ford.</w:t>
      </w:r>
    </w:p>
  </w:endnote>
  <w:endnote w:id="30">
    <w:p w14:paraId="3B538FEA" w14:textId="74D97498" w:rsidR="0078385F" w:rsidRPr="00B77438" w:rsidRDefault="0078385F" w:rsidP="00DE379F">
      <w:pPr>
        <w:pStyle w:val="Footnote"/>
      </w:pPr>
      <w:r w:rsidRPr="00B77438">
        <w:rPr>
          <w:rStyle w:val="EndnoteReference"/>
        </w:rPr>
        <w:endnoteRef/>
      </w:r>
      <w:r w:rsidRPr="00B77438">
        <w:t xml:space="preserve"> Bart </w:t>
      </w:r>
      <w:proofErr w:type="spellStart"/>
      <w:r w:rsidRPr="00B77438">
        <w:t>Demandt</w:t>
      </w:r>
      <w:proofErr w:type="spellEnd"/>
      <w:r w:rsidRPr="00B77438">
        <w:t xml:space="preserve">, “Tesla US Car Sales Figures,” </w:t>
      </w:r>
      <w:proofErr w:type="spellStart"/>
      <w:r w:rsidRPr="00B77438">
        <w:t>CarSalesBase</w:t>
      </w:r>
      <w:proofErr w:type="spellEnd"/>
      <w:r w:rsidRPr="00B77438">
        <w:t xml:space="preserve"> (blog), accessed June 9, 2018, http://carsalesbase.com/us-car-sales-data/tesla.</w:t>
      </w:r>
    </w:p>
  </w:endnote>
  <w:endnote w:id="31">
    <w:p w14:paraId="13329DB9" w14:textId="77777777" w:rsidR="0078385F" w:rsidRPr="00AC4C05" w:rsidRDefault="0078385F" w:rsidP="00DE379F">
      <w:pPr>
        <w:pStyle w:val="Footnote"/>
      </w:pPr>
      <w:r w:rsidRPr="00AC4C05">
        <w:rPr>
          <w:rStyle w:val="EndnoteReference"/>
        </w:rPr>
        <w:endnoteRef/>
      </w:r>
      <w:r w:rsidRPr="00AC4C05">
        <w:t xml:space="preserve"> Matt Pressman, “It’s Settled, Tesla Is </w:t>
      </w:r>
      <w:r>
        <w:t>a</w:t>
      </w:r>
      <w:r w:rsidRPr="00AC4C05">
        <w:t xml:space="preserve"> Technology Company</w:t>
      </w:r>
      <w:r>
        <w:t>,</w:t>
      </w:r>
      <w:r w:rsidRPr="00AC4C05">
        <w:t xml:space="preserve">” </w:t>
      </w:r>
      <w:proofErr w:type="spellStart"/>
      <w:r w:rsidRPr="00AC4C05">
        <w:t>Evannex</w:t>
      </w:r>
      <w:proofErr w:type="spellEnd"/>
      <w:r>
        <w:t>,</w:t>
      </w:r>
      <w:r w:rsidRPr="00AC4C05">
        <w:t xml:space="preserve"> </w:t>
      </w:r>
      <w:r w:rsidRPr="009C4CB2">
        <w:t>March 19, 2017</w:t>
      </w:r>
      <w:r w:rsidRPr="00AC4C05">
        <w:t>, accessed June 9, 2018</w:t>
      </w:r>
      <w:r>
        <w:t xml:space="preserve">, </w:t>
      </w:r>
      <w:r w:rsidRPr="00AC4C05">
        <w:t>https://evannex.com/blogs/news/its-settled-tesla-is-a-technology-company.</w:t>
      </w:r>
    </w:p>
  </w:endnote>
  <w:endnote w:id="32">
    <w:p w14:paraId="3D1B90EC" w14:textId="20DB12A1" w:rsidR="0078385F" w:rsidRPr="00AC4C05" w:rsidRDefault="0078385F" w:rsidP="00DE379F">
      <w:pPr>
        <w:pStyle w:val="EndnoteText"/>
        <w:jc w:val="both"/>
        <w:rPr>
          <w:rFonts w:ascii="Arial" w:hAnsi="Arial" w:cs="Arial"/>
          <w:sz w:val="17"/>
          <w:szCs w:val="17"/>
          <w:lang w:val="en-US"/>
        </w:rPr>
      </w:pPr>
      <w:r w:rsidRPr="00AC4C05">
        <w:rPr>
          <w:rStyle w:val="EndnoteReference"/>
          <w:rFonts w:ascii="Arial" w:hAnsi="Arial" w:cs="Arial"/>
          <w:sz w:val="17"/>
          <w:szCs w:val="17"/>
        </w:rPr>
        <w:endnoteRef/>
      </w:r>
      <w:r w:rsidRPr="00AC4C05">
        <w:rPr>
          <w:rFonts w:ascii="Arial" w:hAnsi="Arial" w:cs="Arial"/>
          <w:sz w:val="17"/>
          <w:szCs w:val="17"/>
        </w:rPr>
        <w:t xml:space="preserve"> </w:t>
      </w:r>
      <w:r>
        <w:rPr>
          <w:rFonts w:ascii="Arial" w:hAnsi="Arial" w:cs="Arial"/>
          <w:sz w:val="17"/>
          <w:szCs w:val="17"/>
          <w:lang w:val="en-CA"/>
        </w:rPr>
        <w:t xml:space="preserve">Adam </w:t>
      </w:r>
      <w:r w:rsidRPr="00AC4C05">
        <w:rPr>
          <w:rFonts w:ascii="Arial" w:hAnsi="Arial" w:cs="Arial"/>
          <w:sz w:val="17"/>
          <w:szCs w:val="17"/>
        </w:rPr>
        <w:t>Levine-Weinberg,</w:t>
      </w:r>
      <w:r>
        <w:rPr>
          <w:rFonts w:ascii="Arial" w:hAnsi="Arial" w:cs="Arial"/>
          <w:sz w:val="17"/>
          <w:szCs w:val="17"/>
          <w:lang w:val="en-CA"/>
        </w:rPr>
        <w:t xml:space="preserve"> The Motley Fool,</w:t>
      </w:r>
      <w:r w:rsidRPr="00AC4C05">
        <w:rPr>
          <w:rFonts w:ascii="Arial" w:hAnsi="Arial" w:cs="Arial"/>
          <w:sz w:val="17"/>
          <w:szCs w:val="17"/>
        </w:rPr>
        <w:t xml:space="preserve"> “</w:t>
      </w:r>
      <w:r w:rsidRPr="003266AC">
        <w:rPr>
          <w:rFonts w:ascii="Arial" w:hAnsi="Arial" w:cs="Arial"/>
          <w:sz w:val="17"/>
          <w:szCs w:val="17"/>
        </w:rPr>
        <w:t xml:space="preserve">Ford Dumps Its </w:t>
      </w:r>
      <w:r>
        <w:rPr>
          <w:rFonts w:ascii="Arial" w:hAnsi="Arial" w:cs="Arial"/>
          <w:sz w:val="17"/>
          <w:szCs w:val="17"/>
        </w:rPr>
        <w:t>US</w:t>
      </w:r>
      <w:r w:rsidRPr="003266AC">
        <w:rPr>
          <w:rFonts w:ascii="Arial" w:hAnsi="Arial" w:cs="Arial"/>
          <w:sz w:val="17"/>
          <w:szCs w:val="17"/>
        </w:rPr>
        <w:t xml:space="preserve"> Sedan Lineup: Is It Making a </w:t>
      </w:r>
      <w:proofErr w:type="gramStart"/>
      <w:r w:rsidRPr="003266AC">
        <w:rPr>
          <w:rFonts w:ascii="Arial" w:hAnsi="Arial" w:cs="Arial"/>
          <w:sz w:val="17"/>
          <w:szCs w:val="17"/>
        </w:rPr>
        <w:t>Mistake?</w:t>
      </w:r>
      <w:r>
        <w:rPr>
          <w:rFonts w:ascii="Arial" w:hAnsi="Arial" w:cs="Arial"/>
          <w:sz w:val="17"/>
          <w:szCs w:val="17"/>
          <w:lang w:val="en-CA"/>
        </w:rPr>
        <w:t>,</w:t>
      </w:r>
      <w:proofErr w:type="gramEnd"/>
      <w:r w:rsidRPr="00AC4C05">
        <w:rPr>
          <w:rFonts w:ascii="Arial" w:hAnsi="Arial" w:cs="Arial"/>
          <w:sz w:val="17"/>
          <w:szCs w:val="17"/>
        </w:rPr>
        <w:t xml:space="preserve">” </w:t>
      </w:r>
      <w:r>
        <w:rPr>
          <w:rFonts w:ascii="Arial" w:hAnsi="Arial" w:cs="Arial"/>
          <w:sz w:val="17"/>
          <w:szCs w:val="17"/>
          <w:lang w:val="en-CA"/>
        </w:rPr>
        <w:t xml:space="preserve">Yahoo! </w:t>
      </w:r>
      <w:r w:rsidRPr="00AC4C05">
        <w:rPr>
          <w:rFonts w:ascii="Arial" w:hAnsi="Arial" w:cs="Arial"/>
          <w:sz w:val="17"/>
          <w:szCs w:val="17"/>
        </w:rPr>
        <w:t xml:space="preserve">Finance, </w:t>
      </w:r>
      <w:r>
        <w:rPr>
          <w:rFonts w:ascii="Arial" w:hAnsi="Arial" w:cs="Arial"/>
          <w:sz w:val="17"/>
          <w:szCs w:val="17"/>
          <w:lang w:val="en-CA"/>
        </w:rPr>
        <w:t xml:space="preserve">May 1, 2018, </w:t>
      </w:r>
      <w:r w:rsidRPr="00AC4C05">
        <w:rPr>
          <w:rFonts w:ascii="Arial" w:hAnsi="Arial" w:cs="Arial"/>
          <w:sz w:val="17"/>
          <w:szCs w:val="17"/>
        </w:rPr>
        <w:t>a</w:t>
      </w:r>
      <w:r w:rsidRPr="00AC4C05">
        <w:rPr>
          <w:rFonts w:ascii="Arial" w:eastAsia="Times New Roman" w:hAnsi="Arial" w:cs="Arial"/>
          <w:sz w:val="17"/>
          <w:szCs w:val="17"/>
          <w:lang w:val="en-US" w:eastAsia="en-US"/>
        </w:rPr>
        <w:t>ccessed September 2, 2018</w:t>
      </w:r>
      <w:r>
        <w:rPr>
          <w:rFonts w:ascii="Arial" w:eastAsia="Times New Roman" w:hAnsi="Arial" w:cs="Arial"/>
          <w:sz w:val="17"/>
          <w:szCs w:val="17"/>
          <w:lang w:val="en-US" w:eastAsia="en-US"/>
        </w:rPr>
        <w:t xml:space="preserve">, </w:t>
      </w:r>
      <w:r w:rsidRPr="00AC4C05">
        <w:rPr>
          <w:rFonts w:ascii="Arial" w:hAnsi="Arial" w:cs="Arial"/>
          <w:sz w:val="17"/>
          <w:szCs w:val="17"/>
        </w:rPr>
        <w:t>https://finance.yahoo.com/news/ford-dumps-u-sedan-lineup-103500791.html.</w:t>
      </w:r>
    </w:p>
  </w:endnote>
  <w:endnote w:id="33">
    <w:p w14:paraId="0CB973F1" w14:textId="555ACF79" w:rsidR="0078385F" w:rsidRPr="00FD1590" w:rsidRDefault="0078385F" w:rsidP="00DE379F">
      <w:pPr>
        <w:pStyle w:val="Footnote"/>
        <w:rPr>
          <w:spacing w:val="-4"/>
        </w:rPr>
      </w:pPr>
      <w:r w:rsidRPr="00FD1590">
        <w:rPr>
          <w:rStyle w:val="EndnoteReference"/>
          <w:spacing w:val="-4"/>
        </w:rPr>
        <w:endnoteRef/>
      </w:r>
      <w:r w:rsidRPr="00FD1590">
        <w:rPr>
          <w:spacing w:val="-4"/>
        </w:rPr>
        <w:t xml:space="preserve"> </w:t>
      </w:r>
      <w:r w:rsidRPr="00771A28">
        <w:rPr>
          <w:spacing w:val="-4"/>
        </w:rPr>
        <w:t xml:space="preserve">Bart </w:t>
      </w:r>
      <w:proofErr w:type="spellStart"/>
      <w:r w:rsidRPr="00771A28">
        <w:rPr>
          <w:spacing w:val="-4"/>
        </w:rPr>
        <w:t>Demandt</w:t>
      </w:r>
      <w:proofErr w:type="spellEnd"/>
      <w:r w:rsidRPr="00771A28">
        <w:rPr>
          <w:spacing w:val="-4"/>
        </w:rPr>
        <w:t xml:space="preserve">, </w:t>
      </w:r>
      <w:r w:rsidRPr="00FD1590">
        <w:rPr>
          <w:spacing w:val="-4"/>
        </w:rPr>
        <w:t xml:space="preserve">“Ford China Auto Sales Figures,” </w:t>
      </w:r>
      <w:proofErr w:type="spellStart"/>
      <w:r w:rsidRPr="00FD1590">
        <w:rPr>
          <w:spacing w:val="-4"/>
        </w:rPr>
        <w:t>CarSalesBase</w:t>
      </w:r>
      <w:proofErr w:type="spellEnd"/>
      <w:r w:rsidRPr="00FD1590">
        <w:rPr>
          <w:spacing w:val="-4"/>
        </w:rPr>
        <w:t xml:space="preserve"> </w:t>
      </w:r>
      <w:r>
        <w:rPr>
          <w:spacing w:val="-4"/>
        </w:rPr>
        <w:t>(</w:t>
      </w:r>
      <w:r w:rsidRPr="00FD1590">
        <w:rPr>
          <w:spacing w:val="-4"/>
        </w:rPr>
        <w:t>blog</w:t>
      </w:r>
      <w:r>
        <w:rPr>
          <w:spacing w:val="-4"/>
        </w:rPr>
        <w:t>)</w:t>
      </w:r>
      <w:r w:rsidRPr="00FD1590">
        <w:rPr>
          <w:spacing w:val="-4"/>
        </w:rPr>
        <w:t>, accessed June 9, 2018, http://carsalesbase.com/china-car-sales-data/ford.</w:t>
      </w:r>
    </w:p>
  </w:endnote>
  <w:endnote w:id="34">
    <w:p w14:paraId="1DAACF8F" w14:textId="019123A9" w:rsidR="0078385F" w:rsidRPr="00AC4C05" w:rsidRDefault="0078385F" w:rsidP="00DE379F">
      <w:pPr>
        <w:pStyle w:val="Footnote"/>
      </w:pPr>
      <w:r w:rsidRPr="00AC4C05">
        <w:rPr>
          <w:rStyle w:val="EndnoteReference"/>
        </w:rPr>
        <w:endnoteRef/>
      </w:r>
      <w:r w:rsidRPr="00AC4C05">
        <w:t xml:space="preserve"> </w:t>
      </w:r>
      <w:r>
        <w:t xml:space="preserve">John </w:t>
      </w:r>
      <w:proofErr w:type="spellStart"/>
      <w:r w:rsidRPr="00AC4C05">
        <w:t>Rosevear</w:t>
      </w:r>
      <w:proofErr w:type="spellEnd"/>
      <w:r w:rsidRPr="00AC4C05">
        <w:t xml:space="preserve">, </w:t>
      </w:r>
      <w:r>
        <w:t>“</w:t>
      </w:r>
      <w:r w:rsidRPr="003266AC">
        <w:t>Why Ford's China Sales Are Crashing</w:t>
      </w:r>
      <w:r>
        <w:t xml:space="preserve">,” Nasdaq, </w:t>
      </w:r>
      <w:r w:rsidRPr="003266AC">
        <w:t>February 13, 2018</w:t>
      </w:r>
      <w:r>
        <w:t xml:space="preserve">, </w:t>
      </w:r>
      <w:r w:rsidRPr="00AC4C05">
        <w:t>accessed June 9, 2018</w:t>
      </w:r>
      <w:r>
        <w:t xml:space="preserve">, </w:t>
      </w:r>
      <w:r w:rsidRPr="0078385F">
        <w:t>www.nasdaq.com/article/why-fords-china-sales-are-crashing-cm920885</w:t>
      </w:r>
      <w:r>
        <w:t xml:space="preserve">; </w:t>
      </w:r>
      <w:r w:rsidRPr="00AC4C05">
        <w:t xml:space="preserve">Martin </w:t>
      </w:r>
      <w:proofErr w:type="spellStart"/>
      <w:r w:rsidRPr="00AC4C05">
        <w:t>Baccardax</w:t>
      </w:r>
      <w:proofErr w:type="spellEnd"/>
      <w:r w:rsidRPr="00AC4C05">
        <w:t xml:space="preserve">, “Ford Agrees </w:t>
      </w:r>
      <w:r>
        <w:t>t</w:t>
      </w:r>
      <w:r w:rsidRPr="00AC4C05">
        <w:t xml:space="preserve">o Tech </w:t>
      </w:r>
      <w:r>
        <w:t>a</w:t>
      </w:r>
      <w:r w:rsidRPr="00AC4C05">
        <w:t xml:space="preserve">nd Marketing Deal </w:t>
      </w:r>
      <w:r>
        <w:t>w</w:t>
      </w:r>
      <w:r w:rsidRPr="00AC4C05">
        <w:t>ith China’s Alibaba</w:t>
      </w:r>
      <w:r>
        <w:t>,</w:t>
      </w:r>
      <w:r w:rsidRPr="00AC4C05">
        <w:t>” The</w:t>
      </w:r>
      <w:r>
        <w:t>S</w:t>
      </w:r>
      <w:r w:rsidRPr="00AC4C05">
        <w:t>treet</w:t>
      </w:r>
      <w:r>
        <w:t>, December 7, 2017,</w:t>
      </w:r>
      <w:r w:rsidRPr="00AC4C05">
        <w:t xml:space="preserve"> </w:t>
      </w:r>
      <w:r>
        <w:t xml:space="preserve">accessed November 16, 2018, </w:t>
      </w:r>
      <w:r w:rsidRPr="0078385F">
        <w:t>www.thestreet.com/story/14413711/1/ford-agrees-marketing-deal-with-china-s-alibaba.html</w:t>
      </w:r>
      <w:r>
        <w:t xml:space="preserve">; Li </w:t>
      </w:r>
      <w:proofErr w:type="spellStart"/>
      <w:r w:rsidRPr="00AC4C05">
        <w:t>Fusheng</w:t>
      </w:r>
      <w:proofErr w:type="spellEnd"/>
      <w:r w:rsidRPr="00AC4C05">
        <w:t xml:space="preserve">, “Ford, </w:t>
      </w:r>
      <w:proofErr w:type="spellStart"/>
      <w:r w:rsidRPr="00AC4C05">
        <w:t>Changan</w:t>
      </w:r>
      <w:proofErr w:type="spellEnd"/>
      <w:r w:rsidRPr="00AC4C05">
        <w:t xml:space="preserve"> Agree </w:t>
      </w:r>
      <w:r>
        <w:t>t</w:t>
      </w:r>
      <w:r w:rsidRPr="00AC4C05">
        <w:t>o Extend Localization Efforts</w:t>
      </w:r>
      <w:r>
        <w:t>,</w:t>
      </w:r>
      <w:r w:rsidRPr="00AC4C05">
        <w:t xml:space="preserve">” </w:t>
      </w:r>
      <w:proofErr w:type="spellStart"/>
      <w:r w:rsidRPr="00AC4C05">
        <w:t>China</w:t>
      </w:r>
      <w:r>
        <w:t>D</w:t>
      </w:r>
      <w:r w:rsidRPr="00AC4C05">
        <w:t>aily</w:t>
      </w:r>
      <w:proofErr w:type="spellEnd"/>
      <w:r>
        <w:t>, December 11, 2017,</w:t>
      </w:r>
      <w:r w:rsidRPr="00AC4C05">
        <w:t xml:space="preserve"> www.chinadaily.com.cn/a/201712/11/WS5a2ddd57a310eefe3e9a1592.html.</w:t>
      </w:r>
    </w:p>
  </w:endnote>
  <w:endnote w:id="35">
    <w:p w14:paraId="3CE967C2" w14:textId="0F079733" w:rsidR="0078385F" w:rsidRPr="00FD1590" w:rsidRDefault="0078385F" w:rsidP="00DE379F">
      <w:pPr>
        <w:pStyle w:val="Footnote"/>
        <w:rPr>
          <w:spacing w:val="-6"/>
        </w:rPr>
      </w:pPr>
      <w:r w:rsidRPr="00FD1590">
        <w:rPr>
          <w:rStyle w:val="EndnoteReference"/>
          <w:spacing w:val="-6"/>
        </w:rPr>
        <w:endnoteRef/>
      </w:r>
      <w:r w:rsidRPr="00FD1590">
        <w:rPr>
          <w:spacing w:val="-6"/>
        </w:rPr>
        <w:t xml:space="preserve"> </w:t>
      </w:r>
      <w:r w:rsidRPr="00771A28">
        <w:rPr>
          <w:spacing w:val="-4"/>
        </w:rPr>
        <w:t xml:space="preserve">Bart </w:t>
      </w:r>
      <w:proofErr w:type="spellStart"/>
      <w:r w:rsidRPr="00771A28">
        <w:rPr>
          <w:spacing w:val="-4"/>
        </w:rPr>
        <w:t>Demandt</w:t>
      </w:r>
      <w:proofErr w:type="spellEnd"/>
      <w:r w:rsidRPr="00771A28">
        <w:rPr>
          <w:spacing w:val="-4"/>
        </w:rPr>
        <w:t xml:space="preserve">, </w:t>
      </w:r>
      <w:r w:rsidRPr="00FD1590">
        <w:rPr>
          <w:spacing w:val="-4"/>
        </w:rPr>
        <w:t>“</w:t>
      </w:r>
      <w:proofErr w:type="spellStart"/>
      <w:r w:rsidRPr="00FD1590">
        <w:rPr>
          <w:spacing w:val="-6"/>
        </w:rPr>
        <w:t>Geely</w:t>
      </w:r>
      <w:proofErr w:type="spellEnd"/>
      <w:r w:rsidRPr="00FD1590">
        <w:rPr>
          <w:spacing w:val="-6"/>
        </w:rPr>
        <w:t xml:space="preserve"> China Auto Sales Figures,” </w:t>
      </w:r>
      <w:proofErr w:type="spellStart"/>
      <w:r w:rsidRPr="00FD1590">
        <w:rPr>
          <w:spacing w:val="-6"/>
        </w:rPr>
        <w:t>CarSalesBase</w:t>
      </w:r>
      <w:proofErr w:type="spellEnd"/>
      <w:r>
        <w:rPr>
          <w:spacing w:val="-6"/>
        </w:rPr>
        <w:t xml:space="preserve"> (</w:t>
      </w:r>
      <w:r w:rsidRPr="00FD1590">
        <w:rPr>
          <w:spacing w:val="-6"/>
        </w:rPr>
        <w:t>blog</w:t>
      </w:r>
      <w:r>
        <w:rPr>
          <w:spacing w:val="-6"/>
        </w:rPr>
        <w:t>)</w:t>
      </w:r>
      <w:r w:rsidRPr="00FD1590">
        <w:rPr>
          <w:spacing w:val="-6"/>
        </w:rPr>
        <w:t>, accessed June 9, 2018, http://carsalesbase.com/china-car-sales-data/geely.</w:t>
      </w:r>
    </w:p>
  </w:endnote>
  <w:endnote w:id="36">
    <w:p w14:paraId="613E49E7" w14:textId="0605C9A5" w:rsidR="0078385F" w:rsidRPr="00AC4C05" w:rsidRDefault="0078385F" w:rsidP="00DE379F">
      <w:pPr>
        <w:pStyle w:val="Footnote"/>
      </w:pPr>
      <w:r w:rsidRPr="00AC4C05">
        <w:rPr>
          <w:rStyle w:val="EndnoteReference"/>
        </w:rPr>
        <w:endnoteRef/>
      </w:r>
      <w:r w:rsidRPr="00AC4C05">
        <w:t xml:space="preserve"> </w:t>
      </w:r>
      <w:r w:rsidRPr="00771A28">
        <w:t xml:space="preserve">Bart </w:t>
      </w:r>
      <w:proofErr w:type="spellStart"/>
      <w:r w:rsidRPr="00771A28">
        <w:t>Demandt</w:t>
      </w:r>
      <w:proofErr w:type="spellEnd"/>
      <w:r w:rsidRPr="00771A28">
        <w:t xml:space="preserve">, </w:t>
      </w:r>
      <w:r w:rsidRPr="00AC4C05">
        <w:t>“</w:t>
      </w:r>
      <w:proofErr w:type="spellStart"/>
      <w:r w:rsidRPr="00AC4C05">
        <w:t>Lynk</w:t>
      </w:r>
      <w:proofErr w:type="spellEnd"/>
      <w:r w:rsidRPr="00AC4C05">
        <w:t xml:space="preserve"> &amp; Co China Auto Sales Figures</w:t>
      </w:r>
      <w:r>
        <w:t>,</w:t>
      </w:r>
      <w:r w:rsidRPr="00AC4C05">
        <w:t xml:space="preserve">” </w:t>
      </w:r>
      <w:proofErr w:type="spellStart"/>
      <w:r w:rsidRPr="00AC4C05">
        <w:t>Car</w:t>
      </w:r>
      <w:r>
        <w:t>S</w:t>
      </w:r>
      <w:r w:rsidRPr="00AC4C05">
        <w:t>ales</w:t>
      </w:r>
      <w:r>
        <w:t>B</w:t>
      </w:r>
      <w:r w:rsidRPr="00AC4C05">
        <w:t>ase</w:t>
      </w:r>
      <w:proofErr w:type="spellEnd"/>
      <w:r>
        <w:t xml:space="preserve"> (blog), </w:t>
      </w:r>
      <w:r w:rsidRPr="00AC4C05">
        <w:t>accessed June 9, 2018</w:t>
      </w:r>
      <w:r>
        <w:t xml:space="preserve">, </w:t>
      </w:r>
      <w:r w:rsidRPr="00AC4C05">
        <w:t>http://carsalesbase.com/china-car-sales-data/lynk-co.</w:t>
      </w:r>
    </w:p>
  </w:endnote>
  <w:endnote w:id="37">
    <w:p w14:paraId="41959D05" w14:textId="27156AA0" w:rsidR="0078385F" w:rsidRPr="00AC4C05" w:rsidRDefault="0078385F" w:rsidP="00DE379F">
      <w:pPr>
        <w:pStyle w:val="EndnoteText"/>
        <w:jc w:val="both"/>
        <w:rPr>
          <w:rFonts w:ascii="Arial" w:eastAsia="Times New Roman" w:hAnsi="Arial" w:cs="Arial"/>
          <w:sz w:val="17"/>
          <w:szCs w:val="17"/>
          <w:lang w:val="en-US" w:eastAsia="en-US"/>
        </w:rPr>
      </w:pPr>
      <w:r w:rsidRPr="00AC4C05">
        <w:rPr>
          <w:rStyle w:val="EndnoteReference"/>
          <w:rFonts w:ascii="Arial" w:hAnsi="Arial" w:cs="Arial"/>
          <w:sz w:val="17"/>
          <w:szCs w:val="17"/>
          <w:lang w:val="en-US" w:eastAsia="en-US"/>
        </w:rPr>
        <w:endnoteRef/>
      </w:r>
      <w:r w:rsidRPr="00AC4C05">
        <w:rPr>
          <w:rStyle w:val="EndnoteReference"/>
          <w:rFonts w:ascii="Arial" w:hAnsi="Arial" w:cs="Arial"/>
          <w:sz w:val="17"/>
          <w:szCs w:val="17"/>
          <w:lang w:val="en-US" w:eastAsia="en-US"/>
        </w:rPr>
        <w:t xml:space="preserve"> </w:t>
      </w:r>
      <w:r w:rsidRPr="00AC4C05">
        <w:rPr>
          <w:rFonts w:ascii="Arial" w:eastAsia="Times New Roman" w:hAnsi="Arial" w:cs="Arial"/>
          <w:sz w:val="17"/>
          <w:szCs w:val="17"/>
          <w:lang w:val="en-US" w:eastAsia="en-US"/>
        </w:rPr>
        <w:t>Stephen Simpson, “</w:t>
      </w:r>
      <w:proofErr w:type="spellStart"/>
      <w:r w:rsidRPr="00AC4C05">
        <w:rPr>
          <w:rFonts w:ascii="Arial" w:eastAsia="Times New Roman" w:hAnsi="Arial" w:cs="Arial"/>
          <w:sz w:val="17"/>
          <w:szCs w:val="17"/>
          <w:lang w:val="en-US" w:eastAsia="en-US"/>
        </w:rPr>
        <w:t>Geely</w:t>
      </w:r>
      <w:proofErr w:type="spellEnd"/>
      <w:r w:rsidRPr="00AC4C05">
        <w:rPr>
          <w:rFonts w:ascii="Arial" w:eastAsia="Times New Roman" w:hAnsi="Arial" w:cs="Arial"/>
          <w:sz w:val="17"/>
          <w:szCs w:val="17"/>
          <w:lang w:val="en-US" w:eastAsia="en-US"/>
        </w:rPr>
        <w:t xml:space="preserve"> </w:t>
      </w:r>
      <w:r>
        <w:rPr>
          <w:rFonts w:ascii="Arial" w:eastAsia="Times New Roman" w:hAnsi="Arial" w:cs="Arial"/>
          <w:sz w:val="17"/>
          <w:szCs w:val="17"/>
          <w:lang w:val="en-US" w:eastAsia="en-US"/>
        </w:rPr>
        <w:t xml:space="preserve">Has </w:t>
      </w:r>
      <w:r w:rsidRPr="00AC4C05">
        <w:rPr>
          <w:rFonts w:ascii="Arial" w:eastAsia="Times New Roman" w:hAnsi="Arial" w:cs="Arial"/>
          <w:sz w:val="17"/>
          <w:szCs w:val="17"/>
          <w:lang w:val="en-US" w:eastAsia="en-US"/>
        </w:rPr>
        <w:t xml:space="preserve">Found </w:t>
      </w:r>
      <w:r>
        <w:rPr>
          <w:rFonts w:ascii="Arial" w:eastAsia="Times New Roman" w:hAnsi="Arial" w:cs="Arial"/>
          <w:sz w:val="17"/>
          <w:szCs w:val="17"/>
          <w:lang w:val="en-US" w:eastAsia="en-US"/>
        </w:rPr>
        <w:t xml:space="preserve">a </w:t>
      </w:r>
      <w:r w:rsidRPr="00AC4C05">
        <w:rPr>
          <w:rFonts w:ascii="Arial" w:eastAsia="Times New Roman" w:hAnsi="Arial" w:cs="Arial"/>
          <w:sz w:val="17"/>
          <w:szCs w:val="17"/>
          <w:lang w:val="en-US" w:eastAsia="en-US"/>
        </w:rPr>
        <w:t>New Gear</w:t>
      </w:r>
      <w:r>
        <w:rPr>
          <w:rFonts w:ascii="Arial" w:eastAsia="Times New Roman" w:hAnsi="Arial" w:cs="Arial"/>
          <w:sz w:val="17"/>
          <w:szCs w:val="17"/>
          <w:lang w:val="en-US" w:eastAsia="en-US"/>
        </w:rPr>
        <w:t>,</w:t>
      </w:r>
      <w:r w:rsidRPr="00AC4C05">
        <w:rPr>
          <w:rFonts w:ascii="Arial" w:eastAsia="Times New Roman" w:hAnsi="Arial" w:cs="Arial"/>
          <w:sz w:val="17"/>
          <w:szCs w:val="17"/>
          <w:lang w:val="en-US" w:eastAsia="en-US"/>
        </w:rPr>
        <w:t xml:space="preserve">” Seeking Alpha, </w:t>
      </w:r>
      <w:r w:rsidRPr="003266AC">
        <w:rPr>
          <w:rFonts w:ascii="Arial" w:eastAsia="Times New Roman" w:hAnsi="Arial" w:cs="Arial"/>
          <w:sz w:val="17"/>
          <w:szCs w:val="17"/>
          <w:lang w:val="en-US" w:eastAsia="en-US"/>
        </w:rPr>
        <w:t>Jun</w:t>
      </w:r>
      <w:r>
        <w:rPr>
          <w:rFonts w:ascii="Arial" w:eastAsia="Times New Roman" w:hAnsi="Arial" w:cs="Arial"/>
          <w:sz w:val="17"/>
          <w:szCs w:val="17"/>
          <w:lang w:val="en-US" w:eastAsia="en-US"/>
        </w:rPr>
        <w:t>e</w:t>
      </w:r>
      <w:r w:rsidRPr="003266AC">
        <w:rPr>
          <w:rFonts w:ascii="Arial" w:eastAsia="Times New Roman" w:hAnsi="Arial" w:cs="Arial"/>
          <w:sz w:val="17"/>
          <w:szCs w:val="17"/>
          <w:lang w:val="en-US" w:eastAsia="en-US"/>
        </w:rPr>
        <w:t xml:space="preserve"> 1, 2018</w:t>
      </w:r>
      <w:r>
        <w:rPr>
          <w:rFonts w:ascii="Arial" w:eastAsia="Times New Roman" w:hAnsi="Arial" w:cs="Arial"/>
          <w:sz w:val="17"/>
          <w:szCs w:val="17"/>
          <w:lang w:val="en-US" w:eastAsia="en-US"/>
        </w:rPr>
        <w:t xml:space="preserve">, </w:t>
      </w:r>
      <w:r w:rsidRPr="00AC4C05">
        <w:rPr>
          <w:rFonts w:ascii="Arial" w:eastAsia="Times New Roman" w:hAnsi="Arial" w:cs="Arial"/>
          <w:sz w:val="17"/>
          <w:szCs w:val="17"/>
          <w:lang w:val="en-US" w:eastAsia="en-US"/>
        </w:rPr>
        <w:t>accessed August 31, 2018</w:t>
      </w:r>
      <w:r>
        <w:rPr>
          <w:rFonts w:ascii="Arial" w:eastAsia="Times New Roman" w:hAnsi="Arial" w:cs="Arial"/>
          <w:sz w:val="17"/>
          <w:szCs w:val="17"/>
          <w:lang w:val="en-US" w:eastAsia="en-US"/>
        </w:rPr>
        <w:t xml:space="preserve">, </w:t>
      </w:r>
      <w:r w:rsidRPr="00AC4C05">
        <w:rPr>
          <w:rFonts w:ascii="Arial" w:eastAsia="Times New Roman" w:hAnsi="Arial" w:cs="Arial"/>
          <w:sz w:val="17"/>
          <w:szCs w:val="17"/>
          <w:lang w:val="en-US" w:eastAsia="en-US"/>
        </w:rPr>
        <w:t>https://seekingalpha.com/article/4178780-geely-auto-found-new-gear.</w:t>
      </w:r>
    </w:p>
  </w:endnote>
  <w:endnote w:id="38">
    <w:p w14:paraId="2DA60740" w14:textId="3EAAAAB5" w:rsidR="0078385F" w:rsidRPr="00AC4C05" w:rsidRDefault="0078385F" w:rsidP="00DE379F">
      <w:pPr>
        <w:pStyle w:val="Footnote"/>
      </w:pPr>
      <w:r w:rsidRPr="00AC4C05">
        <w:rPr>
          <w:vertAlign w:val="superscript"/>
        </w:rPr>
        <w:endnoteRef/>
      </w:r>
      <w:r w:rsidRPr="00AC4C05">
        <w:rPr>
          <w:rStyle w:val="EndnoteReference"/>
        </w:rPr>
        <w:t xml:space="preserve"> </w:t>
      </w:r>
      <w:r w:rsidRPr="00AC4C05">
        <w:t xml:space="preserve">Alessio Cui, “The Global Ambition </w:t>
      </w:r>
      <w:r>
        <w:t>o</w:t>
      </w:r>
      <w:r w:rsidRPr="00AC4C05">
        <w:t xml:space="preserve">f Didi </w:t>
      </w:r>
      <w:proofErr w:type="spellStart"/>
      <w:r w:rsidRPr="00AC4C05">
        <w:t>Chuxing</w:t>
      </w:r>
      <w:proofErr w:type="spellEnd"/>
      <w:r w:rsidRPr="00AC4C05">
        <w:t xml:space="preserve">, </w:t>
      </w:r>
      <w:r>
        <w:t>t</w:t>
      </w:r>
      <w:r w:rsidRPr="00AC4C05">
        <w:t>he Chinese Uber</w:t>
      </w:r>
      <w:r>
        <w:t>,</w:t>
      </w:r>
      <w:r w:rsidRPr="00AC4C05">
        <w:t>” Market Mogul</w:t>
      </w:r>
      <w:r>
        <w:t xml:space="preserve">, </w:t>
      </w:r>
      <w:r w:rsidRPr="00752368">
        <w:t>August 5, 2017</w:t>
      </w:r>
      <w:r w:rsidRPr="00AC4C05">
        <w:t>, accessed June 9, 2018</w:t>
      </w:r>
      <w:r>
        <w:t xml:space="preserve">, </w:t>
      </w:r>
      <w:r w:rsidRPr="00AC4C05">
        <w:t>https://themarketmogul.com/didi-chuxing-chinese-uber.</w:t>
      </w:r>
    </w:p>
  </w:endnote>
  <w:endnote w:id="39">
    <w:p w14:paraId="65B2CAF8" w14:textId="2016A9B4" w:rsidR="0078385F" w:rsidRPr="0078385F" w:rsidRDefault="0078385F" w:rsidP="0078385F">
      <w:pPr>
        <w:pStyle w:val="Footnote"/>
      </w:pPr>
      <w:r>
        <w:rPr>
          <w:rStyle w:val="EndnoteReference"/>
        </w:rPr>
        <w:endnoteRef/>
      </w:r>
      <w:r>
        <w:t xml:space="preserve"> Jon Russell, “</w:t>
      </w:r>
      <w:r w:rsidRPr="00AC4C05">
        <w:t xml:space="preserve">Uber’s European </w:t>
      </w:r>
      <w:r>
        <w:t>R</w:t>
      </w:r>
      <w:r w:rsidRPr="00AC4C05">
        <w:t xml:space="preserve">ival </w:t>
      </w:r>
      <w:proofErr w:type="spellStart"/>
      <w:r w:rsidRPr="00AC4C05">
        <w:t>Taxify</w:t>
      </w:r>
      <w:proofErr w:type="spellEnd"/>
      <w:r w:rsidRPr="00AC4C05">
        <w:t xml:space="preserve"> </w:t>
      </w:r>
      <w:r>
        <w:t>R</w:t>
      </w:r>
      <w:r w:rsidRPr="00AC4C05">
        <w:t xml:space="preserve">aises $175M </w:t>
      </w:r>
      <w:r>
        <w:t>L</w:t>
      </w:r>
      <w:r w:rsidRPr="00AC4C05">
        <w:t xml:space="preserve">ed by Daimler at a $1B </w:t>
      </w:r>
      <w:r>
        <w:t>V</w:t>
      </w:r>
      <w:r w:rsidRPr="00AC4C05">
        <w:t>aluation</w:t>
      </w:r>
      <w:r>
        <w:t>,” TechCrunch, May 29, 2018</w:t>
      </w:r>
      <w:r w:rsidRPr="00AC4C05">
        <w:t>, accessed August 31, 2018</w:t>
      </w:r>
      <w:r>
        <w:t xml:space="preserve">, </w:t>
      </w:r>
      <w:r w:rsidRPr="00AC4C05">
        <w:t>https://techcrunch.com/2018/05/29/taxify-raises-175m-led-by-daimler-at-a-1b-valuation.</w:t>
      </w:r>
    </w:p>
  </w:endnote>
  <w:endnote w:id="40">
    <w:p w14:paraId="46B0B3EF" w14:textId="07766A80" w:rsidR="00B77438" w:rsidRDefault="0078385F" w:rsidP="0078385F">
      <w:pPr>
        <w:pStyle w:val="Footnote"/>
        <w:rPr>
          <w:spacing w:val="-4"/>
        </w:rPr>
      </w:pPr>
      <w:r w:rsidRPr="00B77438">
        <w:rPr>
          <w:rStyle w:val="EndnoteReference"/>
          <w:rFonts w:eastAsia="Calibri"/>
          <w:spacing w:val="-4"/>
        </w:rPr>
        <w:endnoteRef/>
      </w:r>
      <w:r w:rsidRPr="00B77438">
        <w:rPr>
          <w:rStyle w:val="EndnoteReference"/>
          <w:rFonts w:eastAsia="Calibri"/>
          <w:spacing w:val="-4"/>
          <w:vertAlign w:val="baseline"/>
        </w:rPr>
        <w:t xml:space="preserve"> </w:t>
      </w:r>
      <w:r w:rsidRPr="00B77438">
        <w:rPr>
          <w:spacing w:val="-4"/>
        </w:rPr>
        <w:t xml:space="preserve">“Ford Motor Company’s Worldwide Vehicle Sales from FY 2012 to FY 2017 (in 1,000 units),” Statista, accessed August 31, 2018, www.statista.com/statistics/380104/global-vehicle-sales-of-ford; “Ford Motor Company (F), Summary,” Yahoo! Finance, accessed August 31, 2018, https://finance.yahoo.com/quote/F?p=F&amp;.tsrc=fin-srch; “Ford Motor Company (F), Historical Data, October 10, 2017 to October 10, 2018,” Yahoo! Finance, August 31, 2018, </w:t>
      </w:r>
      <w:r w:rsidR="00B77438" w:rsidRPr="00B77438">
        <w:rPr>
          <w:spacing w:val="-4"/>
        </w:rPr>
        <w:t>https://finance.yahoo.com/quote/F/history?period1</w:t>
      </w:r>
      <w:r w:rsidRPr="00B77438">
        <w:rPr>
          <w:spacing w:val="-4"/>
        </w:rPr>
        <w:t>=1507618800</w:t>
      </w:r>
    </w:p>
    <w:p w14:paraId="5570DE0B" w14:textId="5BF60FB8" w:rsidR="0078385F" w:rsidRPr="00B77438" w:rsidRDefault="0078385F" w:rsidP="0078385F">
      <w:pPr>
        <w:pStyle w:val="Footnote"/>
        <w:rPr>
          <w:spacing w:val="-4"/>
        </w:rPr>
      </w:pPr>
      <w:r w:rsidRPr="00B77438">
        <w:rPr>
          <w:spacing w:val="-4"/>
        </w:rPr>
        <w:t>&amp;period2=1539154800&amp;interval=1d&amp;filter=</w:t>
      </w:r>
      <w:proofErr w:type="spellStart"/>
      <w:r w:rsidRPr="00B77438">
        <w:rPr>
          <w:spacing w:val="-4"/>
        </w:rPr>
        <w:t>history&amp;frequency</w:t>
      </w:r>
      <w:proofErr w:type="spellEnd"/>
      <w:r w:rsidRPr="00B77438">
        <w:rPr>
          <w:spacing w:val="-4"/>
        </w:rPr>
        <w:t>=1d.</w:t>
      </w:r>
    </w:p>
  </w:endnote>
  <w:endnote w:id="41">
    <w:p w14:paraId="660323E3" w14:textId="40B2B1AF" w:rsidR="0078385F" w:rsidRPr="00570DC4" w:rsidRDefault="0078385F" w:rsidP="0078385F">
      <w:pPr>
        <w:pStyle w:val="Footnote"/>
        <w:rPr>
          <w:spacing w:val="-8"/>
        </w:rPr>
      </w:pPr>
      <w:r w:rsidRPr="00570DC4">
        <w:rPr>
          <w:rStyle w:val="EndnoteReference"/>
          <w:rFonts w:eastAsia="Calibri"/>
          <w:spacing w:val="-8"/>
        </w:rPr>
        <w:endnoteRef/>
      </w:r>
      <w:r w:rsidRPr="00570DC4">
        <w:rPr>
          <w:spacing w:val="-8"/>
        </w:rPr>
        <w:t xml:space="preserve"> “</w:t>
      </w:r>
      <w:proofErr w:type="spellStart"/>
      <w:r w:rsidRPr="00570DC4">
        <w:rPr>
          <w:spacing w:val="-8"/>
        </w:rPr>
        <w:t>Geely</w:t>
      </w:r>
      <w:proofErr w:type="spellEnd"/>
      <w:r w:rsidRPr="00570DC4">
        <w:rPr>
          <w:spacing w:val="-8"/>
        </w:rPr>
        <w:t xml:space="preserve"> Automobile Holdings Limited (GELYF), Historical Data, June 8, 2016 to June 8, 2018,” Yahoo! Finance, accessed August 31, 2018, https://finance.yahoo.com/quote/GELYF/history?period1=1465444800&amp;period2=1528516800&amp;interval=1d&amp;filter=history&amp;frequency=1d.</w:t>
      </w:r>
    </w:p>
  </w:endnote>
  <w:endnote w:id="42">
    <w:p w14:paraId="77362287" w14:textId="331BF71E" w:rsidR="0078385F" w:rsidRPr="00AC4C05" w:rsidRDefault="0078385F" w:rsidP="00DE379F">
      <w:pPr>
        <w:pStyle w:val="Footnote"/>
      </w:pPr>
      <w:r w:rsidRPr="00AC4C05">
        <w:rPr>
          <w:rStyle w:val="EndnoteReference"/>
        </w:rPr>
        <w:endnoteRef/>
      </w:r>
      <w:r w:rsidRPr="00AC4C05">
        <w:t xml:space="preserve"> </w:t>
      </w:r>
      <w:r>
        <w:t>Jon Russell, op. cit</w:t>
      </w:r>
      <w:r w:rsidRPr="00AC4C05">
        <w:t>.</w:t>
      </w:r>
    </w:p>
  </w:endnote>
  <w:endnote w:id="43">
    <w:p w14:paraId="60F55011" w14:textId="1AE0F6FA" w:rsidR="0078385F" w:rsidRPr="00AC4C05" w:rsidRDefault="0078385F" w:rsidP="00DE379F">
      <w:pPr>
        <w:pStyle w:val="Footnote"/>
      </w:pPr>
      <w:r w:rsidRPr="00AC4C05">
        <w:rPr>
          <w:rStyle w:val="EndnoteReference"/>
        </w:rPr>
        <w:endnoteRef/>
      </w:r>
      <w:r w:rsidRPr="00AC4C05">
        <w:rPr>
          <w:vertAlign w:val="superscript"/>
        </w:rPr>
        <w:t xml:space="preserve"> </w:t>
      </w:r>
      <w:r w:rsidRPr="00E44C62">
        <w:rPr>
          <w:spacing w:val="-2"/>
        </w:rPr>
        <w:t xml:space="preserve">John </w:t>
      </w:r>
      <w:proofErr w:type="spellStart"/>
      <w:r w:rsidRPr="00E44C62">
        <w:rPr>
          <w:spacing w:val="-2"/>
        </w:rPr>
        <w:t>Ydstie</w:t>
      </w:r>
      <w:proofErr w:type="spellEnd"/>
      <w:r w:rsidRPr="00E44C62">
        <w:rPr>
          <w:spacing w:val="-2"/>
        </w:rPr>
        <w:t>, “Global Markets Fall As US–China Trade Tensions Rise,” National Public Radio, All Things Considered, transcript, accessed August 31, 2018, www.npr.org/2018/06/19/621579039/global-markets-fall-as-u-s-china-trade-tensions-rise</w:t>
      </w:r>
      <w:r>
        <w:rPr>
          <w:spacing w:val="-2"/>
        </w:rPr>
        <w:t>;</w:t>
      </w:r>
      <w:r w:rsidRPr="00E44C62">
        <w:rPr>
          <w:spacing w:val="-2"/>
        </w:rPr>
        <w:t xml:space="preserve"> </w:t>
      </w:r>
      <w:r w:rsidRPr="00B8799C">
        <w:t xml:space="preserve">Greg Gardner, </w:t>
      </w:r>
      <w:r>
        <w:t>“</w:t>
      </w:r>
      <w:r w:rsidRPr="00B8799C">
        <w:t>Automakers</w:t>
      </w:r>
      <w:r>
        <w:t>’</w:t>
      </w:r>
      <w:r w:rsidRPr="00B8799C">
        <w:t xml:space="preserve"> Reinvention </w:t>
      </w:r>
      <w:r>
        <w:t>a</w:t>
      </w:r>
      <w:r w:rsidRPr="00B8799C">
        <w:t xml:space="preserve">t Risk </w:t>
      </w:r>
      <w:r>
        <w:t>a</w:t>
      </w:r>
      <w:r w:rsidRPr="00B8799C">
        <w:t>s Trump</w:t>
      </w:r>
      <w:r>
        <w:t>’</w:t>
      </w:r>
      <w:r w:rsidRPr="00B8799C">
        <w:t>s Tariffs Threaten Their Core Business</w:t>
      </w:r>
      <w:r>
        <w:t xml:space="preserve">,” </w:t>
      </w:r>
      <w:r w:rsidRPr="00DE379F">
        <w:rPr>
          <w:i/>
        </w:rPr>
        <w:t>Forbes</w:t>
      </w:r>
      <w:r w:rsidRPr="00AC4C05">
        <w:t xml:space="preserve">, </w:t>
      </w:r>
      <w:r>
        <w:t xml:space="preserve">July 19, 2018, </w:t>
      </w:r>
      <w:r w:rsidRPr="00AC4C05">
        <w:t>accessed August 31, 2018</w:t>
      </w:r>
      <w:r>
        <w:t xml:space="preserve">, </w:t>
      </w:r>
      <w:r w:rsidRPr="00AC4C05">
        <w:t xml:space="preserve">www.forbes.com/sites/greggardner/2018/07/19/automakers-reinvention-at-risk-as-trumps-tariffs-threaten-their-core-business/#347e6f684f5a. </w:t>
      </w:r>
    </w:p>
  </w:endnote>
  <w:endnote w:id="44">
    <w:p w14:paraId="537933BF" w14:textId="52EFC77D" w:rsidR="0078385F" w:rsidRPr="00AC4C05" w:rsidRDefault="0078385F" w:rsidP="00DE379F">
      <w:pPr>
        <w:pStyle w:val="Footnote"/>
      </w:pPr>
      <w:r w:rsidRPr="00AC4C05">
        <w:rPr>
          <w:rStyle w:val="EndnoteReference"/>
        </w:rPr>
        <w:endnoteRef/>
      </w:r>
      <w:r w:rsidRPr="00AC4C05">
        <w:rPr>
          <w:vertAlign w:val="superscript"/>
        </w:rPr>
        <w:t xml:space="preserve"> </w:t>
      </w:r>
      <w:r>
        <w:t>“</w:t>
      </w:r>
      <w:r w:rsidRPr="00752368">
        <w:t>Ford Motor Company (F)</w:t>
      </w:r>
      <w:r w:rsidRPr="00AC4C05">
        <w:t>,</w:t>
      </w:r>
      <w:r>
        <w:t xml:space="preserve"> Summary,”</w:t>
      </w:r>
      <w:r w:rsidRPr="00AC4C05">
        <w:t xml:space="preserve"> </w:t>
      </w:r>
      <w:r>
        <w:t>op. cit</w:t>
      </w:r>
      <w:r w:rsidRPr="00AC4C05">
        <w:t>.</w:t>
      </w:r>
      <w:r>
        <w:t xml:space="preserve">; </w:t>
      </w:r>
      <w:r w:rsidRPr="00B8799C">
        <w:t>Matt Phillips</w:t>
      </w:r>
      <w:r>
        <w:t>, “</w:t>
      </w:r>
      <w:r w:rsidRPr="00AC4C05">
        <w:t xml:space="preserve">G.E. Dropped </w:t>
      </w:r>
      <w:proofErr w:type="gramStart"/>
      <w:r w:rsidRPr="00AC4C05">
        <w:t>From</w:t>
      </w:r>
      <w:proofErr w:type="gramEnd"/>
      <w:r w:rsidRPr="00AC4C05">
        <w:t xml:space="preserve"> the Dow </w:t>
      </w:r>
      <w:r>
        <w:t>a</w:t>
      </w:r>
      <w:r w:rsidRPr="00AC4C05">
        <w:t xml:space="preserve">fter More </w:t>
      </w:r>
      <w:r>
        <w:t>t</w:t>
      </w:r>
      <w:r w:rsidRPr="00AC4C05">
        <w:t>han a Century,</w:t>
      </w:r>
      <w:r>
        <w:t xml:space="preserve">” </w:t>
      </w:r>
      <w:r w:rsidRPr="00DE379F">
        <w:rPr>
          <w:i/>
        </w:rPr>
        <w:t>New York Times</w:t>
      </w:r>
      <w:r>
        <w:t>,</w:t>
      </w:r>
      <w:r w:rsidRPr="00AC4C05">
        <w:t xml:space="preserve"> </w:t>
      </w:r>
      <w:r w:rsidRPr="00B8799C">
        <w:t>June 19, 2018</w:t>
      </w:r>
      <w:r>
        <w:t xml:space="preserve">, </w:t>
      </w:r>
      <w:r w:rsidRPr="00AC4C05">
        <w:t>accessed September 2, 2018</w:t>
      </w:r>
      <w:r>
        <w:t xml:space="preserve">, </w:t>
      </w:r>
      <w:r w:rsidRPr="00570DC4">
        <w:t>www.nytimes.com/2018/06/19/business/dealbook/general-electric-dow-jones.html</w:t>
      </w:r>
      <w:r>
        <w:t xml:space="preserve">; </w:t>
      </w:r>
      <w:r w:rsidRPr="00570DC4">
        <w:t xml:space="preserve">Rae </w:t>
      </w:r>
      <w:proofErr w:type="spellStart"/>
      <w:r w:rsidRPr="00570DC4">
        <w:t>Gjording</w:t>
      </w:r>
      <w:proofErr w:type="spellEnd"/>
      <w:r>
        <w:t>,</w:t>
      </w:r>
      <w:r w:rsidRPr="00570DC4">
        <w:t xml:space="preserve"> </w:t>
      </w:r>
      <w:r>
        <w:t>“</w:t>
      </w:r>
      <w:r w:rsidRPr="00AC4C05">
        <w:t xml:space="preserve">How General Electric </w:t>
      </w:r>
      <w:r>
        <w:t>B</w:t>
      </w:r>
      <w:r w:rsidRPr="00AC4C05">
        <w:t xml:space="preserve">ecame a </w:t>
      </w:r>
      <w:r>
        <w:t>G</w:t>
      </w:r>
      <w:r w:rsidRPr="00AC4C05">
        <w:t xml:space="preserve">eneral </w:t>
      </w:r>
      <w:r>
        <w:t>D</w:t>
      </w:r>
      <w:r w:rsidRPr="00AC4C05">
        <w:t>isappointment</w:t>
      </w:r>
      <w:r>
        <w:t>,”</w:t>
      </w:r>
      <w:r w:rsidRPr="00AC4C05">
        <w:t xml:space="preserve"> D</w:t>
      </w:r>
      <w:r>
        <w:t xml:space="preserve">eutsche </w:t>
      </w:r>
      <w:proofErr w:type="spellStart"/>
      <w:r w:rsidRPr="00AC4C05">
        <w:t>W</w:t>
      </w:r>
      <w:r>
        <w:t>elle</w:t>
      </w:r>
      <w:proofErr w:type="spellEnd"/>
      <w:r>
        <w:t>,</w:t>
      </w:r>
      <w:r w:rsidRPr="00AC4C05">
        <w:t xml:space="preserve"> </w:t>
      </w:r>
      <w:r>
        <w:t xml:space="preserve">December 2, </w:t>
      </w:r>
      <w:r w:rsidRPr="00AC4C05">
        <w:t>2018, accessed August 31, 2018</w:t>
      </w:r>
      <w:r>
        <w:t xml:space="preserve">, </w:t>
      </w:r>
      <w:r w:rsidRPr="00AC4C05">
        <w:t>www.dw.com/en/how-general-electric-became-a-general-disappointment/a-42542423.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92A16" w14:textId="77777777" w:rsidR="0078385F" w:rsidRDefault="0078385F" w:rsidP="00D75295">
      <w:r>
        <w:separator/>
      </w:r>
    </w:p>
  </w:footnote>
  <w:footnote w:type="continuationSeparator" w:id="0">
    <w:p w14:paraId="57327079" w14:textId="77777777" w:rsidR="0078385F" w:rsidRDefault="0078385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4CBA706" w:rsidR="0078385F" w:rsidRPr="00C92CC4" w:rsidRDefault="0078385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44DBE">
      <w:rPr>
        <w:rFonts w:ascii="Arial" w:hAnsi="Arial"/>
        <w:b/>
        <w:noProof/>
      </w:rPr>
      <w:t>12</w:t>
    </w:r>
    <w:r>
      <w:rPr>
        <w:rFonts w:ascii="Arial" w:hAnsi="Arial"/>
        <w:b/>
      </w:rPr>
      <w:fldChar w:fldCharType="end"/>
    </w:r>
    <w:r>
      <w:rPr>
        <w:rFonts w:ascii="Arial" w:hAnsi="Arial"/>
        <w:b/>
      </w:rPr>
      <w:tab/>
    </w:r>
    <w:r w:rsidR="00B7629F">
      <w:rPr>
        <w:rFonts w:ascii="Arial" w:hAnsi="Arial"/>
        <w:b/>
      </w:rPr>
      <w:t>9B18M185</w:t>
    </w:r>
  </w:p>
  <w:p w14:paraId="2B53C0A0" w14:textId="77777777" w:rsidR="0078385F" w:rsidRDefault="0078385F" w:rsidP="00D13667">
    <w:pPr>
      <w:pStyle w:val="Header"/>
      <w:tabs>
        <w:tab w:val="clear" w:pos="4680"/>
      </w:tabs>
      <w:rPr>
        <w:sz w:val="18"/>
        <w:szCs w:val="18"/>
      </w:rPr>
    </w:pPr>
  </w:p>
  <w:p w14:paraId="47119730" w14:textId="77777777" w:rsidR="0078385F" w:rsidRPr="00C92CC4" w:rsidRDefault="0078385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183071"/>
    <w:multiLevelType w:val="hybridMultilevel"/>
    <w:tmpl w:val="4248174E"/>
    <w:lvl w:ilvl="0" w:tplc="0C08E1A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E313F7"/>
    <w:multiLevelType w:val="hybridMultilevel"/>
    <w:tmpl w:val="90F6BCE8"/>
    <w:lvl w:ilvl="0" w:tplc="7898049E">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B226F65"/>
    <w:multiLevelType w:val="hybridMultilevel"/>
    <w:tmpl w:val="83BE92BA"/>
    <w:lvl w:ilvl="0" w:tplc="DD14CCD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1060AB"/>
    <w:multiLevelType w:val="hybridMultilevel"/>
    <w:tmpl w:val="F402788C"/>
    <w:lvl w:ilvl="0" w:tplc="579A398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EC6CCF"/>
    <w:multiLevelType w:val="hybridMultilevel"/>
    <w:tmpl w:val="627ED13C"/>
    <w:lvl w:ilvl="0" w:tplc="7D40627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9"/>
  </w:num>
  <w:num w:numId="5">
    <w:abstractNumId w:val="3"/>
  </w:num>
  <w:num w:numId="6">
    <w:abstractNumId w:val="7"/>
  </w:num>
  <w:num w:numId="7">
    <w:abstractNumId w:val="0"/>
  </w:num>
  <w:num w:numId="8">
    <w:abstractNumId w:val="4"/>
  </w:num>
  <w:num w:numId="9">
    <w:abstractNumId w:val="11"/>
  </w:num>
  <w:num w:numId="10">
    <w:abstractNumId w:val="8"/>
  </w:num>
  <w:num w:numId="11">
    <w:abstractNumId w:val="1"/>
  </w:num>
  <w:num w:numId="1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2585"/>
    <w:rsid w:val="00010DB6"/>
    <w:rsid w:val="00011F88"/>
    <w:rsid w:val="00013360"/>
    <w:rsid w:val="00016759"/>
    <w:rsid w:val="000216CE"/>
    <w:rsid w:val="00024DA6"/>
    <w:rsid w:val="00024ED4"/>
    <w:rsid w:val="00025DC7"/>
    <w:rsid w:val="00035F09"/>
    <w:rsid w:val="00041E8F"/>
    <w:rsid w:val="00044DBE"/>
    <w:rsid w:val="00044ECC"/>
    <w:rsid w:val="000531D3"/>
    <w:rsid w:val="00053B87"/>
    <w:rsid w:val="0005646B"/>
    <w:rsid w:val="00056540"/>
    <w:rsid w:val="000613D4"/>
    <w:rsid w:val="00064158"/>
    <w:rsid w:val="00073A30"/>
    <w:rsid w:val="0008102D"/>
    <w:rsid w:val="0008498C"/>
    <w:rsid w:val="00086B26"/>
    <w:rsid w:val="00094C0E"/>
    <w:rsid w:val="000A02DB"/>
    <w:rsid w:val="000A146D"/>
    <w:rsid w:val="000A49FC"/>
    <w:rsid w:val="000B1805"/>
    <w:rsid w:val="000B3C95"/>
    <w:rsid w:val="000C3D8B"/>
    <w:rsid w:val="000D2A2F"/>
    <w:rsid w:val="000D37CE"/>
    <w:rsid w:val="000D7091"/>
    <w:rsid w:val="000E60F1"/>
    <w:rsid w:val="000F0C22"/>
    <w:rsid w:val="000F4CD9"/>
    <w:rsid w:val="000F6B09"/>
    <w:rsid w:val="000F6FDC"/>
    <w:rsid w:val="00104567"/>
    <w:rsid w:val="00104916"/>
    <w:rsid w:val="00104AA7"/>
    <w:rsid w:val="00115923"/>
    <w:rsid w:val="0012732D"/>
    <w:rsid w:val="00143F25"/>
    <w:rsid w:val="00144BA5"/>
    <w:rsid w:val="00145924"/>
    <w:rsid w:val="00152682"/>
    <w:rsid w:val="00154FC9"/>
    <w:rsid w:val="00163F3F"/>
    <w:rsid w:val="00166E66"/>
    <w:rsid w:val="0017125D"/>
    <w:rsid w:val="001716CB"/>
    <w:rsid w:val="00172D18"/>
    <w:rsid w:val="001738BC"/>
    <w:rsid w:val="0017497D"/>
    <w:rsid w:val="0019241A"/>
    <w:rsid w:val="00192919"/>
    <w:rsid w:val="00192A18"/>
    <w:rsid w:val="001A22D1"/>
    <w:rsid w:val="001A38CB"/>
    <w:rsid w:val="001A752D"/>
    <w:rsid w:val="001A757E"/>
    <w:rsid w:val="001B2E21"/>
    <w:rsid w:val="001B5032"/>
    <w:rsid w:val="001C02CF"/>
    <w:rsid w:val="001C3EC3"/>
    <w:rsid w:val="001C7777"/>
    <w:rsid w:val="001D344B"/>
    <w:rsid w:val="001E364F"/>
    <w:rsid w:val="001F0945"/>
    <w:rsid w:val="001F4222"/>
    <w:rsid w:val="002006A5"/>
    <w:rsid w:val="0020080D"/>
    <w:rsid w:val="0020158C"/>
    <w:rsid w:val="00203AA1"/>
    <w:rsid w:val="00213E98"/>
    <w:rsid w:val="002154FD"/>
    <w:rsid w:val="00230150"/>
    <w:rsid w:val="0023081A"/>
    <w:rsid w:val="00232CFE"/>
    <w:rsid w:val="00233111"/>
    <w:rsid w:val="0024566E"/>
    <w:rsid w:val="0024573B"/>
    <w:rsid w:val="00254337"/>
    <w:rsid w:val="0026433D"/>
    <w:rsid w:val="00265FA8"/>
    <w:rsid w:val="00275050"/>
    <w:rsid w:val="00277BB0"/>
    <w:rsid w:val="002804CA"/>
    <w:rsid w:val="002867C4"/>
    <w:rsid w:val="002976C5"/>
    <w:rsid w:val="002C011C"/>
    <w:rsid w:val="002C4117"/>
    <w:rsid w:val="002C4E29"/>
    <w:rsid w:val="002D044C"/>
    <w:rsid w:val="002F0E04"/>
    <w:rsid w:val="002F460C"/>
    <w:rsid w:val="002F48D6"/>
    <w:rsid w:val="00311C8E"/>
    <w:rsid w:val="00313E73"/>
    <w:rsid w:val="00317391"/>
    <w:rsid w:val="00322704"/>
    <w:rsid w:val="00326216"/>
    <w:rsid w:val="003266AC"/>
    <w:rsid w:val="003313E7"/>
    <w:rsid w:val="00336580"/>
    <w:rsid w:val="00337A5A"/>
    <w:rsid w:val="003530A5"/>
    <w:rsid w:val="00354899"/>
    <w:rsid w:val="00355FD6"/>
    <w:rsid w:val="00364A5C"/>
    <w:rsid w:val="00367453"/>
    <w:rsid w:val="003706E5"/>
    <w:rsid w:val="00373FB1"/>
    <w:rsid w:val="00380EEC"/>
    <w:rsid w:val="00390515"/>
    <w:rsid w:val="00396C76"/>
    <w:rsid w:val="003A6B8D"/>
    <w:rsid w:val="003B30D8"/>
    <w:rsid w:val="003B7EF2"/>
    <w:rsid w:val="003C3FA4"/>
    <w:rsid w:val="003C7BAE"/>
    <w:rsid w:val="003D0BA1"/>
    <w:rsid w:val="003F2B0C"/>
    <w:rsid w:val="003F706A"/>
    <w:rsid w:val="004105B2"/>
    <w:rsid w:val="0041145A"/>
    <w:rsid w:val="00412900"/>
    <w:rsid w:val="00415393"/>
    <w:rsid w:val="004221E4"/>
    <w:rsid w:val="00424416"/>
    <w:rsid w:val="004263F1"/>
    <w:rsid w:val="004273F8"/>
    <w:rsid w:val="004355A3"/>
    <w:rsid w:val="00440AEB"/>
    <w:rsid w:val="00446546"/>
    <w:rsid w:val="00452769"/>
    <w:rsid w:val="00454FA7"/>
    <w:rsid w:val="00464042"/>
    <w:rsid w:val="00465348"/>
    <w:rsid w:val="004736AA"/>
    <w:rsid w:val="00475FE2"/>
    <w:rsid w:val="004866E4"/>
    <w:rsid w:val="00486704"/>
    <w:rsid w:val="004979A5"/>
    <w:rsid w:val="004A25E0"/>
    <w:rsid w:val="004A3505"/>
    <w:rsid w:val="004A6270"/>
    <w:rsid w:val="004A7273"/>
    <w:rsid w:val="004A7D42"/>
    <w:rsid w:val="004B1CCB"/>
    <w:rsid w:val="004B3164"/>
    <w:rsid w:val="004B632F"/>
    <w:rsid w:val="004B7BBD"/>
    <w:rsid w:val="004C0B88"/>
    <w:rsid w:val="004C5550"/>
    <w:rsid w:val="004D1ACD"/>
    <w:rsid w:val="004D3FB1"/>
    <w:rsid w:val="004D4441"/>
    <w:rsid w:val="004D6F21"/>
    <w:rsid w:val="004D73A5"/>
    <w:rsid w:val="00500874"/>
    <w:rsid w:val="0050511E"/>
    <w:rsid w:val="005160F1"/>
    <w:rsid w:val="00522FB2"/>
    <w:rsid w:val="00524F2F"/>
    <w:rsid w:val="0052769A"/>
    <w:rsid w:val="00527E5C"/>
    <w:rsid w:val="00532CF5"/>
    <w:rsid w:val="00532F3F"/>
    <w:rsid w:val="005528CB"/>
    <w:rsid w:val="00553241"/>
    <w:rsid w:val="00566771"/>
    <w:rsid w:val="00570DC4"/>
    <w:rsid w:val="00571BD6"/>
    <w:rsid w:val="00572ED3"/>
    <w:rsid w:val="00575645"/>
    <w:rsid w:val="00581E2E"/>
    <w:rsid w:val="00584F15"/>
    <w:rsid w:val="005855C7"/>
    <w:rsid w:val="0059514B"/>
    <w:rsid w:val="00595CC5"/>
    <w:rsid w:val="005A1B0F"/>
    <w:rsid w:val="005A6380"/>
    <w:rsid w:val="005B133E"/>
    <w:rsid w:val="005B5EFE"/>
    <w:rsid w:val="005B6E1D"/>
    <w:rsid w:val="005D430A"/>
    <w:rsid w:val="005F4925"/>
    <w:rsid w:val="00605496"/>
    <w:rsid w:val="006103CB"/>
    <w:rsid w:val="006163F7"/>
    <w:rsid w:val="00627C63"/>
    <w:rsid w:val="00632049"/>
    <w:rsid w:val="0063350B"/>
    <w:rsid w:val="006414B0"/>
    <w:rsid w:val="00651D00"/>
    <w:rsid w:val="00652606"/>
    <w:rsid w:val="00675CC3"/>
    <w:rsid w:val="006946EE"/>
    <w:rsid w:val="006A58A9"/>
    <w:rsid w:val="006A606D"/>
    <w:rsid w:val="006C0371"/>
    <w:rsid w:val="006C08B6"/>
    <w:rsid w:val="006C0B1A"/>
    <w:rsid w:val="006C6065"/>
    <w:rsid w:val="006C60C2"/>
    <w:rsid w:val="006C6340"/>
    <w:rsid w:val="006C7F9F"/>
    <w:rsid w:val="006D0892"/>
    <w:rsid w:val="006D4EF8"/>
    <w:rsid w:val="006E2F6D"/>
    <w:rsid w:val="006E58F6"/>
    <w:rsid w:val="006E77E1"/>
    <w:rsid w:val="006F0B6B"/>
    <w:rsid w:val="006F131D"/>
    <w:rsid w:val="006F57D2"/>
    <w:rsid w:val="0070455F"/>
    <w:rsid w:val="00711642"/>
    <w:rsid w:val="007163A5"/>
    <w:rsid w:val="0073077B"/>
    <w:rsid w:val="007474D4"/>
    <w:rsid w:val="007507C6"/>
    <w:rsid w:val="00751E0B"/>
    <w:rsid w:val="00752368"/>
    <w:rsid w:val="00752BCD"/>
    <w:rsid w:val="00760CDC"/>
    <w:rsid w:val="00766DA1"/>
    <w:rsid w:val="00771A28"/>
    <w:rsid w:val="00780D94"/>
    <w:rsid w:val="0078385F"/>
    <w:rsid w:val="007866A6"/>
    <w:rsid w:val="0079472A"/>
    <w:rsid w:val="007961A6"/>
    <w:rsid w:val="007A130D"/>
    <w:rsid w:val="007B2B4C"/>
    <w:rsid w:val="007C6211"/>
    <w:rsid w:val="007D1A2D"/>
    <w:rsid w:val="007D1DD2"/>
    <w:rsid w:val="007D4102"/>
    <w:rsid w:val="007D68D2"/>
    <w:rsid w:val="007E20DB"/>
    <w:rsid w:val="007E54A7"/>
    <w:rsid w:val="007F43B7"/>
    <w:rsid w:val="0081400C"/>
    <w:rsid w:val="00821FFC"/>
    <w:rsid w:val="008271CA"/>
    <w:rsid w:val="008301D3"/>
    <w:rsid w:val="0083247A"/>
    <w:rsid w:val="00843CFA"/>
    <w:rsid w:val="00844127"/>
    <w:rsid w:val="008467D5"/>
    <w:rsid w:val="00860E4C"/>
    <w:rsid w:val="00863F6D"/>
    <w:rsid w:val="00864C94"/>
    <w:rsid w:val="008807B8"/>
    <w:rsid w:val="00880878"/>
    <w:rsid w:val="008901AA"/>
    <w:rsid w:val="00893349"/>
    <w:rsid w:val="008A09D6"/>
    <w:rsid w:val="008A4DC4"/>
    <w:rsid w:val="008A5ECF"/>
    <w:rsid w:val="008B438C"/>
    <w:rsid w:val="008C21DE"/>
    <w:rsid w:val="008C392D"/>
    <w:rsid w:val="008D06CA"/>
    <w:rsid w:val="008D1F23"/>
    <w:rsid w:val="008D3A46"/>
    <w:rsid w:val="008E7BFC"/>
    <w:rsid w:val="008F2385"/>
    <w:rsid w:val="00903FF4"/>
    <w:rsid w:val="00905B58"/>
    <w:rsid w:val="009067A4"/>
    <w:rsid w:val="009273FB"/>
    <w:rsid w:val="00930885"/>
    <w:rsid w:val="00931B8B"/>
    <w:rsid w:val="00933543"/>
    <w:rsid w:val="00933D68"/>
    <w:rsid w:val="009340DB"/>
    <w:rsid w:val="00937B33"/>
    <w:rsid w:val="00937CEF"/>
    <w:rsid w:val="0094618C"/>
    <w:rsid w:val="009462F1"/>
    <w:rsid w:val="00946585"/>
    <w:rsid w:val="009465A5"/>
    <w:rsid w:val="009467F3"/>
    <w:rsid w:val="00946AF6"/>
    <w:rsid w:val="00953BA2"/>
    <w:rsid w:val="0095676F"/>
    <w:rsid w:val="0095684B"/>
    <w:rsid w:val="00960741"/>
    <w:rsid w:val="00972498"/>
    <w:rsid w:val="0097481F"/>
    <w:rsid w:val="00974CC6"/>
    <w:rsid w:val="00976AD4"/>
    <w:rsid w:val="00985A60"/>
    <w:rsid w:val="00995547"/>
    <w:rsid w:val="009A312F"/>
    <w:rsid w:val="009A3889"/>
    <w:rsid w:val="009A5348"/>
    <w:rsid w:val="009B0AB7"/>
    <w:rsid w:val="009B35F7"/>
    <w:rsid w:val="009B5680"/>
    <w:rsid w:val="009C48E3"/>
    <w:rsid w:val="009C4CB2"/>
    <w:rsid w:val="009C76D5"/>
    <w:rsid w:val="009D6219"/>
    <w:rsid w:val="009F7AA4"/>
    <w:rsid w:val="00A0062D"/>
    <w:rsid w:val="00A10AD7"/>
    <w:rsid w:val="00A16221"/>
    <w:rsid w:val="00A21424"/>
    <w:rsid w:val="00A30045"/>
    <w:rsid w:val="00A33D48"/>
    <w:rsid w:val="00A34F97"/>
    <w:rsid w:val="00A43C1E"/>
    <w:rsid w:val="00A448BB"/>
    <w:rsid w:val="00A50A21"/>
    <w:rsid w:val="00A540B0"/>
    <w:rsid w:val="00A55475"/>
    <w:rsid w:val="00A559DB"/>
    <w:rsid w:val="00A569EA"/>
    <w:rsid w:val="00A676A0"/>
    <w:rsid w:val="00A81EC3"/>
    <w:rsid w:val="00AB11A9"/>
    <w:rsid w:val="00AB3162"/>
    <w:rsid w:val="00AC4C05"/>
    <w:rsid w:val="00AE0FB7"/>
    <w:rsid w:val="00AF35FC"/>
    <w:rsid w:val="00AF5556"/>
    <w:rsid w:val="00B03639"/>
    <w:rsid w:val="00B0652A"/>
    <w:rsid w:val="00B066D5"/>
    <w:rsid w:val="00B156C7"/>
    <w:rsid w:val="00B403E0"/>
    <w:rsid w:val="00B40937"/>
    <w:rsid w:val="00B423EF"/>
    <w:rsid w:val="00B4259C"/>
    <w:rsid w:val="00B453DE"/>
    <w:rsid w:val="00B60C9A"/>
    <w:rsid w:val="00B62497"/>
    <w:rsid w:val="00B640B0"/>
    <w:rsid w:val="00B72597"/>
    <w:rsid w:val="00B7629F"/>
    <w:rsid w:val="00B77438"/>
    <w:rsid w:val="00B83797"/>
    <w:rsid w:val="00B8799C"/>
    <w:rsid w:val="00B87B5B"/>
    <w:rsid w:val="00B87C79"/>
    <w:rsid w:val="00B87DC0"/>
    <w:rsid w:val="00B901F9"/>
    <w:rsid w:val="00B91D0C"/>
    <w:rsid w:val="00BA5472"/>
    <w:rsid w:val="00BC4D98"/>
    <w:rsid w:val="00BC60D0"/>
    <w:rsid w:val="00BD6EFB"/>
    <w:rsid w:val="00BE3DF5"/>
    <w:rsid w:val="00BE78FD"/>
    <w:rsid w:val="00BF575B"/>
    <w:rsid w:val="00BF5EAB"/>
    <w:rsid w:val="00C02410"/>
    <w:rsid w:val="00C1277F"/>
    <w:rsid w:val="00C1584D"/>
    <w:rsid w:val="00C15BE2"/>
    <w:rsid w:val="00C279A5"/>
    <w:rsid w:val="00C3047A"/>
    <w:rsid w:val="00C3447F"/>
    <w:rsid w:val="00C444D5"/>
    <w:rsid w:val="00C44714"/>
    <w:rsid w:val="00C60395"/>
    <w:rsid w:val="00C67102"/>
    <w:rsid w:val="00C81491"/>
    <w:rsid w:val="00C81676"/>
    <w:rsid w:val="00C85C5D"/>
    <w:rsid w:val="00C92CC4"/>
    <w:rsid w:val="00CA0AFB"/>
    <w:rsid w:val="00CA2CE1"/>
    <w:rsid w:val="00CA3976"/>
    <w:rsid w:val="00CA50E3"/>
    <w:rsid w:val="00CA5A0D"/>
    <w:rsid w:val="00CA757B"/>
    <w:rsid w:val="00CB05CD"/>
    <w:rsid w:val="00CB3629"/>
    <w:rsid w:val="00CB68AC"/>
    <w:rsid w:val="00CC1787"/>
    <w:rsid w:val="00CC182C"/>
    <w:rsid w:val="00CC3677"/>
    <w:rsid w:val="00CD0824"/>
    <w:rsid w:val="00CD2908"/>
    <w:rsid w:val="00CE411B"/>
    <w:rsid w:val="00CF5AA4"/>
    <w:rsid w:val="00D02526"/>
    <w:rsid w:val="00D03A82"/>
    <w:rsid w:val="00D13667"/>
    <w:rsid w:val="00D15344"/>
    <w:rsid w:val="00D1764D"/>
    <w:rsid w:val="00D21BC0"/>
    <w:rsid w:val="00D23F57"/>
    <w:rsid w:val="00D2553C"/>
    <w:rsid w:val="00D315F3"/>
    <w:rsid w:val="00D31BEC"/>
    <w:rsid w:val="00D3430A"/>
    <w:rsid w:val="00D40D05"/>
    <w:rsid w:val="00D5162B"/>
    <w:rsid w:val="00D63150"/>
    <w:rsid w:val="00D636BA"/>
    <w:rsid w:val="00D64A32"/>
    <w:rsid w:val="00D64EFC"/>
    <w:rsid w:val="00D657E2"/>
    <w:rsid w:val="00D70FB6"/>
    <w:rsid w:val="00D75295"/>
    <w:rsid w:val="00D76CE9"/>
    <w:rsid w:val="00D936C7"/>
    <w:rsid w:val="00D97F12"/>
    <w:rsid w:val="00DA0665"/>
    <w:rsid w:val="00DA417B"/>
    <w:rsid w:val="00DA6095"/>
    <w:rsid w:val="00DB0238"/>
    <w:rsid w:val="00DB42E7"/>
    <w:rsid w:val="00DC09D8"/>
    <w:rsid w:val="00DD100A"/>
    <w:rsid w:val="00DE01A6"/>
    <w:rsid w:val="00DE379F"/>
    <w:rsid w:val="00DE6153"/>
    <w:rsid w:val="00DE659A"/>
    <w:rsid w:val="00DE7A98"/>
    <w:rsid w:val="00DE7AA6"/>
    <w:rsid w:val="00DF1089"/>
    <w:rsid w:val="00DF32C2"/>
    <w:rsid w:val="00E102B4"/>
    <w:rsid w:val="00E2276F"/>
    <w:rsid w:val="00E44C62"/>
    <w:rsid w:val="00E471A7"/>
    <w:rsid w:val="00E635CF"/>
    <w:rsid w:val="00E8548C"/>
    <w:rsid w:val="00E90AB9"/>
    <w:rsid w:val="00EB1E3B"/>
    <w:rsid w:val="00EB53FD"/>
    <w:rsid w:val="00EB7A7B"/>
    <w:rsid w:val="00EC6E0A"/>
    <w:rsid w:val="00ED145E"/>
    <w:rsid w:val="00ED4E18"/>
    <w:rsid w:val="00ED7922"/>
    <w:rsid w:val="00EE02C4"/>
    <w:rsid w:val="00EE1E22"/>
    <w:rsid w:val="00EE1F37"/>
    <w:rsid w:val="00EF6B8F"/>
    <w:rsid w:val="00EF7708"/>
    <w:rsid w:val="00EF79CB"/>
    <w:rsid w:val="00F0159C"/>
    <w:rsid w:val="00F105B7"/>
    <w:rsid w:val="00F13220"/>
    <w:rsid w:val="00F14A0F"/>
    <w:rsid w:val="00F17A21"/>
    <w:rsid w:val="00F37B27"/>
    <w:rsid w:val="00F443CC"/>
    <w:rsid w:val="00F46556"/>
    <w:rsid w:val="00F47F1C"/>
    <w:rsid w:val="00F50E91"/>
    <w:rsid w:val="00F51D97"/>
    <w:rsid w:val="00F56B7C"/>
    <w:rsid w:val="00F57D29"/>
    <w:rsid w:val="00F60786"/>
    <w:rsid w:val="00F62902"/>
    <w:rsid w:val="00F63F28"/>
    <w:rsid w:val="00F91BC7"/>
    <w:rsid w:val="00F96201"/>
    <w:rsid w:val="00FA1BBC"/>
    <w:rsid w:val="00FB0851"/>
    <w:rsid w:val="00FB1AD1"/>
    <w:rsid w:val="00FB1C8B"/>
    <w:rsid w:val="00FD0B18"/>
    <w:rsid w:val="00FD1590"/>
    <w:rsid w:val="00FD2FAD"/>
    <w:rsid w:val="00FE423D"/>
    <w:rsid w:val="00FE444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8E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91814">
      <w:bodyDiv w:val="1"/>
      <w:marLeft w:val="0"/>
      <w:marRight w:val="0"/>
      <w:marTop w:val="0"/>
      <w:marBottom w:val="0"/>
      <w:divBdr>
        <w:top w:val="none" w:sz="0" w:space="0" w:color="auto"/>
        <w:left w:val="none" w:sz="0" w:space="0" w:color="auto"/>
        <w:bottom w:val="none" w:sz="0" w:space="0" w:color="auto"/>
        <w:right w:val="none" w:sz="0" w:space="0" w:color="auto"/>
      </w:divBdr>
    </w:div>
    <w:div w:id="116728778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rsalesbase.com/china-car-sales-data/ford/ford-transit/" TargetMode="External"/><Relationship Id="rId5" Type="http://schemas.openxmlformats.org/officeDocument/2006/relationships/webSettings" Target="webSettings.xml"/><Relationship Id="rId10" Type="http://schemas.openxmlformats.org/officeDocument/2006/relationships/hyperlink" Target="http://carsalesbase.com/china-car-sales-data/jm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0FC2D96-0D93-4DE9-96EA-AEDEE14B106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FB25D12-8F89-47AD-BF7A-782897ABAEA4}">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E1450-DE96-419A-8CDE-E551B0C6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3592</Words>
  <Characters>20477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Herron, Kathryn</cp:lastModifiedBy>
  <cp:revision>2</cp:revision>
  <cp:lastPrinted>2018-09-13T14:41:00Z</cp:lastPrinted>
  <dcterms:created xsi:type="dcterms:W3CDTF">2021-10-21T16:24:00Z</dcterms:created>
  <dcterms:modified xsi:type="dcterms:W3CDTF">2021-10-21T16:24:00Z</dcterms:modified>
</cp:coreProperties>
</file>