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EDCF4" w14:textId="6780D179" w:rsidR="002F4426" w:rsidRPr="00054790" w:rsidRDefault="00AF750C" w:rsidP="008467D5">
      <w:pPr>
        <w:pBdr>
          <w:bottom w:val="single" w:sz="18" w:space="1" w:color="auto"/>
        </w:pBdr>
        <w:tabs>
          <w:tab w:val="left" w:pos="-1440"/>
          <w:tab w:val="left" w:pos="-720"/>
          <w:tab w:val="left" w:pos="1"/>
        </w:tabs>
        <w:jc w:val="both"/>
        <w:rPr>
          <w:rFonts w:ascii="Arial" w:hAnsi="Arial"/>
          <w:b/>
          <w:noProof/>
          <w:sz w:val="24"/>
          <w:lang w:val="en-GB"/>
        </w:rPr>
      </w:pPr>
      <w:r>
        <w:rPr>
          <w:rFonts w:ascii="Arial" w:hAnsi="Arial"/>
          <w:b/>
          <w:noProof/>
          <w:sz w:val="24"/>
          <w:lang w:val="en-GB"/>
        </w:rPr>
        <w:tab/>
      </w:r>
      <w:r w:rsidR="00050AA0" w:rsidRPr="00050AA0">
        <w:rPr>
          <w:rFonts w:ascii="Arial" w:hAnsi="Arial"/>
          <w:b/>
          <w:noProof/>
          <w:sz w:val="24"/>
        </w:rPr>
        <w:drawing>
          <wp:inline distT="0" distB="0" distL="0" distR="0" wp14:anchorId="1829D292" wp14:editId="177FED4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050AA0">
        <w:rPr>
          <w:rFonts w:ascii="Arial" w:hAnsi="Arial"/>
          <w:b/>
          <w:noProof/>
          <w:sz w:val="24"/>
          <w:lang w:val="en-GB"/>
        </w:rPr>
        <w:tab/>
      </w:r>
      <w:r w:rsidR="00050AA0">
        <w:rPr>
          <w:rFonts w:ascii="Arial" w:hAnsi="Arial"/>
          <w:b/>
          <w:noProof/>
          <w:sz w:val="24"/>
          <w:lang w:val="en-GB"/>
        </w:rPr>
        <w:tab/>
      </w:r>
      <w:r w:rsidR="00050AA0">
        <w:rPr>
          <w:rFonts w:ascii="Arial" w:hAnsi="Arial"/>
          <w:b/>
          <w:noProof/>
          <w:sz w:val="24"/>
          <w:lang w:val="en-GB"/>
        </w:rPr>
        <w:tab/>
      </w:r>
      <w:r w:rsidR="00050AA0">
        <w:rPr>
          <w:rFonts w:ascii="Arial" w:hAnsi="Arial"/>
          <w:b/>
          <w:noProof/>
          <w:sz w:val="24"/>
          <w:lang w:val="en-GB"/>
        </w:rPr>
        <w:tab/>
      </w:r>
      <w:r w:rsidR="00050AA0">
        <w:rPr>
          <w:rFonts w:ascii="Arial" w:hAnsi="Arial"/>
          <w:b/>
          <w:noProof/>
          <w:sz w:val="24"/>
          <w:lang w:val="en-GB"/>
        </w:rPr>
        <w:tab/>
        <w:t xml:space="preserve">  </w:t>
      </w:r>
      <w:r w:rsidR="00050AA0">
        <w:rPr>
          <w:rFonts w:ascii="Arial" w:hAnsi="Arial"/>
          <w:b/>
          <w:noProof/>
          <w:sz w:val="24"/>
        </w:rPr>
        <w:drawing>
          <wp:inline distT="0" distB="0" distL="0" distR="0" wp14:anchorId="7E0279DA" wp14:editId="7A8E4A1A">
            <wp:extent cx="1280160" cy="5452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0752" cy="554008"/>
                    </a:xfrm>
                    <a:prstGeom prst="rect">
                      <a:avLst/>
                    </a:prstGeom>
                    <a:noFill/>
                  </pic:spPr>
                </pic:pic>
              </a:graphicData>
            </a:graphic>
          </wp:inline>
        </w:drawing>
      </w:r>
    </w:p>
    <w:p w14:paraId="2E09A495" w14:textId="60109E63" w:rsidR="00D75295" w:rsidRPr="00054790" w:rsidRDefault="00050AA0" w:rsidP="00F105B7">
      <w:pPr>
        <w:pStyle w:val="ProductNumber"/>
        <w:rPr>
          <w:lang w:val="en-GB"/>
        </w:rPr>
      </w:pPr>
      <w:r>
        <w:rPr>
          <w:lang w:val="en-GB"/>
        </w:rPr>
        <w:t>9B18M187</w:t>
      </w:r>
    </w:p>
    <w:p w14:paraId="42FBC437" w14:textId="77777777" w:rsidR="00D75295" w:rsidRPr="00054790" w:rsidRDefault="00D75295" w:rsidP="00D75295">
      <w:pPr>
        <w:jc w:val="right"/>
        <w:rPr>
          <w:rFonts w:ascii="Arial" w:hAnsi="Arial"/>
          <w:b/>
          <w:sz w:val="28"/>
          <w:szCs w:val="28"/>
          <w:lang w:val="en-GB"/>
        </w:rPr>
      </w:pPr>
    </w:p>
    <w:p w14:paraId="4FA354E3" w14:textId="77777777" w:rsidR="00013360" w:rsidRPr="00054790" w:rsidRDefault="00013360" w:rsidP="00D75295">
      <w:pPr>
        <w:jc w:val="right"/>
        <w:rPr>
          <w:rFonts w:ascii="Arial" w:hAnsi="Arial"/>
          <w:b/>
          <w:sz w:val="28"/>
          <w:szCs w:val="28"/>
          <w:lang w:val="en-GB"/>
        </w:rPr>
      </w:pPr>
    </w:p>
    <w:p w14:paraId="47FC5950" w14:textId="3B79EB3F" w:rsidR="00013360" w:rsidRPr="00054790" w:rsidRDefault="000976C8" w:rsidP="00013360">
      <w:pPr>
        <w:pStyle w:val="CaseTitle"/>
        <w:spacing w:after="0" w:line="240" w:lineRule="auto"/>
        <w:rPr>
          <w:sz w:val="20"/>
          <w:szCs w:val="20"/>
          <w:lang w:val="en-GB"/>
        </w:rPr>
      </w:pPr>
      <w:r w:rsidRPr="00054790">
        <w:rPr>
          <w:rFonts w:eastAsia="Times New Roman"/>
          <w:szCs w:val="20"/>
          <w:lang w:val="en-GB"/>
        </w:rPr>
        <w:t>Bauing Construction Holding Group Co. Ltd</w:t>
      </w:r>
      <w:r w:rsidR="00BE62C8">
        <w:rPr>
          <w:rFonts w:eastAsia="Times New Roman"/>
          <w:szCs w:val="20"/>
          <w:lang w:val="en-GB"/>
        </w:rPr>
        <w:t>.</w:t>
      </w:r>
      <w:r w:rsidRPr="00054790">
        <w:rPr>
          <w:rFonts w:eastAsia="Times New Roman"/>
          <w:szCs w:val="20"/>
          <w:lang w:val="en-GB"/>
        </w:rPr>
        <w:t>: Going Global</w:t>
      </w:r>
    </w:p>
    <w:p w14:paraId="36FB2B87" w14:textId="77777777" w:rsidR="00CA3976" w:rsidRPr="00054790" w:rsidRDefault="00CA3976" w:rsidP="00013360">
      <w:pPr>
        <w:pStyle w:val="CaseTitle"/>
        <w:spacing w:after="0" w:line="240" w:lineRule="auto"/>
        <w:rPr>
          <w:sz w:val="20"/>
          <w:szCs w:val="20"/>
          <w:lang w:val="en-GB"/>
        </w:rPr>
      </w:pPr>
    </w:p>
    <w:p w14:paraId="5CC1AF3C" w14:textId="77777777" w:rsidR="00013360" w:rsidRPr="00054790" w:rsidRDefault="00013360" w:rsidP="00013360">
      <w:pPr>
        <w:pStyle w:val="CaseTitle"/>
        <w:spacing w:after="0" w:line="240" w:lineRule="auto"/>
        <w:rPr>
          <w:sz w:val="20"/>
          <w:szCs w:val="20"/>
          <w:lang w:val="en-GB"/>
        </w:rPr>
      </w:pPr>
    </w:p>
    <w:p w14:paraId="0D6C7ECC" w14:textId="6D091443" w:rsidR="00627C63" w:rsidRPr="00054790" w:rsidRDefault="005007EC" w:rsidP="00627C63">
      <w:pPr>
        <w:pStyle w:val="StyleCopyrightStatementAfter0ptBottomSinglesolidline1"/>
        <w:rPr>
          <w:lang w:val="en-GB"/>
        </w:rPr>
      </w:pPr>
      <w:hyperlink r:id="rId10" w:history="1">
        <w:proofErr w:type="spellStart"/>
        <w:r w:rsidR="000976C8" w:rsidRPr="00054790">
          <w:rPr>
            <w:rStyle w:val="Hyperlink"/>
            <w:color w:val="auto"/>
            <w:u w:val="none"/>
            <w:lang w:val="en-GB"/>
          </w:rPr>
          <w:t>Denghua</w:t>
        </w:r>
        <w:proofErr w:type="spellEnd"/>
        <w:r w:rsidR="000976C8" w:rsidRPr="00054790">
          <w:rPr>
            <w:rStyle w:val="Hyperlink"/>
            <w:color w:val="auto"/>
            <w:u w:val="none"/>
            <w:lang w:val="en-GB"/>
          </w:rPr>
          <w:t xml:space="preserve"> Yuan</w:t>
        </w:r>
      </w:hyperlink>
      <w:r w:rsidR="000976C8" w:rsidRPr="00054790">
        <w:rPr>
          <w:color w:val="auto"/>
          <w:lang w:val="en-GB"/>
        </w:rPr>
        <w:t xml:space="preserve">, </w:t>
      </w:r>
      <w:r w:rsidR="00F87C2E" w:rsidRPr="00054790">
        <w:rPr>
          <w:color w:val="auto"/>
          <w:lang w:val="en-GB"/>
        </w:rPr>
        <w:t>Qian (</w:t>
      </w:r>
      <w:hyperlink r:id="rId11" w:history="1">
        <w:r w:rsidR="000976C8" w:rsidRPr="00054790">
          <w:rPr>
            <w:rStyle w:val="Hyperlink"/>
            <w:color w:val="auto"/>
            <w:u w:val="none"/>
            <w:lang w:val="en-GB"/>
          </w:rPr>
          <w:t>Claire</w:t>
        </w:r>
        <w:r w:rsidR="00F87C2E" w:rsidRPr="00054790">
          <w:rPr>
            <w:rStyle w:val="Hyperlink"/>
            <w:color w:val="auto"/>
            <w:u w:val="none"/>
            <w:lang w:val="en-GB"/>
          </w:rPr>
          <w:t>)</w:t>
        </w:r>
        <w:r w:rsidR="000976C8" w:rsidRPr="00054790">
          <w:rPr>
            <w:rStyle w:val="Hyperlink"/>
            <w:color w:val="auto"/>
            <w:u w:val="none"/>
            <w:lang w:val="en-GB"/>
          </w:rPr>
          <w:t xml:space="preserve"> Deng</w:t>
        </w:r>
      </w:hyperlink>
      <w:r w:rsidR="000976C8" w:rsidRPr="00054790">
        <w:rPr>
          <w:color w:val="auto"/>
          <w:lang w:val="en-GB"/>
        </w:rPr>
        <w:t xml:space="preserve">, and </w:t>
      </w:r>
      <w:hyperlink r:id="rId12" w:history="1">
        <w:r w:rsidR="000976C8" w:rsidRPr="00054790">
          <w:rPr>
            <w:rStyle w:val="Hyperlink"/>
            <w:color w:val="auto"/>
            <w:u w:val="none"/>
            <w:lang w:val="en-GB"/>
          </w:rPr>
          <w:t>William Wei</w:t>
        </w:r>
      </w:hyperlink>
      <w:r w:rsidR="000976C8" w:rsidRPr="00054790">
        <w:rPr>
          <w:color w:val="auto"/>
          <w:lang w:val="en-GB"/>
        </w:rPr>
        <w:t xml:space="preserve"> </w:t>
      </w:r>
      <w:r w:rsidR="004B632F" w:rsidRPr="00054790">
        <w:rPr>
          <w:color w:val="auto"/>
          <w:lang w:val="en-GB"/>
        </w:rPr>
        <w:t>wro</w:t>
      </w:r>
      <w:r w:rsidR="004B632F" w:rsidRPr="00054790">
        <w:rPr>
          <w:lang w:val="en-GB"/>
        </w:rPr>
        <w:t xml:space="preserve">te this </w:t>
      </w:r>
      <w:r w:rsidR="00152682" w:rsidRPr="00054790">
        <w:rPr>
          <w:lang w:val="en-GB"/>
        </w:rPr>
        <w:t>case</w:t>
      </w:r>
      <w:r w:rsidR="004B632F" w:rsidRPr="00054790">
        <w:rPr>
          <w:lang w:val="en-GB"/>
        </w:rPr>
        <w:t xml:space="preserve"> </w:t>
      </w:r>
      <w:r w:rsidR="00152682" w:rsidRPr="00054790">
        <w:rPr>
          <w:lang w:val="en-GB"/>
        </w:rPr>
        <w:t>solely to provide material for class discussion. The</w:t>
      </w:r>
      <w:r w:rsidR="001C7777" w:rsidRPr="00054790">
        <w:rPr>
          <w:lang w:val="en-GB"/>
        </w:rPr>
        <w:t xml:space="preserve"> author</w:t>
      </w:r>
      <w:r w:rsidR="001A22D1" w:rsidRPr="00054790">
        <w:rPr>
          <w:lang w:val="en-GB"/>
        </w:rPr>
        <w:t>s</w:t>
      </w:r>
      <w:r w:rsidR="00152682" w:rsidRPr="00054790">
        <w:rPr>
          <w:lang w:val="en-GB"/>
        </w:rPr>
        <w:t xml:space="preserve"> do not intend to illustrate either effective or ineffective handling of a managerial situation. The author</w:t>
      </w:r>
      <w:r w:rsidR="001A22D1" w:rsidRPr="00054790">
        <w:rPr>
          <w:lang w:val="en-GB"/>
        </w:rPr>
        <w:t>s</w:t>
      </w:r>
      <w:r w:rsidR="00152682" w:rsidRPr="00054790">
        <w:rPr>
          <w:lang w:val="en-GB"/>
        </w:rPr>
        <w:t xml:space="preserve"> may have disguised certain names and other identifying information to protect confidentiality.</w:t>
      </w:r>
    </w:p>
    <w:p w14:paraId="1648FE1A" w14:textId="77777777" w:rsidR="00751E0B" w:rsidRDefault="00751E0B" w:rsidP="00751E0B">
      <w:pPr>
        <w:pStyle w:val="StyleCopyrightStatementAfter0ptBottomSinglesolidline1"/>
        <w:rPr>
          <w:lang w:val="en-GB"/>
        </w:rPr>
      </w:pPr>
    </w:p>
    <w:p w14:paraId="789920AA" w14:textId="77777777" w:rsidR="00050AA0" w:rsidRPr="00E23AB7" w:rsidRDefault="00050AA0"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3"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4" w:history="1">
        <w:r w:rsidRPr="00E23AB7">
          <w:rPr>
            <w:rFonts w:ascii="Arial" w:hAnsi="Arial"/>
            <w:i/>
            <w:iCs/>
            <w:color w:val="000000"/>
            <w:sz w:val="16"/>
          </w:rPr>
          <w:t>www.iveycases.com</w:t>
        </w:r>
      </w:hyperlink>
      <w:r w:rsidRPr="00E23AB7">
        <w:rPr>
          <w:rFonts w:ascii="Arial" w:hAnsi="Arial"/>
          <w:i/>
          <w:iCs/>
          <w:color w:val="000000"/>
          <w:sz w:val="16"/>
        </w:rPr>
        <w:t>.</w:t>
      </w:r>
    </w:p>
    <w:p w14:paraId="3DF6F8F3" w14:textId="1454A25B" w:rsidR="002F4426" w:rsidRDefault="002F4426" w:rsidP="00751E0B">
      <w:pPr>
        <w:pStyle w:val="StyleCopyrightStatementAfter0ptBottomSinglesolidline1"/>
        <w:rPr>
          <w:lang w:val="en-GB"/>
        </w:rPr>
      </w:pPr>
    </w:p>
    <w:p w14:paraId="34B5EE18" w14:textId="3F26FA1D" w:rsidR="00751E0B" w:rsidRPr="00054790" w:rsidRDefault="00050AA0"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054790">
        <w:rPr>
          <w:rFonts w:cs="Arial"/>
          <w:szCs w:val="16"/>
          <w:lang w:val="en-GB"/>
        </w:rPr>
        <w:tab/>
      </w:r>
      <w:r w:rsidR="00751E0B" w:rsidRPr="00054790">
        <w:rPr>
          <w:lang w:val="en-GB"/>
        </w:rPr>
        <w:t xml:space="preserve">Version: </w:t>
      </w:r>
      <w:r w:rsidR="003D0BA1" w:rsidRPr="00054790">
        <w:rPr>
          <w:lang w:val="en-GB"/>
        </w:rPr>
        <w:t>20</w:t>
      </w:r>
      <w:r w:rsidR="000976C8" w:rsidRPr="00054790">
        <w:rPr>
          <w:lang w:val="en-GB"/>
        </w:rPr>
        <w:t>18</w:t>
      </w:r>
      <w:r w:rsidR="001C7777" w:rsidRPr="00054790">
        <w:rPr>
          <w:lang w:val="en-GB"/>
        </w:rPr>
        <w:t>-</w:t>
      </w:r>
      <w:r w:rsidR="00944F16">
        <w:rPr>
          <w:lang w:val="en-GB"/>
        </w:rPr>
        <w:t>1</w:t>
      </w:r>
      <w:r w:rsidR="00D971E1">
        <w:rPr>
          <w:lang w:val="en-GB"/>
        </w:rPr>
        <w:t>2</w:t>
      </w:r>
      <w:r w:rsidR="00751E0B" w:rsidRPr="00054790">
        <w:rPr>
          <w:lang w:val="en-GB"/>
        </w:rPr>
        <w:t>-</w:t>
      </w:r>
      <w:r w:rsidR="00D971E1">
        <w:rPr>
          <w:lang w:val="en-GB"/>
        </w:rPr>
        <w:t>14</w:t>
      </w:r>
    </w:p>
    <w:p w14:paraId="427BD48D" w14:textId="77777777" w:rsidR="00751E0B" w:rsidRPr="00D8136E" w:rsidRDefault="00751E0B" w:rsidP="00751E0B">
      <w:pPr>
        <w:pStyle w:val="StyleCopyrightStatementAfter0ptBottomSinglesolidline1"/>
        <w:rPr>
          <w:rFonts w:ascii="Times New Roman" w:hAnsi="Times New Roman"/>
          <w:szCs w:val="16"/>
          <w:lang w:val="en-GB"/>
        </w:rPr>
      </w:pPr>
    </w:p>
    <w:p w14:paraId="23960A27" w14:textId="77777777" w:rsidR="004B632F" w:rsidRPr="00D8136E" w:rsidRDefault="004B632F" w:rsidP="004B632F">
      <w:pPr>
        <w:pStyle w:val="StyleCopyrightStatementAfter0ptBottomSinglesolidline1"/>
        <w:rPr>
          <w:rFonts w:ascii="Times New Roman" w:hAnsi="Times New Roman"/>
          <w:szCs w:val="16"/>
          <w:lang w:val="en-GB"/>
        </w:rPr>
      </w:pPr>
    </w:p>
    <w:p w14:paraId="4E104758" w14:textId="6DE093DE" w:rsidR="000976C8" w:rsidRPr="00054790" w:rsidRDefault="000976C8" w:rsidP="000976C8">
      <w:pPr>
        <w:pStyle w:val="BodyTextMain"/>
        <w:rPr>
          <w:rFonts w:eastAsia="MS Mincho"/>
          <w:lang w:val="en-GB"/>
        </w:rPr>
      </w:pPr>
      <w:r w:rsidRPr="00054790">
        <w:rPr>
          <w:rFonts w:eastAsia="MS Mincho"/>
          <w:lang w:val="en-GB"/>
        </w:rPr>
        <w:t xml:space="preserve">After 2014, when </w:t>
      </w:r>
      <w:proofErr w:type="spellStart"/>
      <w:r w:rsidRPr="00054790">
        <w:rPr>
          <w:rFonts w:eastAsia="MS Mincho"/>
          <w:lang w:val="en-GB"/>
        </w:rPr>
        <w:t>Shaoming</w:t>
      </w:r>
      <w:proofErr w:type="spellEnd"/>
      <w:r w:rsidRPr="00054790">
        <w:rPr>
          <w:rFonts w:eastAsia="MS Mincho"/>
          <w:lang w:val="en-GB"/>
        </w:rPr>
        <w:t xml:space="preserve"> </w:t>
      </w:r>
      <w:proofErr w:type="spellStart"/>
      <w:proofErr w:type="gramStart"/>
      <w:r w:rsidRPr="00054790">
        <w:rPr>
          <w:rFonts w:eastAsia="MS Mincho"/>
          <w:lang w:val="en-GB"/>
        </w:rPr>
        <w:t>Gu</w:t>
      </w:r>
      <w:proofErr w:type="spellEnd"/>
      <w:proofErr w:type="gramEnd"/>
      <w:r w:rsidRPr="00054790">
        <w:rPr>
          <w:rFonts w:eastAsia="MS Mincho"/>
          <w:lang w:val="en-GB"/>
        </w:rPr>
        <w:t xml:space="preserve">, the chair of the board of Shenzhen </w:t>
      </w:r>
      <w:proofErr w:type="spellStart"/>
      <w:r w:rsidRPr="00054790">
        <w:rPr>
          <w:rFonts w:eastAsia="MS Mincho"/>
          <w:lang w:val="en-GB"/>
        </w:rPr>
        <w:t>Bauing</w:t>
      </w:r>
      <w:proofErr w:type="spellEnd"/>
      <w:r w:rsidRPr="00054790">
        <w:rPr>
          <w:rFonts w:eastAsia="MS Mincho"/>
          <w:lang w:val="en-GB"/>
        </w:rPr>
        <w:t xml:space="preserve"> Construction Holding Group Co. Ltd. (</w:t>
      </w:r>
      <w:proofErr w:type="spellStart"/>
      <w:r w:rsidRPr="00054790">
        <w:rPr>
          <w:rFonts w:eastAsia="MS Mincho"/>
          <w:lang w:val="en-GB"/>
        </w:rPr>
        <w:t>Bauing</w:t>
      </w:r>
      <w:proofErr w:type="spellEnd"/>
      <w:r w:rsidRPr="00054790">
        <w:rPr>
          <w:rFonts w:eastAsia="MS Mincho"/>
          <w:lang w:val="en-GB"/>
        </w:rPr>
        <w:t xml:space="preserve"> Group), decided to expand </w:t>
      </w:r>
      <w:r w:rsidR="0045322D">
        <w:rPr>
          <w:rFonts w:eastAsia="MS Mincho"/>
          <w:lang w:val="en-GB"/>
        </w:rPr>
        <w:t xml:space="preserve">the company </w:t>
      </w:r>
      <w:r w:rsidRPr="00054790">
        <w:rPr>
          <w:rFonts w:eastAsia="MS Mincho"/>
          <w:lang w:val="en-GB"/>
        </w:rPr>
        <w:t xml:space="preserve">internationally, the group successfully established subsidiary companies in several Southeast Asian countries. These subsidiary companies grew rapidly and became </w:t>
      </w:r>
      <w:r w:rsidRPr="00054790">
        <w:rPr>
          <w:rFonts w:eastAsia="MS Mincho"/>
          <w:lang w:val="en-GB" w:eastAsia="zh-CN"/>
        </w:rPr>
        <w:t xml:space="preserve">profitable. Based on this success in Southeast Asia, </w:t>
      </w:r>
      <w:proofErr w:type="spellStart"/>
      <w:r w:rsidRPr="00054790">
        <w:rPr>
          <w:rFonts w:eastAsia="MS Mincho"/>
          <w:lang w:val="en-GB" w:eastAsia="zh-CN"/>
        </w:rPr>
        <w:t>Bauing</w:t>
      </w:r>
      <w:proofErr w:type="spellEnd"/>
      <w:r w:rsidRPr="00054790">
        <w:rPr>
          <w:rFonts w:eastAsia="MS Mincho"/>
          <w:lang w:val="en-GB" w:eastAsia="zh-CN"/>
        </w:rPr>
        <w:t xml:space="preserve"> Group decided in 2016 to expand further by entering the </w:t>
      </w:r>
      <w:r w:rsidR="00D971E1">
        <w:rPr>
          <w:rFonts w:eastAsia="MS Mincho"/>
          <w:lang w:val="en-GB" w:eastAsia="zh-CN"/>
        </w:rPr>
        <w:t>US</w:t>
      </w:r>
      <w:r w:rsidRPr="00054790">
        <w:rPr>
          <w:rFonts w:eastAsia="MS Mincho"/>
          <w:lang w:val="en-GB" w:eastAsia="zh-CN"/>
        </w:rPr>
        <w:t xml:space="preserve"> market. Entering the </w:t>
      </w:r>
      <w:r w:rsidR="00D971E1">
        <w:rPr>
          <w:rFonts w:eastAsia="MS Mincho"/>
          <w:lang w:val="en-GB" w:eastAsia="zh-CN"/>
        </w:rPr>
        <w:t>US</w:t>
      </w:r>
      <w:r w:rsidRPr="00054790">
        <w:rPr>
          <w:rFonts w:eastAsia="MS Mincho"/>
          <w:lang w:val="en-GB" w:eastAsia="zh-CN"/>
        </w:rPr>
        <w:t xml:space="preserve"> market entailed some challenges and difficulties, including </w:t>
      </w:r>
      <w:r w:rsidRPr="00054790">
        <w:rPr>
          <w:rFonts w:eastAsia="MS Mincho"/>
          <w:lang w:val="en-GB"/>
        </w:rPr>
        <w:t xml:space="preserve">cultural and regional differences, language barriers, and the need to become familiar with different construction standards and laws. </w:t>
      </w:r>
      <w:proofErr w:type="spellStart"/>
      <w:r w:rsidRPr="00054790">
        <w:rPr>
          <w:rFonts w:eastAsia="MS Mincho"/>
          <w:lang w:val="en-GB"/>
        </w:rPr>
        <w:t>Bauing</w:t>
      </w:r>
      <w:proofErr w:type="spellEnd"/>
      <w:r w:rsidRPr="00054790">
        <w:rPr>
          <w:rFonts w:eastAsia="MS Mincho"/>
          <w:lang w:val="en-GB"/>
        </w:rPr>
        <w:t xml:space="preserve"> </w:t>
      </w:r>
      <w:r w:rsidR="00242858">
        <w:rPr>
          <w:rFonts w:eastAsia="MS Mincho"/>
          <w:lang w:val="en-GB"/>
        </w:rPr>
        <w:t>Group</w:t>
      </w:r>
      <w:r w:rsidRPr="00054790">
        <w:rPr>
          <w:rFonts w:eastAsia="MS Mincho"/>
          <w:lang w:val="en-GB"/>
        </w:rPr>
        <w:t xml:space="preserve"> also </w:t>
      </w:r>
      <w:r w:rsidR="00054790">
        <w:rPr>
          <w:rFonts w:eastAsia="MS Mincho"/>
          <w:lang w:val="en-GB"/>
        </w:rPr>
        <w:t>needed</w:t>
      </w:r>
      <w:r w:rsidR="00054790" w:rsidRPr="00054790">
        <w:rPr>
          <w:rFonts w:eastAsia="MS Mincho"/>
          <w:lang w:val="en-GB"/>
        </w:rPr>
        <w:t xml:space="preserve"> </w:t>
      </w:r>
      <w:r w:rsidRPr="00054790">
        <w:rPr>
          <w:rFonts w:eastAsia="MS Mincho"/>
          <w:lang w:val="en-GB"/>
        </w:rPr>
        <w:t xml:space="preserve">to address a pressing issue: determining its market entry strategy. </w:t>
      </w:r>
    </w:p>
    <w:p w14:paraId="618DD841" w14:textId="77777777" w:rsidR="000976C8" w:rsidRPr="00D8136E" w:rsidRDefault="000976C8" w:rsidP="00050AA0">
      <w:pPr>
        <w:pStyle w:val="BodyTextMain"/>
        <w:rPr>
          <w:rFonts w:eastAsia="MS Mincho"/>
          <w:sz w:val="16"/>
          <w:szCs w:val="16"/>
        </w:rPr>
      </w:pPr>
    </w:p>
    <w:p w14:paraId="19AE14ED" w14:textId="77777777" w:rsidR="000976C8" w:rsidRPr="00D8136E" w:rsidRDefault="000976C8" w:rsidP="00050AA0">
      <w:pPr>
        <w:pStyle w:val="BodyTextMain"/>
        <w:rPr>
          <w:sz w:val="16"/>
          <w:szCs w:val="16"/>
        </w:rPr>
      </w:pPr>
    </w:p>
    <w:p w14:paraId="46657D5F" w14:textId="77777777" w:rsidR="000976C8" w:rsidRPr="00054790" w:rsidRDefault="000976C8" w:rsidP="000976C8">
      <w:pPr>
        <w:pStyle w:val="Casehead1"/>
        <w:rPr>
          <w:rFonts w:eastAsia="MS Mincho"/>
          <w:lang w:val="en-GB"/>
        </w:rPr>
      </w:pPr>
      <w:r w:rsidRPr="00054790">
        <w:rPr>
          <w:rFonts w:eastAsia="MS Mincho"/>
          <w:lang w:val="en-GB"/>
        </w:rPr>
        <w:t xml:space="preserve">Background of Bauing Group </w:t>
      </w:r>
    </w:p>
    <w:p w14:paraId="3E8784F9" w14:textId="77777777" w:rsidR="000976C8" w:rsidRPr="00D8136E" w:rsidRDefault="000976C8" w:rsidP="00050AA0">
      <w:pPr>
        <w:pStyle w:val="BodyTextMain"/>
        <w:rPr>
          <w:rFonts w:eastAsia="MS Mincho"/>
          <w:sz w:val="16"/>
          <w:szCs w:val="16"/>
          <w:lang w:val="en-GB"/>
        </w:rPr>
      </w:pPr>
    </w:p>
    <w:p w14:paraId="700507AA" w14:textId="509544A8" w:rsidR="000976C8" w:rsidRPr="00054790" w:rsidRDefault="000976C8" w:rsidP="000976C8">
      <w:pPr>
        <w:pStyle w:val="BodyTextMain"/>
        <w:rPr>
          <w:rFonts w:eastAsia="MS Mincho"/>
          <w:lang w:val="en-GB"/>
        </w:rPr>
      </w:pPr>
      <w:r w:rsidRPr="00054790">
        <w:rPr>
          <w:rFonts w:eastAsia="MS Mincho"/>
          <w:lang w:val="en-GB"/>
        </w:rPr>
        <w:t xml:space="preserve">Shenzhen </w:t>
      </w:r>
      <w:proofErr w:type="spellStart"/>
      <w:r w:rsidRPr="00054790">
        <w:rPr>
          <w:rFonts w:eastAsia="MS Mincho"/>
          <w:lang w:val="en-GB"/>
        </w:rPr>
        <w:t>Bauing</w:t>
      </w:r>
      <w:proofErr w:type="spellEnd"/>
      <w:r w:rsidRPr="00054790">
        <w:rPr>
          <w:rFonts w:eastAsia="MS Mincho"/>
          <w:lang w:val="en-GB"/>
        </w:rPr>
        <w:t xml:space="preserve"> Construction Group Co. Ltd. (</w:t>
      </w:r>
      <w:proofErr w:type="spellStart"/>
      <w:r w:rsidRPr="00054790">
        <w:rPr>
          <w:rFonts w:eastAsia="MS Mincho"/>
          <w:lang w:val="en-GB"/>
        </w:rPr>
        <w:t>Bauing</w:t>
      </w:r>
      <w:proofErr w:type="spellEnd"/>
      <w:r w:rsidRPr="00054790">
        <w:rPr>
          <w:rFonts w:eastAsia="MS Mincho"/>
          <w:lang w:val="en-GB"/>
        </w:rPr>
        <w:t xml:space="preserve"> Construction) was founded in April 1994 as a subsidiary of </w:t>
      </w:r>
      <w:proofErr w:type="spellStart"/>
      <w:r w:rsidRPr="00054790">
        <w:rPr>
          <w:rFonts w:eastAsia="MS Mincho"/>
          <w:lang w:val="en-GB"/>
        </w:rPr>
        <w:t>Bauing</w:t>
      </w:r>
      <w:proofErr w:type="spellEnd"/>
      <w:r w:rsidRPr="00054790">
        <w:rPr>
          <w:rFonts w:eastAsia="MS Mincho"/>
          <w:lang w:val="en-GB"/>
        </w:rPr>
        <w:t xml:space="preserve"> Group with registered capital of ¥680 million.</w:t>
      </w:r>
      <w:r w:rsidRPr="00054790">
        <w:rPr>
          <w:rFonts w:eastAsia="MS Mincho"/>
          <w:vertAlign w:val="superscript"/>
          <w:lang w:val="en-GB"/>
        </w:rPr>
        <w:footnoteReference w:id="1"/>
      </w:r>
      <w:r w:rsidRPr="00054790">
        <w:rPr>
          <w:rFonts w:eastAsia="MS Mincho"/>
          <w:lang w:val="en-GB"/>
        </w:rPr>
        <w:t xml:space="preserve"> </w:t>
      </w:r>
      <w:proofErr w:type="spellStart"/>
      <w:r w:rsidRPr="00054790">
        <w:rPr>
          <w:rFonts w:eastAsia="MS Mincho"/>
          <w:lang w:val="en-GB"/>
        </w:rPr>
        <w:t>Bauing</w:t>
      </w:r>
      <w:proofErr w:type="spellEnd"/>
      <w:r w:rsidRPr="00054790">
        <w:rPr>
          <w:rFonts w:eastAsia="MS Mincho"/>
          <w:lang w:val="en-GB"/>
        </w:rPr>
        <w:t xml:space="preserve"> Group, one of the biggest companies in China’s construction and design industry, had comprehensive qualifications. Its services included interior design, curtain wall and steel structure engineering, integrated artificial-intelligence engineering, fire-control building engineering, electromechanical installation, security solutions, metal window and door installation, conference centre construction, and medical device engineering. The company provided its clients with integrated design, construction, and installation solutions as well as management services. It was China’s leading integrated design enterprise, and it had been nominated for awards as one of China’s 100 top developing enterprises in construction and as one of the top 10 Chinese construction and design firms.</w:t>
      </w:r>
      <w:r w:rsidR="00EA4766" w:rsidRPr="00054790">
        <w:rPr>
          <w:rFonts w:eastAsia="MS Mincho"/>
          <w:lang w:val="en-GB"/>
        </w:rPr>
        <w:t xml:space="preserve"> </w:t>
      </w:r>
      <w:proofErr w:type="spellStart"/>
      <w:r w:rsidRPr="00054790">
        <w:rPr>
          <w:rFonts w:eastAsia="MS Mincho"/>
          <w:lang w:val="en-GB"/>
        </w:rPr>
        <w:t>Bauing</w:t>
      </w:r>
      <w:proofErr w:type="spellEnd"/>
      <w:r w:rsidRPr="00054790">
        <w:rPr>
          <w:rFonts w:eastAsia="MS Mincho"/>
          <w:lang w:val="en-GB"/>
        </w:rPr>
        <w:t xml:space="preserve"> Group had A-level design qualifications related to decorating, curtain walls, artificial intelligence, and fire control as well as first-class construction qualifications in these categories and in electronic-door and electromechanical installation. It was also qualified to supply security solutions, medical devices, financial security solutions, and international contracting. </w:t>
      </w:r>
    </w:p>
    <w:p w14:paraId="0C040257" w14:textId="77777777" w:rsidR="000976C8" w:rsidRPr="00D8136E" w:rsidRDefault="000976C8" w:rsidP="00050AA0">
      <w:pPr>
        <w:pStyle w:val="BodyTextMain"/>
        <w:rPr>
          <w:rFonts w:eastAsia="MS Mincho"/>
          <w:sz w:val="14"/>
          <w:szCs w:val="14"/>
        </w:rPr>
      </w:pPr>
    </w:p>
    <w:p w14:paraId="10DA8792" w14:textId="4F69200C" w:rsidR="000976C8" w:rsidRPr="00AF750C" w:rsidRDefault="000976C8" w:rsidP="000976C8">
      <w:pPr>
        <w:pStyle w:val="BodyTextMain"/>
        <w:rPr>
          <w:rFonts w:eastAsia="MS Mincho"/>
          <w:lang w:val="en-GB"/>
        </w:rPr>
      </w:pPr>
      <w:proofErr w:type="spellStart"/>
      <w:r w:rsidRPr="00AF750C">
        <w:rPr>
          <w:rFonts w:eastAsia="MS Mincho"/>
          <w:lang w:val="en-GB"/>
        </w:rPr>
        <w:t>Bauing</w:t>
      </w:r>
      <w:proofErr w:type="spellEnd"/>
      <w:r w:rsidRPr="00AF750C">
        <w:rPr>
          <w:rFonts w:eastAsia="MS Mincho"/>
          <w:lang w:val="en-GB"/>
        </w:rPr>
        <w:t xml:space="preserve"> Group’s business network reached the whole country and all around the world. It was present in all five regions of China, excluding Taiwan, and it had branches in Beijing, Shanghai, Wuhan, Guangzhou, Kunming, Chengdu, and other major cities. Its focus was public cultural projects; </w:t>
      </w:r>
      <w:r w:rsidR="00054790" w:rsidRPr="00AF750C">
        <w:rPr>
          <w:rFonts w:eastAsia="MS Mincho"/>
          <w:lang w:val="en-GB"/>
        </w:rPr>
        <w:t xml:space="preserve">the </w:t>
      </w:r>
      <w:r w:rsidRPr="00AF750C">
        <w:rPr>
          <w:rFonts w:eastAsia="MS Mincho"/>
          <w:lang w:val="en-GB"/>
        </w:rPr>
        <w:t>construction</w:t>
      </w:r>
      <w:r w:rsidRPr="00AF750C" w:rsidDel="00B9358B">
        <w:rPr>
          <w:rFonts w:eastAsia="MS Mincho"/>
          <w:lang w:val="en-GB"/>
        </w:rPr>
        <w:t xml:space="preserve"> </w:t>
      </w:r>
      <w:r w:rsidRPr="00AF750C">
        <w:rPr>
          <w:rFonts w:eastAsia="MS Mincho"/>
          <w:lang w:val="en-GB"/>
        </w:rPr>
        <w:t xml:space="preserve">of sports sites, luxury hotels, and transportation stations; </w:t>
      </w:r>
      <w:r w:rsidR="00054790" w:rsidRPr="00AF750C">
        <w:rPr>
          <w:rFonts w:eastAsia="MS Mincho"/>
          <w:lang w:val="en-GB"/>
        </w:rPr>
        <w:t xml:space="preserve">the </w:t>
      </w:r>
      <w:r w:rsidRPr="00AF750C">
        <w:rPr>
          <w:rFonts w:eastAsia="MS Mincho"/>
          <w:lang w:val="en-GB"/>
        </w:rPr>
        <w:t xml:space="preserve">design and decoration of hospitals; and </w:t>
      </w:r>
      <w:r w:rsidR="0045322D" w:rsidRPr="00AF750C">
        <w:rPr>
          <w:rFonts w:eastAsia="MS Mincho"/>
          <w:lang w:val="en-GB"/>
        </w:rPr>
        <w:t>the</w:t>
      </w:r>
      <w:r w:rsidR="00054790" w:rsidRPr="00AF750C">
        <w:rPr>
          <w:rFonts w:eastAsia="MS Mincho"/>
          <w:lang w:val="en-GB"/>
        </w:rPr>
        <w:t xml:space="preserve"> </w:t>
      </w:r>
      <w:r w:rsidRPr="00AF750C">
        <w:rPr>
          <w:rFonts w:eastAsia="MS Mincho"/>
          <w:lang w:val="en-GB"/>
        </w:rPr>
        <w:t xml:space="preserve">decoration of luxury residences. </w:t>
      </w:r>
    </w:p>
    <w:p w14:paraId="2A8F95DA" w14:textId="0F572F17" w:rsidR="000976C8" w:rsidRPr="00054790" w:rsidRDefault="000976C8" w:rsidP="000976C8">
      <w:pPr>
        <w:pStyle w:val="Casehead1"/>
        <w:rPr>
          <w:rFonts w:eastAsia="MS Mincho"/>
          <w:lang w:val="en-GB"/>
        </w:rPr>
      </w:pPr>
      <w:r w:rsidRPr="00054790">
        <w:rPr>
          <w:rFonts w:eastAsia="MS Mincho"/>
          <w:lang w:val="en-GB"/>
        </w:rPr>
        <w:lastRenderedPageBreak/>
        <w:t>The Construction Industry in China</w:t>
      </w:r>
      <w:r w:rsidR="00D971E1" w:rsidRPr="00054790">
        <w:rPr>
          <w:rFonts w:eastAsia="MS Mincho"/>
          <w:vertAlign w:val="superscript"/>
          <w:lang w:val="en-GB"/>
        </w:rPr>
        <w:footnoteReference w:id="2"/>
      </w:r>
    </w:p>
    <w:p w14:paraId="61748D4E" w14:textId="77777777" w:rsidR="000976C8" w:rsidRPr="005007EC" w:rsidRDefault="000976C8" w:rsidP="000976C8">
      <w:pPr>
        <w:pStyle w:val="BodyTextMain"/>
        <w:rPr>
          <w:rFonts w:eastAsia="MS Mincho"/>
          <w:sz w:val="13"/>
          <w:szCs w:val="13"/>
          <w:lang w:val="en-GB"/>
        </w:rPr>
      </w:pPr>
    </w:p>
    <w:p w14:paraId="5FF20F05" w14:textId="559AAAC8" w:rsidR="000976C8" w:rsidRPr="00054790" w:rsidRDefault="000976C8" w:rsidP="000976C8">
      <w:pPr>
        <w:pStyle w:val="BodyTextMain"/>
        <w:rPr>
          <w:rFonts w:eastAsia="MS Mincho"/>
          <w:lang w:val="en-GB"/>
        </w:rPr>
      </w:pPr>
      <w:r w:rsidRPr="00054790">
        <w:rPr>
          <w:rFonts w:eastAsia="MS Mincho"/>
          <w:lang w:val="en-GB"/>
        </w:rPr>
        <w:t xml:space="preserve">According to a </w:t>
      </w:r>
      <w:proofErr w:type="spellStart"/>
      <w:r w:rsidRPr="00054790">
        <w:rPr>
          <w:rFonts w:eastAsia="MS Mincho"/>
          <w:lang w:val="en-GB"/>
        </w:rPr>
        <w:t>MarketLine</w:t>
      </w:r>
      <w:proofErr w:type="spellEnd"/>
      <w:r w:rsidRPr="00054790">
        <w:rPr>
          <w:rFonts w:eastAsia="MS Mincho"/>
          <w:lang w:val="en-GB"/>
        </w:rPr>
        <w:t xml:space="preserve"> industry profile, the Chinese construction industry had grown significantly in recent years. Its value had increased by 6.1 per cent in 2016, and this increase was expected to continue. The most lucrative segment of the construction industry was residential construction, which represented 53.8 per cent of the construction industry’s total value in 2016. Because residential construction projects were smaller and more standardized, they were also cost</w:t>
      </w:r>
      <w:r w:rsidR="00054790">
        <w:rPr>
          <w:rFonts w:eastAsia="MS Mincho"/>
          <w:lang w:val="en-GB"/>
        </w:rPr>
        <w:t>-</w:t>
      </w:r>
      <w:r w:rsidRPr="00054790">
        <w:rPr>
          <w:rFonts w:eastAsia="MS Mincho"/>
          <w:lang w:val="en-GB"/>
        </w:rPr>
        <w:t>efficient and did not require significant expertise or financing. Thus</w:t>
      </w:r>
      <w:r w:rsidR="00054790">
        <w:rPr>
          <w:rFonts w:eastAsia="MS Mincho"/>
          <w:lang w:val="en-GB"/>
        </w:rPr>
        <w:t>,</w:t>
      </w:r>
      <w:r w:rsidRPr="00054790">
        <w:rPr>
          <w:rFonts w:eastAsia="MS Mincho"/>
          <w:lang w:val="en-GB"/>
        </w:rPr>
        <w:t xml:space="preserve"> this segment involved a relatively large number of smaller companies that competed mainly based on price, creating “a nearly perfect</w:t>
      </w:r>
      <w:r w:rsidR="009910F8">
        <w:rPr>
          <w:rFonts w:eastAsia="MS Mincho"/>
          <w:lang w:val="en-GB"/>
        </w:rPr>
        <w:t xml:space="preserve"> </w:t>
      </w:r>
      <w:r w:rsidRPr="00054790">
        <w:rPr>
          <w:rFonts w:eastAsia="MS Mincho"/>
          <w:lang w:val="en-GB"/>
        </w:rPr>
        <w:t>competition environment.”</w:t>
      </w:r>
    </w:p>
    <w:p w14:paraId="64371EDC" w14:textId="77777777" w:rsidR="000976C8" w:rsidRPr="005007EC" w:rsidRDefault="000976C8" w:rsidP="000976C8">
      <w:pPr>
        <w:pStyle w:val="BodyTextMain"/>
        <w:rPr>
          <w:rFonts w:eastAsia="MS Mincho"/>
          <w:sz w:val="13"/>
          <w:szCs w:val="13"/>
          <w:lang w:val="en-GB"/>
        </w:rPr>
      </w:pPr>
    </w:p>
    <w:p w14:paraId="31A7DB47" w14:textId="14F8EDB4" w:rsidR="000976C8" w:rsidRPr="00054790" w:rsidRDefault="000976C8" w:rsidP="000976C8">
      <w:pPr>
        <w:pStyle w:val="BodyTextMain"/>
        <w:rPr>
          <w:rFonts w:eastAsia="MS Mincho"/>
          <w:lang w:val="en-GB"/>
        </w:rPr>
      </w:pPr>
      <w:r w:rsidRPr="00054790">
        <w:rPr>
          <w:rFonts w:eastAsia="MS Mincho"/>
          <w:lang w:val="en-GB"/>
        </w:rPr>
        <w:t>Non-residential construction contributed 46.2 per cent of the industry’s total value in 2016. This segment was much more concentrated than residential construction; a small number of large companies here competed via tenders for large commercial and infrastructure projects. In this segment, achieving a competitive advantage was highly dependent on economies of scale and specialization.</w:t>
      </w:r>
    </w:p>
    <w:p w14:paraId="0F940837" w14:textId="77777777" w:rsidR="000976C8" w:rsidRPr="005007EC" w:rsidRDefault="000976C8" w:rsidP="000976C8">
      <w:pPr>
        <w:pStyle w:val="BodyTextMain"/>
        <w:rPr>
          <w:rFonts w:eastAsia="MS Mincho"/>
          <w:sz w:val="13"/>
          <w:szCs w:val="13"/>
          <w:lang w:val="en-GB"/>
        </w:rPr>
      </w:pPr>
    </w:p>
    <w:p w14:paraId="3D0BDC27" w14:textId="2CC3C6EB" w:rsidR="000976C8" w:rsidRPr="00054790" w:rsidRDefault="000976C8" w:rsidP="000976C8">
      <w:pPr>
        <w:pStyle w:val="BodyTextMain"/>
        <w:rPr>
          <w:rFonts w:eastAsia="MS Mincho"/>
          <w:b/>
          <w:lang w:val="en-GB"/>
        </w:rPr>
      </w:pPr>
      <w:r w:rsidRPr="00054790">
        <w:rPr>
          <w:rFonts w:eastAsia="MS Mincho"/>
          <w:lang w:val="en-GB"/>
        </w:rPr>
        <w:t xml:space="preserve">Non-residential construction had grown over the past few years because of large government investments in infrastructure, which analysts expected would continue to stimulate additional growth in the near future, in turn ameliorating some reductions in demand for housing and non-residential projects. Some of these major infrastructure developments included a bridge between Shenzhen and </w:t>
      </w:r>
      <w:proofErr w:type="spellStart"/>
      <w:r w:rsidRPr="00054790">
        <w:rPr>
          <w:rFonts w:eastAsia="MS Mincho"/>
          <w:lang w:val="en-GB"/>
        </w:rPr>
        <w:t>Zhongshan</w:t>
      </w:r>
      <w:proofErr w:type="spellEnd"/>
      <w:r w:rsidR="009910F8">
        <w:rPr>
          <w:rFonts w:eastAsia="MS Mincho"/>
          <w:lang w:val="en-GB"/>
        </w:rPr>
        <w:t>;</w:t>
      </w:r>
      <w:r w:rsidRPr="00054790">
        <w:rPr>
          <w:rFonts w:eastAsia="MS Mincho"/>
          <w:lang w:val="en-GB"/>
        </w:rPr>
        <w:t xml:space="preserve"> a second international airport near Beijing</w:t>
      </w:r>
      <w:r w:rsidR="009910F8">
        <w:rPr>
          <w:rFonts w:eastAsia="MS Mincho"/>
          <w:lang w:val="en-GB"/>
        </w:rPr>
        <w:t>;</w:t>
      </w:r>
      <w:r w:rsidRPr="00054790">
        <w:rPr>
          <w:rFonts w:eastAsia="MS Mincho"/>
          <w:lang w:val="en-GB"/>
        </w:rPr>
        <w:t xml:space="preserve"> an expansion to the country’s railway network</w:t>
      </w:r>
      <w:r w:rsidR="009910F8">
        <w:rPr>
          <w:rFonts w:eastAsia="MS Mincho"/>
          <w:lang w:val="en-GB"/>
        </w:rPr>
        <w:t>;</w:t>
      </w:r>
      <w:r w:rsidRPr="00054790">
        <w:rPr>
          <w:rFonts w:eastAsia="MS Mincho"/>
          <w:lang w:val="en-GB"/>
        </w:rPr>
        <w:t xml:space="preserve"> and the One Belt, One Road (OBOR) initiative, which represented investments of many billions of dollars.</w:t>
      </w:r>
    </w:p>
    <w:p w14:paraId="0B09AA86" w14:textId="77777777" w:rsidR="000976C8" w:rsidRPr="005007EC" w:rsidRDefault="000976C8" w:rsidP="00B307C0">
      <w:pPr>
        <w:pStyle w:val="BodyTextMain"/>
        <w:rPr>
          <w:rFonts w:eastAsia="MS Mincho"/>
          <w:sz w:val="13"/>
          <w:szCs w:val="13"/>
        </w:rPr>
      </w:pPr>
    </w:p>
    <w:p w14:paraId="0CDF8ECE" w14:textId="77777777" w:rsidR="000976C8" w:rsidRPr="005007EC" w:rsidRDefault="000976C8" w:rsidP="00D91B37">
      <w:pPr>
        <w:pStyle w:val="BodyTextMain"/>
        <w:rPr>
          <w:rFonts w:eastAsia="MS Mincho"/>
          <w:sz w:val="13"/>
          <w:szCs w:val="13"/>
        </w:rPr>
      </w:pPr>
    </w:p>
    <w:p w14:paraId="77762A2F" w14:textId="77777777" w:rsidR="000976C8" w:rsidRPr="00054790" w:rsidRDefault="000976C8" w:rsidP="000976C8">
      <w:pPr>
        <w:pStyle w:val="Casehead1"/>
        <w:rPr>
          <w:rFonts w:eastAsia="MS Mincho"/>
          <w:lang w:val="en-GB"/>
        </w:rPr>
      </w:pPr>
      <w:r w:rsidRPr="00054790">
        <w:rPr>
          <w:rFonts w:eastAsia="MS Mincho"/>
          <w:lang w:val="en-GB"/>
        </w:rPr>
        <w:t>Bauing Group Goes Global</w:t>
      </w:r>
    </w:p>
    <w:p w14:paraId="0B3D3381" w14:textId="77777777" w:rsidR="000976C8" w:rsidRPr="005007EC" w:rsidRDefault="000976C8" w:rsidP="000976C8">
      <w:pPr>
        <w:pStyle w:val="BodyTextMain"/>
        <w:rPr>
          <w:rFonts w:eastAsia="MS Mincho"/>
          <w:sz w:val="13"/>
          <w:szCs w:val="13"/>
          <w:lang w:val="en-GB"/>
        </w:rPr>
      </w:pPr>
    </w:p>
    <w:p w14:paraId="45ED9B07" w14:textId="78DBEABC" w:rsidR="000976C8" w:rsidRPr="00054790" w:rsidRDefault="000976C8" w:rsidP="000976C8">
      <w:pPr>
        <w:pStyle w:val="BodyTextMain"/>
        <w:rPr>
          <w:rFonts w:eastAsia="MS Mincho"/>
          <w:lang w:val="en-GB"/>
        </w:rPr>
      </w:pPr>
      <w:proofErr w:type="spellStart"/>
      <w:r w:rsidRPr="00054790">
        <w:rPr>
          <w:rFonts w:eastAsia="MS Mincho"/>
          <w:lang w:val="en-GB"/>
        </w:rPr>
        <w:t>Bauing</w:t>
      </w:r>
      <w:proofErr w:type="spellEnd"/>
      <w:r w:rsidRPr="00054790">
        <w:rPr>
          <w:rFonts w:eastAsia="MS Mincho"/>
          <w:lang w:val="en-GB"/>
        </w:rPr>
        <w:t xml:space="preserve"> Group had a business presence in more than 20 countries and regions around the world, including Europe, Southeast Asia, Mid-Asia, West Africa, and Australia.</w:t>
      </w:r>
    </w:p>
    <w:p w14:paraId="47613A1A" w14:textId="77777777" w:rsidR="000976C8" w:rsidRPr="005007EC" w:rsidRDefault="000976C8" w:rsidP="000976C8">
      <w:pPr>
        <w:pStyle w:val="BodyTextMain"/>
        <w:rPr>
          <w:rFonts w:eastAsia="MS Mincho"/>
          <w:sz w:val="13"/>
          <w:szCs w:val="13"/>
          <w:lang w:val="en-GB"/>
        </w:rPr>
      </w:pPr>
    </w:p>
    <w:p w14:paraId="77FEDA1F" w14:textId="76E75D3F" w:rsidR="000976C8" w:rsidRPr="00054790" w:rsidRDefault="000976C8" w:rsidP="000976C8">
      <w:pPr>
        <w:pStyle w:val="BodyTextMain"/>
        <w:rPr>
          <w:rFonts w:eastAsia="MS Mincho"/>
          <w:lang w:val="en-GB"/>
        </w:rPr>
      </w:pPr>
      <w:r w:rsidRPr="00054790">
        <w:rPr>
          <w:rFonts w:eastAsia="MS Mincho"/>
          <w:lang w:val="en-GB"/>
        </w:rPr>
        <w:t xml:space="preserve">In 2014, </w:t>
      </w:r>
      <w:proofErr w:type="spellStart"/>
      <w:r w:rsidRPr="00054790">
        <w:rPr>
          <w:rFonts w:eastAsia="MS Mincho"/>
          <w:lang w:val="en-GB"/>
        </w:rPr>
        <w:t>Bauing</w:t>
      </w:r>
      <w:proofErr w:type="spellEnd"/>
      <w:r w:rsidR="00C04A9B">
        <w:rPr>
          <w:rFonts w:eastAsia="MS Mincho"/>
          <w:lang w:val="en-GB"/>
        </w:rPr>
        <w:t xml:space="preserve"> Group</w:t>
      </w:r>
      <w:r w:rsidRPr="00054790">
        <w:rPr>
          <w:rFonts w:eastAsia="MS Mincho"/>
          <w:lang w:val="en-GB"/>
        </w:rPr>
        <w:t>’s board chair</w:t>
      </w:r>
      <w:r w:rsidR="00054790">
        <w:rPr>
          <w:rFonts w:eastAsia="MS Mincho"/>
          <w:lang w:val="en-GB"/>
        </w:rPr>
        <w:t>,</w:t>
      </w:r>
      <w:r w:rsidRPr="00054790">
        <w:rPr>
          <w:rFonts w:eastAsia="MS Mincho"/>
          <w:lang w:val="en-GB"/>
        </w:rPr>
        <w:t xml:space="preserve"> </w:t>
      </w:r>
      <w:proofErr w:type="spellStart"/>
      <w:proofErr w:type="gramStart"/>
      <w:r w:rsidRPr="00054790">
        <w:rPr>
          <w:rFonts w:eastAsia="MS Mincho"/>
          <w:lang w:val="en-GB"/>
        </w:rPr>
        <w:t>Gu</w:t>
      </w:r>
      <w:proofErr w:type="spellEnd"/>
      <w:proofErr w:type="gramEnd"/>
      <w:r w:rsidR="00054790">
        <w:rPr>
          <w:rFonts w:eastAsia="MS Mincho"/>
          <w:lang w:val="en-GB"/>
        </w:rPr>
        <w:t>,</w:t>
      </w:r>
      <w:r w:rsidRPr="00054790">
        <w:rPr>
          <w:rFonts w:eastAsia="MS Mincho"/>
          <w:lang w:val="en-GB"/>
        </w:rPr>
        <w:t xml:space="preserve"> made the decision to take the company abroad. Many of his speeches spoke of a desire to </w:t>
      </w:r>
    </w:p>
    <w:p w14:paraId="0702DFEF" w14:textId="77777777" w:rsidR="000976C8" w:rsidRPr="005007EC" w:rsidRDefault="000976C8" w:rsidP="000976C8">
      <w:pPr>
        <w:pStyle w:val="BodyTextMain"/>
        <w:rPr>
          <w:rFonts w:eastAsia="MS Mincho"/>
          <w:sz w:val="13"/>
          <w:szCs w:val="13"/>
          <w:lang w:val="en-GB"/>
        </w:rPr>
      </w:pPr>
    </w:p>
    <w:p w14:paraId="1455934B" w14:textId="2649E80F" w:rsidR="000976C8" w:rsidRPr="00054790" w:rsidRDefault="000976C8" w:rsidP="000976C8">
      <w:pPr>
        <w:pStyle w:val="BodyTextMain"/>
        <w:ind w:left="720"/>
        <w:rPr>
          <w:rFonts w:eastAsia="MS Mincho"/>
          <w:lang w:val="en-GB"/>
        </w:rPr>
      </w:pPr>
      <w:r w:rsidRPr="00054790">
        <w:rPr>
          <w:rFonts w:eastAsia="MS Mincho"/>
          <w:lang w:val="en-GB"/>
        </w:rPr>
        <w:t>promote economic and trade co</w:t>
      </w:r>
      <w:r w:rsidR="00B9471B">
        <w:rPr>
          <w:rFonts w:eastAsia="MS Mincho"/>
          <w:lang w:val="en-GB"/>
        </w:rPr>
        <w:t>-</w:t>
      </w:r>
      <w:r w:rsidRPr="00054790">
        <w:rPr>
          <w:rFonts w:eastAsia="MS Mincho"/>
          <w:lang w:val="en-GB"/>
        </w:rPr>
        <w:t xml:space="preserve">operation through humanistic exchanges, combine the implementation of building projects, infrastructure construction, electric power engineering, </w:t>
      </w:r>
      <w:r w:rsidR="009910F8">
        <w:rPr>
          <w:rFonts w:eastAsia="MS Mincho"/>
          <w:lang w:val="en-GB"/>
        </w:rPr>
        <w:t xml:space="preserve">[and] </w:t>
      </w:r>
      <w:r w:rsidRPr="00054790">
        <w:rPr>
          <w:rFonts w:eastAsia="MS Mincho"/>
          <w:lang w:val="en-GB"/>
        </w:rPr>
        <w:t xml:space="preserve">Smart City business together with transnational cultural exchanges, [and] create an international brand of Chinese private building enterprise with </w:t>
      </w:r>
      <w:proofErr w:type="spellStart"/>
      <w:r w:rsidRPr="00054790">
        <w:rPr>
          <w:rFonts w:eastAsia="MS Mincho"/>
          <w:lang w:val="en-GB"/>
        </w:rPr>
        <w:t>Bauing</w:t>
      </w:r>
      <w:proofErr w:type="spellEnd"/>
      <w:r w:rsidRPr="00054790">
        <w:rPr>
          <w:rFonts w:eastAsia="MS Mincho"/>
          <w:lang w:val="en-GB"/>
        </w:rPr>
        <w:t xml:space="preserve"> characteristics.</w:t>
      </w:r>
      <w:r w:rsidRPr="00054790">
        <w:rPr>
          <w:rFonts w:eastAsia="MS Mincho"/>
          <w:vertAlign w:val="superscript"/>
          <w:lang w:val="en-GB"/>
        </w:rPr>
        <w:footnoteReference w:id="3"/>
      </w:r>
    </w:p>
    <w:p w14:paraId="320051F4" w14:textId="77777777" w:rsidR="000976C8" w:rsidRPr="005007EC" w:rsidRDefault="000976C8" w:rsidP="000976C8">
      <w:pPr>
        <w:pStyle w:val="BodyTextMain"/>
        <w:ind w:left="720"/>
        <w:rPr>
          <w:rFonts w:eastAsia="MS Mincho"/>
          <w:sz w:val="13"/>
          <w:szCs w:val="13"/>
          <w:lang w:val="en-GB"/>
        </w:rPr>
      </w:pPr>
    </w:p>
    <w:p w14:paraId="5154CFD6" w14:textId="76BB05C9" w:rsidR="000976C8" w:rsidRPr="00054790" w:rsidRDefault="000976C8" w:rsidP="000976C8">
      <w:pPr>
        <w:pStyle w:val="BodyTextMain"/>
        <w:rPr>
          <w:rFonts w:eastAsia="MS Mincho"/>
          <w:lang w:val="en-GB"/>
        </w:rPr>
      </w:pPr>
      <w:r w:rsidRPr="00054790">
        <w:rPr>
          <w:rFonts w:eastAsia="MS Mincho"/>
          <w:lang w:val="en-GB"/>
        </w:rPr>
        <w:t xml:space="preserve">More specifically, </w:t>
      </w:r>
      <w:proofErr w:type="spellStart"/>
      <w:r w:rsidRPr="00054790">
        <w:rPr>
          <w:rFonts w:eastAsia="MS Mincho"/>
          <w:lang w:val="en-GB"/>
        </w:rPr>
        <w:t>Bauing</w:t>
      </w:r>
      <w:proofErr w:type="spellEnd"/>
      <w:r w:rsidRPr="00054790">
        <w:rPr>
          <w:rFonts w:eastAsia="MS Mincho"/>
          <w:lang w:val="en-GB"/>
        </w:rPr>
        <w:t xml:space="preserve"> Group was motivated to go abroad for two main reasons. First, the country’s OBOR initiative provided a great opportunity. This initiative, announced by Chinese President Xi Jinping in 2013, aimed to create a web of railways, roads, pipelines, and energy corridors to connect and integrate the Eurasian continent. It involved a massive expansion of Chinese-led infrastructure construction across Eurasia, with the ultimate goal of connecting China to customers in Western Europe. The scope of the initiative was dramatic. It had attracted more than 60 countries.</w:t>
      </w:r>
      <w:r w:rsidRPr="00054790">
        <w:rPr>
          <w:rFonts w:eastAsia="MS Mincho"/>
          <w:vertAlign w:val="superscript"/>
          <w:lang w:val="en-GB"/>
        </w:rPr>
        <w:footnoteReference w:id="4"/>
      </w:r>
      <w:r w:rsidRPr="00054790">
        <w:rPr>
          <w:rFonts w:eastAsia="MS Mincho"/>
          <w:lang w:val="en-GB"/>
        </w:rPr>
        <w:t xml:space="preserve"> The project had already made real progress, with more than 200 enterprises signing contracts for projects along OBOR routes. Many of these were funded by the </w:t>
      </w:r>
      <w:r w:rsidR="00A57239">
        <w:rPr>
          <w:rFonts w:eastAsia="MS Mincho"/>
          <w:lang w:val="en-GB"/>
        </w:rPr>
        <w:t>US</w:t>
      </w:r>
      <w:r w:rsidRPr="00054790">
        <w:rPr>
          <w:rFonts w:eastAsia="MS Mincho"/>
          <w:lang w:val="en-GB"/>
        </w:rPr>
        <w:t>$40</w:t>
      </w:r>
      <w:r w:rsidR="009910F8">
        <w:rPr>
          <w:rFonts w:eastAsia="MS Mincho"/>
          <w:lang w:val="en-GB"/>
        </w:rPr>
        <w:t>-</w:t>
      </w:r>
      <w:r w:rsidRPr="00054790">
        <w:rPr>
          <w:rFonts w:eastAsia="MS Mincho"/>
          <w:lang w:val="en-GB"/>
        </w:rPr>
        <w:t>billion</w:t>
      </w:r>
      <w:r w:rsidR="00A57239">
        <w:rPr>
          <w:rStyle w:val="FootnoteReference"/>
          <w:rFonts w:eastAsia="MS Mincho"/>
          <w:lang w:val="en-GB"/>
        </w:rPr>
        <w:footnoteReference w:id="5"/>
      </w:r>
      <w:r w:rsidRPr="00054790">
        <w:rPr>
          <w:rFonts w:eastAsia="MS Mincho"/>
          <w:lang w:val="en-GB"/>
        </w:rPr>
        <w:t xml:space="preserve"> Silk Road Fund (a Chinese government investment fund meant to increase investment in countries along the OBOR route).</w:t>
      </w:r>
      <w:r w:rsidRPr="00054790">
        <w:rPr>
          <w:rFonts w:eastAsia="MS Mincho"/>
          <w:vertAlign w:val="superscript"/>
          <w:lang w:val="en-GB"/>
        </w:rPr>
        <w:footnoteReference w:id="6"/>
      </w:r>
      <w:r w:rsidR="00054790" w:rsidRPr="00054790">
        <w:rPr>
          <w:rFonts w:eastAsia="MS Mincho"/>
          <w:lang w:val="en-GB"/>
        </w:rPr>
        <w:t xml:space="preserve"> </w:t>
      </w:r>
    </w:p>
    <w:p w14:paraId="103E5A9B" w14:textId="5E7815B5" w:rsidR="000976C8" w:rsidRPr="00AF750C" w:rsidRDefault="000976C8" w:rsidP="000976C8">
      <w:pPr>
        <w:pStyle w:val="BodyTextMain"/>
        <w:rPr>
          <w:rFonts w:eastAsia="MS Mincho"/>
          <w:spacing w:val="-2"/>
          <w:kern w:val="22"/>
          <w:lang w:val="en-GB"/>
        </w:rPr>
      </w:pPr>
      <w:r w:rsidRPr="00AF750C">
        <w:rPr>
          <w:rFonts w:eastAsia="MS Mincho"/>
          <w:spacing w:val="-2"/>
          <w:kern w:val="22"/>
          <w:lang w:val="en-GB"/>
        </w:rPr>
        <w:lastRenderedPageBreak/>
        <w:t>Potential opportunities for those involved in the initiative were significant. Countries along the route envisioned widespread economic benefits, and the investment came at a welcome time. A report from McKinsey &amp; Co. found a growing gap between the need for infrastructure worldwide and infrastructure spending</w:t>
      </w:r>
      <w:r w:rsidR="00C04A9B" w:rsidRPr="00AF750C">
        <w:rPr>
          <w:rFonts w:eastAsia="MS Mincho"/>
          <w:spacing w:val="-2"/>
          <w:kern w:val="22"/>
          <w:lang w:val="en-GB"/>
        </w:rPr>
        <w:t>, noting</w:t>
      </w:r>
      <w:r w:rsidRPr="00AF750C">
        <w:rPr>
          <w:rFonts w:eastAsia="MS Mincho"/>
          <w:spacing w:val="-2"/>
          <w:kern w:val="22"/>
          <w:lang w:val="en-GB"/>
        </w:rPr>
        <w:t xml:space="preserve"> that the world was falling short by 11 per cent, or up to $350 billion, every year.</w:t>
      </w:r>
      <w:r w:rsidRPr="00AF750C">
        <w:rPr>
          <w:rFonts w:eastAsia="MS Mincho"/>
          <w:spacing w:val="-2"/>
          <w:kern w:val="22"/>
          <w:vertAlign w:val="superscript"/>
          <w:lang w:val="en-GB"/>
        </w:rPr>
        <w:footnoteReference w:id="7"/>
      </w:r>
      <w:r w:rsidRPr="00AF750C">
        <w:rPr>
          <w:rFonts w:eastAsia="MS Mincho"/>
          <w:spacing w:val="-2"/>
          <w:kern w:val="22"/>
          <w:lang w:val="en-GB"/>
        </w:rPr>
        <w:t xml:space="preserve"> For the more than 45 countries that had signed on to the initiative, Chinese spending could fill much of this projected infrastructure spending gap. Projects associated with the initiative could revitalize stagnant Central Asian countries, providing power, running water, and transportation to landlocked areas. The expansion of construction could also create opportunities for the firms that constructed bridges, power plants, rail lines, and other infrastructure along the OBOR route. Chinese firms were racing for opportunities to submit tenders for projects associated with the initiative. Given </w:t>
      </w:r>
      <w:proofErr w:type="spellStart"/>
      <w:r w:rsidRPr="00AF750C">
        <w:rPr>
          <w:rFonts w:eastAsia="MS Mincho"/>
          <w:spacing w:val="-2"/>
          <w:kern w:val="22"/>
          <w:lang w:val="en-GB"/>
        </w:rPr>
        <w:t>Bauing</w:t>
      </w:r>
      <w:proofErr w:type="spellEnd"/>
      <w:r w:rsidRPr="00AF750C">
        <w:rPr>
          <w:rFonts w:eastAsia="MS Mincho"/>
          <w:spacing w:val="-2"/>
          <w:kern w:val="22"/>
          <w:lang w:val="en-GB"/>
        </w:rPr>
        <w:t xml:space="preserve"> Group’s primary business and strengths, the company decided to follow the OBOR initiative to </w:t>
      </w:r>
      <w:r w:rsidR="00BD3E3D">
        <w:rPr>
          <w:rFonts w:eastAsia="MS Mincho"/>
          <w:spacing w:val="-2"/>
          <w:kern w:val="22"/>
          <w:lang w:val="en-GB"/>
        </w:rPr>
        <w:t>upgrade and transform itself</w:t>
      </w:r>
      <w:r w:rsidRPr="00AF750C">
        <w:rPr>
          <w:rFonts w:eastAsia="MS Mincho"/>
          <w:spacing w:val="-2"/>
          <w:kern w:val="22"/>
          <w:lang w:val="en-GB"/>
        </w:rPr>
        <w:t xml:space="preserve">. </w:t>
      </w:r>
    </w:p>
    <w:p w14:paraId="43269452" w14:textId="77777777" w:rsidR="000976C8" w:rsidRPr="00050AA0" w:rsidRDefault="000976C8" w:rsidP="00B307C0">
      <w:pPr>
        <w:pStyle w:val="BodyTextMain"/>
        <w:rPr>
          <w:rFonts w:eastAsia="MS Mincho"/>
          <w:sz w:val="18"/>
          <w:szCs w:val="18"/>
        </w:rPr>
      </w:pPr>
    </w:p>
    <w:p w14:paraId="3A14E77B" w14:textId="4853D1FB" w:rsidR="000976C8" w:rsidRPr="00054790" w:rsidRDefault="00D971E1" w:rsidP="000976C8">
      <w:pPr>
        <w:pStyle w:val="BodyTextMain"/>
        <w:rPr>
          <w:rFonts w:eastAsia="MS Mincho"/>
          <w:lang w:val="en-GB" w:eastAsia="zh-CN"/>
        </w:rPr>
      </w:pPr>
      <w:r>
        <w:rPr>
          <w:rFonts w:eastAsia="MS Mincho"/>
          <w:lang w:val="en-GB"/>
        </w:rPr>
        <w:t>Second,</w:t>
      </w:r>
      <w:r w:rsidR="000976C8" w:rsidRPr="00054790">
        <w:rPr>
          <w:rFonts w:eastAsia="MS Mincho"/>
          <w:lang w:val="en-GB"/>
        </w:rPr>
        <w:t xml:space="preserve"> the building industry in China’s domestic market had become more </w:t>
      </w:r>
      <w:r>
        <w:rPr>
          <w:rFonts w:eastAsia="MS Mincho"/>
          <w:lang w:val="en-GB"/>
        </w:rPr>
        <w:t xml:space="preserve">competitive, </w:t>
      </w:r>
      <w:r w:rsidR="00A57239">
        <w:rPr>
          <w:rFonts w:eastAsia="MS Mincho"/>
          <w:lang w:val="en-GB"/>
        </w:rPr>
        <w:t>which</w:t>
      </w:r>
      <w:r w:rsidR="000976C8" w:rsidRPr="00054790">
        <w:rPr>
          <w:rFonts w:eastAsia="MS Mincho"/>
          <w:lang w:val="en-GB"/>
        </w:rPr>
        <w:t xml:space="preserve"> posed challenges for </w:t>
      </w:r>
      <w:proofErr w:type="spellStart"/>
      <w:r w:rsidR="000976C8" w:rsidRPr="00054790">
        <w:rPr>
          <w:rFonts w:eastAsia="MS Mincho"/>
          <w:lang w:val="en-GB"/>
        </w:rPr>
        <w:t>Bauing</w:t>
      </w:r>
      <w:proofErr w:type="spellEnd"/>
      <w:r w:rsidR="000976C8" w:rsidRPr="00054790">
        <w:rPr>
          <w:rFonts w:eastAsia="MS Mincho"/>
          <w:lang w:val="en-GB"/>
        </w:rPr>
        <w:t xml:space="preserve"> Group. </w:t>
      </w:r>
      <w:r w:rsidR="000976C8" w:rsidRPr="00054790">
        <w:rPr>
          <w:rFonts w:eastAsia="MS Mincho"/>
          <w:lang w:val="en-GB" w:eastAsia="zh-CN"/>
        </w:rPr>
        <w:t xml:space="preserve">In 2016, the overall building and decoration industry in China was </w:t>
      </w:r>
      <w:r w:rsidR="00A57239">
        <w:rPr>
          <w:rFonts w:eastAsia="MS Mincho"/>
          <w:lang w:val="en-GB" w:eastAsia="zh-CN"/>
        </w:rPr>
        <w:t>improving</w:t>
      </w:r>
      <w:r w:rsidR="000976C8" w:rsidRPr="00054790">
        <w:rPr>
          <w:rFonts w:eastAsia="MS Mincho"/>
          <w:lang w:val="en-GB" w:eastAsia="zh-CN"/>
        </w:rPr>
        <w:t xml:space="preserve">. During 2016, total revenue in the industry increased, and the growth rate changed from negative to positive (see Exhibit 1). However, most public companies in this industry in China saw their gross margins decrease for reasons such as increased period costs, decreased operational capabilities, and </w:t>
      </w:r>
      <w:r w:rsidR="00A57239">
        <w:rPr>
          <w:rFonts w:eastAsia="MS Mincho"/>
          <w:lang w:val="en-GB" w:eastAsia="zh-CN"/>
        </w:rPr>
        <w:t>poor</w:t>
      </w:r>
      <w:r w:rsidR="00A57239" w:rsidRPr="00054790">
        <w:rPr>
          <w:rFonts w:eastAsia="MS Mincho"/>
          <w:lang w:val="en-GB" w:eastAsia="zh-CN"/>
        </w:rPr>
        <w:t xml:space="preserve"> </w:t>
      </w:r>
      <w:r w:rsidR="000976C8" w:rsidRPr="00054790">
        <w:rPr>
          <w:rFonts w:eastAsia="MS Mincho"/>
          <w:lang w:val="en-GB" w:eastAsia="zh-CN"/>
        </w:rPr>
        <w:t>cash flow</w:t>
      </w:r>
      <w:r w:rsidR="00A57239">
        <w:rPr>
          <w:rFonts w:eastAsia="MS Mincho"/>
          <w:lang w:val="en-GB" w:eastAsia="zh-CN"/>
        </w:rPr>
        <w:t>.</w:t>
      </w:r>
      <w:r w:rsidR="000976C8" w:rsidRPr="00054790">
        <w:rPr>
          <w:rFonts w:eastAsia="MS Mincho"/>
          <w:vertAlign w:val="superscript"/>
          <w:lang w:val="en-GB" w:eastAsia="zh-CN"/>
        </w:rPr>
        <w:footnoteReference w:id="8"/>
      </w:r>
    </w:p>
    <w:p w14:paraId="4F011D6B" w14:textId="77777777" w:rsidR="000976C8" w:rsidRPr="00050AA0" w:rsidRDefault="000976C8" w:rsidP="00B307C0">
      <w:pPr>
        <w:pStyle w:val="BodyTextMain"/>
        <w:rPr>
          <w:rFonts w:eastAsia="MS Mincho"/>
          <w:sz w:val="18"/>
          <w:szCs w:val="18"/>
        </w:rPr>
      </w:pPr>
    </w:p>
    <w:p w14:paraId="78D27380" w14:textId="733A49F5" w:rsidR="000976C8" w:rsidRPr="00054790" w:rsidRDefault="000976C8" w:rsidP="000976C8">
      <w:pPr>
        <w:pStyle w:val="BodyTextMain"/>
        <w:rPr>
          <w:rFonts w:eastAsia="MS Mincho"/>
          <w:lang w:val="en-GB"/>
        </w:rPr>
      </w:pPr>
      <w:r w:rsidRPr="00054790">
        <w:rPr>
          <w:rFonts w:eastAsia="MS Mincho"/>
          <w:lang w:val="en-GB"/>
        </w:rPr>
        <w:t xml:space="preserve">Going global therefore became the inevitable strategy for </w:t>
      </w:r>
      <w:proofErr w:type="spellStart"/>
      <w:r w:rsidRPr="00054790">
        <w:rPr>
          <w:rFonts w:eastAsia="MS Mincho"/>
          <w:lang w:val="en-GB"/>
        </w:rPr>
        <w:t>Bauing</w:t>
      </w:r>
      <w:proofErr w:type="spellEnd"/>
      <w:r w:rsidRPr="00054790">
        <w:rPr>
          <w:rFonts w:eastAsia="MS Mincho"/>
          <w:lang w:val="en-GB"/>
        </w:rPr>
        <w:t xml:space="preserve"> Group.</w:t>
      </w:r>
      <w:r w:rsidRPr="00054790">
        <w:rPr>
          <w:rFonts w:eastAsia="MS Mincho"/>
          <w:lang w:val="en-GB" w:eastAsia="zh-CN"/>
        </w:rPr>
        <w:t xml:space="preserve"> </w:t>
      </w:r>
      <w:r w:rsidRPr="00054790">
        <w:rPr>
          <w:rFonts w:eastAsia="MS Mincho"/>
          <w:lang w:val="en-GB"/>
        </w:rPr>
        <w:t xml:space="preserve">In September 2014, the group purchased 51 per cent of the shares of Shenzhen </w:t>
      </w:r>
      <w:proofErr w:type="spellStart"/>
      <w:r w:rsidRPr="00054790">
        <w:rPr>
          <w:rFonts w:eastAsia="MS Mincho"/>
          <w:lang w:val="en-GB"/>
        </w:rPr>
        <w:t>Ninefold</w:t>
      </w:r>
      <w:proofErr w:type="spellEnd"/>
      <w:r w:rsidRPr="00054790">
        <w:rPr>
          <w:rFonts w:eastAsia="MS Mincho"/>
          <w:lang w:val="en-GB"/>
        </w:rPr>
        <w:t xml:space="preserve"> Construction Group Co. Ltd. to leverage its overseas resources. In December 2014, it founded PT </w:t>
      </w:r>
      <w:proofErr w:type="spellStart"/>
      <w:r w:rsidRPr="00054790">
        <w:rPr>
          <w:rFonts w:eastAsia="MS Mincho"/>
          <w:lang w:val="en-GB"/>
        </w:rPr>
        <w:t>Bauing</w:t>
      </w:r>
      <w:proofErr w:type="spellEnd"/>
      <w:r w:rsidRPr="00054790">
        <w:rPr>
          <w:rFonts w:eastAsia="MS Mincho"/>
          <w:lang w:val="en-GB"/>
        </w:rPr>
        <w:t xml:space="preserve"> Construction Group Indonesia (</w:t>
      </w:r>
      <w:proofErr w:type="spellStart"/>
      <w:r w:rsidRPr="00054790">
        <w:rPr>
          <w:rFonts w:eastAsia="MS Mincho"/>
          <w:lang w:val="en-GB"/>
        </w:rPr>
        <w:t>Bauing</w:t>
      </w:r>
      <w:proofErr w:type="spellEnd"/>
      <w:r w:rsidRPr="00054790">
        <w:rPr>
          <w:rFonts w:eastAsia="MS Mincho"/>
          <w:lang w:val="en-GB"/>
        </w:rPr>
        <w:t xml:space="preserve"> Indonesia) to lay the foundation for global-oriented management and international development under the OBOR initiative. In 2015, </w:t>
      </w:r>
      <w:proofErr w:type="spellStart"/>
      <w:r w:rsidRPr="00054790">
        <w:rPr>
          <w:rFonts w:eastAsia="MS Mincho"/>
          <w:lang w:val="en-GB"/>
        </w:rPr>
        <w:t>Bauing</w:t>
      </w:r>
      <w:proofErr w:type="spellEnd"/>
      <w:r w:rsidRPr="00054790">
        <w:rPr>
          <w:rFonts w:eastAsia="MS Mincho"/>
          <w:lang w:val="en-GB"/>
        </w:rPr>
        <w:t xml:space="preserve"> Group set up a subsidiary company in Hong Kong. Based on the group’s success in Southeast Asian countries, </w:t>
      </w:r>
      <w:proofErr w:type="spellStart"/>
      <w:r w:rsidRPr="00054790">
        <w:rPr>
          <w:rFonts w:eastAsia="MS Mincho"/>
          <w:lang w:val="en-GB"/>
        </w:rPr>
        <w:t>Bauing</w:t>
      </w:r>
      <w:proofErr w:type="spellEnd"/>
      <w:r w:rsidRPr="00054790">
        <w:rPr>
          <w:rFonts w:eastAsia="MS Mincho"/>
          <w:lang w:val="en-GB"/>
        </w:rPr>
        <w:t xml:space="preserve"> </w:t>
      </w:r>
      <w:r w:rsidR="00FB72F7">
        <w:rPr>
          <w:rFonts w:eastAsia="MS Mincho"/>
          <w:lang w:val="en-GB"/>
        </w:rPr>
        <w:t xml:space="preserve">Group </w:t>
      </w:r>
      <w:r w:rsidRPr="00054790">
        <w:rPr>
          <w:rFonts w:eastAsia="MS Mincho"/>
          <w:lang w:val="en-GB"/>
        </w:rPr>
        <w:t xml:space="preserve">decided to expand its business into other countries </w:t>
      </w:r>
      <w:r w:rsidR="00B307C0">
        <w:rPr>
          <w:rFonts w:eastAsia="MS Mincho"/>
          <w:lang w:val="en-GB"/>
        </w:rPr>
        <w:t xml:space="preserve">in that region </w:t>
      </w:r>
      <w:r w:rsidRPr="00054790">
        <w:rPr>
          <w:rFonts w:eastAsia="MS Mincho"/>
          <w:lang w:val="en-GB"/>
        </w:rPr>
        <w:t xml:space="preserve">and to enter new markets in the United States and Australia. </w:t>
      </w:r>
    </w:p>
    <w:p w14:paraId="3CA5E957" w14:textId="77777777" w:rsidR="000976C8" w:rsidRPr="00050AA0" w:rsidRDefault="000976C8" w:rsidP="00B307C0">
      <w:pPr>
        <w:pStyle w:val="BodyTextMain"/>
        <w:rPr>
          <w:rFonts w:eastAsia="MS Mincho"/>
          <w:sz w:val="16"/>
          <w:szCs w:val="16"/>
        </w:rPr>
      </w:pPr>
    </w:p>
    <w:p w14:paraId="43F5818D" w14:textId="77777777" w:rsidR="000976C8" w:rsidRPr="00050AA0" w:rsidRDefault="000976C8" w:rsidP="00D91B37">
      <w:pPr>
        <w:pStyle w:val="BodyTextMain"/>
        <w:rPr>
          <w:rFonts w:eastAsia="MS Mincho"/>
          <w:sz w:val="16"/>
          <w:szCs w:val="16"/>
        </w:rPr>
      </w:pPr>
    </w:p>
    <w:p w14:paraId="3C77DAFC" w14:textId="77777777" w:rsidR="000976C8" w:rsidRPr="00054790" w:rsidRDefault="000976C8" w:rsidP="000976C8">
      <w:pPr>
        <w:pStyle w:val="Casehead1"/>
        <w:rPr>
          <w:rFonts w:eastAsia="MS Mincho"/>
          <w:lang w:val="en-GB"/>
        </w:rPr>
      </w:pPr>
      <w:r w:rsidRPr="00054790">
        <w:rPr>
          <w:rFonts w:eastAsia="MS Mincho"/>
          <w:lang w:val="en-GB"/>
        </w:rPr>
        <w:t>Bauing Group’s Success in Southeast Asia</w:t>
      </w:r>
    </w:p>
    <w:p w14:paraId="5D18CA70" w14:textId="77777777" w:rsidR="000976C8" w:rsidRPr="00054790" w:rsidRDefault="000976C8" w:rsidP="000976C8">
      <w:pPr>
        <w:pStyle w:val="BodyTextMain"/>
        <w:rPr>
          <w:rFonts w:eastAsia="MS Mincho"/>
          <w:sz w:val="16"/>
          <w:szCs w:val="16"/>
          <w:lang w:val="en-GB"/>
        </w:rPr>
      </w:pPr>
    </w:p>
    <w:p w14:paraId="1B1B232D" w14:textId="16098AC4" w:rsidR="000976C8" w:rsidRPr="00AF750C" w:rsidRDefault="00267342" w:rsidP="000976C8">
      <w:pPr>
        <w:pStyle w:val="BodyTextMain"/>
        <w:rPr>
          <w:rFonts w:eastAsia="MS Mincho"/>
          <w:spacing w:val="-2"/>
          <w:kern w:val="22"/>
          <w:lang w:val="en-GB"/>
        </w:rPr>
      </w:pPr>
      <w:r w:rsidRPr="00AF750C">
        <w:rPr>
          <w:rFonts w:eastAsia="MS Mincho"/>
          <w:spacing w:val="-2"/>
          <w:kern w:val="22"/>
          <w:lang w:val="en-GB"/>
        </w:rPr>
        <w:t>I</w:t>
      </w:r>
      <w:r w:rsidR="00EA4766" w:rsidRPr="00AF750C">
        <w:rPr>
          <w:rFonts w:eastAsia="MS Mincho"/>
          <w:spacing w:val="-2"/>
          <w:kern w:val="22"/>
          <w:lang w:val="en-GB"/>
        </w:rPr>
        <w:t>n Indonesia</w:t>
      </w:r>
      <w:r w:rsidR="000976C8" w:rsidRPr="00AF750C">
        <w:rPr>
          <w:rFonts w:eastAsia="MS Mincho"/>
          <w:spacing w:val="-2"/>
          <w:kern w:val="22"/>
          <w:lang w:val="en-GB"/>
        </w:rPr>
        <w:t xml:space="preserve">, where </w:t>
      </w:r>
      <w:proofErr w:type="spellStart"/>
      <w:r w:rsidR="000976C8" w:rsidRPr="00AF750C">
        <w:rPr>
          <w:rFonts w:eastAsia="MS Mincho"/>
          <w:spacing w:val="-2"/>
          <w:kern w:val="22"/>
          <w:lang w:val="en-GB"/>
        </w:rPr>
        <w:t>Bauing</w:t>
      </w:r>
      <w:proofErr w:type="spellEnd"/>
      <w:r w:rsidR="000976C8" w:rsidRPr="00AF750C">
        <w:rPr>
          <w:rFonts w:eastAsia="MS Mincho"/>
          <w:spacing w:val="-2"/>
          <w:kern w:val="22"/>
          <w:lang w:val="en-GB"/>
        </w:rPr>
        <w:t xml:space="preserve"> </w:t>
      </w:r>
      <w:r w:rsidRPr="00AF750C">
        <w:rPr>
          <w:rFonts w:eastAsia="MS Mincho"/>
          <w:spacing w:val="-2"/>
          <w:kern w:val="22"/>
          <w:lang w:val="en-GB"/>
        </w:rPr>
        <w:t xml:space="preserve">Group </w:t>
      </w:r>
      <w:r w:rsidR="000976C8" w:rsidRPr="00AF750C">
        <w:rPr>
          <w:rFonts w:eastAsia="MS Mincho"/>
          <w:spacing w:val="-2"/>
          <w:kern w:val="22"/>
          <w:lang w:val="en-GB"/>
        </w:rPr>
        <w:t xml:space="preserve">established its first foreign company in 2014, </w:t>
      </w:r>
      <w:r w:rsidRPr="00AF750C">
        <w:rPr>
          <w:rFonts w:eastAsia="MS Mincho"/>
          <w:spacing w:val="-2"/>
          <w:kern w:val="22"/>
          <w:lang w:val="en-GB"/>
        </w:rPr>
        <w:t xml:space="preserve">the construction industry </w:t>
      </w:r>
      <w:r w:rsidR="000976C8" w:rsidRPr="00AF750C">
        <w:rPr>
          <w:rFonts w:eastAsia="MS Mincho"/>
          <w:spacing w:val="-2"/>
          <w:kern w:val="22"/>
          <w:lang w:val="en-GB"/>
        </w:rPr>
        <w:t xml:space="preserve">had undergone significant recent growth, at </w:t>
      </w:r>
      <w:r w:rsidR="001C2492" w:rsidRPr="00AF750C">
        <w:rPr>
          <w:rFonts w:eastAsia="MS Mincho"/>
          <w:spacing w:val="-2"/>
          <w:kern w:val="22"/>
          <w:lang w:val="en-GB"/>
        </w:rPr>
        <w:t xml:space="preserve">annual </w:t>
      </w:r>
      <w:r w:rsidR="000976C8" w:rsidRPr="00AF750C">
        <w:rPr>
          <w:rFonts w:eastAsia="MS Mincho"/>
          <w:spacing w:val="-2"/>
          <w:kern w:val="22"/>
          <w:lang w:val="en-GB"/>
        </w:rPr>
        <w:t>rates slightly below 10 per cent in 2016. The non-residential segment accounted for 90.1 per cent of Indonesia’s total construction value</w:t>
      </w:r>
      <w:r w:rsidR="00A57239" w:rsidRPr="00AF750C">
        <w:rPr>
          <w:rFonts w:eastAsia="MS Mincho"/>
          <w:spacing w:val="-2"/>
          <w:kern w:val="22"/>
          <w:lang w:val="en-GB"/>
        </w:rPr>
        <w:t>, which</w:t>
      </w:r>
      <w:r w:rsidR="000976C8" w:rsidRPr="00AF750C">
        <w:rPr>
          <w:rFonts w:eastAsia="MS Mincho"/>
          <w:spacing w:val="-2"/>
          <w:kern w:val="22"/>
          <w:lang w:val="en-GB"/>
        </w:rPr>
        <w:t xml:space="preserve"> was partly the result of increased government spending on infrastructure projects and increased demand for commercial and residential construction</w:t>
      </w:r>
      <w:r w:rsidR="00A57239" w:rsidRPr="00AF750C">
        <w:rPr>
          <w:rFonts w:eastAsia="MS Mincho"/>
          <w:spacing w:val="-2"/>
          <w:kern w:val="22"/>
          <w:lang w:val="en-GB"/>
        </w:rPr>
        <w:t>,</w:t>
      </w:r>
      <w:r w:rsidR="000976C8" w:rsidRPr="00AF750C">
        <w:rPr>
          <w:rFonts w:eastAsia="MS Mincho"/>
          <w:spacing w:val="-2"/>
          <w:kern w:val="22"/>
          <w:lang w:val="en-GB"/>
        </w:rPr>
        <w:t xml:space="preserve"> due to an increasingly urban population and increased incomes.</w:t>
      </w:r>
      <w:r w:rsidR="000976C8" w:rsidRPr="00AF750C">
        <w:rPr>
          <w:rFonts w:eastAsia="MS Mincho"/>
          <w:spacing w:val="-2"/>
          <w:kern w:val="22"/>
          <w:vertAlign w:val="superscript"/>
          <w:lang w:val="en-GB"/>
        </w:rPr>
        <w:footnoteReference w:id="9"/>
      </w:r>
      <w:r w:rsidR="000976C8" w:rsidRPr="00AF750C" w:rsidDel="006C2168">
        <w:rPr>
          <w:rFonts w:eastAsia="MS Mincho"/>
          <w:spacing w:val="-2"/>
          <w:kern w:val="22"/>
          <w:lang w:val="en-GB"/>
        </w:rPr>
        <w:t xml:space="preserve"> </w:t>
      </w:r>
    </w:p>
    <w:p w14:paraId="429AF327" w14:textId="3530047B" w:rsidR="000976C8" w:rsidRPr="00054790" w:rsidRDefault="000976C8" w:rsidP="000976C8">
      <w:pPr>
        <w:pStyle w:val="BodyTextMain"/>
        <w:rPr>
          <w:rFonts w:eastAsia="MS Mincho"/>
          <w:lang w:val="en-GB"/>
        </w:rPr>
      </w:pPr>
      <w:r w:rsidRPr="00054790">
        <w:rPr>
          <w:rFonts w:eastAsia="MS Mincho"/>
          <w:lang w:val="en-GB"/>
        </w:rPr>
        <w:t xml:space="preserve">Since 2014, </w:t>
      </w:r>
      <w:proofErr w:type="spellStart"/>
      <w:r w:rsidRPr="00054790">
        <w:rPr>
          <w:rFonts w:eastAsia="MS Mincho"/>
          <w:lang w:val="en-GB"/>
        </w:rPr>
        <w:t>Bauing</w:t>
      </w:r>
      <w:proofErr w:type="spellEnd"/>
      <w:r w:rsidRPr="00054790">
        <w:rPr>
          <w:rFonts w:eastAsia="MS Mincho"/>
          <w:lang w:val="en-GB"/>
        </w:rPr>
        <w:t xml:space="preserve"> Indonesia had grown rapidly (see Exhibit </w:t>
      </w:r>
      <w:r w:rsidR="00D35E49" w:rsidRPr="00054790">
        <w:rPr>
          <w:rFonts w:eastAsia="MS Mincho"/>
          <w:lang w:val="en-GB"/>
        </w:rPr>
        <w:t>2</w:t>
      </w:r>
      <w:r w:rsidRPr="00054790">
        <w:rPr>
          <w:rFonts w:eastAsia="MS Mincho"/>
          <w:lang w:val="en-GB"/>
        </w:rPr>
        <w:t xml:space="preserve">), and the overall financial performance of </w:t>
      </w:r>
      <w:proofErr w:type="spellStart"/>
      <w:r w:rsidRPr="00054790">
        <w:rPr>
          <w:rFonts w:eastAsia="MS Mincho"/>
          <w:lang w:val="en-GB"/>
        </w:rPr>
        <w:t>Bauing</w:t>
      </w:r>
      <w:proofErr w:type="spellEnd"/>
      <w:r w:rsidRPr="00054790">
        <w:rPr>
          <w:rFonts w:eastAsia="MS Mincho"/>
          <w:lang w:val="en-GB"/>
        </w:rPr>
        <w:t xml:space="preserve"> Group from 2013–2016 had also grown steadily (see Exhibit </w:t>
      </w:r>
      <w:r w:rsidR="00D35E49" w:rsidRPr="00054790">
        <w:rPr>
          <w:rFonts w:eastAsia="MS Mincho"/>
          <w:lang w:val="en-GB"/>
        </w:rPr>
        <w:t>3</w:t>
      </w:r>
      <w:r w:rsidRPr="00054790">
        <w:rPr>
          <w:rFonts w:eastAsia="MS Mincho"/>
          <w:lang w:val="en-GB"/>
        </w:rPr>
        <w:t xml:space="preserve">). </w:t>
      </w:r>
      <w:proofErr w:type="spellStart"/>
      <w:r w:rsidRPr="00054790">
        <w:rPr>
          <w:rFonts w:eastAsia="MS Mincho"/>
          <w:lang w:val="en-GB"/>
        </w:rPr>
        <w:t>Bauing</w:t>
      </w:r>
      <w:proofErr w:type="spellEnd"/>
      <w:r w:rsidRPr="00054790">
        <w:rPr>
          <w:rFonts w:eastAsia="MS Mincho"/>
          <w:lang w:val="en-GB"/>
        </w:rPr>
        <w:t xml:space="preserve"> Group </w:t>
      </w:r>
      <w:r w:rsidR="00B307C0">
        <w:rPr>
          <w:rFonts w:eastAsia="MS Mincho"/>
          <w:lang w:val="en-GB"/>
        </w:rPr>
        <w:t xml:space="preserve">had </w:t>
      </w:r>
      <w:r w:rsidRPr="00054790">
        <w:rPr>
          <w:rFonts w:eastAsia="MS Mincho"/>
          <w:lang w:val="en-GB"/>
        </w:rPr>
        <w:t>continually established new companies in other Southeast Asian countries, including Vietnam and Myanmar. The company had successfully completed many large-scale projects in these countries, including the Indonesian Army eco-house project, the Country Garden Forest City sales office</w:t>
      </w:r>
      <w:r w:rsidR="001C2492">
        <w:rPr>
          <w:rFonts w:eastAsia="MS Mincho"/>
          <w:lang w:val="en-GB"/>
        </w:rPr>
        <w:t>,</w:t>
      </w:r>
      <w:r w:rsidRPr="00054790">
        <w:rPr>
          <w:rFonts w:eastAsia="MS Mincho"/>
          <w:lang w:val="en-GB"/>
        </w:rPr>
        <w:t xml:space="preserve"> KL Port </w:t>
      </w:r>
      <w:proofErr w:type="spellStart"/>
      <w:r w:rsidRPr="00054790">
        <w:rPr>
          <w:rFonts w:eastAsia="MS Mincho"/>
          <w:lang w:val="en-GB"/>
        </w:rPr>
        <w:t>Klang</w:t>
      </w:r>
      <w:proofErr w:type="spellEnd"/>
      <w:r w:rsidRPr="00054790">
        <w:rPr>
          <w:rFonts w:eastAsia="MS Mincho"/>
          <w:lang w:val="en-GB"/>
        </w:rPr>
        <w:t xml:space="preserve"> </w:t>
      </w:r>
      <w:proofErr w:type="spellStart"/>
      <w:r w:rsidRPr="00D9279F">
        <w:rPr>
          <w:rFonts w:eastAsia="MS Mincho"/>
          <w:lang w:val="en-GB"/>
        </w:rPr>
        <w:t>Yima</w:t>
      </w:r>
      <w:proofErr w:type="spellEnd"/>
      <w:r w:rsidRPr="00054790">
        <w:rPr>
          <w:rFonts w:eastAsia="MS Mincho"/>
          <w:lang w:val="en-GB"/>
        </w:rPr>
        <w:t xml:space="preserve"> Hotel fitting-out projects in Malaysia, and the Crowne Plaza </w:t>
      </w:r>
      <w:proofErr w:type="spellStart"/>
      <w:r w:rsidRPr="00054790">
        <w:rPr>
          <w:rFonts w:eastAsia="MS Mincho"/>
          <w:lang w:val="en-GB"/>
        </w:rPr>
        <w:t>Danang</w:t>
      </w:r>
      <w:proofErr w:type="spellEnd"/>
      <w:r w:rsidRPr="00054790">
        <w:rPr>
          <w:rFonts w:eastAsia="MS Mincho"/>
          <w:lang w:val="en-GB"/>
        </w:rPr>
        <w:t xml:space="preserve"> fitting-out project in Vietnam. It had also launched many new projects, which were under construction (see Exhibit </w:t>
      </w:r>
      <w:r w:rsidR="001950CF" w:rsidRPr="00054790">
        <w:rPr>
          <w:rFonts w:eastAsia="MS Mincho"/>
          <w:lang w:val="en-GB"/>
        </w:rPr>
        <w:t>4</w:t>
      </w:r>
      <w:r w:rsidRPr="00054790">
        <w:rPr>
          <w:rFonts w:eastAsia="MS Mincho"/>
          <w:lang w:val="en-GB"/>
        </w:rPr>
        <w:t>).</w:t>
      </w:r>
    </w:p>
    <w:p w14:paraId="4D6EED51" w14:textId="77777777" w:rsidR="000976C8" w:rsidRPr="00054790" w:rsidRDefault="000976C8" w:rsidP="000976C8">
      <w:pPr>
        <w:pStyle w:val="BodyTextMain"/>
        <w:rPr>
          <w:rFonts w:eastAsia="MS Mincho"/>
          <w:sz w:val="18"/>
          <w:szCs w:val="18"/>
          <w:lang w:val="en-GB"/>
        </w:rPr>
      </w:pPr>
    </w:p>
    <w:p w14:paraId="33932793" w14:textId="3A176866" w:rsidR="000976C8" w:rsidRPr="00AF750C" w:rsidRDefault="0069680E" w:rsidP="000976C8">
      <w:pPr>
        <w:pStyle w:val="BodyTextMain"/>
        <w:rPr>
          <w:rFonts w:eastAsia="MS Mincho"/>
          <w:lang w:val="en-GB"/>
        </w:rPr>
      </w:pPr>
      <w:r w:rsidRPr="00AF750C">
        <w:rPr>
          <w:rFonts w:eastAsia="MS Mincho"/>
          <w:lang w:val="en-GB"/>
        </w:rPr>
        <w:t>T</w:t>
      </w:r>
      <w:r w:rsidR="000976C8" w:rsidRPr="00AF750C">
        <w:rPr>
          <w:rFonts w:eastAsia="MS Mincho"/>
          <w:lang w:val="en-GB"/>
        </w:rPr>
        <w:t xml:space="preserve">he success of </w:t>
      </w:r>
      <w:proofErr w:type="spellStart"/>
      <w:r w:rsidR="000976C8" w:rsidRPr="00AF750C">
        <w:rPr>
          <w:rFonts w:eastAsia="MS Mincho"/>
          <w:lang w:val="en-GB"/>
        </w:rPr>
        <w:t>Bauing</w:t>
      </w:r>
      <w:proofErr w:type="spellEnd"/>
      <w:r w:rsidR="000976C8" w:rsidRPr="00AF750C">
        <w:rPr>
          <w:rFonts w:eastAsia="MS Mincho"/>
          <w:lang w:val="en-GB"/>
        </w:rPr>
        <w:t xml:space="preserve"> Group in Southeast Asia</w:t>
      </w:r>
      <w:r w:rsidRPr="00AF750C">
        <w:rPr>
          <w:rFonts w:eastAsia="MS Mincho"/>
          <w:lang w:val="en-GB"/>
        </w:rPr>
        <w:t xml:space="preserve"> </w:t>
      </w:r>
      <w:r w:rsidR="00D91B37">
        <w:rPr>
          <w:rFonts w:eastAsia="MS Mincho"/>
          <w:lang w:val="en-GB"/>
        </w:rPr>
        <w:t xml:space="preserve">was a </w:t>
      </w:r>
      <w:r w:rsidRPr="00AF750C">
        <w:rPr>
          <w:rFonts w:eastAsia="MS Mincho"/>
          <w:lang w:val="en-GB"/>
        </w:rPr>
        <w:t xml:space="preserve">result </w:t>
      </w:r>
      <w:r w:rsidR="00D91B37">
        <w:rPr>
          <w:rFonts w:eastAsia="MS Mincho"/>
          <w:lang w:val="en-GB"/>
        </w:rPr>
        <w:t>of</w:t>
      </w:r>
      <w:r w:rsidRPr="00AF750C">
        <w:rPr>
          <w:rFonts w:eastAsia="MS Mincho"/>
          <w:lang w:val="en-GB"/>
        </w:rPr>
        <w:t xml:space="preserve"> two </w:t>
      </w:r>
      <w:r w:rsidR="00D91B37">
        <w:rPr>
          <w:rFonts w:eastAsia="MS Mincho"/>
          <w:lang w:val="en-GB"/>
        </w:rPr>
        <w:t>factors</w:t>
      </w:r>
      <w:r w:rsidR="000976C8" w:rsidRPr="00AF750C">
        <w:rPr>
          <w:rFonts w:eastAsia="MS Mincho"/>
          <w:lang w:val="en-GB"/>
        </w:rPr>
        <w:t xml:space="preserve">. First, the OBOR initiative </w:t>
      </w:r>
      <w:r w:rsidR="005874D8">
        <w:rPr>
          <w:rFonts w:eastAsia="MS Mincho"/>
          <w:lang w:val="en-GB"/>
        </w:rPr>
        <w:t>and</w:t>
      </w:r>
      <w:r w:rsidR="000976C8" w:rsidRPr="00AF750C">
        <w:rPr>
          <w:rFonts w:eastAsia="MS Mincho"/>
          <w:lang w:val="en-GB"/>
        </w:rPr>
        <w:t xml:space="preserve"> </w:t>
      </w:r>
      <w:r w:rsidR="005874D8">
        <w:rPr>
          <w:rFonts w:eastAsia="MS Mincho"/>
          <w:lang w:val="en-GB"/>
        </w:rPr>
        <w:t xml:space="preserve">the </w:t>
      </w:r>
      <w:r w:rsidR="000976C8" w:rsidRPr="00AF750C">
        <w:rPr>
          <w:rFonts w:eastAsia="MS Mincho"/>
          <w:lang w:val="en-GB"/>
        </w:rPr>
        <w:t>opportunities</w:t>
      </w:r>
      <w:r w:rsidR="005874D8">
        <w:rPr>
          <w:rFonts w:eastAsia="MS Mincho"/>
          <w:lang w:val="en-GB"/>
        </w:rPr>
        <w:t xml:space="preserve"> it provided</w:t>
      </w:r>
      <w:r w:rsidR="000976C8" w:rsidRPr="00AF750C">
        <w:rPr>
          <w:rFonts w:eastAsia="MS Mincho"/>
          <w:lang w:val="en-GB"/>
        </w:rPr>
        <w:t xml:space="preserve">: </w:t>
      </w:r>
      <w:r w:rsidR="005874D8">
        <w:rPr>
          <w:rFonts w:eastAsia="MS Mincho"/>
          <w:lang w:val="en-GB"/>
        </w:rPr>
        <w:t>the initiative</w:t>
      </w:r>
      <w:r w:rsidR="000976C8" w:rsidRPr="00AF750C">
        <w:rPr>
          <w:rFonts w:eastAsia="MS Mincho"/>
          <w:lang w:val="en-GB"/>
        </w:rPr>
        <w:t xml:space="preserve"> was expected to bridge the infrastructure gap and thus </w:t>
      </w:r>
      <w:r w:rsidR="000976C8" w:rsidRPr="00AF750C">
        <w:rPr>
          <w:rFonts w:eastAsia="MS Mincho"/>
          <w:lang w:val="en-GB"/>
        </w:rPr>
        <w:lastRenderedPageBreak/>
        <w:t>accelerate economic growth across the Asia-Pacific area and through</w:t>
      </w:r>
      <w:r w:rsidR="00D91B37">
        <w:rPr>
          <w:rFonts w:eastAsia="MS Mincho"/>
          <w:lang w:val="en-GB"/>
        </w:rPr>
        <w:t>out</w:t>
      </w:r>
      <w:r w:rsidR="000976C8" w:rsidRPr="00AF750C">
        <w:rPr>
          <w:rFonts w:eastAsia="MS Mincho"/>
          <w:lang w:val="en-GB"/>
        </w:rPr>
        <w:t xml:space="preserve"> Central and Eastern Europe. The area of the initiative encompassed </w:t>
      </w:r>
      <w:r w:rsidRPr="00AF750C">
        <w:rPr>
          <w:rFonts w:eastAsia="MS Mincho"/>
          <w:lang w:val="en-GB"/>
        </w:rPr>
        <w:t xml:space="preserve">approximately </w:t>
      </w:r>
      <w:r w:rsidR="000976C8" w:rsidRPr="00AF750C">
        <w:rPr>
          <w:rFonts w:eastAsia="MS Mincho"/>
          <w:lang w:val="en-GB"/>
        </w:rPr>
        <w:t xml:space="preserve">60 countries, primarily in Asia and Europe, and also </w:t>
      </w:r>
      <w:r w:rsidRPr="00AF750C">
        <w:rPr>
          <w:rFonts w:eastAsia="MS Mincho"/>
          <w:lang w:val="en-GB"/>
        </w:rPr>
        <w:t xml:space="preserve">included </w:t>
      </w:r>
      <w:r w:rsidR="000976C8" w:rsidRPr="00AF750C">
        <w:rPr>
          <w:rFonts w:eastAsia="MS Mincho"/>
          <w:lang w:val="en-GB"/>
        </w:rPr>
        <w:t>Oceania and East Africa. The anticipated cumulative investment over an indefinite time</w:t>
      </w:r>
      <w:r w:rsidR="001C2492" w:rsidRPr="00AF750C">
        <w:rPr>
          <w:rFonts w:eastAsia="MS Mincho"/>
          <w:lang w:val="en-GB"/>
        </w:rPr>
        <w:t xml:space="preserve"> </w:t>
      </w:r>
      <w:r w:rsidR="000976C8" w:rsidRPr="00AF750C">
        <w:rPr>
          <w:rFonts w:eastAsia="MS Mincho"/>
          <w:lang w:val="en-GB"/>
        </w:rPr>
        <w:t>scale was variously estimated at $4</w:t>
      </w:r>
      <w:r w:rsidRPr="00AF750C">
        <w:rPr>
          <w:rFonts w:eastAsia="MS Mincho"/>
          <w:lang w:val="en-GB"/>
        </w:rPr>
        <w:t xml:space="preserve"> trillion</w:t>
      </w:r>
      <w:r w:rsidR="000976C8" w:rsidRPr="00AF750C">
        <w:rPr>
          <w:rFonts w:eastAsia="MS Mincho"/>
          <w:lang w:val="en-GB"/>
        </w:rPr>
        <w:t>–$8 trillion.</w:t>
      </w:r>
    </w:p>
    <w:p w14:paraId="2F620281" w14:textId="77777777" w:rsidR="000976C8" w:rsidRPr="00054790" w:rsidRDefault="000976C8" w:rsidP="000976C8">
      <w:pPr>
        <w:pStyle w:val="BodyTextMain"/>
        <w:rPr>
          <w:rFonts w:eastAsia="MS Mincho"/>
          <w:sz w:val="18"/>
          <w:szCs w:val="18"/>
          <w:lang w:val="en-GB"/>
        </w:rPr>
      </w:pPr>
    </w:p>
    <w:p w14:paraId="5E06C902" w14:textId="48D1CA7C" w:rsidR="000976C8" w:rsidRPr="00054790" w:rsidRDefault="000976C8" w:rsidP="000976C8">
      <w:pPr>
        <w:pStyle w:val="BodyTextMain"/>
        <w:rPr>
          <w:rFonts w:eastAsia="MS Mincho"/>
          <w:lang w:val="en-GB"/>
        </w:rPr>
      </w:pPr>
      <w:r w:rsidRPr="00054790">
        <w:rPr>
          <w:rFonts w:eastAsia="MS Mincho"/>
          <w:lang w:val="en-GB"/>
        </w:rPr>
        <w:t xml:space="preserve">Second, </w:t>
      </w:r>
      <w:proofErr w:type="spellStart"/>
      <w:r w:rsidR="001C2492">
        <w:rPr>
          <w:rFonts w:eastAsia="MS Mincho"/>
          <w:lang w:val="en-GB"/>
        </w:rPr>
        <w:t>Bauing</w:t>
      </w:r>
      <w:proofErr w:type="spellEnd"/>
      <w:r w:rsidR="001C2492">
        <w:rPr>
          <w:rFonts w:eastAsia="MS Mincho"/>
          <w:lang w:val="en-GB"/>
        </w:rPr>
        <w:t xml:space="preserve"> Group’s</w:t>
      </w:r>
      <w:r w:rsidR="001C2492" w:rsidRPr="00054790">
        <w:rPr>
          <w:rFonts w:eastAsia="MS Mincho"/>
          <w:lang w:val="en-GB"/>
        </w:rPr>
        <w:t xml:space="preserve"> </w:t>
      </w:r>
      <w:r w:rsidRPr="00054790">
        <w:rPr>
          <w:rFonts w:eastAsia="MS Mincho"/>
          <w:lang w:val="en-GB"/>
        </w:rPr>
        <w:t xml:space="preserve">corporate culture emphasized wisdom, sharpness, and bravery—characteristics of the eagle—which reflected the core values of </w:t>
      </w:r>
      <w:proofErr w:type="spellStart"/>
      <w:r w:rsidRPr="00054790">
        <w:rPr>
          <w:rFonts w:eastAsia="MS Mincho"/>
          <w:lang w:val="en-GB"/>
        </w:rPr>
        <w:t>Bauing</w:t>
      </w:r>
      <w:proofErr w:type="spellEnd"/>
      <w:r w:rsidR="001C2492">
        <w:rPr>
          <w:rFonts w:eastAsia="MS Mincho"/>
          <w:lang w:val="en-GB"/>
        </w:rPr>
        <w:t xml:space="preserve"> Group</w:t>
      </w:r>
      <w:r w:rsidRPr="00054790">
        <w:rPr>
          <w:rFonts w:eastAsia="MS Mincho"/>
          <w:lang w:val="en-GB"/>
        </w:rPr>
        <w:t xml:space="preserve">’s </w:t>
      </w:r>
      <w:proofErr w:type="spellStart"/>
      <w:r w:rsidRPr="00054790">
        <w:rPr>
          <w:rFonts w:eastAsia="MS Mincho"/>
          <w:lang w:val="en-GB"/>
        </w:rPr>
        <w:t>Lingnan</w:t>
      </w:r>
      <w:proofErr w:type="spellEnd"/>
      <w:r w:rsidRPr="00054790">
        <w:rPr>
          <w:rFonts w:eastAsia="MS Mincho"/>
          <w:lang w:val="en-GB"/>
        </w:rPr>
        <w:t xml:space="preserve"> cultural heritage. </w:t>
      </w:r>
      <w:proofErr w:type="spellStart"/>
      <w:r w:rsidRPr="00054790">
        <w:rPr>
          <w:rFonts w:eastAsia="MS Mincho"/>
          <w:lang w:val="en-GB"/>
        </w:rPr>
        <w:t>Lingnan</w:t>
      </w:r>
      <w:proofErr w:type="spellEnd"/>
      <w:r w:rsidRPr="00054790">
        <w:rPr>
          <w:rFonts w:eastAsia="MS Mincho"/>
          <w:lang w:val="en-GB"/>
        </w:rPr>
        <w:t xml:space="preserve"> culture, from Guangdong and the nearby provinces in </w:t>
      </w:r>
      <w:r w:rsidR="00784D56" w:rsidRPr="00054790">
        <w:rPr>
          <w:rFonts w:eastAsia="MS Mincho"/>
          <w:lang w:val="en-GB"/>
        </w:rPr>
        <w:t>south-eastern</w:t>
      </w:r>
      <w:r w:rsidRPr="00054790">
        <w:rPr>
          <w:rFonts w:eastAsia="MS Mincho"/>
          <w:lang w:val="en-GB"/>
        </w:rPr>
        <w:t xml:space="preserve"> China, encouraged people to “always [be] brave, to go out to try new things, to embrace change, to adapt [to a] new environment wisely.”</w:t>
      </w:r>
      <w:r w:rsidR="00F63EAF" w:rsidRPr="00054790">
        <w:rPr>
          <w:rFonts w:eastAsia="MS Mincho"/>
          <w:vertAlign w:val="superscript"/>
          <w:lang w:val="en-GB"/>
        </w:rPr>
        <w:footnoteReference w:id="10"/>
      </w:r>
      <w:r w:rsidRPr="00054790">
        <w:rPr>
          <w:rFonts w:eastAsia="MS Mincho"/>
          <w:lang w:val="en-GB"/>
        </w:rPr>
        <w:t xml:space="preserve"> This approach combined values from Cantonese, Teochew, and Hakka cultures, and was typically contrasted with </w:t>
      </w:r>
      <w:proofErr w:type="spellStart"/>
      <w:r w:rsidRPr="00054790">
        <w:rPr>
          <w:rFonts w:eastAsia="MS Mincho"/>
          <w:lang w:val="en-GB"/>
        </w:rPr>
        <w:t>Zhongyuan</w:t>
      </w:r>
      <w:proofErr w:type="spellEnd"/>
      <w:r w:rsidRPr="00054790">
        <w:rPr>
          <w:rFonts w:eastAsia="MS Mincho"/>
          <w:lang w:val="en-GB"/>
        </w:rPr>
        <w:t xml:space="preserve"> culture, which came from China’s northern plains (</w:t>
      </w:r>
      <w:proofErr w:type="spellStart"/>
      <w:r w:rsidRPr="00054790">
        <w:rPr>
          <w:rFonts w:eastAsia="MS Mincho"/>
          <w:lang w:val="en-GB"/>
        </w:rPr>
        <w:t>Zhongyuan</w:t>
      </w:r>
      <w:proofErr w:type="spellEnd"/>
      <w:r w:rsidR="0069680E">
        <w:rPr>
          <w:rFonts w:eastAsia="MS Mincho"/>
          <w:lang w:val="en-GB"/>
        </w:rPr>
        <w:t xml:space="preserve"> was Mandarin for “</w:t>
      </w:r>
      <w:r w:rsidR="00307AFC">
        <w:rPr>
          <w:rFonts w:eastAsia="MS Mincho"/>
          <w:lang w:val="en-GB"/>
        </w:rPr>
        <w:t>c</w:t>
      </w:r>
      <w:r w:rsidR="0069680E">
        <w:rPr>
          <w:rFonts w:eastAsia="MS Mincho"/>
          <w:lang w:val="en-GB"/>
        </w:rPr>
        <w:t>entral plain”</w:t>
      </w:r>
      <w:r w:rsidRPr="00054790">
        <w:rPr>
          <w:rFonts w:eastAsia="MS Mincho"/>
          <w:lang w:val="en-GB"/>
        </w:rPr>
        <w:t xml:space="preserve">). Throughout history, many </w:t>
      </w:r>
      <w:proofErr w:type="spellStart"/>
      <w:r w:rsidRPr="00054790">
        <w:rPr>
          <w:rFonts w:eastAsia="MS Mincho"/>
          <w:lang w:val="en-GB"/>
        </w:rPr>
        <w:t>Lingnan</w:t>
      </w:r>
      <w:proofErr w:type="spellEnd"/>
      <w:r w:rsidRPr="00054790">
        <w:rPr>
          <w:rFonts w:eastAsia="MS Mincho"/>
          <w:lang w:val="en-GB"/>
        </w:rPr>
        <w:t xml:space="preserve"> people had </w:t>
      </w:r>
      <w:r w:rsidR="00784D56" w:rsidRPr="00054790">
        <w:rPr>
          <w:rFonts w:eastAsia="MS Mincho"/>
          <w:lang w:val="en-GB"/>
        </w:rPr>
        <w:t>immigrated</w:t>
      </w:r>
      <w:r w:rsidRPr="00054790">
        <w:rPr>
          <w:rFonts w:eastAsia="MS Mincho"/>
          <w:lang w:val="en-GB"/>
        </w:rPr>
        <w:t xml:space="preserve"> to Southeast Asian countries</w:t>
      </w:r>
      <w:r w:rsidR="008169E1">
        <w:rPr>
          <w:rFonts w:eastAsia="MS Mincho"/>
          <w:lang w:val="en-GB"/>
        </w:rPr>
        <w:t>, taking with them</w:t>
      </w:r>
      <w:r w:rsidRPr="00054790">
        <w:rPr>
          <w:rFonts w:eastAsia="MS Mincho"/>
          <w:lang w:val="en-GB"/>
        </w:rPr>
        <w:t xml:space="preserve"> the </w:t>
      </w:r>
      <w:proofErr w:type="spellStart"/>
      <w:r w:rsidRPr="00054790">
        <w:rPr>
          <w:rFonts w:eastAsia="MS Mincho"/>
          <w:lang w:val="en-GB"/>
        </w:rPr>
        <w:t>Lingnan</w:t>
      </w:r>
      <w:proofErr w:type="spellEnd"/>
      <w:r w:rsidRPr="00054790">
        <w:rPr>
          <w:rFonts w:eastAsia="MS Mincho"/>
          <w:lang w:val="en-GB"/>
        </w:rPr>
        <w:t xml:space="preserve"> culture and lifestyle and </w:t>
      </w:r>
      <w:r w:rsidR="008169E1" w:rsidRPr="00054790">
        <w:rPr>
          <w:rFonts w:eastAsia="MS Mincho"/>
          <w:lang w:val="en-GB"/>
        </w:rPr>
        <w:t>maintain</w:t>
      </w:r>
      <w:r w:rsidR="008169E1">
        <w:rPr>
          <w:rFonts w:eastAsia="MS Mincho"/>
          <w:lang w:val="en-GB"/>
        </w:rPr>
        <w:t>ing</w:t>
      </w:r>
      <w:r w:rsidR="008169E1" w:rsidRPr="00054790">
        <w:rPr>
          <w:rFonts w:eastAsia="MS Mincho"/>
          <w:lang w:val="en-GB"/>
        </w:rPr>
        <w:t xml:space="preserve"> </w:t>
      </w:r>
      <w:r w:rsidRPr="00054790">
        <w:rPr>
          <w:rFonts w:eastAsia="MS Mincho"/>
          <w:lang w:val="en-GB"/>
        </w:rPr>
        <w:t xml:space="preserve">their dialects from one generation to another. They were a special </w:t>
      </w:r>
      <w:r w:rsidR="0069680E">
        <w:rPr>
          <w:rFonts w:eastAsia="MS Mincho"/>
          <w:lang w:val="en-GB"/>
        </w:rPr>
        <w:t xml:space="preserve">ethnic </w:t>
      </w:r>
      <w:r w:rsidRPr="00054790">
        <w:rPr>
          <w:rFonts w:eastAsia="MS Mincho"/>
          <w:lang w:val="en-GB"/>
        </w:rPr>
        <w:t xml:space="preserve">minority group that played important roles in different walks of life in most Southeast Asian countries. </w:t>
      </w:r>
      <w:r w:rsidR="008169E1">
        <w:rPr>
          <w:rFonts w:eastAsia="MS Mincho"/>
          <w:lang w:val="en-GB"/>
        </w:rPr>
        <w:t>By b</w:t>
      </w:r>
      <w:r w:rsidRPr="00054790">
        <w:rPr>
          <w:rFonts w:eastAsia="MS Mincho"/>
          <w:lang w:val="en-GB"/>
        </w:rPr>
        <w:t xml:space="preserve">asing its corporate culture in </w:t>
      </w:r>
      <w:proofErr w:type="spellStart"/>
      <w:r w:rsidRPr="00054790">
        <w:rPr>
          <w:rFonts w:eastAsia="MS Mincho"/>
          <w:lang w:val="en-GB"/>
        </w:rPr>
        <w:t>Lingnan</w:t>
      </w:r>
      <w:proofErr w:type="spellEnd"/>
      <w:r w:rsidRPr="00054790">
        <w:rPr>
          <w:rFonts w:eastAsia="MS Mincho"/>
          <w:lang w:val="en-GB"/>
        </w:rPr>
        <w:t xml:space="preserve"> culture</w:t>
      </w:r>
      <w:r w:rsidR="008169E1">
        <w:rPr>
          <w:rFonts w:eastAsia="MS Mincho"/>
          <w:lang w:val="en-GB"/>
        </w:rPr>
        <w:t>,</w:t>
      </w:r>
      <w:r w:rsidRPr="00054790">
        <w:rPr>
          <w:rFonts w:eastAsia="MS Mincho"/>
          <w:lang w:val="en-GB"/>
        </w:rPr>
        <w:t xml:space="preserve"> </w:t>
      </w:r>
      <w:proofErr w:type="spellStart"/>
      <w:r w:rsidRPr="00054790">
        <w:rPr>
          <w:rFonts w:eastAsia="MS Mincho"/>
          <w:lang w:val="en-GB"/>
        </w:rPr>
        <w:t>Bauing</w:t>
      </w:r>
      <w:proofErr w:type="spellEnd"/>
      <w:r w:rsidRPr="00054790">
        <w:rPr>
          <w:rFonts w:eastAsia="MS Mincho"/>
          <w:lang w:val="en-GB"/>
        </w:rPr>
        <w:t xml:space="preserve"> Group </w:t>
      </w:r>
      <w:r w:rsidR="008169E1">
        <w:rPr>
          <w:rFonts w:eastAsia="MS Mincho"/>
          <w:lang w:val="en-GB"/>
        </w:rPr>
        <w:t xml:space="preserve">was able both </w:t>
      </w:r>
      <w:r w:rsidRPr="00054790">
        <w:rPr>
          <w:rFonts w:eastAsia="MS Mincho"/>
          <w:lang w:val="en-GB"/>
        </w:rPr>
        <w:t xml:space="preserve">to naturally gain some advantages and </w:t>
      </w:r>
      <w:r w:rsidR="008169E1">
        <w:rPr>
          <w:rFonts w:eastAsia="MS Mincho"/>
          <w:lang w:val="en-GB"/>
        </w:rPr>
        <w:t xml:space="preserve">to </w:t>
      </w:r>
      <w:r w:rsidRPr="00054790">
        <w:rPr>
          <w:rFonts w:eastAsia="MS Mincho"/>
          <w:lang w:val="en-GB"/>
        </w:rPr>
        <w:t>overcome cultural conflicts when entering Southeast Asian countries.</w:t>
      </w:r>
    </w:p>
    <w:p w14:paraId="455A29C4" w14:textId="77777777" w:rsidR="000976C8" w:rsidRPr="00054790" w:rsidRDefault="000976C8" w:rsidP="000976C8">
      <w:pPr>
        <w:pStyle w:val="BodyTextMain"/>
        <w:rPr>
          <w:rFonts w:eastAsia="MS Mincho"/>
          <w:sz w:val="18"/>
          <w:szCs w:val="18"/>
          <w:lang w:val="en-GB"/>
        </w:rPr>
      </w:pPr>
    </w:p>
    <w:p w14:paraId="2F012E74" w14:textId="77777777" w:rsidR="000976C8" w:rsidRPr="00054790" w:rsidRDefault="000976C8" w:rsidP="000976C8">
      <w:pPr>
        <w:pStyle w:val="BodyTextMain"/>
        <w:rPr>
          <w:rFonts w:eastAsia="MS Mincho"/>
          <w:sz w:val="18"/>
          <w:szCs w:val="18"/>
          <w:lang w:val="en-GB"/>
        </w:rPr>
      </w:pPr>
    </w:p>
    <w:p w14:paraId="5B5FE158" w14:textId="1EFF43BE" w:rsidR="000976C8" w:rsidRPr="00054790" w:rsidRDefault="000976C8" w:rsidP="000976C8">
      <w:pPr>
        <w:pStyle w:val="Casehead1"/>
        <w:rPr>
          <w:rFonts w:eastAsia="MS Mincho"/>
          <w:lang w:val="en-GB"/>
        </w:rPr>
      </w:pPr>
      <w:r w:rsidRPr="00054790">
        <w:rPr>
          <w:rFonts w:eastAsia="MS Mincho"/>
          <w:lang w:val="en-GB"/>
        </w:rPr>
        <w:t xml:space="preserve">The </w:t>
      </w:r>
      <w:r w:rsidR="00D971E1">
        <w:rPr>
          <w:rFonts w:eastAsia="MS Mincho"/>
          <w:lang w:val="en-GB"/>
        </w:rPr>
        <w:t>US Construction Industry</w:t>
      </w:r>
      <w:r w:rsidR="00D971E1" w:rsidRPr="00054790">
        <w:rPr>
          <w:rFonts w:eastAsia="MS Mincho"/>
          <w:vertAlign w:val="superscript"/>
          <w:lang w:val="en-GB"/>
        </w:rPr>
        <w:footnoteReference w:id="11"/>
      </w:r>
    </w:p>
    <w:p w14:paraId="0854D892" w14:textId="77777777" w:rsidR="000976C8" w:rsidRPr="00054790" w:rsidRDefault="000976C8" w:rsidP="000976C8">
      <w:pPr>
        <w:pStyle w:val="BodyTextMain"/>
        <w:rPr>
          <w:rFonts w:eastAsia="MS Mincho"/>
          <w:sz w:val="18"/>
          <w:szCs w:val="18"/>
          <w:lang w:val="en-GB"/>
        </w:rPr>
      </w:pPr>
    </w:p>
    <w:p w14:paraId="3A050639" w14:textId="447DBBBD" w:rsidR="000976C8" w:rsidRPr="00054790" w:rsidRDefault="000976C8" w:rsidP="000976C8">
      <w:pPr>
        <w:pStyle w:val="BodyTextMain"/>
        <w:rPr>
          <w:rFonts w:eastAsia="MS Mincho"/>
          <w:lang w:val="en-GB"/>
        </w:rPr>
      </w:pPr>
      <w:r w:rsidRPr="00054790">
        <w:rPr>
          <w:rFonts w:eastAsia="MS Mincho"/>
          <w:lang w:val="en-GB"/>
        </w:rPr>
        <w:t xml:space="preserve">A </w:t>
      </w:r>
      <w:proofErr w:type="spellStart"/>
      <w:r w:rsidRPr="00054790">
        <w:rPr>
          <w:rFonts w:eastAsia="MS Mincho"/>
          <w:lang w:val="en-GB"/>
        </w:rPr>
        <w:t>MarketLine</w:t>
      </w:r>
      <w:proofErr w:type="spellEnd"/>
      <w:r w:rsidRPr="00054790">
        <w:rPr>
          <w:rFonts w:eastAsia="MS Mincho"/>
          <w:lang w:val="en-GB"/>
        </w:rPr>
        <w:t xml:space="preserve"> industry profile indicated that the </w:t>
      </w:r>
      <w:r w:rsidR="00D971E1">
        <w:rPr>
          <w:rFonts w:eastAsia="MS Mincho"/>
          <w:lang w:val="en-GB"/>
        </w:rPr>
        <w:t>US</w:t>
      </w:r>
      <w:r w:rsidRPr="00054790">
        <w:rPr>
          <w:rFonts w:eastAsia="MS Mincho"/>
          <w:lang w:val="en-GB"/>
        </w:rPr>
        <w:t xml:space="preserve"> construction industry had been experiencing healthy growth. It had increased in value by 6.5 per cent in 2016, and analysts expected this growth to continue at a similar rate between 2016 and 2021.</w:t>
      </w:r>
    </w:p>
    <w:p w14:paraId="6DCC807C" w14:textId="77777777" w:rsidR="000976C8" w:rsidRPr="00054790" w:rsidRDefault="000976C8" w:rsidP="000976C8">
      <w:pPr>
        <w:pStyle w:val="BodyTextMain"/>
        <w:rPr>
          <w:rFonts w:eastAsia="MS Mincho"/>
          <w:sz w:val="18"/>
          <w:szCs w:val="18"/>
          <w:lang w:val="en-GB"/>
        </w:rPr>
      </w:pPr>
    </w:p>
    <w:p w14:paraId="596A15B3" w14:textId="61A16794" w:rsidR="000976C8" w:rsidRPr="00054790" w:rsidRDefault="000976C8" w:rsidP="000976C8">
      <w:pPr>
        <w:pStyle w:val="BodyTextMain"/>
        <w:rPr>
          <w:rFonts w:eastAsia="MS Mincho"/>
          <w:lang w:val="en-GB"/>
        </w:rPr>
      </w:pPr>
      <w:r w:rsidRPr="00054790">
        <w:rPr>
          <w:rFonts w:eastAsia="MS Mincho"/>
          <w:lang w:val="en-GB"/>
        </w:rPr>
        <w:t xml:space="preserve">The highest contributor to the </w:t>
      </w:r>
      <w:r w:rsidR="00D971E1">
        <w:rPr>
          <w:rFonts w:eastAsia="MS Mincho"/>
          <w:lang w:val="en-GB"/>
        </w:rPr>
        <w:t>US</w:t>
      </w:r>
      <w:r w:rsidRPr="00054790">
        <w:rPr>
          <w:rFonts w:eastAsia="MS Mincho"/>
          <w:lang w:val="en-GB"/>
        </w:rPr>
        <w:t xml:space="preserve"> construction industry’s total value was the non-residential segment, which contributed $712.5 billion, or 60.1 per cent, in revenue. Residential construction contributed $473.2 billion, or 39.9 per cent of the industry’s total value in 2016. Strong demand for residential properties, fuelled by a significant increase in household income and lower mortgage costs, had been largely responsible for the strength of the </w:t>
      </w:r>
      <w:r w:rsidR="00D971E1">
        <w:rPr>
          <w:rFonts w:eastAsia="MS Mincho"/>
          <w:lang w:val="en-GB"/>
        </w:rPr>
        <w:t>US</w:t>
      </w:r>
      <w:r w:rsidRPr="00054790">
        <w:rPr>
          <w:rFonts w:eastAsia="MS Mincho"/>
          <w:lang w:val="en-GB"/>
        </w:rPr>
        <w:t xml:space="preserve"> construction industry in recent years. </w:t>
      </w:r>
    </w:p>
    <w:p w14:paraId="55CF4938" w14:textId="77777777" w:rsidR="000976C8" w:rsidRPr="00054790" w:rsidRDefault="000976C8" w:rsidP="000976C8">
      <w:pPr>
        <w:pStyle w:val="BodyTextMain"/>
        <w:rPr>
          <w:rFonts w:eastAsia="MS Mincho"/>
          <w:sz w:val="18"/>
          <w:szCs w:val="18"/>
          <w:lang w:val="en-GB"/>
        </w:rPr>
      </w:pPr>
    </w:p>
    <w:p w14:paraId="0C38D758" w14:textId="080F8424" w:rsidR="000976C8" w:rsidRDefault="000976C8" w:rsidP="000976C8">
      <w:pPr>
        <w:pStyle w:val="BodyTextMain"/>
        <w:rPr>
          <w:rFonts w:eastAsia="MS Mincho"/>
          <w:lang w:val="en-GB"/>
        </w:rPr>
      </w:pPr>
      <w:r w:rsidRPr="00054790">
        <w:rPr>
          <w:rFonts w:eastAsia="MS Mincho"/>
          <w:lang w:val="en-GB"/>
        </w:rPr>
        <w:t xml:space="preserve">Non-residential construction in the United States had been slightly unstable but had improved in recent years. Spending on infrastructure, however, had stalled due to an uncertain political climate. </w:t>
      </w:r>
      <w:proofErr w:type="spellStart"/>
      <w:r w:rsidRPr="00054790">
        <w:rPr>
          <w:rFonts w:eastAsia="MS Mincho"/>
          <w:lang w:val="en-GB"/>
        </w:rPr>
        <w:t>MarketLine</w:t>
      </w:r>
      <w:proofErr w:type="spellEnd"/>
      <w:r w:rsidRPr="00054790">
        <w:rPr>
          <w:rFonts w:eastAsia="MS Mincho"/>
          <w:lang w:val="en-GB"/>
        </w:rPr>
        <w:t xml:space="preserve"> expected growth in the </w:t>
      </w:r>
      <w:r w:rsidR="00D971E1">
        <w:rPr>
          <w:rFonts w:eastAsia="MS Mincho"/>
          <w:lang w:val="en-GB"/>
        </w:rPr>
        <w:t>US</w:t>
      </w:r>
      <w:r w:rsidRPr="00054790">
        <w:rPr>
          <w:rFonts w:eastAsia="MS Mincho"/>
          <w:lang w:val="en-GB"/>
        </w:rPr>
        <w:t xml:space="preserve"> construction industry to continue to slow as private investments slowed. Analysts expected investors to be less confident about this industry and expected banks to tighten qualifications for lending.</w:t>
      </w:r>
    </w:p>
    <w:p w14:paraId="270BC9DB" w14:textId="77777777" w:rsidR="005007EC" w:rsidRPr="005007EC" w:rsidRDefault="005007EC" w:rsidP="000976C8">
      <w:pPr>
        <w:pStyle w:val="BodyTextMain"/>
        <w:rPr>
          <w:rFonts w:eastAsia="MS Mincho"/>
          <w:sz w:val="18"/>
          <w:szCs w:val="18"/>
          <w:lang w:val="en-GB"/>
        </w:rPr>
      </w:pPr>
    </w:p>
    <w:p w14:paraId="418DC45D" w14:textId="564D17B8" w:rsidR="000976C8" w:rsidRPr="00AF750C" w:rsidRDefault="000976C8" w:rsidP="000976C8">
      <w:pPr>
        <w:pStyle w:val="BodyTextMain"/>
        <w:rPr>
          <w:rFonts w:eastAsia="MS Mincho"/>
          <w:spacing w:val="-2"/>
          <w:kern w:val="22"/>
          <w:lang w:val="en-GB"/>
        </w:rPr>
      </w:pPr>
      <w:r w:rsidRPr="00AF750C">
        <w:rPr>
          <w:rFonts w:eastAsia="MS Mincho"/>
          <w:spacing w:val="-2"/>
          <w:kern w:val="22"/>
          <w:lang w:val="en-GB"/>
        </w:rPr>
        <w:t xml:space="preserve">In this scenario, non-residential construction was expected to increase. Analysts projected that </w:t>
      </w:r>
      <w:r w:rsidR="007D4306" w:rsidRPr="00AF750C">
        <w:rPr>
          <w:rFonts w:eastAsia="MS Mincho"/>
          <w:spacing w:val="-2"/>
          <w:kern w:val="22"/>
          <w:lang w:val="en-GB"/>
        </w:rPr>
        <w:t xml:space="preserve">the main contributors to the industry would be </w:t>
      </w:r>
      <w:r w:rsidRPr="00AF750C">
        <w:rPr>
          <w:rFonts w:eastAsia="MS Mincho"/>
          <w:spacing w:val="-2"/>
          <w:kern w:val="22"/>
          <w:lang w:val="en-GB"/>
        </w:rPr>
        <w:t>large-scale projects</w:t>
      </w:r>
      <w:r w:rsidR="007D4306" w:rsidRPr="00AF750C">
        <w:rPr>
          <w:rFonts w:eastAsia="MS Mincho"/>
          <w:spacing w:val="-2"/>
          <w:kern w:val="22"/>
          <w:lang w:val="en-GB"/>
        </w:rPr>
        <w:t>,</w:t>
      </w:r>
      <w:r w:rsidRPr="00AF750C">
        <w:rPr>
          <w:rFonts w:eastAsia="MS Mincho"/>
          <w:spacing w:val="-2"/>
          <w:kern w:val="22"/>
          <w:lang w:val="en-GB"/>
        </w:rPr>
        <w:t xml:space="preserve"> </w:t>
      </w:r>
      <w:r w:rsidR="007D4306" w:rsidRPr="00AF750C">
        <w:rPr>
          <w:rFonts w:eastAsia="MS Mincho"/>
          <w:spacing w:val="-2"/>
          <w:kern w:val="22"/>
          <w:lang w:val="en-GB"/>
        </w:rPr>
        <w:t xml:space="preserve">including </w:t>
      </w:r>
      <w:r w:rsidRPr="00AF750C">
        <w:rPr>
          <w:rFonts w:eastAsia="MS Mincho"/>
          <w:spacing w:val="-2"/>
          <w:kern w:val="22"/>
          <w:lang w:val="en-GB"/>
        </w:rPr>
        <w:t xml:space="preserve">The Wharf in Washington, DC; the One Vanderbilt building in New York City; and a planned high-speed rail line in California. The </w:t>
      </w:r>
      <w:r w:rsidR="00D971E1">
        <w:rPr>
          <w:rFonts w:eastAsia="MS Mincho"/>
          <w:spacing w:val="-2"/>
          <w:kern w:val="22"/>
          <w:lang w:val="en-GB"/>
        </w:rPr>
        <w:t>US</w:t>
      </w:r>
      <w:r w:rsidRPr="00AF750C">
        <w:rPr>
          <w:rFonts w:eastAsia="MS Mincho"/>
          <w:spacing w:val="-2"/>
          <w:kern w:val="22"/>
          <w:lang w:val="en-GB"/>
        </w:rPr>
        <w:t xml:space="preserve"> industry was also vulnerable to a labour shortage, which might act as a deterrent in the coming years.</w:t>
      </w:r>
    </w:p>
    <w:p w14:paraId="76B30A36" w14:textId="77777777" w:rsidR="000976C8" w:rsidRPr="00054790" w:rsidRDefault="000976C8" w:rsidP="000976C8">
      <w:pPr>
        <w:pStyle w:val="BodyTextMain"/>
        <w:rPr>
          <w:rFonts w:eastAsia="MS Mincho"/>
          <w:sz w:val="18"/>
          <w:szCs w:val="18"/>
          <w:lang w:val="en-GB"/>
        </w:rPr>
      </w:pPr>
    </w:p>
    <w:p w14:paraId="4D9B9F12" w14:textId="4D85E013" w:rsidR="000976C8" w:rsidRPr="00054790" w:rsidRDefault="000976C8" w:rsidP="000976C8">
      <w:pPr>
        <w:pStyle w:val="BodyTextMain"/>
        <w:rPr>
          <w:rFonts w:eastAsia="MS Mincho"/>
          <w:lang w:val="en-GB"/>
        </w:rPr>
      </w:pPr>
      <w:r w:rsidRPr="00054790">
        <w:rPr>
          <w:rFonts w:eastAsia="MS Mincho"/>
          <w:lang w:val="en-GB"/>
        </w:rPr>
        <w:t xml:space="preserve">New entrants in the </w:t>
      </w:r>
      <w:r w:rsidR="00D971E1">
        <w:rPr>
          <w:rFonts w:eastAsia="MS Mincho"/>
          <w:lang w:val="en-GB"/>
        </w:rPr>
        <w:t>US</w:t>
      </w:r>
      <w:r w:rsidRPr="00054790">
        <w:rPr>
          <w:rFonts w:eastAsia="MS Mincho"/>
          <w:lang w:val="en-GB"/>
        </w:rPr>
        <w:t xml:space="preserve"> construction industry faced capital barriers “related to significant capital outlay and economies of scale” and large, established competitors, which made the industry relatively difficult for newco</w:t>
      </w:r>
      <w:bookmarkStart w:id="0" w:name="_GoBack"/>
      <w:bookmarkEnd w:id="0"/>
      <w:r w:rsidRPr="00054790">
        <w:rPr>
          <w:rFonts w:eastAsia="MS Mincho"/>
          <w:lang w:val="en-GB"/>
        </w:rPr>
        <w:t>mers.</w:t>
      </w:r>
    </w:p>
    <w:p w14:paraId="66324D47" w14:textId="77777777" w:rsidR="000976C8" w:rsidRPr="00054790" w:rsidRDefault="000976C8" w:rsidP="000976C8">
      <w:pPr>
        <w:pStyle w:val="BodyTextMain"/>
        <w:rPr>
          <w:rFonts w:eastAsia="MS Mincho"/>
          <w:sz w:val="18"/>
          <w:szCs w:val="18"/>
          <w:lang w:val="en-GB"/>
        </w:rPr>
      </w:pPr>
    </w:p>
    <w:p w14:paraId="32CB9188" w14:textId="19A60A9C" w:rsidR="000976C8" w:rsidRPr="00054790" w:rsidRDefault="000976C8" w:rsidP="000976C8">
      <w:pPr>
        <w:pStyle w:val="BodyTextMain"/>
        <w:rPr>
          <w:rFonts w:eastAsia="MS Mincho"/>
          <w:lang w:val="en-GB"/>
        </w:rPr>
      </w:pPr>
      <w:r w:rsidRPr="00054790">
        <w:rPr>
          <w:rFonts w:eastAsia="MS Mincho"/>
          <w:lang w:val="en-GB"/>
        </w:rPr>
        <w:lastRenderedPageBreak/>
        <w:t>Residential construction, in contrast, was less concentrated and therefore more suitable for smaller companies. Moreover, the industry as a whole was influenced by the country’s overall economic climate, so it could vary over time, just as industries did in other countries.</w:t>
      </w:r>
    </w:p>
    <w:p w14:paraId="469AE818" w14:textId="77777777" w:rsidR="000976C8" w:rsidRPr="00054790" w:rsidRDefault="000976C8" w:rsidP="000976C8">
      <w:pPr>
        <w:pStyle w:val="BodyTextMain"/>
        <w:rPr>
          <w:rFonts w:eastAsia="MS Mincho"/>
          <w:sz w:val="18"/>
          <w:szCs w:val="18"/>
          <w:lang w:val="en-GB"/>
        </w:rPr>
      </w:pPr>
    </w:p>
    <w:p w14:paraId="3FC6CAD1" w14:textId="77777777" w:rsidR="000976C8" w:rsidRPr="00054790" w:rsidRDefault="000976C8" w:rsidP="000976C8">
      <w:pPr>
        <w:pStyle w:val="BodyTextMain"/>
        <w:rPr>
          <w:rFonts w:eastAsia="MS Mincho"/>
          <w:sz w:val="18"/>
          <w:szCs w:val="18"/>
          <w:lang w:val="en-GB"/>
        </w:rPr>
      </w:pPr>
    </w:p>
    <w:p w14:paraId="485F958F" w14:textId="70984C5A" w:rsidR="000976C8" w:rsidRPr="00054790" w:rsidRDefault="000976C8" w:rsidP="000976C8">
      <w:pPr>
        <w:pStyle w:val="Casehead1"/>
        <w:rPr>
          <w:rFonts w:eastAsia="MS Mincho"/>
          <w:lang w:val="en-GB"/>
        </w:rPr>
      </w:pPr>
      <w:r w:rsidRPr="00054790">
        <w:rPr>
          <w:rFonts w:eastAsia="MS Mincho"/>
          <w:lang w:val="en-GB"/>
        </w:rPr>
        <w:t xml:space="preserve">Challenges of Entering the </w:t>
      </w:r>
      <w:r w:rsidR="00D971E1">
        <w:rPr>
          <w:rFonts w:eastAsia="MS Mincho"/>
          <w:lang w:val="en-GB"/>
        </w:rPr>
        <w:t>US</w:t>
      </w:r>
      <w:r w:rsidRPr="00054790">
        <w:rPr>
          <w:rFonts w:eastAsia="MS Mincho"/>
          <w:lang w:val="en-GB"/>
        </w:rPr>
        <w:t xml:space="preserve"> Market </w:t>
      </w:r>
    </w:p>
    <w:p w14:paraId="15F95C6E" w14:textId="77777777" w:rsidR="000976C8" w:rsidRPr="00054790" w:rsidRDefault="000976C8" w:rsidP="000976C8">
      <w:pPr>
        <w:pStyle w:val="BodyTextMain"/>
        <w:rPr>
          <w:rFonts w:eastAsia="MS Mincho"/>
          <w:sz w:val="18"/>
          <w:szCs w:val="18"/>
          <w:lang w:val="en-GB"/>
        </w:rPr>
      </w:pPr>
    </w:p>
    <w:p w14:paraId="54386617" w14:textId="0C6E9C7E" w:rsidR="000976C8" w:rsidRPr="00054790" w:rsidRDefault="001C72CB" w:rsidP="000976C8">
      <w:pPr>
        <w:pStyle w:val="BodyTextMain"/>
        <w:rPr>
          <w:rFonts w:eastAsia="MS Mincho"/>
          <w:lang w:val="en-GB"/>
        </w:rPr>
      </w:pPr>
      <w:r>
        <w:rPr>
          <w:rFonts w:eastAsia="MS Mincho"/>
          <w:lang w:val="en-GB"/>
        </w:rPr>
        <w:t xml:space="preserve">In 2016, </w:t>
      </w:r>
      <w:proofErr w:type="spellStart"/>
      <w:r>
        <w:rPr>
          <w:rFonts w:eastAsia="MS Mincho"/>
          <w:lang w:val="en-GB"/>
        </w:rPr>
        <w:t>Bauing</w:t>
      </w:r>
      <w:proofErr w:type="spellEnd"/>
      <w:r>
        <w:rPr>
          <w:rFonts w:eastAsia="MS Mincho"/>
          <w:lang w:val="en-GB"/>
        </w:rPr>
        <w:t xml:space="preserve"> Group decided t</w:t>
      </w:r>
      <w:r w:rsidR="0022621A">
        <w:rPr>
          <w:rFonts w:eastAsia="MS Mincho"/>
          <w:lang w:val="en-GB"/>
        </w:rPr>
        <w:t>o further expand its business and to enter</w:t>
      </w:r>
      <w:r>
        <w:rPr>
          <w:rFonts w:eastAsia="MS Mincho"/>
          <w:lang w:val="en-GB"/>
        </w:rPr>
        <w:t xml:space="preserve"> the </w:t>
      </w:r>
      <w:r w:rsidR="00D971E1">
        <w:rPr>
          <w:rFonts w:eastAsia="MS Mincho"/>
          <w:lang w:val="en-GB"/>
        </w:rPr>
        <w:t>US</w:t>
      </w:r>
      <w:r>
        <w:rPr>
          <w:rFonts w:eastAsia="MS Mincho"/>
          <w:lang w:val="en-GB"/>
        </w:rPr>
        <w:t xml:space="preserve"> market. T</w:t>
      </w:r>
      <w:r w:rsidR="000976C8" w:rsidRPr="00054790">
        <w:rPr>
          <w:rFonts w:eastAsia="MS Mincho"/>
          <w:lang w:val="en-GB"/>
        </w:rPr>
        <w:t>he company’s overall management strategy</w:t>
      </w:r>
      <w:r>
        <w:rPr>
          <w:rFonts w:eastAsia="MS Mincho"/>
          <w:lang w:val="en-GB"/>
        </w:rPr>
        <w:t xml:space="preserve"> in the </w:t>
      </w:r>
      <w:r w:rsidR="00D971E1">
        <w:rPr>
          <w:rFonts w:eastAsia="MS Mincho"/>
          <w:lang w:val="en-GB"/>
        </w:rPr>
        <w:t>US</w:t>
      </w:r>
      <w:r>
        <w:rPr>
          <w:rFonts w:eastAsia="MS Mincho"/>
          <w:lang w:val="en-GB"/>
        </w:rPr>
        <w:t xml:space="preserve"> market</w:t>
      </w:r>
      <w:r w:rsidR="000976C8" w:rsidRPr="00054790">
        <w:rPr>
          <w:rFonts w:eastAsia="MS Mincho"/>
          <w:lang w:val="en-GB"/>
        </w:rPr>
        <w:t xml:space="preserve"> was to realize fast, high-quality expansion and healthy, sustainable growth through constantly improving management and operations and providing comprehensive construction and management services to its clients. </w:t>
      </w:r>
    </w:p>
    <w:p w14:paraId="12B151BB" w14:textId="77777777" w:rsidR="000976C8" w:rsidRPr="00054790" w:rsidRDefault="000976C8" w:rsidP="000976C8">
      <w:pPr>
        <w:pStyle w:val="BodyTextMain"/>
        <w:rPr>
          <w:rFonts w:eastAsia="MS Mincho"/>
          <w:sz w:val="18"/>
          <w:szCs w:val="18"/>
          <w:lang w:val="en-GB"/>
        </w:rPr>
      </w:pPr>
    </w:p>
    <w:p w14:paraId="711C35B9" w14:textId="77D72436" w:rsidR="00056A34" w:rsidRPr="00054790" w:rsidRDefault="000976C8" w:rsidP="000976C8">
      <w:pPr>
        <w:pStyle w:val="BodyTextMain"/>
        <w:rPr>
          <w:rFonts w:eastAsia="MS Mincho"/>
          <w:lang w:val="en-GB"/>
        </w:rPr>
      </w:pPr>
      <w:r w:rsidRPr="00054790">
        <w:rPr>
          <w:rFonts w:eastAsia="MS Mincho"/>
          <w:lang w:val="en-GB"/>
        </w:rPr>
        <w:t xml:space="preserve">Although it had successfully entered Southeast Asian markets, </w:t>
      </w:r>
      <w:proofErr w:type="spellStart"/>
      <w:r w:rsidRPr="00054790">
        <w:rPr>
          <w:rFonts w:eastAsia="MS Mincho"/>
          <w:lang w:val="en-GB"/>
        </w:rPr>
        <w:t>Bauing</w:t>
      </w:r>
      <w:proofErr w:type="spellEnd"/>
      <w:r w:rsidRPr="00054790">
        <w:rPr>
          <w:rFonts w:eastAsia="MS Mincho"/>
          <w:lang w:val="en-GB"/>
        </w:rPr>
        <w:t xml:space="preserve"> Group </w:t>
      </w:r>
      <w:r w:rsidR="007D4306" w:rsidRPr="00054790">
        <w:rPr>
          <w:rFonts w:eastAsia="MS Mincho"/>
          <w:lang w:val="en-GB"/>
        </w:rPr>
        <w:t>fac</w:t>
      </w:r>
      <w:r w:rsidR="007D4306">
        <w:rPr>
          <w:rFonts w:eastAsia="MS Mincho"/>
          <w:lang w:val="en-GB"/>
        </w:rPr>
        <w:t>ed</w:t>
      </w:r>
      <w:r w:rsidR="007D4306" w:rsidRPr="00054790">
        <w:rPr>
          <w:rFonts w:eastAsia="MS Mincho"/>
          <w:lang w:val="en-GB"/>
        </w:rPr>
        <w:t xml:space="preserve"> </w:t>
      </w:r>
      <w:r w:rsidRPr="00054790">
        <w:rPr>
          <w:rFonts w:eastAsia="MS Mincho"/>
          <w:lang w:val="en-GB"/>
        </w:rPr>
        <w:t>unprecedented challenges in the United States</w:t>
      </w:r>
      <w:r w:rsidR="007D4306">
        <w:rPr>
          <w:rFonts w:eastAsia="MS Mincho"/>
          <w:lang w:val="en-GB"/>
        </w:rPr>
        <w:t>,</w:t>
      </w:r>
      <w:r w:rsidRPr="00054790">
        <w:rPr>
          <w:rFonts w:eastAsia="MS Mincho"/>
          <w:lang w:val="en-GB"/>
        </w:rPr>
        <w:t xml:space="preserve"> </w:t>
      </w:r>
      <w:r w:rsidR="007D4306" w:rsidRPr="00054790">
        <w:rPr>
          <w:rFonts w:eastAsia="MS Mincho"/>
          <w:lang w:val="en-GB"/>
        </w:rPr>
        <w:t>includ</w:t>
      </w:r>
      <w:r w:rsidR="007D4306">
        <w:rPr>
          <w:rFonts w:eastAsia="MS Mincho"/>
          <w:lang w:val="en-GB"/>
        </w:rPr>
        <w:t>ing</w:t>
      </w:r>
      <w:r w:rsidR="007D4306" w:rsidRPr="00054790">
        <w:rPr>
          <w:rFonts w:eastAsia="MS Mincho"/>
          <w:lang w:val="en-GB"/>
        </w:rPr>
        <w:t xml:space="preserve"> </w:t>
      </w:r>
      <w:r w:rsidRPr="00054790">
        <w:rPr>
          <w:rFonts w:eastAsia="MS Mincho"/>
          <w:lang w:val="en-GB"/>
        </w:rPr>
        <w:t>cultural conflicts, regional differences, language barriers, and different standards and laws governing construction. More important</w:t>
      </w:r>
      <w:r w:rsidR="0054612F">
        <w:rPr>
          <w:rFonts w:eastAsia="MS Mincho"/>
          <w:lang w:val="en-GB"/>
        </w:rPr>
        <w:t xml:space="preserve"> than meeting these challenges was</w:t>
      </w:r>
      <w:r w:rsidRPr="00054790">
        <w:rPr>
          <w:rFonts w:eastAsia="MS Mincho"/>
          <w:lang w:val="en-GB"/>
        </w:rPr>
        <w:t xml:space="preserve"> the </w:t>
      </w:r>
      <w:r w:rsidR="0054612F">
        <w:rPr>
          <w:rFonts w:eastAsia="MS Mincho"/>
          <w:lang w:val="en-GB"/>
        </w:rPr>
        <w:t xml:space="preserve">need for the </w:t>
      </w:r>
      <w:r w:rsidRPr="00054790">
        <w:rPr>
          <w:rFonts w:eastAsia="MS Mincho"/>
          <w:lang w:val="en-GB"/>
        </w:rPr>
        <w:t xml:space="preserve">company to decide </w:t>
      </w:r>
      <w:r w:rsidR="007D4306">
        <w:rPr>
          <w:rFonts w:eastAsia="MS Mincho"/>
          <w:lang w:val="en-GB"/>
        </w:rPr>
        <w:t xml:space="preserve">on the most suitable </w:t>
      </w:r>
      <w:r w:rsidRPr="00054790">
        <w:rPr>
          <w:rFonts w:eastAsia="MS Mincho"/>
          <w:lang w:val="en-GB"/>
        </w:rPr>
        <w:t xml:space="preserve">market entry strategy for </w:t>
      </w:r>
      <w:proofErr w:type="spellStart"/>
      <w:r w:rsidRPr="00054790">
        <w:rPr>
          <w:rFonts w:eastAsia="MS Mincho"/>
          <w:lang w:val="en-GB"/>
        </w:rPr>
        <w:t>Bauing</w:t>
      </w:r>
      <w:proofErr w:type="spellEnd"/>
      <w:r w:rsidRPr="00054790">
        <w:rPr>
          <w:rFonts w:eastAsia="MS Mincho"/>
          <w:lang w:val="en-GB"/>
        </w:rPr>
        <w:t xml:space="preserve"> Group </w:t>
      </w:r>
      <w:r w:rsidR="007D4306">
        <w:rPr>
          <w:rFonts w:eastAsia="MS Mincho"/>
          <w:lang w:val="en-GB"/>
        </w:rPr>
        <w:t>to enter</w:t>
      </w:r>
      <w:r w:rsidR="007D4306" w:rsidRPr="00054790">
        <w:rPr>
          <w:rFonts w:eastAsia="MS Mincho"/>
          <w:lang w:val="en-GB"/>
        </w:rPr>
        <w:t xml:space="preserve"> </w:t>
      </w:r>
      <w:r w:rsidRPr="00054790">
        <w:rPr>
          <w:rFonts w:eastAsia="MS Mincho"/>
          <w:lang w:val="en-GB"/>
        </w:rPr>
        <w:t xml:space="preserve">the </w:t>
      </w:r>
      <w:r w:rsidR="00D971E1">
        <w:rPr>
          <w:rFonts w:eastAsia="MS Mincho"/>
          <w:lang w:val="en-GB"/>
        </w:rPr>
        <w:t>US</w:t>
      </w:r>
      <w:r w:rsidRPr="00054790">
        <w:rPr>
          <w:rFonts w:eastAsia="MS Mincho"/>
          <w:lang w:val="en-GB"/>
        </w:rPr>
        <w:t xml:space="preserve"> market</w:t>
      </w:r>
      <w:r w:rsidR="00523D3A" w:rsidRPr="00054790">
        <w:rPr>
          <w:rFonts w:eastAsia="MS Mincho"/>
          <w:lang w:val="en-GB"/>
        </w:rPr>
        <w:t xml:space="preserve"> (see Exhibit 5)</w:t>
      </w:r>
      <w:r w:rsidRPr="00054790">
        <w:rPr>
          <w:rFonts w:eastAsia="MS Mincho"/>
          <w:lang w:val="en-GB"/>
        </w:rPr>
        <w:t xml:space="preserve">. Should it enter the market through licensing, </w:t>
      </w:r>
      <w:proofErr w:type="gramStart"/>
      <w:r w:rsidRPr="00054790">
        <w:rPr>
          <w:rFonts w:eastAsia="MS Mincho"/>
          <w:lang w:val="en-GB"/>
        </w:rPr>
        <w:t>greenfield</w:t>
      </w:r>
      <w:proofErr w:type="gramEnd"/>
      <w:r w:rsidRPr="00054790">
        <w:rPr>
          <w:rFonts w:eastAsia="MS Mincho"/>
          <w:lang w:val="en-GB"/>
        </w:rPr>
        <w:t xml:space="preserve"> projects, franchising, business alliances, exporting, turnkey projects, joint ventures, or acquisitions?</w:t>
      </w:r>
    </w:p>
    <w:p w14:paraId="317661F6" w14:textId="413F2428" w:rsidR="00056A34" w:rsidRPr="00054790" w:rsidRDefault="00D971E1" w:rsidP="000976C8">
      <w:pPr>
        <w:pStyle w:val="BodyTextMain"/>
        <w:rPr>
          <w:rFonts w:eastAsia="MS Mincho"/>
          <w:lang w:val="en-GB"/>
        </w:rPr>
      </w:pPr>
      <w:r w:rsidRPr="00054790">
        <w:rPr>
          <w:rFonts w:eastAsia="MS Mincho"/>
          <w:noProof/>
        </w:rPr>
        <mc:AlternateContent>
          <mc:Choice Requires="wps">
            <w:drawing>
              <wp:anchor distT="45720" distB="45720" distL="114300" distR="114300" simplePos="0" relativeHeight="251656704" behindDoc="0" locked="0" layoutInCell="1" allowOverlap="1" wp14:anchorId="715F8B2E" wp14:editId="2E303B47">
                <wp:simplePos x="0" y="0"/>
                <wp:positionH relativeFrom="column">
                  <wp:posOffset>1053389</wp:posOffset>
                </wp:positionH>
                <wp:positionV relativeFrom="paragraph">
                  <wp:posOffset>137770</wp:posOffset>
                </wp:positionV>
                <wp:extent cx="3949700" cy="348615"/>
                <wp:effectExtent l="0" t="0" r="38100" b="323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348615"/>
                        </a:xfrm>
                        <a:prstGeom prst="rect">
                          <a:avLst/>
                        </a:prstGeom>
                        <a:solidFill>
                          <a:srgbClr val="FFFFFF"/>
                        </a:solidFill>
                        <a:ln w="9525">
                          <a:solidFill>
                            <a:srgbClr val="000000"/>
                          </a:solidFill>
                          <a:miter lim="800000"/>
                          <a:headEnd/>
                          <a:tailEnd/>
                        </a:ln>
                      </wps:spPr>
                      <wps:txbx>
                        <w:txbxContent>
                          <w:p w14:paraId="59DFCB1B" w14:textId="04667921" w:rsidR="004A02D2" w:rsidRDefault="004A02D2" w:rsidP="00056A34">
                            <w:pPr>
                              <w:pStyle w:val="Footnote"/>
                            </w:pPr>
                            <w:r w:rsidRPr="00056A34">
                              <w:t>Thank</w:t>
                            </w:r>
                            <w:r w:rsidR="00D971E1">
                              <w:t>s</w:t>
                            </w:r>
                            <w:r>
                              <w:t xml:space="preserve"> to</w:t>
                            </w:r>
                            <w:r w:rsidRPr="00056A34">
                              <w:t xml:space="preserve"> Guangdong University of Foreign Studies School of Business and Professor </w:t>
                            </w:r>
                            <w:proofErr w:type="spellStart"/>
                            <w:r w:rsidRPr="00056A34">
                              <w:t>Denghua</w:t>
                            </w:r>
                            <w:proofErr w:type="spellEnd"/>
                            <w:r w:rsidRPr="00056A34">
                              <w:t xml:space="preserve"> Yuan for their support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5F8B2E" id="_x0000_t202" coordsize="21600,21600" o:spt="202" path="m,l,21600r21600,l21600,xe">
                <v:stroke joinstyle="miter"/>
                <v:path gradientshapeok="t" o:connecttype="rect"/>
              </v:shapetype>
              <v:shape id="Text Box 2" o:spid="_x0000_s1026" type="#_x0000_t202" style="position:absolute;left:0;text-align:left;margin-left:82.95pt;margin-top:10.85pt;width:311pt;height:27.45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">
                <v:textbox style="mso-fit-shape-to-text:t">
                  <w:txbxContent>
                    <w:p w14:paraId="59DFCB1B" w14:textId="04667921" w:rsidR="004A02D2" w:rsidRDefault="004A02D2" w:rsidP="00056A34">
                      <w:pPr>
                        <w:pStyle w:val="Footnote"/>
                      </w:pPr>
                      <w:r w:rsidRPr="00056A34">
                        <w:t>Thank</w:t>
                      </w:r>
                      <w:r w:rsidR="00D971E1">
                        <w:t>s</w:t>
                      </w:r>
                      <w:r>
                        <w:t xml:space="preserve"> to</w:t>
                      </w:r>
                      <w:r w:rsidRPr="00056A34">
                        <w:t xml:space="preserve"> Guangdong University of Foreign Studies School of Business and Professor </w:t>
                      </w:r>
                      <w:proofErr w:type="spellStart"/>
                      <w:r w:rsidRPr="00056A34">
                        <w:t>Denghua</w:t>
                      </w:r>
                      <w:proofErr w:type="spellEnd"/>
                      <w:r w:rsidRPr="00056A34">
                        <w:t xml:space="preserve"> Yuan for their support in the development of this case.</w:t>
                      </w:r>
                    </w:p>
                  </w:txbxContent>
                </v:textbox>
                <w10:wrap type="square"/>
              </v:shape>
            </w:pict>
          </mc:Fallback>
        </mc:AlternateContent>
      </w:r>
    </w:p>
    <w:p w14:paraId="2598EFF0" w14:textId="7CBEDD5D" w:rsidR="00056A34" w:rsidRPr="00054790" w:rsidRDefault="00056A34" w:rsidP="000976C8">
      <w:pPr>
        <w:pStyle w:val="BodyTextMain"/>
        <w:rPr>
          <w:rFonts w:eastAsia="MS Mincho"/>
          <w:lang w:val="en-GB"/>
        </w:rPr>
      </w:pPr>
    </w:p>
    <w:p w14:paraId="77398E4B" w14:textId="44CF96F4" w:rsidR="00056A34" w:rsidRPr="00054790" w:rsidRDefault="00056A34" w:rsidP="000976C8">
      <w:pPr>
        <w:pStyle w:val="BodyTextMain"/>
        <w:rPr>
          <w:rFonts w:eastAsia="MS Mincho"/>
          <w:lang w:val="en-GB"/>
        </w:rPr>
      </w:pPr>
    </w:p>
    <w:p w14:paraId="7614D7B7" w14:textId="77777777" w:rsidR="00056A34" w:rsidRPr="00054790" w:rsidRDefault="00056A34" w:rsidP="000976C8">
      <w:pPr>
        <w:pStyle w:val="BodyTextMain"/>
        <w:rPr>
          <w:rFonts w:eastAsia="MS Mincho"/>
          <w:lang w:val="en-GB"/>
        </w:rPr>
      </w:pPr>
    </w:p>
    <w:p w14:paraId="2F582B92" w14:textId="6245F935" w:rsidR="000976C8" w:rsidRPr="00054790" w:rsidRDefault="000976C8" w:rsidP="000976C8">
      <w:pPr>
        <w:pStyle w:val="BodyTextMain"/>
        <w:rPr>
          <w:rFonts w:eastAsia="MS Mincho"/>
          <w:lang w:val="en-GB"/>
        </w:rPr>
      </w:pPr>
      <w:r w:rsidRPr="00054790">
        <w:rPr>
          <w:rFonts w:eastAsia="MS Mincho"/>
          <w:sz w:val="24"/>
          <w:szCs w:val="24"/>
          <w:lang w:val="en-GB"/>
        </w:rPr>
        <w:br w:type="page"/>
      </w:r>
    </w:p>
    <w:p w14:paraId="6C5DC1D2" w14:textId="77777777" w:rsidR="00D91B37" w:rsidRDefault="000976C8" w:rsidP="009842B4">
      <w:pPr>
        <w:pStyle w:val="ExhibitHeading"/>
        <w:rPr>
          <w:rFonts w:eastAsia="MS Mincho"/>
          <w:lang w:val="en-GB" w:eastAsia="zh-CN"/>
        </w:rPr>
      </w:pPr>
      <w:r w:rsidRPr="00054790">
        <w:rPr>
          <w:rFonts w:eastAsia="MS Mincho"/>
          <w:lang w:val="en-GB" w:eastAsia="zh-CN"/>
        </w:rPr>
        <w:lastRenderedPageBreak/>
        <w:t xml:space="preserve">Exhibit 1: </w:t>
      </w:r>
      <w:r w:rsidR="00FA3B09">
        <w:rPr>
          <w:rFonts w:eastAsia="MS Mincho"/>
          <w:lang w:val="en-GB" w:eastAsia="zh-CN"/>
        </w:rPr>
        <w:t>China’s</w:t>
      </w:r>
      <w:r w:rsidR="00FA3B09" w:rsidRPr="00054790">
        <w:rPr>
          <w:rFonts w:eastAsia="MS Mincho"/>
          <w:lang w:val="en-GB" w:eastAsia="zh-CN"/>
        </w:rPr>
        <w:t xml:space="preserve"> Building and Decoration Industry</w:t>
      </w:r>
      <w:r w:rsidR="00FA3B09">
        <w:rPr>
          <w:rFonts w:eastAsia="MS Mincho"/>
          <w:lang w:val="en-GB" w:eastAsia="zh-CN"/>
        </w:rPr>
        <w:t>—</w:t>
      </w:r>
      <w:r w:rsidRPr="00054790">
        <w:rPr>
          <w:rFonts w:eastAsia="MS Mincho"/>
          <w:lang w:val="en-GB" w:eastAsia="zh-CN"/>
        </w:rPr>
        <w:t xml:space="preserve">Total Revenue </w:t>
      </w:r>
    </w:p>
    <w:p w14:paraId="648C456C" w14:textId="7991E863" w:rsidR="000976C8" w:rsidRPr="00054790" w:rsidRDefault="000976C8" w:rsidP="009842B4">
      <w:pPr>
        <w:pStyle w:val="ExhibitHeading"/>
        <w:rPr>
          <w:rFonts w:eastAsia="MS Mincho"/>
          <w:lang w:val="en-GB" w:eastAsia="zh-CN"/>
        </w:rPr>
      </w:pPr>
      <w:r w:rsidRPr="00054790">
        <w:rPr>
          <w:rFonts w:eastAsia="MS Mincho"/>
          <w:lang w:val="en-GB" w:eastAsia="zh-CN"/>
        </w:rPr>
        <w:t xml:space="preserve">and Growth Rate, 2012–2016 </w:t>
      </w:r>
    </w:p>
    <w:p w14:paraId="745021B7" w14:textId="77777777" w:rsidR="009842B4" w:rsidRPr="00054790" w:rsidRDefault="009842B4" w:rsidP="009842B4">
      <w:pPr>
        <w:pStyle w:val="ExhibitText"/>
        <w:rPr>
          <w:rFonts w:eastAsia="MS Mincho"/>
          <w:lang w:val="en-GB" w:eastAsia="zh-CN"/>
        </w:rPr>
      </w:pPr>
    </w:p>
    <w:p w14:paraId="412A4F62" w14:textId="77777777" w:rsidR="009842B4" w:rsidRPr="00054790" w:rsidRDefault="009842B4" w:rsidP="009842B4">
      <w:pPr>
        <w:pStyle w:val="ExhibitText"/>
        <w:rPr>
          <w:rFonts w:eastAsia="MS Mincho"/>
          <w:lang w:val="en-GB" w:eastAsia="zh-CN"/>
        </w:rPr>
      </w:pPr>
      <w:r w:rsidRPr="00054790">
        <w:rPr>
          <w:rFonts w:eastAsia="MS Mincho"/>
          <w:noProof/>
          <w:sz w:val="24"/>
          <w:szCs w:val="24"/>
        </w:rPr>
        <mc:AlternateContent>
          <mc:Choice Requires="wpg">
            <w:drawing>
              <wp:inline distT="0" distB="0" distL="0" distR="0" wp14:anchorId="7C60BA7D" wp14:editId="2A0A9CC6">
                <wp:extent cx="5600852" cy="3127378"/>
                <wp:effectExtent l="0" t="0" r="0" b="0"/>
                <wp:docPr id="102" name="Group 75"/>
                <wp:cNvGraphicFramePr/>
                <a:graphic xmlns:a="http://schemas.openxmlformats.org/drawingml/2006/main">
                  <a:graphicData uri="http://schemas.microsoft.com/office/word/2010/wordprocessingGroup">
                    <wpg:wgp>
                      <wpg:cNvGrpSpPr/>
                      <wpg:grpSpPr>
                        <a:xfrm>
                          <a:off x="0" y="0"/>
                          <a:ext cx="5600852" cy="3127378"/>
                          <a:chOff x="-138449" y="0"/>
                          <a:chExt cx="6784188" cy="3788908"/>
                        </a:xfrm>
                      </wpg:grpSpPr>
                      <wps:wsp>
                        <wps:cNvPr id="103" name="Text Box 103"/>
                        <wps:cNvSpPr txBox="1"/>
                        <wps:spPr>
                          <a:xfrm>
                            <a:off x="1878008" y="3268078"/>
                            <a:ext cx="1616008" cy="520830"/>
                          </a:xfrm>
                          <a:prstGeom prst="rect">
                            <a:avLst/>
                          </a:prstGeom>
                          <a:noFill/>
                        </wps:spPr>
                        <wps:txbx>
                          <w:txbxContent>
                            <w:p w14:paraId="5F28E4CF"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Total Revenue</w:t>
                              </w:r>
                            </w:p>
                          </w:txbxContent>
                        </wps:txbx>
                        <wps:bodyPr wrap="square" rtlCol="0">
                          <a:spAutoFit/>
                        </wps:bodyPr>
                      </wps:wsp>
                      <wps:wsp>
                        <wps:cNvPr id="104" name="Text Box 104"/>
                        <wps:cNvSpPr txBox="1"/>
                        <wps:spPr>
                          <a:xfrm>
                            <a:off x="4619629" y="3267943"/>
                            <a:ext cx="1616777" cy="520830"/>
                          </a:xfrm>
                          <a:prstGeom prst="rect">
                            <a:avLst/>
                          </a:prstGeom>
                          <a:noFill/>
                        </wps:spPr>
                        <wps:txbx>
                          <w:txbxContent>
                            <w:p w14:paraId="04AC0896"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Growth Rate</w:t>
                              </w:r>
                            </w:p>
                          </w:txbxContent>
                        </wps:txbx>
                        <wps:bodyPr wrap="square" rtlCol="0">
                          <a:spAutoFit/>
                        </wps:bodyPr>
                      </wps:wsp>
                      <wps:wsp>
                        <wps:cNvPr id="105" name="Rectangle 105"/>
                        <wps:cNvSpPr/>
                        <wps:spPr>
                          <a:xfrm>
                            <a:off x="773154" y="3268813"/>
                            <a:ext cx="1105114" cy="276999"/>
                          </a:xfrm>
                          <a:prstGeom prst="rect">
                            <a:avLst/>
                          </a:prstGeom>
                          <a:solidFill>
                            <a:sysClr val="windowText" lastClr="000000">
                              <a:lumMod val="50000"/>
                              <a:lumOff val="50000"/>
                            </a:sysClr>
                          </a:solidFill>
                          <a:ln w="9525" cap="flat" cmpd="sng" algn="ctr">
                            <a:solidFill>
                              <a:sysClr val="windowText" lastClr="000000">
                                <a:lumMod val="50000"/>
                                <a:lumOff val="50000"/>
                              </a:sysClr>
                            </a:solidFill>
                            <a:prstDash val="solid"/>
                          </a:ln>
                          <a:effectLst>
                            <a:outerShdw blurRad="40000" dist="23000" dir="5400000" rotWithShape="0">
                              <a:srgbClr val="000000">
                                <a:alpha val="35000"/>
                              </a:srgbClr>
                            </a:outerShdw>
                          </a:effectLst>
                        </wps:spPr>
                        <wps:txbx>
                          <w:txbxContent>
                            <w:p w14:paraId="56A4259D" w14:textId="77777777" w:rsidR="004A02D2" w:rsidRDefault="004A02D2" w:rsidP="009842B4"/>
                          </w:txbxContent>
                        </wps:txbx>
                        <wps:bodyPr rtlCol="0" anchor="ctr"/>
                      </wps:wsp>
                      <wps:wsp>
                        <wps:cNvPr id="106" name="Straight Connector 106"/>
                        <wps:cNvCnPr/>
                        <wps:spPr>
                          <a:xfrm>
                            <a:off x="3494705" y="3407313"/>
                            <a:ext cx="1125560" cy="0"/>
                          </a:xfrm>
                          <a:prstGeom prst="line">
                            <a:avLst/>
                          </a:prstGeom>
                          <a:noFill/>
                          <a:ln w="25400" cap="flat" cmpd="sng" algn="ctr">
                            <a:solidFill>
                              <a:srgbClr val="000000"/>
                            </a:solidFill>
                            <a:prstDash val="solid"/>
                            <a:headEnd type="diamond"/>
                            <a:tailEnd type="diamond"/>
                          </a:ln>
                          <a:effectLst>
                            <a:outerShdw blurRad="40000" dist="20000" dir="5400000" rotWithShape="0">
                              <a:srgbClr val="000000">
                                <a:alpha val="38000"/>
                              </a:srgbClr>
                            </a:outerShdw>
                          </a:effectLst>
                        </wps:spPr>
                        <wps:bodyPr/>
                      </wps:wsp>
                      <wps:wsp>
                        <wps:cNvPr id="107" name="Text Box 107"/>
                        <wps:cNvSpPr txBox="1"/>
                        <wps:spPr>
                          <a:xfrm>
                            <a:off x="276886" y="2948824"/>
                            <a:ext cx="663017" cy="538524"/>
                          </a:xfrm>
                          <a:prstGeom prst="rect">
                            <a:avLst/>
                          </a:prstGeom>
                          <a:noFill/>
                        </wps:spPr>
                        <wps:txbx>
                          <w:txbxContent>
                            <w:p w14:paraId="33357DBD" w14:textId="77777777" w:rsidR="004A02D2" w:rsidRDefault="004A02D2" w:rsidP="009842B4">
                              <w:pPr>
                                <w:pStyle w:val="NormalWeb"/>
                              </w:pPr>
                            </w:p>
                          </w:txbxContent>
                        </wps:txbx>
                        <wps:bodyPr vert="horz" wrap="square" rtlCol="0">
                          <a:spAutoFit/>
                        </wps:bodyPr>
                      </wps:wsp>
                      <wps:wsp>
                        <wps:cNvPr id="108" name="Text Box 108"/>
                        <wps:cNvSpPr txBox="1"/>
                        <wps:spPr>
                          <a:xfrm>
                            <a:off x="0" y="0"/>
                            <a:ext cx="1799838" cy="520830"/>
                          </a:xfrm>
                          <a:prstGeom prst="rect">
                            <a:avLst/>
                          </a:prstGeom>
                          <a:noFill/>
                        </wps:spPr>
                        <wps:txbx>
                          <w:txbxContent>
                            <w:p w14:paraId="0C1013BA"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Revenue (</w:t>
                              </w:r>
                              <w:r w:rsidRPr="002F4426">
                                <w:rPr>
                                  <w:rFonts w:ascii="Arial" w:hAnsi="Arial" w:cs="Arial"/>
                                  <w:b/>
                                  <w:sz w:val="22"/>
                                  <w:szCs w:val="22"/>
                                  <w:lang w:val="en-GB" w:eastAsia="zh-CN"/>
                                </w:rPr>
                                <w:t>¥</w:t>
                              </w:r>
                              <w:r w:rsidRPr="002F4426">
                                <w:rPr>
                                  <w:rFonts w:ascii="Arial" w:hAnsi="Arial" w:cs="Arial"/>
                                  <w:b/>
                                  <w:bCs/>
                                  <w:color w:val="000000"/>
                                  <w:kern w:val="24"/>
                                  <w:sz w:val="22"/>
                                  <w:szCs w:val="22"/>
                                </w:rPr>
                                <w:t>1,000)</w:t>
                              </w:r>
                            </w:p>
                          </w:txbxContent>
                        </wps:txbx>
                        <wps:bodyPr wrap="square" rtlCol="0">
                          <a:spAutoFit/>
                        </wps:bodyPr>
                      </wps:wsp>
                      <wps:wsp>
                        <wps:cNvPr id="109" name="Text Box 109"/>
                        <wps:cNvSpPr txBox="1"/>
                        <wps:spPr>
                          <a:xfrm>
                            <a:off x="5062805" y="30770"/>
                            <a:ext cx="1582934" cy="520830"/>
                          </a:xfrm>
                          <a:prstGeom prst="rect">
                            <a:avLst/>
                          </a:prstGeom>
                          <a:noFill/>
                        </wps:spPr>
                        <wps:txbx>
                          <w:txbxContent>
                            <w:p w14:paraId="0135BC31" w14:textId="0B5ED1D0"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Growth Rate</w:t>
                              </w:r>
                              <w:r w:rsidR="00D971E1">
                                <w:rPr>
                                  <w:rFonts w:ascii="Arial" w:hAnsi="Arial" w:cs="Arial"/>
                                  <w:b/>
                                  <w:bCs/>
                                  <w:color w:val="000000"/>
                                  <w:kern w:val="24"/>
                                  <w:sz w:val="22"/>
                                  <w:szCs w:val="22"/>
                                </w:rPr>
                                <w:t xml:space="preserve"> (%)</w:t>
                              </w:r>
                            </w:p>
                          </w:txbxContent>
                        </wps:txbx>
                        <wps:bodyPr wrap="square" rtlCol="0">
                          <a:spAutoFit/>
                        </wps:bodyPr>
                      </wps:wsp>
                      <wps:wsp>
                        <wps:cNvPr id="110" name="Rectangle 110"/>
                        <wps:cNvSpPr/>
                        <wps:spPr>
                          <a:xfrm>
                            <a:off x="1170656" y="1578161"/>
                            <a:ext cx="416543" cy="1225388"/>
                          </a:xfrm>
                          <a:prstGeom prst="rect">
                            <a:avLst/>
                          </a:prstGeom>
                          <a:solidFill>
                            <a:sysClr val="windowText" lastClr="000000">
                              <a:lumMod val="50000"/>
                              <a:lumOff val="50000"/>
                            </a:sysClr>
                          </a:solidFill>
                          <a:ln w="9525" cap="flat" cmpd="sng" algn="ctr">
                            <a:solidFill>
                              <a:sysClr val="windowText" lastClr="000000">
                                <a:lumMod val="50000"/>
                                <a:lumOff val="50000"/>
                              </a:sysClr>
                            </a:solidFill>
                            <a:prstDash val="solid"/>
                          </a:ln>
                          <a:effectLst>
                            <a:outerShdw blurRad="40000" dist="23000" dir="5400000" rotWithShape="0">
                              <a:srgbClr val="000000">
                                <a:alpha val="35000"/>
                              </a:srgbClr>
                            </a:outerShdw>
                          </a:effectLst>
                        </wps:spPr>
                        <wps:txbx>
                          <w:txbxContent>
                            <w:p w14:paraId="4E7C8AC6" w14:textId="77777777" w:rsidR="004A02D2" w:rsidRDefault="004A02D2" w:rsidP="009842B4"/>
                          </w:txbxContent>
                        </wps:txbx>
                        <wps:bodyPr rtlCol="0" anchor="ctr"/>
                      </wps:wsp>
                      <wps:wsp>
                        <wps:cNvPr id="111" name="Rectangle 111"/>
                        <wps:cNvSpPr/>
                        <wps:spPr>
                          <a:xfrm>
                            <a:off x="2203197" y="1240405"/>
                            <a:ext cx="416543" cy="1563143"/>
                          </a:xfrm>
                          <a:prstGeom prst="rect">
                            <a:avLst/>
                          </a:prstGeom>
                          <a:solidFill>
                            <a:sysClr val="windowText" lastClr="000000">
                              <a:lumMod val="50000"/>
                              <a:lumOff val="50000"/>
                            </a:sysClr>
                          </a:solidFill>
                          <a:ln w="9525" cap="flat" cmpd="sng" algn="ctr">
                            <a:solidFill>
                              <a:sysClr val="windowText" lastClr="000000">
                                <a:lumMod val="50000"/>
                                <a:lumOff val="50000"/>
                              </a:sysClr>
                            </a:solidFill>
                            <a:prstDash val="solid"/>
                          </a:ln>
                          <a:effectLst>
                            <a:outerShdw blurRad="40000" dist="23000" dir="5400000" rotWithShape="0">
                              <a:srgbClr val="000000">
                                <a:alpha val="35000"/>
                              </a:srgbClr>
                            </a:outerShdw>
                          </a:effectLst>
                        </wps:spPr>
                        <wps:txbx>
                          <w:txbxContent>
                            <w:p w14:paraId="543F3F16" w14:textId="77777777" w:rsidR="004A02D2" w:rsidRDefault="004A02D2" w:rsidP="009842B4"/>
                          </w:txbxContent>
                        </wps:txbx>
                        <wps:bodyPr rtlCol="0" anchor="ctr"/>
                      </wps:wsp>
                      <wps:wsp>
                        <wps:cNvPr id="112" name="Rectangle 112"/>
                        <wps:cNvSpPr/>
                        <wps:spPr>
                          <a:xfrm>
                            <a:off x="3234136" y="1032306"/>
                            <a:ext cx="416543" cy="1771242"/>
                          </a:xfrm>
                          <a:prstGeom prst="rect">
                            <a:avLst/>
                          </a:prstGeom>
                          <a:solidFill>
                            <a:sysClr val="windowText" lastClr="000000">
                              <a:lumMod val="50000"/>
                              <a:lumOff val="50000"/>
                            </a:sysClr>
                          </a:solidFill>
                          <a:ln w="9525" cap="flat" cmpd="sng" algn="ctr">
                            <a:solidFill>
                              <a:sysClr val="windowText" lastClr="000000">
                                <a:lumMod val="50000"/>
                                <a:lumOff val="50000"/>
                              </a:sysClr>
                            </a:solidFill>
                            <a:prstDash val="solid"/>
                          </a:ln>
                          <a:effectLst>
                            <a:outerShdw blurRad="40000" dist="23000" dir="5400000" rotWithShape="0">
                              <a:srgbClr val="000000">
                                <a:alpha val="35000"/>
                              </a:srgbClr>
                            </a:outerShdw>
                          </a:effectLst>
                        </wps:spPr>
                        <wps:txbx>
                          <w:txbxContent>
                            <w:p w14:paraId="318AB8D3" w14:textId="77777777" w:rsidR="004A02D2" w:rsidRDefault="004A02D2" w:rsidP="009842B4"/>
                          </w:txbxContent>
                        </wps:txbx>
                        <wps:bodyPr rtlCol="0" anchor="ctr"/>
                      </wps:wsp>
                      <wps:wsp>
                        <wps:cNvPr id="113" name="Rectangle 113"/>
                        <wps:cNvSpPr/>
                        <wps:spPr>
                          <a:xfrm>
                            <a:off x="4244395" y="1154844"/>
                            <a:ext cx="416543" cy="1648705"/>
                          </a:xfrm>
                          <a:prstGeom prst="rect">
                            <a:avLst/>
                          </a:prstGeom>
                          <a:solidFill>
                            <a:sysClr val="windowText" lastClr="000000">
                              <a:lumMod val="50000"/>
                              <a:lumOff val="50000"/>
                            </a:sysClr>
                          </a:solidFill>
                          <a:ln w="9525" cap="flat" cmpd="sng" algn="ctr">
                            <a:solidFill>
                              <a:sysClr val="windowText" lastClr="000000">
                                <a:lumMod val="50000"/>
                                <a:lumOff val="50000"/>
                              </a:sysClr>
                            </a:solidFill>
                            <a:prstDash val="solid"/>
                          </a:ln>
                          <a:effectLst>
                            <a:outerShdw blurRad="40000" dist="23000" dir="5400000" rotWithShape="0">
                              <a:srgbClr val="000000">
                                <a:alpha val="35000"/>
                              </a:srgbClr>
                            </a:outerShdw>
                          </a:effectLst>
                        </wps:spPr>
                        <wps:txbx>
                          <w:txbxContent>
                            <w:p w14:paraId="2789F51C" w14:textId="77777777" w:rsidR="004A02D2" w:rsidRDefault="004A02D2" w:rsidP="009842B4"/>
                          </w:txbxContent>
                        </wps:txbx>
                        <wps:bodyPr rtlCol="0" anchor="ctr"/>
                      </wps:wsp>
                      <wps:wsp>
                        <wps:cNvPr id="115" name="Rectangle 115"/>
                        <wps:cNvSpPr/>
                        <wps:spPr>
                          <a:xfrm>
                            <a:off x="5254654" y="1010025"/>
                            <a:ext cx="416543" cy="1793523"/>
                          </a:xfrm>
                          <a:prstGeom prst="rect">
                            <a:avLst/>
                          </a:prstGeom>
                          <a:solidFill>
                            <a:sysClr val="windowText" lastClr="000000">
                              <a:lumMod val="50000"/>
                              <a:lumOff val="50000"/>
                            </a:sysClr>
                          </a:solidFill>
                          <a:ln w="9525" cap="flat" cmpd="sng" algn="ctr">
                            <a:solidFill>
                              <a:sysClr val="windowText" lastClr="000000">
                                <a:lumMod val="50000"/>
                                <a:lumOff val="50000"/>
                              </a:sysClr>
                            </a:solidFill>
                            <a:prstDash val="solid"/>
                          </a:ln>
                          <a:effectLst>
                            <a:outerShdw blurRad="40000" dist="23000" dir="5400000" rotWithShape="0">
                              <a:srgbClr val="000000">
                                <a:alpha val="35000"/>
                              </a:srgbClr>
                            </a:outerShdw>
                          </a:effectLst>
                        </wps:spPr>
                        <wps:txbx>
                          <w:txbxContent>
                            <w:p w14:paraId="23D7F033" w14:textId="77777777" w:rsidR="004A02D2" w:rsidRDefault="004A02D2" w:rsidP="009842B4"/>
                          </w:txbxContent>
                        </wps:txbx>
                        <wps:bodyPr rtlCol="0" anchor="ctr"/>
                      </wps:wsp>
                      <wps:wsp>
                        <wps:cNvPr id="116" name="Straight Arrow Connector 116"/>
                        <wps:cNvCnPr/>
                        <wps:spPr>
                          <a:xfrm flipV="1">
                            <a:off x="819151" y="2803549"/>
                            <a:ext cx="5246622" cy="1"/>
                          </a:xfrm>
                          <a:prstGeom prst="straightConnector1">
                            <a:avLst/>
                          </a:prstGeom>
                          <a:noFill/>
                          <a:ln w="127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17" name="Straight Arrow Connector 117"/>
                        <wps:cNvCnPr/>
                        <wps:spPr>
                          <a:xfrm flipV="1">
                            <a:off x="893564" y="277000"/>
                            <a:ext cx="0" cy="2526549"/>
                          </a:xfrm>
                          <a:prstGeom prst="straightConnector1">
                            <a:avLst/>
                          </a:prstGeom>
                          <a:noFill/>
                          <a:ln w="127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18" name="Straight Arrow Connector 118"/>
                        <wps:cNvCnPr/>
                        <wps:spPr>
                          <a:xfrm flipV="1">
                            <a:off x="5970299" y="277000"/>
                            <a:ext cx="0" cy="2526549"/>
                          </a:xfrm>
                          <a:prstGeom prst="straightConnector1">
                            <a:avLst/>
                          </a:prstGeom>
                          <a:noFill/>
                          <a:ln w="127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19" name="Straight Connector 119"/>
                        <wps:cNvCnPr/>
                        <wps:spPr>
                          <a:xfrm>
                            <a:off x="1375520" y="742668"/>
                            <a:ext cx="1013833" cy="412176"/>
                          </a:xfrm>
                          <a:prstGeom prst="line">
                            <a:avLst/>
                          </a:prstGeom>
                          <a:noFill/>
                          <a:ln w="25400" cap="flat" cmpd="sng" algn="ctr">
                            <a:solidFill>
                              <a:srgbClr val="000000"/>
                            </a:solidFill>
                            <a:prstDash val="solid"/>
                            <a:headEnd type="diamond"/>
                            <a:tailEnd type="diamond"/>
                          </a:ln>
                          <a:effectLst>
                            <a:outerShdw blurRad="40000" dist="20000" dir="5400000" rotWithShape="0">
                              <a:srgbClr val="000000">
                                <a:alpha val="38000"/>
                              </a:srgbClr>
                            </a:outerShdw>
                          </a:effectLst>
                        </wps:spPr>
                        <wps:bodyPr/>
                      </wps:wsp>
                      <wps:wsp>
                        <wps:cNvPr id="120" name="Straight Connector 120"/>
                        <wps:cNvCnPr/>
                        <wps:spPr>
                          <a:xfrm>
                            <a:off x="2389353" y="1154844"/>
                            <a:ext cx="1047257" cy="646114"/>
                          </a:xfrm>
                          <a:prstGeom prst="line">
                            <a:avLst/>
                          </a:prstGeom>
                          <a:noFill/>
                          <a:ln w="25400" cap="flat" cmpd="sng" algn="ctr">
                            <a:solidFill>
                              <a:srgbClr val="000000"/>
                            </a:solidFill>
                            <a:prstDash val="solid"/>
                            <a:headEnd type="diamond"/>
                            <a:tailEnd type="diamond"/>
                          </a:ln>
                          <a:effectLst>
                            <a:outerShdw blurRad="40000" dist="20000" dir="5400000" rotWithShape="0">
                              <a:srgbClr val="000000">
                                <a:alpha val="38000"/>
                              </a:srgbClr>
                            </a:outerShdw>
                          </a:effectLst>
                        </wps:spPr>
                        <wps:bodyPr/>
                      </wps:wsp>
                      <wps:wsp>
                        <wps:cNvPr id="121" name="Straight Connector 121"/>
                        <wps:cNvCnPr/>
                        <wps:spPr>
                          <a:xfrm>
                            <a:off x="3436610" y="1800958"/>
                            <a:ext cx="1047257" cy="846633"/>
                          </a:xfrm>
                          <a:prstGeom prst="line">
                            <a:avLst/>
                          </a:prstGeom>
                          <a:noFill/>
                          <a:ln w="25400" cap="flat" cmpd="sng" algn="ctr">
                            <a:solidFill>
                              <a:srgbClr val="000000"/>
                            </a:solidFill>
                            <a:prstDash val="solid"/>
                            <a:headEnd type="diamond"/>
                            <a:tailEnd type="diamond"/>
                          </a:ln>
                          <a:effectLst>
                            <a:outerShdw blurRad="40000" dist="20000" dir="5400000" rotWithShape="0">
                              <a:srgbClr val="000000">
                                <a:alpha val="38000"/>
                              </a:srgbClr>
                            </a:outerShdw>
                          </a:effectLst>
                        </wps:spPr>
                        <wps:bodyPr/>
                      </wps:wsp>
                      <wps:wsp>
                        <wps:cNvPr id="122" name="Straight Connector 122"/>
                        <wps:cNvCnPr/>
                        <wps:spPr>
                          <a:xfrm flipV="1">
                            <a:off x="4483867" y="1953358"/>
                            <a:ext cx="946987" cy="694234"/>
                          </a:xfrm>
                          <a:prstGeom prst="line">
                            <a:avLst/>
                          </a:prstGeom>
                          <a:noFill/>
                          <a:ln w="25400" cap="flat" cmpd="sng" algn="ctr">
                            <a:solidFill>
                              <a:srgbClr val="000000"/>
                            </a:solidFill>
                            <a:prstDash val="solid"/>
                            <a:headEnd type="diamond"/>
                            <a:tailEnd type="diamond"/>
                          </a:ln>
                          <a:effectLst>
                            <a:outerShdw blurRad="40000" dist="20000" dir="5400000" rotWithShape="0">
                              <a:srgbClr val="000000">
                                <a:alpha val="38000"/>
                              </a:srgbClr>
                            </a:outerShdw>
                          </a:effectLst>
                        </wps:spPr>
                        <wps:bodyPr/>
                      </wps:wsp>
                      <wps:wsp>
                        <wps:cNvPr id="123" name="Text Box 123"/>
                        <wps:cNvSpPr txBox="1"/>
                        <wps:spPr>
                          <a:xfrm>
                            <a:off x="1107600" y="2949040"/>
                            <a:ext cx="692245" cy="520830"/>
                          </a:xfrm>
                          <a:prstGeom prst="rect">
                            <a:avLst/>
                          </a:prstGeom>
                          <a:noFill/>
                        </wps:spPr>
                        <wps:txbx>
                          <w:txbxContent>
                            <w:p w14:paraId="1C4FA595"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2012</w:t>
                              </w:r>
                            </w:p>
                          </w:txbxContent>
                        </wps:txbx>
                        <wps:bodyPr wrap="square" rtlCol="0">
                          <a:spAutoFit/>
                        </wps:bodyPr>
                      </wps:wsp>
                      <wps:wsp>
                        <wps:cNvPr id="124" name="Text Box 124"/>
                        <wps:cNvSpPr txBox="1"/>
                        <wps:spPr>
                          <a:xfrm>
                            <a:off x="2076740" y="2949044"/>
                            <a:ext cx="750702" cy="520830"/>
                          </a:xfrm>
                          <a:prstGeom prst="rect">
                            <a:avLst/>
                          </a:prstGeom>
                          <a:noFill/>
                        </wps:spPr>
                        <wps:txbx>
                          <w:txbxContent>
                            <w:p w14:paraId="4EBF4745"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2013</w:t>
                              </w:r>
                            </w:p>
                          </w:txbxContent>
                        </wps:txbx>
                        <wps:bodyPr wrap="square" rtlCol="0">
                          <a:spAutoFit/>
                        </wps:bodyPr>
                      </wps:wsp>
                      <wps:wsp>
                        <wps:cNvPr id="125" name="Text Box 125"/>
                        <wps:cNvSpPr txBox="1"/>
                        <wps:spPr>
                          <a:xfrm>
                            <a:off x="3170979" y="2926323"/>
                            <a:ext cx="692245" cy="543087"/>
                          </a:xfrm>
                          <a:prstGeom prst="rect">
                            <a:avLst/>
                          </a:prstGeom>
                          <a:noFill/>
                        </wps:spPr>
                        <wps:txbx>
                          <w:txbxContent>
                            <w:p w14:paraId="6924BBA4"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2014</w:t>
                              </w:r>
                            </w:p>
                          </w:txbxContent>
                        </wps:txbx>
                        <wps:bodyPr wrap="square" rtlCol="0">
                          <a:noAutofit/>
                        </wps:bodyPr>
                      </wps:wsp>
                      <wps:wsp>
                        <wps:cNvPr id="126" name="Text Box 126"/>
                        <wps:cNvSpPr txBox="1"/>
                        <wps:spPr>
                          <a:xfrm>
                            <a:off x="4184157" y="2945703"/>
                            <a:ext cx="650711" cy="520830"/>
                          </a:xfrm>
                          <a:prstGeom prst="rect">
                            <a:avLst/>
                          </a:prstGeom>
                          <a:noFill/>
                        </wps:spPr>
                        <wps:txbx>
                          <w:txbxContent>
                            <w:p w14:paraId="383EF5BB" w14:textId="77777777" w:rsidR="004A02D2" w:rsidRDefault="004A02D2" w:rsidP="009842B4">
                              <w:pPr>
                                <w:pStyle w:val="NormalWeb"/>
                              </w:pPr>
                              <w:r w:rsidRPr="002F4426">
                                <w:rPr>
                                  <w:rFonts w:ascii="Arial" w:hAnsi="Arial" w:cs="Arial"/>
                                  <w:b/>
                                  <w:bCs/>
                                  <w:color w:val="000000"/>
                                  <w:kern w:val="24"/>
                                  <w:sz w:val="22"/>
                                  <w:szCs w:val="22"/>
                                </w:rPr>
                                <w:t>2015</w:t>
                              </w:r>
                            </w:p>
                          </w:txbxContent>
                        </wps:txbx>
                        <wps:bodyPr wrap="square" rtlCol="0">
                          <a:spAutoFit/>
                        </wps:bodyPr>
                      </wps:wsp>
                      <wps:wsp>
                        <wps:cNvPr id="127" name="Text Box 127"/>
                        <wps:cNvSpPr txBox="1"/>
                        <wps:spPr>
                          <a:xfrm>
                            <a:off x="5150087" y="2949044"/>
                            <a:ext cx="750702" cy="520830"/>
                          </a:xfrm>
                          <a:prstGeom prst="rect">
                            <a:avLst/>
                          </a:prstGeom>
                          <a:noFill/>
                        </wps:spPr>
                        <wps:txbx>
                          <w:txbxContent>
                            <w:p w14:paraId="798F5C0C"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2016</w:t>
                              </w:r>
                            </w:p>
                          </w:txbxContent>
                        </wps:txbx>
                        <wps:bodyPr wrap="square" rtlCol="0">
                          <a:spAutoFit/>
                        </wps:bodyPr>
                      </wps:wsp>
                      <wps:wsp>
                        <wps:cNvPr id="128" name="Text Box 128"/>
                        <wps:cNvSpPr txBox="1"/>
                        <wps:spPr>
                          <a:xfrm>
                            <a:off x="-138449" y="320596"/>
                            <a:ext cx="1107592" cy="520830"/>
                          </a:xfrm>
                          <a:prstGeom prst="rect">
                            <a:avLst/>
                          </a:prstGeom>
                          <a:noFill/>
                        </wps:spPr>
                        <wps:txbx>
                          <w:txbxContent>
                            <w:p w14:paraId="0C8B11FB"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10,000,000</w:t>
                              </w:r>
                            </w:p>
                          </w:txbxContent>
                        </wps:txbx>
                        <wps:bodyPr wrap="square" rtlCol="0">
                          <a:spAutoFit/>
                        </wps:bodyPr>
                      </wps:wsp>
                      <wps:wsp>
                        <wps:cNvPr id="129" name="Text Box 129"/>
                        <wps:cNvSpPr txBox="1"/>
                        <wps:spPr>
                          <a:xfrm>
                            <a:off x="-52236" y="747264"/>
                            <a:ext cx="1066827" cy="520830"/>
                          </a:xfrm>
                          <a:prstGeom prst="rect">
                            <a:avLst/>
                          </a:prstGeom>
                          <a:noFill/>
                        </wps:spPr>
                        <wps:txbx>
                          <w:txbxContent>
                            <w:p w14:paraId="26640114"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8,000,000</w:t>
                              </w:r>
                            </w:p>
                          </w:txbxContent>
                        </wps:txbx>
                        <wps:bodyPr wrap="square" rtlCol="0">
                          <a:spAutoFit/>
                        </wps:bodyPr>
                      </wps:wsp>
                      <wps:wsp>
                        <wps:cNvPr id="130" name="Text Box 130"/>
                        <wps:cNvSpPr txBox="1"/>
                        <wps:spPr>
                          <a:xfrm>
                            <a:off x="-52236" y="1224613"/>
                            <a:ext cx="1066827" cy="520830"/>
                          </a:xfrm>
                          <a:prstGeom prst="rect">
                            <a:avLst/>
                          </a:prstGeom>
                          <a:noFill/>
                        </wps:spPr>
                        <wps:txbx>
                          <w:txbxContent>
                            <w:p w14:paraId="0105AA19"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6,000,000</w:t>
                              </w:r>
                            </w:p>
                          </w:txbxContent>
                        </wps:txbx>
                        <wps:bodyPr wrap="square" rtlCol="0">
                          <a:spAutoFit/>
                        </wps:bodyPr>
                      </wps:wsp>
                      <wps:wsp>
                        <wps:cNvPr id="131" name="Text Box 131"/>
                        <wps:cNvSpPr txBox="1"/>
                        <wps:spPr>
                          <a:xfrm>
                            <a:off x="-65306" y="1713702"/>
                            <a:ext cx="1066058" cy="520830"/>
                          </a:xfrm>
                          <a:prstGeom prst="rect">
                            <a:avLst/>
                          </a:prstGeom>
                          <a:noFill/>
                        </wps:spPr>
                        <wps:txbx>
                          <w:txbxContent>
                            <w:p w14:paraId="33B6FB38"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4,000,000</w:t>
                              </w:r>
                            </w:p>
                          </w:txbxContent>
                        </wps:txbx>
                        <wps:bodyPr wrap="square" rtlCol="0">
                          <a:spAutoFit/>
                        </wps:bodyPr>
                      </wps:wsp>
                      <wps:wsp>
                        <wps:cNvPr id="132" name="Text Box 132"/>
                        <wps:cNvSpPr txBox="1"/>
                        <wps:spPr>
                          <a:xfrm>
                            <a:off x="-65306" y="2186554"/>
                            <a:ext cx="1065757" cy="415432"/>
                          </a:xfrm>
                          <a:prstGeom prst="rect">
                            <a:avLst/>
                          </a:prstGeom>
                          <a:noFill/>
                        </wps:spPr>
                        <wps:txbx>
                          <w:txbxContent>
                            <w:p w14:paraId="0BFA23CA"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2,000,000</w:t>
                              </w:r>
                            </w:p>
                          </w:txbxContent>
                        </wps:txbx>
                        <wps:bodyPr wrap="square" rtlCol="0">
                          <a:noAutofit/>
                        </wps:bodyPr>
                      </wps:wsp>
                      <wps:wsp>
                        <wps:cNvPr id="133" name="Text Box 133"/>
                        <wps:cNvSpPr txBox="1"/>
                        <wps:spPr>
                          <a:xfrm>
                            <a:off x="6027451" y="299319"/>
                            <a:ext cx="565334" cy="520830"/>
                          </a:xfrm>
                          <a:prstGeom prst="rect">
                            <a:avLst/>
                          </a:prstGeom>
                          <a:noFill/>
                        </wps:spPr>
                        <wps:txbx>
                          <w:txbxContent>
                            <w:p w14:paraId="0C298D56" w14:textId="3CB4422D"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40</w:t>
                              </w:r>
                            </w:p>
                          </w:txbxContent>
                        </wps:txbx>
                        <wps:bodyPr wrap="square" rtlCol="0">
                          <a:spAutoFit/>
                        </wps:bodyPr>
                      </wps:wsp>
                      <wps:wsp>
                        <wps:cNvPr id="134" name="Text Box 134"/>
                        <wps:cNvSpPr txBox="1"/>
                        <wps:spPr>
                          <a:xfrm>
                            <a:off x="6027451" y="752380"/>
                            <a:ext cx="565334" cy="520830"/>
                          </a:xfrm>
                          <a:prstGeom prst="rect">
                            <a:avLst/>
                          </a:prstGeom>
                          <a:noFill/>
                        </wps:spPr>
                        <wps:txbx>
                          <w:txbxContent>
                            <w:p w14:paraId="2E3C82D3" w14:textId="6A5B7EDA"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30</w:t>
                              </w:r>
                            </w:p>
                          </w:txbxContent>
                        </wps:txbx>
                        <wps:bodyPr wrap="square" rtlCol="0">
                          <a:spAutoFit/>
                        </wps:bodyPr>
                      </wps:wsp>
                      <wps:wsp>
                        <wps:cNvPr id="135" name="Text Box 135"/>
                        <wps:cNvSpPr txBox="1"/>
                        <wps:spPr>
                          <a:xfrm>
                            <a:off x="6027451" y="1238849"/>
                            <a:ext cx="565334" cy="520830"/>
                          </a:xfrm>
                          <a:prstGeom prst="rect">
                            <a:avLst/>
                          </a:prstGeom>
                          <a:noFill/>
                        </wps:spPr>
                        <wps:txbx>
                          <w:txbxContent>
                            <w:p w14:paraId="0A6E2AA4" w14:textId="531E6E79"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20</w:t>
                              </w:r>
                            </w:p>
                          </w:txbxContent>
                        </wps:txbx>
                        <wps:bodyPr wrap="square" rtlCol="0">
                          <a:spAutoFit/>
                        </wps:bodyPr>
                      </wps:wsp>
                      <wps:wsp>
                        <wps:cNvPr id="136" name="Text Box 136"/>
                        <wps:cNvSpPr txBox="1"/>
                        <wps:spPr>
                          <a:xfrm>
                            <a:off x="6027451" y="1722356"/>
                            <a:ext cx="565334" cy="520830"/>
                          </a:xfrm>
                          <a:prstGeom prst="rect">
                            <a:avLst/>
                          </a:prstGeom>
                          <a:noFill/>
                        </wps:spPr>
                        <wps:txbx>
                          <w:txbxContent>
                            <w:p w14:paraId="5B543361" w14:textId="51810CC5"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10</w:t>
                              </w:r>
                            </w:p>
                          </w:txbxContent>
                        </wps:txbx>
                        <wps:bodyPr wrap="square" rtlCol="0">
                          <a:spAutoFit/>
                        </wps:bodyPr>
                      </wps:wsp>
                      <wps:wsp>
                        <wps:cNvPr id="137" name="Text Box 137"/>
                        <wps:cNvSpPr txBox="1"/>
                        <wps:spPr>
                          <a:xfrm>
                            <a:off x="6027451" y="2186554"/>
                            <a:ext cx="565334" cy="520830"/>
                          </a:xfrm>
                          <a:prstGeom prst="rect">
                            <a:avLst/>
                          </a:prstGeom>
                          <a:noFill/>
                        </wps:spPr>
                        <wps:txbx>
                          <w:txbxContent>
                            <w:p w14:paraId="70721332" w14:textId="5ED3C239"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0</w:t>
                              </w:r>
                            </w:p>
                          </w:txbxContent>
                        </wps:txbx>
                        <wps:bodyPr wrap="square" rtlCol="0">
                          <a:spAutoFit/>
                        </wps:bodyPr>
                      </wps:wsp>
                      <wps:wsp>
                        <wps:cNvPr id="138" name="Text Box 138"/>
                        <wps:cNvSpPr txBox="1"/>
                        <wps:spPr>
                          <a:xfrm>
                            <a:off x="250752" y="2666044"/>
                            <a:ext cx="565334" cy="538524"/>
                          </a:xfrm>
                          <a:prstGeom prst="rect">
                            <a:avLst/>
                          </a:prstGeom>
                          <a:noFill/>
                        </wps:spPr>
                        <wps:txbx>
                          <w:txbxContent>
                            <w:p w14:paraId="2643CDA9" w14:textId="77777777" w:rsidR="004A02D2" w:rsidRDefault="004A02D2" w:rsidP="009842B4">
                              <w:pPr>
                                <w:pStyle w:val="NormalWeb"/>
                                <w:jc w:val="right"/>
                              </w:pPr>
                              <w:r w:rsidRPr="000976C8">
                                <w:rPr>
                                  <w:color w:val="000000"/>
                                  <w:kern w:val="24"/>
                                </w:rPr>
                                <w:t>0</w:t>
                              </w:r>
                            </w:p>
                          </w:txbxContent>
                        </wps:txbx>
                        <wps:bodyPr wrap="square" rtlCol="0">
                          <a:spAutoFit/>
                        </wps:bodyPr>
                      </wps:wsp>
                      <wps:wsp>
                        <wps:cNvPr id="139" name="Text Box 139"/>
                        <wps:cNvSpPr txBox="1"/>
                        <wps:spPr>
                          <a:xfrm>
                            <a:off x="5952387" y="2671619"/>
                            <a:ext cx="563580" cy="520830"/>
                          </a:xfrm>
                          <a:prstGeom prst="rect">
                            <a:avLst/>
                          </a:prstGeom>
                          <a:noFill/>
                        </wps:spPr>
                        <wps:txbx>
                          <w:txbxContent>
                            <w:p w14:paraId="2F343D99" w14:textId="7CCEEAAE" w:rsidR="004A02D2" w:rsidRPr="002F4426" w:rsidRDefault="004A02D2" w:rsidP="009842B4">
                              <w:pPr>
                                <w:pStyle w:val="NormalWeb"/>
                                <w:jc w:val="right"/>
                                <w:rPr>
                                  <w:rFonts w:ascii="Arial" w:hAnsi="Arial" w:cs="Arial"/>
                                  <w:sz w:val="22"/>
                                  <w:szCs w:val="22"/>
                                </w:rPr>
                              </w:pPr>
                              <w:r w:rsidRPr="002F4426">
                                <w:rPr>
                                  <w:rFonts w:ascii="Arial" w:hAnsi="Arial" w:cs="Arial"/>
                                  <w:color w:val="000000"/>
                                  <w:kern w:val="24"/>
                                  <w:sz w:val="22"/>
                                  <w:szCs w:val="22"/>
                                </w:rPr>
                                <w:t>−10</w:t>
                              </w:r>
                            </w:p>
                          </w:txbxContent>
                        </wps:txbx>
                        <wps:bodyPr wrap="square" rtlCol="0">
                          <a:spAutoFit/>
                        </wps:bodyPr>
                      </wps:wsp>
                      <wps:wsp>
                        <wps:cNvPr id="140" name="Straight Connector 140"/>
                        <wps:cNvCnPr/>
                        <wps:spPr>
                          <a:xfrm>
                            <a:off x="816070" y="45303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1" name="Straight Connector 141"/>
                        <wps:cNvCnPr/>
                        <wps:spPr>
                          <a:xfrm>
                            <a:off x="801355" y="90621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2" name="Straight Connector 142"/>
                        <wps:cNvCnPr/>
                        <wps:spPr>
                          <a:xfrm>
                            <a:off x="808922" y="138167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3" name="Straight Connector 143"/>
                        <wps:cNvCnPr/>
                        <wps:spPr>
                          <a:xfrm>
                            <a:off x="805348" y="186827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4" name="Straight Connector 144"/>
                        <wps:cNvCnPr/>
                        <wps:spPr>
                          <a:xfrm>
                            <a:off x="801774" y="234373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5" name="Straight Connector 145"/>
                        <wps:cNvCnPr/>
                        <wps:spPr>
                          <a:xfrm>
                            <a:off x="5970779" y="44947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6" name="Straight Connector 146"/>
                        <wps:cNvCnPr/>
                        <wps:spPr>
                          <a:xfrm>
                            <a:off x="5956064" y="90265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7" name="Straight Connector 147"/>
                        <wps:cNvCnPr/>
                        <wps:spPr>
                          <a:xfrm>
                            <a:off x="5963631" y="137811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8" name="Straight Connector 148"/>
                        <wps:cNvCnPr/>
                        <wps:spPr>
                          <a:xfrm>
                            <a:off x="5960057" y="186471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s:wsp>
                        <wps:cNvPr id="149" name="Straight Connector 149"/>
                        <wps:cNvCnPr/>
                        <wps:spPr>
                          <a:xfrm>
                            <a:off x="5956483" y="2340170"/>
                            <a:ext cx="94994" cy="0"/>
                          </a:xfrm>
                          <a:prstGeom prst="line">
                            <a:avLst/>
                          </a:prstGeom>
                          <a:noFill/>
                          <a:ln w="25400" cap="flat" cmpd="sng" algn="ctr">
                            <a:solidFill>
                              <a:srgbClr val="000000"/>
                            </a:solidFill>
                            <a:prstDash val="solid"/>
                          </a:ln>
                          <a:effectLst>
                            <a:outerShdw blurRad="40000" dist="20000" dir="5400000" rotWithShape="0">
                              <a:srgbClr val="000000">
                                <a:alpha val="38000"/>
                              </a:srgbClr>
                            </a:outerShdw>
                          </a:effectLst>
                        </wps:spPr>
                        <wps:bodyPr/>
                      </wps:wsp>
                    </wpg:wgp>
                  </a:graphicData>
                </a:graphic>
              </wp:inline>
            </w:drawing>
          </mc:Choice>
          <mc:Fallback>
            <w:pict>
              <v:group w14:anchorId="7C60BA7D" id="Group 75" o:spid="_x0000_s1027" style="width:441pt;height:246.25pt;mso-position-horizontal-relative:char;mso-position-vertical-relative:line" coordorigin="-1384" coordsize="67841,3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">
                <v:shape id="Text Box 103" o:spid="_x0000_s1028" type="#_x0000_t202" style="position:absolute;left:18780;top:32680;width:16160;height:5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sjsAA&#10;AADcAAAADwAAAGRycy9kb3ducmV2LnhtbERPTWsCMRC9F/ofwhS81USl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YsjsAAAADcAAAADwAAAAAAAAAAAAAAAACYAgAAZHJzL2Rvd25y&#10;ZXYueG1sUEsFBgAAAAAEAAQA9QAAAIUDAAAAAA==&#10;" filled="f" stroked="f">
                  <v:textbox style="mso-fit-shape-to-text:t">
                    <w:txbxContent>
                      <w:p w14:paraId="5F28E4CF"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Total Revenue</w:t>
                        </w:r>
                      </w:p>
                    </w:txbxContent>
                  </v:textbox>
                </v:shape>
                <v:shape id="Text Box 104" o:spid="_x0000_s1029" type="#_x0000_t202" style="position:absolute;left:46196;top:32679;width:16168;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sAA&#10;AADcAAAADwAAAGRycy9kb3ducmV2LnhtbERPTWsCMRC9F/ofwhS81USx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0+sAAAADcAAAADwAAAAAAAAAAAAAAAACYAgAAZHJzL2Rvd25y&#10;ZXYueG1sUEsFBgAAAAAEAAQA9QAAAIUDAAAAAA==&#10;" filled="f" stroked="f">
                  <v:textbox style="mso-fit-shape-to-text:t">
                    <w:txbxContent>
                      <w:p w14:paraId="04AC0896"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Growth Rate</w:t>
                        </w:r>
                      </w:p>
                    </w:txbxContent>
                  </v:textbox>
                </v:shape>
                <v:rect id="Rectangle 105" o:spid="_x0000_s1030" style="position:absolute;left:7731;top:32688;width:11051;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jTccA&#10;AADcAAAADwAAAGRycy9kb3ducmV2LnhtbESPQWvCQBCF7wX/wzJCb3UTqVLSrCJqqaUeGu0hxzE7&#10;JsHsbJrdavz33YLgbYb33jdv0nlvGnGmztWWFcSjCARxYXXNpYLv/dvTCwjnkTU2lknBlRzMZ4OH&#10;FBNtL5zReedLESDsElRQed8mUrqiIoNuZFvioB1tZ9CHtSul7vAS4KaR4yiaSoM1hwsVtrSsqDjt&#10;fk2gxHGTYZF/Pv/kX6uP9cG9X/dbpR6H/eIVhKfe38239EaH+tEE/p8JE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jI03HAAAA3AAAAA8AAAAAAAAAAAAAAAAAmAIAAGRy&#10;cy9kb3ducmV2LnhtbFBLBQYAAAAABAAEAPUAAACMAwAAAAA=&#10;" fillcolor="#7f7f7f" strokecolor="#7f7f7f">
                  <v:shadow on="t" color="black" opacity="22937f" origin=",.5" offset="0,.63889mm"/>
                  <v:textbox>
                    <w:txbxContent>
                      <w:p w14:paraId="56A4259D" w14:textId="77777777" w:rsidR="004A02D2" w:rsidRDefault="004A02D2" w:rsidP="009842B4"/>
                    </w:txbxContent>
                  </v:textbox>
                </v:rect>
                <v:line id="Straight Connector 106" o:spid="_x0000_s1031" style="position:absolute;visibility:visible;mso-wrap-style:square" from="34947,34073" to="46202,34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DjfsQAAADcAAAADwAAAGRycy9kb3ducmV2LnhtbERPTWsCMRC9C/0PYYReRLOrIGU1ihSk&#10;veyhrgd7GzbjZnEz2Sapbv31jVDobR7vc9bbwXbiSj60jhXkswwEce10y42CY7WfvoAIEVlj55gU&#10;/FCA7eZptMZCuxt/0PUQG5FCOBSowMTYF1KG2pDFMHM9ceLOzluMCfpGao+3FG47Oc+ypbTYcmow&#10;2NOrofpy+LYKJovyrYon4++fX/fTPK/2ZWlypZ7Hw24FItIQ/8V/7ned5mdLeDyTLp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N+xAAAANwAAAAPAAAAAAAAAAAA&#10;AAAAAKECAABkcnMvZG93bnJldi54bWxQSwUGAAAAAAQABAD5AAAAkgMAAAAA&#10;" strokeweight="2pt">
                  <v:stroke startarrow="diamond" endarrow="diamond"/>
                  <v:shadow on="t" color="black" opacity="24903f" origin=",.5" offset="0,.55556mm"/>
                </v:line>
                <v:shape id="Text Box 107" o:spid="_x0000_s1032" type="#_x0000_t202" style="position:absolute;left:2768;top:29488;width:6631;height:5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qjcAA&#10;AADcAAAADwAAAGRycy9kb3ducmV2LnhtbERPTWsCMRC9F/ofwhS81UTBtmyNIq2Ch15qt/dhM24W&#10;N5NlM7rrv28Kgrd5vM9ZrsfQqgv1qYlsYTY1oIir6BquLZQ/u+c3UEmQHbaRycKVEqxXjw9LLFwc&#10;+JsuB6lVDuFUoAUv0hVap8pTwDSNHXHmjrEPKBn2tXY9Djk8tHpuzIsO2HBu8NjRh6fqdDgHCyJu&#10;M7uW25D2v+PX5+BNtcDS2snTuHkHJTTKXXxz712eb17h/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0qjcAAAADcAAAADwAAAAAAAAAAAAAAAACYAgAAZHJzL2Rvd25y&#10;ZXYueG1sUEsFBgAAAAAEAAQA9QAAAIUDAAAAAA==&#10;" filled="f" stroked="f">
                  <v:textbox style="mso-fit-shape-to-text:t">
                    <w:txbxContent>
                      <w:p w14:paraId="33357DBD" w14:textId="77777777" w:rsidR="004A02D2" w:rsidRDefault="004A02D2" w:rsidP="009842B4">
                        <w:pPr>
                          <w:pStyle w:val="NormalWeb"/>
                        </w:pPr>
                      </w:p>
                    </w:txbxContent>
                  </v:textbox>
                </v:shape>
                <v:shape id="Text Box 108" o:spid="_x0000_s1033" type="#_x0000_t202" style="position:absolute;width:17998;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8IA&#10;AADcAAAADwAAAGRycy9kb3ducmV2LnhtbESPQU/DMAyF70j7D5GRdmPJkIZQWTZNDKQduDDK3WpM&#10;U9E4VWPW7t/jAxI3W+/5vc/b/Zx6c6GxdJk9rFcODHGTQ8eth/rj9e4RTBHkgH1m8nClAvvd4maL&#10;VcgTv9PlLK3REC4VeogiQ2VtaSIlLKs8EKv2lceEouvY2jDipOGpt/fOPdiEHWtDxIGeIzXf55/k&#10;QSQc1tf6JZXT5/x2nKJrNlh7v7ydD09ghGb5N/9dn4LiO6XV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7/wgAAANwAAAAPAAAAAAAAAAAAAAAAAJgCAABkcnMvZG93&#10;bnJldi54bWxQSwUGAAAAAAQABAD1AAAAhwMAAAAA&#10;" filled="f" stroked="f">
                  <v:textbox style="mso-fit-shape-to-text:t">
                    <w:txbxContent>
                      <w:p w14:paraId="0C1013BA"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Revenue (</w:t>
                        </w:r>
                        <w:r w:rsidRPr="002F4426">
                          <w:rPr>
                            <w:rFonts w:ascii="Arial" w:hAnsi="Arial" w:cs="Arial"/>
                            <w:b/>
                            <w:sz w:val="22"/>
                            <w:szCs w:val="22"/>
                            <w:lang w:val="en-GB" w:eastAsia="zh-CN"/>
                          </w:rPr>
                          <w:t>¥</w:t>
                        </w:r>
                        <w:r w:rsidRPr="002F4426">
                          <w:rPr>
                            <w:rFonts w:ascii="Arial" w:hAnsi="Arial" w:cs="Arial"/>
                            <w:b/>
                            <w:bCs/>
                            <w:color w:val="000000"/>
                            <w:kern w:val="24"/>
                            <w:sz w:val="22"/>
                            <w:szCs w:val="22"/>
                          </w:rPr>
                          <w:t>1,000)</w:t>
                        </w:r>
                      </w:p>
                    </w:txbxContent>
                  </v:textbox>
                </v:shape>
                <v:shape id="Text Box 109" o:spid="_x0000_s1034" type="#_x0000_t202" style="position:absolute;left:50628;top:307;width:15829;height:5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bZMAA&#10;AADcAAAADwAAAGRycy9kb3ducmV2LnhtbERPTWsCMRC9F/ofwhS81UTB0m6NIq2Ch15qt/dhM24W&#10;N5NlM7rrv28Kgrd5vM9ZrsfQqgv1qYlsYTY1oIir6BquLZQ/u+dXUEmQHbaRycKVEqxXjw9LLFwc&#10;+JsuB6lVDuFUoAUv0hVap8pTwDSNHXHmjrEPKBn2tXY9Djk8tHpuzIsO2HBu8NjRh6fqdDgHCyJu&#10;M7uW25D2v+PX5+BNtcDS2snTuHkHJTTKXXxz712eb97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bZMAAAADcAAAADwAAAAAAAAAAAAAAAACYAgAAZHJzL2Rvd25y&#10;ZXYueG1sUEsFBgAAAAAEAAQA9QAAAIUDAAAAAA==&#10;" filled="f" stroked="f">
                  <v:textbox style="mso-fit-shape-to-text:t">
                    <w:txbxContent>
                      <w:p w14:paraId="0135BC31" w14:textId="0B5ED1D0"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Growth Rate</w:t>
                        </w:r>
                        <w:r w:rsidR="00D971E1">
                          <w:rPr>
                            <w:rFonts w:ascii="Arial" w:hAnsi="Arial" w:cs="Arial"/>
                            <w:b/>
                            <w:bCs/>
                            <w:color w:val="000000"/>
                            <w:kern w:val="24"/>
                            <w:sz w:val="22"/>
                            <w:szCs w:val="22"/>
                          </w:rPr>
                          <w:t xml:space="preserve"> (%)</w:t>
                        </w:r>
                      </w:p>
                    </w:txbxContent>
                  </v:textbox>
                </v:shape>
                <v:rect id="Rectangle 110" o:spid="_x0000_s1035" style="position:absolute;left:11706;top:15781;width:4165;height:12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0WCMYA&#10;AADcAAAADwAAAGRycy9kb3ducmV2LnhtbESPzW7CQAyE75V4h5WReiubVAihwIIqKKIVPfB34Ohm&#10;3SRq1huyWwhvXx+QuI3l8eeZ6bxztbpQGyrPBtJBAoo497biwsDxsHoZgwoR2WLtmQzcKMB81nua&#10;Ymb9lXd02cdCCYRDhgbKGJtM65CX5DAMfEMsux/fOowytoW2LV4F7mr9miQj7bBi+VBiQ4uS8t/9&#10;nxNKmtY7zE+b4fm0XX6+f4f17fBlzHO/e5uAitTFh/l+/WElfirxpYwo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0WCMYAAADcAAAADwAAAAAAAAAAAAAAAACYAgAAZHJz&#10;L2Rvd25yZXYueG1sUEsFBgAAAAAEAAQA9QAAAIsDAAAAAA==&#10;" fillcolor="#7f7f7f" strokecolor="#7f7f7f">
                  <v:shadow on="t" color="black" opacity="22937f" origin=",.5" offset="0,.63889mm"/>
                  <v:textbox>
                    <w:txbxContent>
                      <w:p w14:paraId="4E7C8AC6" w14:textId="77777777" w:rsidR="004A02D2" w:rsidRDefault="004A02D2" w:rsidP="009842B4"/>
                    </w:txbxContent>
                  </v:textbox>
                </v:rect>
                <v:rect id="Rectangle 111" o:spid="_x0000_s1036" style="position:absolute;left:22031;top:12404;width:4166;height:15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zk8cA&#10;AADcAAAADwAAAGRycy9kb3ducmV2LnhtbESPS2/CMBCE75X6H6yt1FtxjCqE0hiE+lBBcODRQ47b&#10;eEmixusQGwj/HiMh9barmfl2Npv2thEn6nztWIMaJCCIC2dqLjX87L5exiB8QDbYOCYNF/IwnTw+&#10;ZJgad+YNnbahFBHCPkUNVQhtKqUvKrLoB64ljtredRZDXLtSmg7PEW4bOUySkbRYc7xQYUvvFRV/&#10;26ONFKWaDRb58vWQrz8Wn7/++7Jbaf381M/eQATqw7/5np6bWF8puD0TJ5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Bs5PHAAAA3AAAAA8AAAAAAAAAAAAAAAAAmAIAAGRy&#10;cy9kb3ducmV2LnhtbFBLBQYAAAAABAAEAPUAAACMAwAAAAA=&#10;" fillcolor="#7f7f7f" strokecolor="#7f7f7f">
                  <v:shadow on="t" color="black" opacity="22937f" origin=",.5" offset="0,.63889mm"/>
                  <v:textbox>
                    <w:txbxContent>
                      <w:p w14:paraId="543F3F16" w14:textId="77777777" w:rsidR="004A02D2" w:rsidRDefault="004A02D2" w:rsidP="009842B4"/>
                    </w:txbxContent>
                  </v:textbox>
                </v:rect>
                <v:rect id="Rectangle 112" o:spid="_x0000_s1037" style="position:absolute;left:32341;top:10323;width:4165;height:17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t5MUA&#10;AADcAAAADwAAAGRycy9kb3ducmV2LnhtbESPT4vCMBDF7wt+hzCCtzWtiEg1iuiKK3pY/xw8js3Y&#10;FptJt8lq/fZGEPY2w3vvN2/G08aU4ka1KywriLsRCOLU6oIzBcfD8nMIwnlkjaVlUvAgB9NJ62OM&#10;ibZ33tFt7zMRIOwSVJB7XyVSujQng65rK+KgXWxt0Ie1zqSu8R7gppS9KBpIgwWHCzlWNM8pve7/&#10;TKDEcbnD9LTp/55+Fuuvs1s9DlulOu1mNgLhqfH/5nf6W4f6cQ9ez4QJ5O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Uy3kxQAAANwAAAAPAAAAAAAAAAAAAAAAAJgCAABkcnMv&#10;ZG93bnJldi54bWxQSwUGAAAAAAQABAD1AAAAigMAAAAA&#10;" fillcolor="#7f7f7f" strokecolor="#7f7f7f">
                  <v:shadow on="t" color="black" opacity="22937f" origin=",.5" offset="0,.63889mm"/>
                  <v:textbox>
                    <w:txbxContent>
                      <w:p w14:paraId="318AB8D3" w14:textId="77777777" w:rsidR="004A02D2" w:rsidRDefault="004A02D2" w:rsidP="009842B4"/>
                    </w:txbxContent>
                  </v:textbox>
                </v:rect>
                <v:rect id="Rectangle 113" o:spid="_x0000_s1038" style="position:absolute;left:42443;top:11548;width:4166;height:16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f8cA&#10;AADcAAAADwAAAGRycy9kb3ducmV2LnhtbESPQWvCQBCF7wX/wzJCb3UTK1LSrCJqqaUeGu0hxzE7&#10;JsHsbJrdavz33YLgbYb33jdv0nlvGnGmztWWFcSjCARxYXXNpYLv/dvTCwjnkTU2lknBlRzMZ4OH&#10;FBNtL5zReedLESDsElRQed8mUrqiIoNuZFvioB1tZ9CHtSul7vAS4KaR4yiaSoM1hwsVtrSsqDjt&#10;fk2gxHGTYZF/Tn7yr9XH+uDer/utUo/DfvEKwlPv7+ZbeqND/fgZ/p8JE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fiH/HAAAA3AAAAA8AAAAAAAAAAAAAAAAAmAIAAGRy&#10;cy9kb3ducmV2LnhtbFBLBQYAAAAABAAEAPUAAACMAwAAAAA=&#10;" fillcolor="#7f7f7f" strokecolor="#7f7f7f">
                  <v:shadow on="t" color="black" opacity="22937f" origin=",.5" offset="0,.63889mm"/>
                  <v:textbox>
                    <w:txbxContent>
                      <w:p w14:paraId="2789F51C" w14:textId="77777777" w:rsidR="004A02D2" w:rsidRDefault="004A02D2" w:rsidP="009842B4"/>
                    </w:txbxContent>
                  </v:textbox>
                </v:rect>
                <v:rect id="Rectangle 115" o:spid="_x0000_s1039" style="position:absolute;left:52546;top:10100;width:4165;height:17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1kMcA&#10;AADcAAAADwAAAGRycy9kb3ducmV2LnhtbESPQWvCQBCF7wX/wzJCb3UTqVLSrCJqqaUeGu0hxzE7&#10;JsHsbJrdavz33YLgbYb33jdv0nlvGnGmztWWFcSjCARxYXXNpYLv/dvTCwjnkTU2lknBlRzMZ4OH&#10;FBNtL5zReedLESDsElRQed8mUrqiIoNuZFvioB1tZ9CHtSul7vAS4KaR4yiaSoM1hwsVtrSsqDjt&#10;fk2gxHGTYZF/Pv/kX6uP9cG9X/dbpR6H/eIVhKfe38239EaH+vEE/p8JE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6tZDHAAAA3AAAAA8AAAAAAAAAAAAAAAAAmAIAAGRy&#10;cy9kb3ducmV2LnhtbFBLBQYAAAAABAAEAPUAAACMAwAAAAA=&#10;" fillcolor="#7f7f7f" strokecolor="#7f7f7f">
                  <v:shadow on="t" color="black" opacity="22937f" origin=",.5" offset="0,.63889mm"/>
                  <v:textbox>
                    <w:txbxContent>
                      <w:p w14:paraId="23D7F033" w14:textId="77777777" w:rsidR="004A02D2" w:rsidRDefault="004A02D2" w:rsidP="009842B4"/>
                    </w:txbxContent>
                  </v:textbox>
                </v:rect>
                <v:shapetype id="_x0000_t32" coordsize="21600,21600" o:spt="32" o:oned="t" path="m,l21600,21600e" filled="f">
                  <v:path arrowok="t" fillok="f" o:connecttype="none"/>
                  <o:lock v:ext="edit" shapetype="t"/>
                </v:shapetype>
                <v:shape id="Straight Arrow Connector 116" o:spid="_x0000_s1040" type="#_x0000_t32" style="position:absolute;left:8191;top:28035;width:524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UIk8AAAADcAAAADwAAAGRycy9kb3ducmV2LnhtbERPS4vCMBC+C/6HMMLeNO0uiFSjiPiC&#10;ZQ+2eh+asS02k9Jka/XXm4UFb/PxPWex6k0tOmpdZVlBPIlAEOdWV1woOGe78QyE88gaa8uk4EEO&#10;VsvhYIGJtnc+UZf6QoQQdgkqKL1vEildXpJBN7ENceCutjXoA2wLqVu8h3BTy88omkqDFYeGEhva&#10;lJTf0l+jwODzh3S3u2X14ZJ/x9uvbD9jpT5G/XoOwlPv3+J/91GH+fEU/p4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FCJPAAAAA3AAAAA8AAAAAAAAAAAAAAAAA&#10;oQIAAGRycy9kb3ducmV2LnhtbFBLBQYAAAAABAAEAPkAAACOAwAAAAA=&#10;" strokecolor="windowText" strokeweight="1pt">
                  <v:stroke endarrow="open"/>
                  <v:shadow on="t" color="black" opacity="24903f" origin=",.5" offset="0,.55556mm"/>
                </v:shape>
                <v:shape id="Straight Arrow Connector 117" o:spid="_x0000_s1041" type="#_x0000_t32" style="position:absolute;left:8935;top:2770;width:0;height:252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mtCMEAAADcAAAADwAAAGRycy9kb3ducmV2LnhtbERPTYvCMBC9C/6HMII3TbsLq1SjiOi6&#10;IB7WrvehGdtiMylNtlZ/vREEb/N4nzNfdqYSLTWutKwgHkcgiDOrS84V/KXb0RSE88gaK8uk4EYO&#10;lot+b46Jtlf+pfbocxFC2CWooPC+TqR0WUEG3djWxIE728agD7DJpW7wGsJNJT+i6EsaLDk0FFjT&#10;uqDscvw3CgzeD6Tb7SWtdqdsH28+0+8pKzUcdKsZCE+df4tf7h8d5s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ia0IwQAAANwAAAAPAAAAAAAAAAAAAAAA&#10;AKECAABkcnMvZG93bnJldi54bWxQSwUGAAAAAAQABAD5AAAAjwMAAAAA&#10;" strokecolor="windowText" strokeweight="1pt">
                  <v:stroke endarrow="open"/>
                  <v:shadow on="t" color="black" opacity="24903f" origin=",.5" offset="0,.55556mm"/>
                </v:shape>
                <v:shape id="Straight Arrow Connector 118" o:spid="_x0000_s1042" type="#_x0000_t32" style="position:absolute;left:59702;top:2770;width:0;height:252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Y5esQAAADcAAAADwAAAGRycy9kb3ducmV2LnhtbESPQWvCQBCF74X+h2WE3uomFoqk2YhI&#10;bQulB429D9kxCWZnQ3aNqb/eORS8zfDevPdNvppcp0YaQuvZQDpPQBFX3rZcGziU2+clqBCRLXae&#10;ycAfBVgVjw85ZtZfeEfjPtZKQjhkaKCJsc+0DlVDDsPc98SiHf3gMMo61NoOeJFw1+lFkrxqhy1L&#10;Q4M9bRqqTvuzM+Dw+kN23J7K7vO3+k7fX8qPJRvzNJvWb6AiTfFu/r/+soKfCq08IxPo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jl6xAAAANwAAAAPAAAAAAAAAAAA&#10;AAAAAKECAABkcnMvZG93bnJldi54bWxQSwUGAAAAAAQABAD5AAAAkgMAAAAA&#10;" strokecolor="windowText" strokeweight="1pt">
                  <v:stroke endarrow="open"/>
                  <v:shadow on="t" color="black" opacity="24903f" origin=",.5" offset="0,.55556mm"/>
                </v:shape>
                <v:line id="Straight Connector 119" o:spid="_x0000_s1043" style="position:absolute;visibility:visible;mso-wrap-style:square" from="13755,7426" to="23893,11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bh0cQAAADcAAAADwAAAGRycy9kb3ducmV2LnhtbERPTWsCMRC9F/ofwhS8FM2uhdKuRimC&#10;6GUPdXuwt2EzbhY3k20SdfXXN4WCt3m8z5kvB9uJM/nQOlaQTzIQxLXTLTcKvqr1+A1EiMgaO8ek&#10;4EoBlovHhzkW2l34k8672IgUwqFABSbGvpAy1IYshonriRN3cN5iTNA3Unu8pHDbyWmWvUqLLacG&#10;gz2tDNXH3ckqeH4pN1XcG3/7/rntp3m1LkuTKzV6Gj5mICIN8S7+d291mp+/w98z6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duHRxAAAANwAAAAPAAAAAAAAAAAA&#10;AAAAAKECAABkcnMvZG93bnJldi54bWxQSwUGAAAAAAQABAD5AAAAkgMAAAAA&#10;" strokeweight="2pt">
                  <v:stroke startarrow="diamond" endarrow="diamond"/>
                  <v:shadow on="t" color="black" opacity="24903f" origin=",.5" offset="0,.55556mm"/>
                </v:line>
                <v:line id="Straight Connector 120" o:spid="_x0000_s1044" style="position:absolute;visibility:visible;mso-wrap-style:square" from="23893,11548" to="34366,18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CC8cYAAADcAAAADwAAAGRycy9kb3ducmV2LnhtbESPQUvDQBCF74L/YRnBi9hNIojEbosI&#10;RS852PRQb0N2mg3NzsbdtY399c5B8DbDe/PeN8v17Ed1opiGwAbKRQGKuAt24N7Art3cP4FKGdni&#10;GJgM/FCC9er6aom1DWf+oNM290pCONVowOU81VqnzpHHtAgTsWiHED1mWWOvbcSzhPtRV0XxqD0O&#10;LA0OJ3p11B23397A3UPz1ua9i5fPr8u+KttN07jSmNub+eUZVKY5/5v/rt+t4F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ggvHGAAAA3AAAAA8AAAAAAAAA&#10;AAAAAAAAoQIAAGRycy9kb3ducmV2LnhtbFBLBQYAAAAABAAEAPkAAACUAwAAAAA=&#10;" strokeweight="2pt">
                  <v:stroke startarrow="diamond" endarrow="diamond"/>
                  <v:shadow on="t" color="black" opacity="24903f" origin=",.5" offset="0,.55556mm"/>
                </v:line>
                <v:line id="Straight Connector 121" o:spid="_x0000_s1045" style="position:absolute;visibility:visible;mso-wrap-style:square" from="34366,18009" to="44838,2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nasQAAADcAAAADwAAAGRycy9kb3ducmV2LnhtbERPTWvCQBC9F/oflin0UnSTFEqJriIF&#10;sZccanrQ25Ads8HsbLq7auqv7wpCb/N4nzNfjrYXZ/Khc6wgn2YgiBunO24VfNfryTuIEJE19o5J&#10;wS8FWC4eH+ZYanfhLzpvYytSCIcSFZgYh1LK0BiyGKZuIE7cwXmLMUHfSu3xksJtL4sse5MWO04N&#10;Bgf6MNQctyer4OW12tRxZ/x1/3PdFXm9riqTK/X8NK5mICKN8V98d3/qNL/I4fZ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bCdqxAAAANwAAAAPAAAAAAAAAAAA&#10;AAAAAKECAABkcnMvZG93bnJldi54bWxQSwUGAAAAAAQABAD5AAAAkgMAAAAA&#10;" strokeweight="2pt">
                  <v:stroke startarrow="diamond" endarrow="diamond"/>
                  <v:shadow on="t" color="black" opacity="24903f" origin=",.5" offset="0,.55556mm"/>
                </v:line>
                <v:line id="Straight Connector 122" o:spid="_x0000_s1046" style="position:absolute;flip:y;visibility:visible;mso-wrap-style:square" from="44838,19533" to="54308,2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93sUAAADcAAAADwAAAGRycy9kb3ducmV2LnhtbESPT2vCQBDF7wW/wzKCl1I3f0AkdRNE&#10;EIqHQhK9D9kxCWZnQ3bVtJ++Wyj0NsN7835vdsVsBvGgyfWWFcTrCARxY3XPrYJzfXzbgnAeWeNg&#10;mRR8kYMiX7zsMNP2ySU9Kt+KEMIuQwWd92MmpWs6MujWdiQO2tVOBn1Yp1bqCZ8h3AwyiaKNNNhz&#10;IHQ40qGj5lbdTYC8ltacTPr96eLNoarrS3NPY6VWy3n/DsLT7P/Nf9cfOtRPEvh9Jkwg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93sUAAADcAAAADwAAAAAAAAAA&#10;AAAAAAChAgAAZHJzL2Rvd25yZXYueG1sUEsFBgAAAAAEAAQA+QAAAJMDAAAAAA==&#10;" strokeweight="2pt">
                  <v:stroke startarrow="diamond" endarrow="diamond"/>
                  <v:shadow on="t" color="black" opacity="24903f" origin=",.5" offset="0,.55556mm"/>
                </v:line>
                <v:shape id="Text Box 123" o:spid="_x0000_s1047" type="#_x0000_t202" style="position:absolute;left:11076;top:29490;width:6922;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w7sAA&#10;AADcAAAADwAAAGRycy9kb3ducmV2LnhtbERPS2vCQBC+F/wPyxR6qxstFUldRXyAh17UeB+y02xo&#10;djZkRxP/vSsUepuP7zmL1eAbdaMu1oENTMYZKOIy2JorA8V5/z4HFQXZYhOYDNwpwmo5ellgbkPP&#10;R7qdpFIphGOOBpxIm2sdS0ce4zi0xIn7CZ1HSbCrtO2wT+G+0dMsm2mPNacGhy1tHJW/p6s3IGLX&#10;k3ux8/FwGb63vcvKTyyMeXsd1l+ghAb5F/+5DzbNn37A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Nw7sAAAADcAAAADwAAAAAAAAAAAAAAAACYAgAAZHJzL2Rvd25y&#10;ZXYueG1sUEsFBgAAAAAEAAQA9QAAAIUDAAAAAA==&#10;" filled="f" stroked="f">
                  <v:textbox style="mso-fit-shape-to-text:t">
                    <w:txbxContent>
                      <w:p w14:paraId="1C4FA595"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2012</w:t>
                        </w:r>
                      </w:p>
                    </w:txbxContent>
                  </v:textbox>
                </v:shape>
                <v:shape id="Text Box 124" o:spid="_x0000_s1048" type="#_x0000_t202" style="position:absolute;left:20767;top:29490;width:7507;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omsAA&#10;AADcAAAADwAAAGRycy9kb3ducmV2LnhtbERPS2vCQBC+F/wPyxR6qxulFUldRXyAh17UeB+y02xo&#10;djZkRxP/vSsUepuP7zmL1eAbdaMu1oENTMYZKOIy2JorA8V5/z4HFQXZYhOYDNwpwmo5ellgbkPP&#10;R7qdpFIphGOOBpxIm2sdS0ce4zi0xIn7CZ1HSbCrtO2wT+G+0dMsm2mPNacGhy1tHJW/p6s3IGLX&#10;k3ux8/FwGb63vcvKTyyMeXsd1l+ghAb5F/+5DzbNn37A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romsAAAADcAAAADwAAAAAAAAAAAAAAAACYAgAAZHJzL2Rvd25y&#10;ZXYueG1sUEsFBgAAAAAEAAQA9QAAAIUDAAAAAA==&#10;" filled="f" stroked="f">
                  <v:textbox style="mso-fit-shape-to-text:t">
                    <w:txbxContent>
                      <w:p w14:paraId="4EBF4745"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2013</w:t>
                        </w:r>
                      </w:p>
                    </w:txbxContent>
                  </v:textbox>
                </v:shape>
                <v:shape id="Text Box 125" o:spid="_x0000_s1049" type="#_x0000_t202" style="position:absolute;left:31709;top:29263;width:6923;height: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14:paraId="6924BBA4"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2014</w:t>
                        </w:r>
                      </w:p>
                    </w:txbxContent>
                  </v:textbox>
                </v:shape>
                <v:shape id="Text Box 126" o:spid="_x0000_s1050" type="#_x0000_t202" style="position:absolute;left:41841;top:29457;width:6507;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TdsAA&#10;AADcAAAADwAAAGRycy9kb3ducmV2LnhtbERPTWvCQBC9F/wPywi91Y1CpaSuIVQFD15q433ITrOh&#10;2dmQHU38926h0Ns83udsisl36kZDbAMbWC4yUMR1sC03Bqqvw8sbqCjIFrvAZOBOEYrt7GmDuQ0j&#10;f9LtLI1KIRxzNOBE+lzrWDvyGBehJ07cdxg8SoJDo+2AYwr3nV5l2Vp7bDk1OOzpw1H9c756AyK2&#10;XN6rvY/Hy3TajS6rX7Ey5nk+le+ghCb5F/+5jzbNX63h95l0gd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TTdsAAAADcAAAADwAAAAAAAAAAAAAAAACYAgAAZHJzL2Rvd25y&#10;ZXYueG1sUEsFBgAAAAAEAAQA9QAAAIUDAAAAAA==&#10;" filled="f" stroked="f">
                  <v:textbox style="mso-fit-shape-to-text:t">
                    <w:txbxContent>
                      <w:p w14:paraId="383EF5BB" w14:textId="77777777" w:rsidR="004A02D2" w:rsidRDefault="004A02D2" w:rsidP="009842B4">
                        <w:pPr>
                          <w:pStyle w:val="NormalWeb"/>
                        </w:pPr>
                        <w:r w:rsidRPr="002F4426">
                          <w:rPr>
                            <w:rFonts w:ascii="Arial" w:hAnsi="Arial" w:cs="Arial"/>
                            <w:b/>
                            <w:bCs/>
                            <w:color w:val="000000"/>
                            <w:kern w:val="24"/>
                            <w:sz w:val="22"/>
                            <w:szCs w:val="22"/>
                          </w:rPr>
                          <w:t>2015</w:t>
                        </w:r>
                      </w:p>
                    </w:txbxContent>
                  </v:textbox>
                </v:shape>
                <v:shape id="Text Box 127" o:spid="_x0000_s1051" type="#_x0000_t202" style="position:absolute;left:51500;top:29490;width:7507;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27cAA&#10;AADcAAAADwAAAGRycy9kb3ducmV2LnhtbERPS2vCQBC+F/wPyxR6qxuFVkldRXyAh17UeB+y02xo&#10;djZkRxP/vSsUepuP7zmL1eAbdaMu1oENTMYZKOIy2JorA8V5/z4HFQXZYhOYDNwpwmo5ellgbkPP&#10;R7qdpFIphGOOBpxIm2sdS0ce4zi0xIn7CZ1HSbCrtO2wT+G+0dMs+9Qea04NDlvaOCp/T1dvQMSu&#10;J/di5+PhMnxve5eVH1gY8/Y6rL9ACQ3yL/5zH2yaP53B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h27cAAAADcAAAADwAAAAAAAAAAAAAAAACYAgAAZHJzL2Rvd25y&#10;ZXYueG1sUEsFBgAAAAAEAAQA9QAAAIUDAAAAAA==&#10;" filled="f" stroked="f">
                  <v:textbox style="mso-fit-shape-to-text:t">
                    <w:txbxContent>
                      <w:p w14:paraId="798F5C0C" w14:textId="77777777" w:rsidR="004A02D2" w:rsidRPr="002F4426" w:rsidRDefault="004A02D2" w:rsidP="009842B4">
                        <w:pPr>
                          <w:pStyle w:val="NormalWeb"/>
                          <w:rPr>
                            <w:rFonts w:ascii="Arial" w:hAnsi="Arial" w:cs="Arial"/>
                            <w:sz w:val="22"/>
                            <w:szCs w:val="22"/>
                          </w:rPr>
                        </w:pPr>
                        <w:r w:rsidRPr="002F4426">
                          <w:rPr>
                            <w:rFonts w:ascii="Arial" w:hAnsi="Arial" w:cs="Arial"/>
                            <w:b/>
                            <w:bCs/>
                            <w:color w:val="000000"/>
                            <w:kern w:val="24"/>
                            <w:sz w:val="22"/>
                            <w:szCs w:val="22"/>
                          </w:rPr>
                          <w:t>2016</w:t>
                        </w:r>
                      </w:p>
                    </w:txbxContent>
                  </v:textbox>
                </v:shape>
                <v:shape id="Text Box 128" o:spid="_x0000_s1052" type="#_x0000_t202" style="position:absolute;left:-1384;top:3205;width:11075;height:5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n8MA&#10;AADcAAAADwAAAGRycy9kb3ducmV2LnhtbESPQWvDMAyF74P9B6NBb6vTQsdI65bSbdDDLuvSu4jV&#10;ODSWQ6w16b+fDoPdJN7Te582uyl25kZDbhM7WMwLMMR18i03Dqrvj+dXMFmQPXaJycGdMuy2jw8b&#10;LH0a+YtuJ2mMhnAu0UEQ6Utrcx0oYp6nnli1Sxoiiq5DY/2Ao4bHzi6L4sVGbFkbAvZ0CFRfTz/R&#10;gYjfL+7Ve8zH8/T5NoaiXmHl3Oxp2q/BCE3yb/67PnrFXyqt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in8MAAADcAAAADwAAAAAAAAAAAAAAAACYAgAAZHJzL2Rv&#10;d25yZXYueG1sUEsFBgAAAAAEAAQA9QAAAIgDAAAAAA==&#10;" filled="f" stroked="f">
                  <v:textbox style="mso-fit-shape-to-text:t">
                    <w:txbxContent>
                      <w:p w14:paraId="0C8B11FB"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10,000,000</w:t>
                        </w:r>
                      </w:p>
                    </w:txbxContent>
                  </v:textbox>
                </v:shape>
                <v:shape id="Text Box 129" o:spid="_x0000_s1053" type="#_x0000_t202" style="position:absolute;left:-522;top:7472;width:10667;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14:paraId="26640114"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8,000,000</w:t>
                        </w:r>
                      </w:p>
                    </w:txbxContent>
                  </v:textbox>
                </v:shape>
                <v:shape id="Text Box 130" o:spid="_x0000_s1054" type="#_x0000_t202" style="position:absolute;left:-522;top:12246;width:10667;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14:paraId="0105AA19"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6,000,000</w:t>
                        </w:r>
                      </w:p>
                    </w:txbxContent>
                  </v:textbox>
                </v:shape>
                <v:shape id="Text Box 131" o:spid="_x0000_s1055" type="#_x0000_t202" style="position:absolute;left:-653;top:17137;width:1066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14:paraId="33B6FB38"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4,000,000</w:t>
                        </w:r>
                      </w:p>
                    </w:txbxContent>
                  </v:textbox>
                </v:shape>
                <v:shape id="Text Box 132" o:spid="_x0000_s1056" type="#_x0000_t202" style="position:absolute;left:-653;top:21865;width:10657;height:4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14:paraId="0BFA23CA" w14:textId="77777777"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2,000,000</w:t>
                        </w:r>
                      </w:p>
                    </w:txbxContent>
                  </v:textbox>
                </v:shape>
                <v:shape id="Text Box 133" o:spid="_x0000_s1057" type="#_x0000_t202" style="position:absolute;left:60274;top:2993;width:5653;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mM8AA&#10;AADcAAAADwAAAGRycy9kb3ducmV2LnhtbERPTWvCQBC9F/wPyxS81Y1K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rmM8AAAADcAAAADwAAAAAAAAAAAAAAAACYAgAAZHJzL2Rvd25y&#10;ZXYueG1sUEsFBgAAAAAEAAQA9QAAAIUDAAAAAA==&#10;" filled="f" stroked="f">
                  <v:textbox style="mso-fit-shape-to-text:t">
                    <w:txbxContent>
                      <w:p w14:paraId="0C298D56" w14:textId="3CB4422D"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40</w:t>
                        </w:r>
                      </w:p>
                    </w:txbxContent>
                  </v:textbox>
                </v:shape>
                <v:shape id="Text Box 134" o:spid="_x0000_s1058" type="#_x0000_t202" style="position:absolute;left:60274;top:7523;width:5653;height:5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R8AA&#10;AADcAAAADwAAAGRycy9kb3ducmV2LnhtbERPTWvCQBC9F/wPywi91Y3aSkldRdSCBy/VeB+y02xo&#10;djZkRxP/fbdQ8DaP9znL9eAbdaMu1oENTCcZKOIy2JorA8X58+UdVBRki01gMnCnCOvV6GmJuQ09&#10;f9HtJJVKIRxzNOBE2lzrWDryGCehJU7cd+g8SoJdpW2HfQr3jZ5l2UJ7rDk1OGxp66j8OV29ARG7&#10;md6LvY+Hy3Dc9S4r37Aw5nk8bD5ACQ3yEP+7DzbNn7/C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4N+R8AAAADcAAAADwAAAAAAAAAAAAAAAACYAgAAZHJzL2Rvd25y&#10;ZXYueG1sUEsFBgAAAAAEAAQA9QAAAIUDAAAAAA==&#10;" filled="f" stroked="f">
                  <v:textbox style="mso-fit-shape-to-text:t">
                    <w:txbxContent>
                      <w:p w14:paraId="2E3C82D3" w14:textId="6A5B7EDA"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30</w:t>
                        </w:r>
                      </w:p>
                    </w:txbxContent>
                  </v:textbox>
                </v:shape>
                <v:shape id="Text Box 135" o:spid="_x0000_s1059" type="#_x0000_t202" style="position:absolute;left:60274;top:12388;width:5653;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3MAA&#10;AADcAAAADwAAAGRycy9kb3ducmV2LnhtbERPTWvCQBC9F/wPyxR6qxsV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3MAAAADcAAAADwAAAAAAAAAAAAAAAACYAgAAZHJzL2Rvd25y&#10;ZXYueG1sUEsFBgAAAAAEAAQA9QAAAIUDAAAAAA==&#10;" filled="f" stroked="f">
                  <v:textbox style="mso-fit-shape-to-text:t">
                    <w:txbxContent>
                      <w:p w14:paraId="0A6E2AA4" w14:textId="531E6E79"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20</w:t>
                        </w:r>
                      </w:p>
                    </w:txbxContent>
                  </v:textbox>
                </v:shape>
                <v:shape id="Text Box 136" o:spid="_x0000_s1060" type="#_x0000_t202" style="position:absolute;left:60274;top:17223;width:5653;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14:paraId="5B543361" w14:textId="51810CC5"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10</w:t>
                        </w:r>
                      </w:p>
                    </w:txbxContent>
                  </v:textbox>
                </v:shape>
                <v:shape id="Text Box 137" o:spid="_x0000_s1061" type="#_x0000_t202" style="position:absolute;left:60274;top:21865;width:5653;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14:paraId="70721332" w14:textId="5ED3C239" w:rsidR="004A02D2" w:rsidRPr="002F4426" w:rsidRDefault="004A02D2" w:rsidP="009842B4">
                        <w:pPr>
                          <w:pStyle w:val="NormalWeb"/>
                          <w:rPr>
                            <w:rFonts w:ascii="Arial" w:hAnsi="Arial" w:cs="Arial"/>
                            <w:sz w:val="22"/>
                            <w:szCs w:val="22"/>
                          </w:rPr>
                        </w:pPr>
                        <w:r w:rsidRPr="002F4426">
                          <w:rPr>
                            <w:rFonts w:ascii="Arial" w:hAnsi="Arial" w:cs="Arial"/>
                            <w:color w:val="000000"/>
                            <w:kern w:val="24"/>
                            <w:sz w:val="22"/>
                            <w:szCs w:val="22"/>
                          </w:rPr>
                          <w:t>0</w:t>
                        </w:r>
                      </w:p>
                    </w:txbxContent>
                  </v:textbox>
                </v:shape>
                <v:shape id="Text Box 138" o:spid="_x0000_s1062" type="#_x0000_t202" style="position:absolute;left:2507;top:26660;width:5653;height:5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14:paraId="2643CDA9" w14:textId="77777777" w:rsidR="004A02D2" w:rsidRDefault="004A02D2" w:rsidP="009842B4">
                        <w:pPr>
                          <w:pStyle w:val="NormalWeb"/>
                          <w:jc w:val="right"/>
                        </w:pPr>
                        <w:r w:rsidRPr="000976C8">
                          <w:rPr>
                            <w:color w:val="000000"/>
                            <w:kern w:val="24"/>
                          </w:rPr>
                          <w:t>0</w:t>
                        </w:r>
                      </w:p>
                    </w:txbxContent>
                  </v:textbox>
                </v:shape>
                <v:shape id="Text Box 139" o:spid="_x0000_s1063" type="#_x0000_t202" style="position:absolute;left:59523;top:26716;width:5636;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R2cAA&#10;AADcAAAADwAAAGRycy9kb3ducmV2LnhtbERPTWvCQBC9F/wPywi91Y1Ki01dRdSCBy/VeB+y02xo&#10;djZkRxP/fbdQ8DaP9znL9eAbdaMu1oENTCcZKOIy2JorA8X582UBKgqyxSYwGbhThPVq9LTE3Iae&#10;v+h2kkqlEI45GnAiba51LB15jJPQEifuO3QeJcGu0rbDPoX7Rs+y7E17rDk1OGxp66j8OV29ARG7&#10;md6LvY+Hy3Dc9S4rX7Ew5nk8bD5ACQ3yEP+7DzbNn7/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LR2cAAAADcAAAADwAAAAAAAAAAAAAAAACYAgAAZHJzL2Rvd25y&#10;ZXYueG1sUEsFBgAAAAAEAAQA9QAAAIUDAAAAAA==&#10;" filled="f" stroked="f">
                  <v:textbox style="mso-fit-shape-to-text:t">
                    <w:txbxContent>
                      <w:p w14:paraId="2F343D99" w14:textId="7CCEEAAE" w:rsidR="004A02D2" w:rsidRPr="002F4426" w:rsidRDefault="004A02D2" w:rsidP="009842B4">
                        <w:pPr>
                          <w:pStyle w:val="NormalWeb"/>
                          <w:jc w:val="right"/>
                          <w:rPr>
                            <w:rFonts w:ascii="Arial" w:hAnsi="Arial" w:cs="Arial"/>
                            <w:sz w:val="22"/>
                            <w:szCs w:val="22"/>
                          </w:rPr>
                        </w:pPr>
                        <w:r w:rsidRPr="002F4426">
                          <w:rPr>
                            <w:rFonts w:ascii="Arial" w:hAnsi="Arial" w:cs="Arial"/>
                            <w:color w:val="000000"/>
                            <w:kern w:val="24"/>
                            <w:sz w:val="22"/>
                            <w:szCs w:val="22"/>
                          </w:rPr>
                          <w:t>−10</w:t>
                        </w:r>
                      </w:p>
                    </w:txbxContent>
                  </v:textbox>
                </v:shape>
                <v:line id="Straight Connector 140" o:spid="_x0000_s1064" style="position:absolute;visibility:visible;mso-wrap-style:square" from="8160,4530" to="9110,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IW8YAAADcAAAADwAAAGRycy9kb3ducmV2LnhtbESPQUsDMRCF70L/Q5iCN5utitZt01IE&#10;qSCC3XrwOCTTzepmsm7S7frvnYPgbYb35r1vVpsxtGqgPjWRDcxnBShiG13DtYH3w9PVAlTKyA7b&#10;yGTghxJs1pOLFZYunnlPQ5VrJSGcSjTgc+5KrZP1FDDNYkcs2jH2AbOsfa1dj2cJD62+Loo7HbBh&#10;afDY0aMn+1WdggHdVoX9fPle3H/4nbs5DK/2bf9gzOV03C5BZRrzv/nv+tkJ/q3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ESFvGAAAA3AAAAA8AAAAAAAAA&#10;AAAAAAAAoQIAAGRycy9kb3ducmV2LnhtbFBLBQYAAAAABAAEAPkAAACUAwAAAAA=&#10;" strokeweight="2pt">
                  <v:shadow on="t" color="black" opacity="24903f" origin=",.5" offset="0,.55556mm"/>
                </v:line>
                <v:line id="Straight Connector 141" o:spid="_x0000_s1065" style="position:absolute;visibility:visible;mso-wrap-style:square" from="8013,9062" to="8963,9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jtwMQAAADcAAAADwAAAGRycy9kb3ducmV2LnhtbERPTWsCMRC9F/wPYYTealYtVVejSEFa&#10;KIW6evA4JONmdTPZbtJ1+++bQqG3ebzPWW16V4uO2lB5VjAeZSCItTcVlwqOh93DHESIyAZrz6Tg&#10;mwJs1oO7FebG33hPXRFLkUI45KjAxtjkUgZtyWEY+YY4cWffOowJtqU0Ld5SuKvlJMuepMOKU4PF&#10;hp4t6Wvx5RTIusj05e1zPjvZFzM9dO/6Y79Q6n7Yb5cgIvXxX/znfjVp/uMY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O3AxAAAANwAAAAPAAAAAAAAAAAA&#10;AAAAAKECAABkcnMvZG93bnJldi54bWxQSwUGAAAAAAQABAD5AAAAkgMAAAAA&#10;" strokeweight="2pt">
                  <v:shadow on="t" color="black" opacity="24903f" origin=",.5" offset="0,.55556mm"/>
                </v:line>
                <v:line id="Straight Connector 142" o:spid="_x0000_s1066" style="position:absolute;visibility:visible;mso-wrap-style:square" from="8089,13816" to="9039,1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zt8QAAADcAAAADwAAAGRycy9kb3ducmV2LnhtbERPTWsCMRC9F/wPYYTealYtVVejSEFa&#10;KIW6evA4JONmdTPZbtJ1+++bQqG3ebzPWW16V4uO2lB5VjAeZSCItTcVlwqOh93DHESIyAZrz6Tg&#10;mwJs1oO7FebG33hPXRFLkUI45KjAxtjkUgZtyWEY+YY4cWffOowJtqU0Ld5SuKvlJMuepMOKU4PF&#10;hp4t6Wvx5RTIusj05e1zPjvZFzM9dO/6Y79Q6n7Yb5cgIvXxX/znfjVp/uME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nO3xAAAANwAAAAPAAAAAAAAAAAA&#10;AAAAAKECAABkcnMvZG93bnJldi54bWxQSwUGAAAAAAQABAD5AAAAkgMAAAAA&#10;" strokeweight="2pt">
                  <v:shadow on="t" color="black" opacity="24903f" origin=",.5" offset="0,.55556mm"/>
                </v:line>
                <v:line id="Straight Connector 143" o:spid="_x0000_s1067" style="position:absolute;visibility:visible;mso-wrap-style:square" from="8053,18682" to="9003,1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bWLMQAAADcAAAADwAAAGRycy9kb3ducmV2LnhtbERPTWsCMRC9F/wPYYTeatZaqq5GEUFa&#10;KIW6evA4JONmdTPZbtJ1+++bQqG3ebzPWa57V4uO2lB5VjAeZSCItTcVlwqOh93DDESIyAZrz6Tg&#10;mwKsV4O7JebG33hPXRFLkUI45KjAxtjkUgZtyWEY+YY4cWffOowJtqU0Ld5SuKvlY5Y9S4cVpwaL&#10;DW0t6Wvx5RTIusj05e1zNj3ZFzM5dO/6Yz9X6n7YbxYgIvXxX/znfjVp/tMEfp9JF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1tYsxAAAANwAAAAPAAAAAAAAAAAA&#10;AAAAAKECAABkcnMvZG93bnJldi54bWxQSwUGAAAAAAQABAD5AAAAkgMAAAAA&#10;" strokeweight="2pt">
                  <v:shadow on="t" color="black" opacity="24903f" origin=",.5" offset="0,.55556mm"/>
                </v:line>
                <v:line id="Straight Connector 144" o:spid="_x0000_s1068" style="position:absolute;visibility:visible;mso-wrap-style:square" from="8017,23437" to="8967,23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9OWMQAAADcAAAADwAAAGRycy9kb3ducmV2LnhtbERPTWsCMRC9F/wPYYTeatZWqq5GEUFa&#10;KIW6evA4JONmdTPZbtJ1+++bQqG3ebzPWa57V4uO2lB5VjAeZSCItTcVlwqOh93DDESIyAZrz6Tg&#10;mwKsV4O7JebG33hPXRFLkUI45KjAxtjkUgZtyWEY+YY4cWffOowJtqU0Ld5SuKvlY5Y9S4cVpwaL&#10;DW0t6Wvx5RTIusj05e1zNj3ZF/N06N71x36u1P2w3yxAROrjv/jP/WrS/MkEfp9JF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05YxAAAANwAAAAPAAAAAAAAAAAA&#10;AAAAAKECAABkcnMvZG93bnJldi54bWxQSwUGAAAAAAQABAD5AAAAkgMAAAAA&#10;" strokeweight="2pt">
                  <v:shadow on="t" color="black" opacity="24903f" origin=",.5" offset="0,.55556mm"/>
                </v:line>
                <v:line id="Straight Connector 145" o:spid="_x0000_s1069" style="position:absolute;visibility:visible;mso-wrap-style:square" from="59707,4494" to="60657,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Prw8QAAADcAAAADwAAAGRycy9kb3ducmV2LnhtbERPS0sDMRC+C/6HMIXebLZW+1ibFhGK&#10;BSm0Ww8eh2S6Wd1M1k263f57Iwje5uN7znLdu1p01IbKs4LxKANBrL2puFTwftzczUGEiGyw9kwK&#10;rhRgvbq9WWJu/IUP1BWxFCmEQ44KbIxNLmXQlhyGkW+IE3fyrcOYYFtK0+Ilhbta3mfZVDqsODVY&#10;bOjFkv4qzk6BrItMf759z2cf9tVMjt1O7w8LpYaD/vkJRKQ+/ov/3FuT5j88wu8z6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c+vDxAAAANwAAAAPAAAAAAAAAAAA&#10;AAAAAKECAABkcnMvZG93bnJldi54bWxQSwUGAAAAAAQABAD5AAAAkgMAAAAA&#10;" strokeweight="2pt">
                  <v:shadow on="t" color="black" opacity="24903f" origin=",.5" offset="0,.55556mm"/>
                </v:line>
                <v:line id="Straight Connector 146" o:spid="_x0000_s1070" style="position:absolute;visibility:visible;mso-wrap-style:square" from="59560,9026" to="60510,9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F1tMQAAADcAAAADwAAAGRycy9kb3ducmV2LnhtbERPS2sCMRC+F/wPYYTeata2+FiNIoK0&#10;UAp19eBxSMbN6may3aTr9t83hUJv8/E9Z7nuXS06akPlWcF4lIEg1t5UXCo4HnYPMxAhIhusPZOC&#10;bwqwXg3ulpgbf+M9dUUsRQrhkKMCG2OTSxm0JYdh5BvixJ196zAm2JbStHhL4a6Wj1k2kQ4rTg0W&#10;G9pa0tfiyymQdZHpy9vnbHqyL+bp0L3rj/1cqfthv1mAiNTHf/Gf+9Wk+c8T+H0mXS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XW0xAAAANwAAAAPAAAAAAAAAAAA&#10;AAAAAKECAABkcnMvZG93bnJldi54bWxQSwUGAAAAAAQABAD5AAAAkgMAAAAA&#10;" strokeweight="2pt">
                  <v:shadow on="t" color="black" opacity="24903f" origin=",.5" offset="0,.55556mm"/>
                </v:line>
                <v:line id="Straight Connector 147" o:spid="_x0000_s1071" style="position:absolute;visibility:visible;mso-wrap-style:square" from="59636,13781" to="60586,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3QL8QAAADcAAAADwAAAGRycy9kb3ducmV2LnhtbERPTWsCMRC9F/wPYYTeata2VF2NIoK0&#10;UAp19eBxSMbN6may3aTr9t83hYK3ebzPWax6V4uO2lB5VjAeZSCItTcVlwoO++3DFESIyAZrz6Tg&#10;hwKsloO7BebGX3lHXRFLkUI45KjAxtjkUgZtyWEY+YY4cSffOowJtqU0LV5TuKvlY5a9SIcVpwaL&#10;DW0s6Uvx7RTIusj0+f1rOjnaV/O07z70526m1P2wX89BROrjTfzvfjNp/vM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7dAvxAAAANwAAAAPAAAAAAAAAAAA&#10;AAAAAKECAABkcnMvZG93bnJldi54bWxQSwUGAAAAAAQABAD5AAAAkgMAAAAA&#10;" strokeweight="2pt">
                  <v:shadow on="t" color="black" opacity="24903f" origin=",.5" offset="0,.55556mm"/>
                </v:line>
                <v:line id="Straight Connector 148" o:spid="_x0000_s1072" style="position:absolute;visibility:visible;mso-wrap-style:square" from="59600,18647" to="60550,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EXcYAAADcAAAADwAAAGRycy9kb3ducmV2LnhtbESPQUsDMRCF70L/Q5iCN5utitZt01IE&#10;qSCC3XrwOCTTzepmsm7S7frvnYPgbYb35r1vVpsxtGqgPjWRDcxnBShiG13DtYH3w9PVAlTKyA7b&#10;yGTghxJs1pOLFZYunnlPQ5VrJSGcSjTgc+5KrZP1FDDNYkcs2jH2AbOsfa1dj2cJD62+Loo7HbBh&#10;afDY0aMn+1WdggHdVoX9fPle3H/4nbs5DK/2bf9gzOV03C5BZRrzv/nv+tkJ/q3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yRF3GAAAA3AAAAA8AAAAAAAAA&#10;AAAAAAAAoQIAAGRycy9kb3ducmV2LnhtbFBLBQYAAAAABAAEAPkAAACUAwAAAAA=&#10;" strokeweight="2pt">
                  <v:shadow on="t" color="black" opacity="24903f" origin=",.5" offset="0,.55556mm"/>
                </v:line>
                <v:line id="Straight Connector 149" o:spid="_x0000_s1073" style="position:absolute;visibility:visible;mso-wrap-style:square" from="59564,23401" to="60514,23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7hxsQAAADcAAAADwAAAGRycy9kb3ducmV2LnhtbERPTWsCMRC9F/wPYYTealYtVVejSEFa&#10;KIW6evA4JONmdTPZbtJ1+++bQqG3ebzPWW16V4uO2lB5VjAeZSCItTcVlwqOh93DHESIyAZrz6Tg&#10;mwJs1oO7FebG33hPXRFLkUI45KjAxtjkUgZtyWEY+YY4cWffOowJtqU0Ld5SuKvlJMuepMOKU4PF&#10;hp4t6Wvx5RTIusj05e1zPjvZFzM9dO/6Y79Q6n7Yb5cgIvXxX/znfjVp/uMC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PuHGxAAAANwAAAAPAAAAAAAAAAAA&#10;AAAAAKECAABkcnMvZG93bnJldi54bWxQSwUGAAAAAAQABAD5AAAAkgMAAAAA&#10;" strokeweight="2pt">
                  <v:shadow on="t" color="black" opacity="24903f" origin=",.5" offset="0,.55556mm"/>
                </v:line>
                <w10:anchorlock/>
              </v:group>
            </w:pict>
          </mc:Fallback>
        </mc:AlternateContent>
      </w:r>
    </w:p>
    <w:p w14:paraId="0F343DA5" w14:textId="77777777" w:rsidR="000976C8" w:rsidRPr="00054790" w:rsidRDefault="000976C8" w:rsidP="009842B4">
      <w:pPr>
        <w:pStyle w:val="ExhibitText"/>
        <w:rPr>
          <w:rFonts w:eastAsia="MS Mincho"/>
          <w:lang w:val="en-GB" w:eastAsia="zh-CN"/>
        </w:rPr>
      </w:pPr>
      <w:r w:rsidRPr="00054790">
        <w:rPr>
          <w:rFonts w:eastAsia="MS Mincho"/>
          <w:noProof/>
        </w:rPr>
        <mc:AlternateContent>
          <mc:Choice Requires="wps">
            <w:drawing>
              <wp:anchor distT="0" distB="0" distL="114300" distR="114300" simplePos="0" relativeHeight="251658752" behindDoc="0" locked="0" layoutInCell="1" allowOverlap="1" wp14:anchorId="01C2BC72" wp14:editId="26C41138">
                <wp:simplePos x="0" y="0"/>
                <wp:positionH relativeFrom="column">
                  <wp:posOffset>685800</wp:posOffset>
                </wp:positionH>
                <wp:positionV relativeFrom="paragraph">
                  <wp:posOffset>2659380</wp:posOffset>
                </wp:positionV>
                <wp:extent cx="114300" cy="45719"/>
                <wp:effectExtent l="0" t="25400" r="12700" b="5715"/>
                <wp:wrapSquare wrapText="bothSides"/>
                <wp:docPr id="150" name="Text Box 150"/>
                <wp:cNvGraphicFramePr/>
                <a:graphic xmlns:a="http://schemas.openxmlformats.org/drawingml/2006/main">
                  <a:graphicData uri="http://schemas.microsoft.com/office/word/2010/wordprocessingShape">
                    <wps:wsp>
                      <wps:cNvSpPr txBox="1"/>
                      <wps:spPr>
                        <a:xfrm>
                          <a:off x="0" y="0"/>
                          <a:ext cx="114300" cy="4571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B400A91" w14:textId="77777777" w:rsidR="004A02D2" w:rsidRDefault="004A02D2" w:rsidP="000976C8">
                            <w:pPr>
                              <w:pStyle w:val="NormalWeb"/>
                            </w:pPr>
                            <w:r w:rsidRPr="000976C8">
                              <w:rPr>
                                <w:b/>
                                <w:bCs/>
                                <w:color w:val="000000"/>
                                <w:kern w:val="24"/>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2BC72" id="Text Box 150" o:spid="_x0000_s1074" type="#_x0000_t202" style="position:absolute;left:0;text-align:left;margin-left:54pt;margin-top:209.4pt;width:9pt;height:3.6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" filled="f" stroked="f">
                <v:textbox>
                  <w:txbxContent>
                    <w:p w14:paraId="6B400A91" w14:textId="77777777" w:rsidR="004A02D2" w:rsidRDefault="004A02D2" w:rsidP="000976C8">
                      <w:pPr>
                        <w:pStyle w:val="NormalWeb"/>
                      </w:pPr>
                      <w:r w:rsidRPr="000976C8">
                        <w:rPr>
                          <w:b/>
                          <w:bCs/>
                          <w:color w:val="000000"/>
                          <w:kern w:val="24"/>
                        </w:rPr>
                        <w:t>Year</w:t>
                      </w:r>
                    </w:p>
                  </w:txbxContent>
                </v:textbox>
                <w10:wrap type="square"/>
              </v:shape>
            </w:pict>
          </mc:Fallback>
        </mc:AlternateContent>
      </w:r>
    </w:p>
    <w:p w14:paraId="02CEFDCC" w14:textId="47DEC90E" w:rsidR="00FA3B09" w:rsidRDefault="00FA3B09" w:rsidP="009842B4">
      <w:pPr>
        <w:pStyle w:val="Footnote"/>
        <w:rPr>
          <w:rFonts w:eastAsia="SimSun"/>
          <w:lang w:val="en-GB"/>
        </w:rPr>
      </w:pPr>
      <w:r>
        <w:rPr>
          <w:rFonts w:eastAsia="SimSun"/>
          <w:lang w:val="en-GB"/>
        </w:rPr>
        <w:t>Note</w:t>
      </w:r>
      <w:r w:rsidR="001B4500">
        <w:rPr>
          <w:rFonts w:eastAsia="SimSun"/>
          <w:lang w:val="en-GB"/>
        </w:rPr>
        <w:t>:</w:t>
      </w:r>
      <w:r>
        <w:rPr>
          <w:rFonts w:eastAsia="SimSun"/>
          <w:lang w:val="en-GB"/>
        </w:rPr>
        <w:t xml:space="preserve"> </w:t>
      </w:r>
      <w:r>
        <w:rPr>
          <w:lang w:val="en-CA"/>
        </w:rPr>
        <w:t>¥ = RMB = Chinese yuan renminbi; ¥1 = US$0.17 on January 31, 2016.</w:t>
      </w:r>
    </w:p>
    <w:p w14:paraId="622D8AA7" w14:textId="04846459" w:rsidR="000976C8" w:rsidRPr="00054790" w:rsidRDefault="000976C8" w:rsidP="009842B4">
      <w:pPr>
        <w:pStyle w:val="Footnote"/>
        <w:rPr>
          <w:rFonts w:eastAsia="SimSun"/>
          <w:lang w:val="en-GB"/>
        </w:rPr>
      </w:pPr>
      <w:r w:rsidRPr="00054790">
        <w:rPr>
          <w:rFonts w:eastAsia="SimSun"/>
          <w:lang w:val="en-GB"/>
        </w:rPr>
        <w:t xml:space="preserve">Source: Adapted by the authors from </w:t>
      </w:r>
      <w:proofErr w:type="spellStart"/>
      <w:r w:rsidRPr="00054790">
        <w:rPr>
          <w:rFonts w:eastAsia="SimSun"/>
          <w:lang w:val="en-GB"/>
        </w:rPr>
        <w:t>Baichun</w:t>
      </w:r>
      <w:proofErr w:type="spellEnd"/>
      <w:r w:rsidRPr="00054790">
        <w:rPr>
          <w:rFonts w:eastAsia="SimSun"/>
          <w:lang w:val="en-GB"/>
        </w:rPr>
        <w:t xml:space="preserve"> Lai, “2016 Analysis of China’s Architectural Decoration Industry Listed Companies [in Chinese],” </w:t>
      </w:r>
      <w:proofErr w:type="spellStart"/>
      <w:r w:rsidRPr="00054790">
        <w:rPr>
          <w:rFonts w:eastAsia="SimSun"/>
          <w:lang w:val="en-GB"/>
        </w:rPr>
        <w:t>Shenzen</w:t>
      </w:r>
      <w:proofErr w:type="spellEnd"/>
      <w:r w:rsidRPr="00054790">
        <w:rPr>
          <w:rFonts w:eastAsia="SimSun"/>
          <w:lang w:val="en-GB"/>
        </w:rPr>
        <w:t xml:space="preserve"> </w:t>
      </w:r>
      <w:proofErr w:type="spellStart"/>
      <w:r w:rsidRPr="00054790">
        <w:rPr>
          <w:rFonts w:eastAsia="SimSun"/>
          <w:lang w:val="en-GB"/>
        </w:rPr>
        <w:t>Guangtian</w:t>
      </w:r>
      <w:proofErr w:type="spellEnd"/>
      <w:r w:rsidRPr="00054790">
        <w:rPr>
          <w:rFonts w:eastAsia="SimSun"/>
          <w:lang w:val="en-GB"/>
        </w:rPr>
        <w:t xml:space="preserve"> Science and Technology Development Research Institute, June 21, 2017, accessed April 15, 2018, www.sohu.com/a/150901237_659865. </w:t>
      </w:r>
    </w:p>
    <w:p w14:paraId="082D0CDA" w14:textId="77777777" w:rsidR="000976C8" w:rsidRPr="00054790" w:rsidRDefault="000976C8" w:rsidP="009842B4">
      <w:pPr>
        <w:pStyle w:val="ExhibitText"/>
        <w:rPr>
          <w:rFonts w:eastAsia="MS Mincho"/>
          <w:lang w:val="en-GB"/>
        </w:rPr>
      </w:pPr>
    </w:p>
    <w:p w14:paraId="2C116929" w14:textId="06D26C96" w:rsidR="00F0110F" w:rsidRPr="00054790" w:rsidRDefault="000976C8" w:rsidP="009E2811">
      <w:pPr>
        <w:spacing w:after="200" w:line="276" w:lineRule="auto"/>
        <w:rPr>
          <w:rFonts w:ascii="Arial" w:eastAsia="MS Mincho" w:hAnsi="Arial" w:cs="Arial"/>
          <w:lang w:val="en-GB"/>
        </w:rPr>
        <w:sectPr w:rsidR="00F0110F" w:rsidRPr="00054790" w:rsidSect="00751E0B">
          <w:headerReference w:type="default" r:id="rId15"/>
          <w:pgSz w:w="12240" w:h="15840" w:code="1"/>
          <w:pgMar w:top="1080" w:right="1440" w:bottom="1440" w:left="1440" w:header="1080" w:footer="720" w:gutter="0"/>
          <w:cols w:space="720"/>
          <w:titlePg/>
          <w:docGrid w:linePitch="360"/>
        </w:sectPr>
      </w:pPr>
      <w:r w:rsidRPr="00054790">
        <w:rPr>
          <w:rFonts w:eastAsia="MS Mincho"/>
          <w:b/>
          <w:sz w:val="24"/>
          <w:szCs w:val="24"/>
          <w:lang w:val="en-GB"/>
        </w:rPr>
        <w:br w:type="page"/>
      </w:r>
    </w:p>
    <w:p w14:paraId="32FC07C9" w14:textId="697A680C" w:rsidR="000976C8" w:rsidRPr="00054790" w:rsidRDefault="000976C8" w:rsidP="00F0110F">
      <w:pPr>
        <w:pStyle w:val="ExhibitHeading"/>
        <w:rPr>
          <w:rFonts w:eastAsia="MS Mincho"/>
          <w:lang w:val="en-GB"/>
        </w:rPr>
      </w:pPr>
      <w:r w:rsidRPr="00054790">
        <w:rPr>
          <w:rFonts w:eastAsia="MS Mincho"/>
          <w:lang w:val="en-GB"/>
        </w:rPr>
        <w:lastRenderedPageBreak/>
        <w:t xml:space="preserve">Exhibit </w:t>
      </w:r>
      <w:r w:rsidR="00D35E49" w:rsidRPr="00054790">
        <w:rPr>
          <w:rFonts w:eastAsia="MS Mincho"/>
          <w:lang w:val="en-GB"/>
        </w:rPr>
        <w:t>2</w:t>
      </w:r>
      <w:r w:rsidRPr="00054790">
        <w:rPr>
          <w:rFonts w:eastAsia="MS Mincho"/>
          <w:lang w:val="en-GB"/>
        </w:rPr>
        <w:t xml:space="preserve">: </w:t>
      </w:r>
      <w:r w:rsidR="00E36CDE" w:rsidRPr="00054790">
        <w:rPr>
          <w:rFonts w:eastAsia="MS Mincho"/>
          <w:lang w:val="en-GB"/>
        </w:rPr>
        <w:t>Bauing Indonesia</w:t>
      </w:r>
      <w:r w:rsidR="00E36CDE">
        <w:rPr>
          <w:rFonts w:eastAsia="MS Mincho"/>
          <w:lang w:val="en-GB"/>
        </w:rPr>
        <w:t>’S</w:t>
      </w:r>
      <w:r w:rsidR="00E36CDE" w:rsidRPr="00054790">
        <w:rPr>
          <w:rFonts w:eastAsia="MS Mincho"/>
          <w:lang w:val="en-GB"/>
        </w:rPr>
        <w:t xml:space="preserve"> </w:t>
      </w:r>
      <w:r w:rsidRPr="00054790">
        <w:rPr>
          <w:rFonts w:eastAsia="MS Mincho"/>
          <w:lang w:val="en-GB"/>
        </w:rPr>
        <w:t>Operational Performance</w:t>
      </w:r>
      <w:r w:rsidR="00E36CDE">
        <w:rPr>
          <w:rFonts w:eastAsia="MS Mincho"/>
          <w:lang w:val="en-GB"/>
        </w:rPr>
        <w:t>,</w:t>
      </w:r>
      <w:r w:rsidR="00D8136E">
        <w:rPr>
          <w:rFonts w:eastAsia="MS Mincho"/>
          <w:lang w:val="en-GB"/>
        </w:rPr>
        <w:t xml:space="preserve"> 2015–2017</w:t>
      </w:r>
    </w:p>
    <w:p w14:paraId="09C38536" w14:textId="77777777" w:rsidR="00F0110F" w:rsidRPr="00054790" w:rsidRDefault="00F0110F" w:rsidP="00F0110F">
      <w:pPr>
        <w:pStyle w:val="ExhibitText"/>
        <w:rPr>
          <w:rFonts w:eastAsia="MS Mincho"/>
          <w:lang w:val="en-GB"/>
        </w:rPr>
      </w:pPr>
    </w:p>
    <w:tbl>
      <w:tblPr>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1530"/>
        <w:gridCol w:w="1710"/>
        <w:gridCol w:w="1620"/>
        <w:gridCol w:w="1530"/>
        <w:gridCol w:w="1800"/>
        <w:gridCol w:w="1530"/>
      </w:tblGrid>
      <w:tr w:rsidR="000976C8" w:rsidRPr="00054790" w14:paraId="3E92CA6C" w14:textId="77777777" w:rsidTr="00D8136E">
        <w:trPr>
          <w:trHeight w:val="540"/>
          <w:jc w:val="center"/>
        </w:trPr>
        <w:tc>
          <w:tcPr>
            <w:tcW w:w="1640" w:type="dxa"/>
            <w:shd w:val="clear" w:color="auto" w:fill="auto"/>
            <w:vAlign w:val="center"/>
            <w:hideMark/>
          </w:tcPr>
          <w:p w14:paraId="2CDA1E44" w14:textId="77777777" w:rsidR="000976C8" w:rsidRPr="00054790" w:rsidRDefault="000976C8" w:rsidP="00F0110F">
            <w:pPr>
              <w:pStyle w:val="ExhibitText"/>
              <w:jc w:val="center"/>
              <w:rPr>
                <w:b/>
                <w:lang w:val="en-GB"/>
              </w:rPr>
            </w:pPr>
            <w:r w:rsidRPr="00054790">
              <w:rPr>
                <w:b/>
                <w:lang w:val="en-GB"/>
              </w:rPr>
              <w:t>Year</w:t>
            </w:r>
          </w:p>
        </w:tc>
        <w:tc>
          <w:tcPr>
            <w:tcW w:w="1530" w:type="dxa"/>
            <w:shd w:val="clear" w:color="auto" w:fill="auto"/>
            <w:vAlign w:val="center"/>
            <w:hideMark/>
          </w:tcPr>
          <w:p w14:paraId="46C7F2A4" w14:textId="17F6782B" w:rsidR="000976C8" w:rsidRPr="00054790" w:rsidRDefault="000976C8" w:rsidP="00F0110F">
            <w:pPr>
              <w:pStyle w:val="ExhibitText"/>
              <w:jc w:val="center"/>
              <w:rPr>
                <w:b/>
                <w:lang w:val="en-GB"/>
              </w:rPr>
            </w:pPr>
            <w:r w:rsidRPr="00054790">
              <w:rPr>
                <w:b/>
                <w:lang w:val="en-GB"/>
              </w:rPr>
              <w:t>Registered Capital</w:t>
            </w:r>
            <w:r w:rsidR="00D8136E">
              <w:rPr>
                <w:b/>
                <w:lang w:val="en-GB"/>
              </w:rPr>
              <w:t xml:space="preserve"> (US$)</w:t>
            </w:r>
          </w:p>
        </w:tc>
        <w:tc>
          <w:tcPr>
            <w:tcW w:w="1710" w:type="dxa"/>
            <w:shd w:val="clear" w:color="auto" w:fill="auto"/>
            <w:vAlign w:val="center"/>
            <w:hideMark/>
          </w:tcPr>
          <w:p w14:paraId="7FB4528B" w14:textId="7AA6A6DE" w:rsidR="000976C8" w:rsidRPr="00054790" w:rsidRDefault="000976C8" w:rsidP="00F0110F">
            <w:pPr>
              <w:pStyle w:val="ExhibitText"/>
              <w:jc w:val="center"/>
              <w:rPr>
                <w:b/>
                <w:lang w:val="en-GB"/>
              </w:rPr>
            </w:pPr>
            <w:r w:rsidRPr="00054790">
              <w:rPr>
                <w:b/>
                <w:lang w:val="en-GB"/>
              </w:rPr>
              <w:t>Total Asset</w:t>
            </w:r>
            <w:r w:rsidR="00E36CDE">
              <w:rPr>
                <w:b/>
                <w:lang w:val="en-GB"/>
              </w:rPr>
              <w:t>s</w:t>
            </w:r>
            <w:r w:rsidR="00D8136E">
              <w:rPr>
                <w:b/>
                <w:lang w:val="en-GB"/>
              </w:rPr>
              <w:t xml:space="preserve"> </w:t>
            </w:r>
            <w:r w:rsidR="00D8136E" w:rsidRPr="00D8136E">
              <w:rPr>
                <w:b/>
                <w:lang w:val="en-GB"/>
              </w:rPr>
              <w:t>(</w:t>
            </w:r>
            <w:r w:rsidR="00D8136E" w:rsidRPr="00D8136E">
              <w:rPr>
                <w:rFonts w:eastAsia="MS Mincho"/>
                <w:b/>
                <w:lang w:val="en-GB"/>
              </w:rPr>
              <w:t>¥</w:t>
            </w:r>
            <w:r w:rsidR="00D8136E" w:rsidRPr="00D8136E">
              <w:rPr>
                <w:rFonts w:eastAsia="MS Mincho"/>
                <w:b/>
                <w:lang w:val="en-GB"/>
              </w:rPr>
              <w:t>)</w:t>
            </w:r>
          </w:p>
        </w:tc>
        <w:tc>
          <w:tcPr>
            <w:tcW w:w="1620" w:type="dxa"/>
            <w:shd w:val="clear" w:color="auto" w:fill="auto"/>
            <w:vAlign w:val="center"/>
            <w:hideMark/>
          </w:tcPr>
          <w:p w14:paraId="43CF9DF3" w14:textId="004300E8" w:rsidR="000976C8" w:rsidRPr="00054790" w:rsidRDefault="000976C8" w:rsidP="00F0110F">
            <w:pPr>
              <w:pStyle w:val="ExhibitText"/>
              <w:jc w:val="center"/>
              <w:rPr>
                <w:b/>
                <w:lang w:val="en-GB"/>
              </w:rPr>
            </w:pPr>
            <w:r w:rsidRPr="00054790">
              <w:rPr>
                <w:b/>
                <w:lang w:val="en-GB"/>
              </w:rPr>
              <w:t>Net Asset</w:t>
            </w:r>
            <w:r w:rsidR="00E36CDE">
              <w:rPr>
                <w:b/>
                <w:lang w:val="en-GB"/>
              </w:rPr>
              <w:t>s</w:t>
            </w:r>
            <w:r w:rsidR="00D8136E">
              <w:rPr>
                <w:b/>
                <w:lang w:val="en-GB"/>
              </w:rPr>
              <w:t xml:space="preserve"> </w:t>
            </w:r>
            <w:r w:rsidR="00D8136E" w:rsidRPr="00D8136E">
              <w:rPr>
                <w:b/>
                <w:lang w:val="en-GB"/>
              </w:rPr>
              <w:t>(</w:t>
            </w:r>
            <w:r w:rsidR="00D8136E" w:rsidRPr="00D8136E">
              <w:rPr>
                <w:rFonts w:eastAsia="MS Mincho"/>
                <w:b/>
                <w:lang w:val="en-GB"/>
              </w:rPr>
              <w:t>¥)</w:t>
            </w:r>
          </w:p>
        </w:tc>
        <w:tc>
          <w:tcPr>
            <w:tcW w:w="1530" w:type="dxa"/>
            <w:shd w:val="clear" w:color="auto" w:fill="auto"/>
            <w:vAlign w:val="center"/>
            <w:hideMark/>
          </w:tcPr>
          <w:p w14:paraId="0EEB4C12" w14:textId="324883AD" w:rsidR="000976C8" w:rsidRPr="00054790" w:rsidRDefault="000976C8" w:rsidP="00F0110F">
            <w:pPr>
              <w:pStyle w:val="ExhibitText"/>
              <w:jc w:val="center"/>
              <w:rPr>
                <w:b/>
                <w:lang w:val="en-GB"/>
              </w:rPr>
            </w:pPr>
            <w:r w:rsidRPr="00054790">
              <w:rPr>
                <w:b/>
                <w:lang w:val="en-GB"/>
              </w:rPr>
              <w:t>Revenue</w:t>
            </w:r>
            <w:r w:rsidR="00D8136E">
              <w:rPr>
                <w:b/>
                <w:lang w:val="en-GB"/>
              </w:rPr>
              <w:t xml:space="preserve"> </w:t>
            </w:r>
            <w:r w:rsidR="00D8136E" w:rsidRPr="00D8136E">
              <w:rPr>
                <w:b/>
                <w:lang w:val="en-GB"/>
              </w:rPr>
              <w:t>(</w:t>
            </w:r>
            <w:r w:rsidR="00D8136E" w:rsidRPr="00D8136E">
              <w:rPr>
                <w:rFonts w:eastAsia="MS Mincho"/>
                <w:b/>
                <w:lang w:val="en-GB"/>
              </w:rPr>
              <w:t>¥)</w:t>
            </w:r>
          </w:p>
        </w:tc>
        <w:tc>
          <w:tcPr>
            <w:tcW w:w="1800" w:type="dxa"/>
            <w:shd w:val="clear" w:color="auto" w:fill="auto"/>
            <w:vAlign w:val="center"/>
            <w:hideMark/>
          </w:tcPr>
          <w:p w14:paraId="73D20B61" w14:textId="7AFC1275" w:rsidR="000976C8" w:rsidRPr="00054790" w:rsidRDefault="000976C8" w:rsidP="00F0110F">
            <w:pPr>
              <w:pStyle w:val="ExhibitText"/>
              <w:jc w:val="center"/>
              <w:rPr>
                <w:b/>
                <w:lang w:val="en-GB"/>
              </w:rPr>
            </w:pPr>
            <w:r w:rsidRPr="00054790">
              <w:rPr>
                <w:b/>
                <w:lang w:val="en-GB"/>
              </w:rPr>
              <w:t>Gross Profit</w:t>
            </w:r>
            <w:r w:rsidR="00D8136E">
              <w:rPr>
                <w:b/>
                <w:lang w:val="en-GB"/>
              </w:rPr>
              <w:t xml:space="preserve"> </w:t>
            </w:r>
            <w:r w:rsidR="00D8136E" w:rsidRPr="00D8136E">
              <w:rPr>
                <w:b/>
                <w:lang w:val="en-GB"/>
              </w:rPr>
              <w:t>(</w:t>
            </w:r>
            <w:r w:rsidR="00D8136E" w:rsidRPr="00D8136E">
              <w:rPr>
                <w:rFonts w:eastAsia="MS Mincho"/>
                <w:b/>
                <w:lang w:val="en-GB"/>
              </w:rPr>
              <w:t>¥)</w:t>
            </w:r>
          </w:p>
        </w:tc>
        <w:tc>
          <w:tcPr>
            <w:tcW w:w="1530" w:type="dxa"/>
            <w:shd w:val="clear" w:color="auto" w:fill="auto"/>
            <w:vAlign w:val="center"/>
            <w:hideMark/>
          </w:tcPr>
          <w:p w14:paraId="5C0B74F5" w14:textId="15E84CD1" w:rsidR="000976C8" w:rsidRPr="00054790" w:rsidRDefault="000976C8" w:rsidP="00F0110F">
            <w:pPr>
              <w:pStyle w:val="ExhibitText"/>
              <w:jc w:val="center"/>
              <w:rPr>
                <w:b/>
                <w:lang w:val="en-GB"/>
              </w:rPr>
            </w:pPr>
            <w:r w:rsidRPr="00054790">
              <w:rPr>
                <w:b/>
                <w:lang w:val="en-GB"/>
              </w:rPr>
              <w:t>Net Profit</w:t>
            </w:r>
            <w:r w:rsidR="00D8136E">
              <w:rPr>
                <w:b/>
                <w:lang w:val="en-GB"/>
              </w:rPr>
              <w:t xml:space="preserve"> </w:t>
            </w:r>
            <w:r w:rsidR="00D8136E" w:rsidRPr="00D8136E">
              <w:rPr>
                <w:b/>
                <w:lang w:val="en-GB"/>
              </w:rPr>
              <w:t>(</w:t>
            </w:r>
            <w:r w:rsidR="00D8136E" w:rsidRPr="00D8136E">
              <w:rPr>
                <w:rFonts w:eastAsia="MS Mincho"/>
                <w:b/>
                <w:lang w:val="en-GB"/>
              </w:rPr>
              <w:t>¥)</w:t>
            </w:r>
          </w:p>
        </w:tc>
      </w:tr>
      <w:tr w:rsidR="000976C8" w:rsidRPr="00054790" w14:paraId="5D0C19D3" w14:textId="77777777" w:rsidTr="00D8136E">
        <w:trPr>
          <w:trHeight w:val="320"/>
          <w:jc w:val="center"/>
        </w:trPr>
        <w:tc>
          <w:tcPr>
            <w:tcW w:w="1640" w:type="dxa"/>
            <w:shd w:val="clear" w:color="auto" w:fill="auto"/>
            <w:vAlign w:val="center"/>
            <w:hideMark/>
          </w:tcPr>
          <w:p w14:paraId="206C6EE6" w14:textId="77777777" w:rsidR="000976C8" w:rsidRPr="00054790" w:rsidRDefault="000976C8" w:rsidP="009E2811">
            <w:pPr>
              <w:pStyle w:val="ExhibitText"/>
              <w:jc w:val="center"/>
              <w:rPr>
                <w:lang w:val="en-GB"/>
              </w:rPr>
            </w:pPr>
            <w:r w:rsidRPr="00054790">
              <w:rPr>
                <w:lang w:val="en-GB"/>
              </w:rPr>
              <w:t>2014</w:t>
            </w:r>
          </w:p>
        </w:tc>
        <w:tc>
          <w:tcPr>
            <w:tcW w:w="1530" w:type="dxa"/>
            <w:shd w:val="clear" w:color="auto" w:fill="auto"/>
            <w:vAlign w:val="center"/>
            <w:hideMark/>
          </w:tcPr>
          <w:p w14:paraId="7AE722FA" w14:textId="656CBAFF" w:rsidR="000976C8" w:rsidRPr="00054790" w:rsidRDefault="00E36CDE" w:rsidP="002F4426">
            <w:pPr>
              <w:pStyle w:val="ExhibitText"/>
              <w:tabs>
                <w:tab w:val="decimal" w:pos="1581"/>
              </w:tabs>
              <w:jc w:val="right"/>
              <w:rPr>
                <w:lang w:val="en-GB"/>
              </w:rPr>
            </w:pPr>
            <w:r>
              <w:rPr>
                <w:lang w:val="en-GB"/>
              </w:rPr>
              <w:t>$</w:t>
            </w:r>
            <w:r w:rsidR="000976C8" w:rsidRPr="00054790">
              <w:rPr>
                <w:lang w:val="en-GB"/>
              </w:rPr>
              <w:t>4,000,000</w:t>
            </w:r>
          </w:p>
        </w:tc>
        <w:tc>
          <w:tcPr>
            <w:tcW w:w="1710" w:type="dxa"/>
            <w:shd w:val="clear" w:color="auto" w:fill="auto"/>
            <w:vAlign w:val="center"/>
            <w:hideMark/>
          </w:tcPr>
          <w:p w14:paraId="1035BE38" w14:textId="77777777" w:rsidR="000976C8" w:rsidRPr="00054790" w:rsidRDefault="000976C8" w:rsidP="002F4426">
            <w:pPr>
              <w:pStyle w:val="ExhibitText"/>
              <w:jc w:val="right"/>
              <w:rPr>
                <w:rFonts w:ascii="Calibri" w:hAnsi="Calibri"/>
                <w:lang w:val="en-GB"/>
              </w:rPr>
            </w:pPr>
          </w:p>
        </w:tc>
        <w:tc>
          <w:tcPr>
            <w:tcW w:w="1620" w:type="dxa"/>
            <w:shd w:val="clear" w:color="auto" w:fill="auto"/>
            <w:vAlign w:val="center"/>
            <w:hideMark/>
          </w:tcPr>
          <w:p w14:paraId="78CF254F" w14:textId="77777777" w:rsidR="000976C8" w:rsidRPr="00054790" w:rsidRDefault="000976C8" w:rsidP="002F4426">
            <w:pPr>
              <w:pStyle w:val="ExhibitText"/>
              <w:jc w:val="right"/>
              <w:rPr>
                <w:rFonts w:ascii="Calibri" w:hAnsi="Calibri"/>
                <w:lang w:val="en-GB"/>
              </w:rPr>
            </w:pPr>
          </w:p>
        </w:tc>
        <w:tc>
          <w:tcPr>
            <w:tcW w:w="1530" w:type="dxa"/>
            <w:shd w:val="clear" w:color="auto" w:fill="auto"/>
            <w:vAlign w:val="center"/>
            <w:hideMark/>
          </w:tcPr>
          <w:p w14:paraId="3DD74607" w14:textId="77777777" w:rsidR="000976C8" w:rsidRPr="00054790" w:rsidRDefault="000976C8" w:rsidP="002F4426">
            <w:pPr>
              <w:pStyle w:val="ExhibitText"/>
              <w:jc w:val="right"/>
              <w:rPr>
                <w:rFonts w:ascii="Calibri" w:hAnsi="Calibri"/>
                <w:lang w:val="en-GB"/>
              </w:rPr>
            </w:pPr>
          </w:p>
        </w:tc>
        <w:tc>
          <w:tcPr>
            <w:tcW w:w="1800" w:type="dxa"/>
            <w:shd w:val="clear" w:color="auto" w:fill="auto"/>
            <w:vAlign w:val="center"/>
            <w:hideMark/>
          </w:tcPr>
          <w:p w14:paraId="06A65DFA" w14:textId="77777777" w:rsidR="000976C8" w:rsidRPr="00054790" w:rsidRDefault="000976C8" w:rsidP="002F4426">
            <w:pPr>
              <w:pStyle w:val="ExhibitText"/>
              <w:jc w:val="right"/>
              <w:rPr>
                <w:rFonts w:ascii="Calibri" w:hAnsi="Calibri"/>
                <w:lang w:val="en-GB"/>
              </w:rPr>
            </w:pPr>
          </w:p>
        </w:tc>
        <w:tc>
          <w:tcPr>
            <w:tcW w:w="1530" w:type="dxa"/>
            <w:shd w:val="clear" w:color="auto" w:fill="auto"/>
            <w:vAlign w:val="center"/>
            <w:hideMark/>
          </w:tcPr>
          <w:p w14:paraId="376FF4B8" w14:textId="77777777" w:rsidR="000976C8" w:rsidRPr="00054790" w:rsidRDefault="000976C8" w:rsidP="002F4426">
            <w:pPr>
              <w:pStyle w:val="ExhibitText"/>
              <w:jc w:val="right"/>
              <w:rPr>
                <w:rFonts w:ascii="Calibri" w:hAnsi="Calibri"/>
                <w:lang w:val="en-GB"/>
              </w:rPr>
            </w:pPr>
          </w:p>
        </w:tc>
      </w:tr>
      <w:tr w:rsidR="000976C8" w:rsidRPr="00054790" w14:paraId="3AD16DD2" w14:textId="77777777" w:rsidTr="00D8136E">
        <w:trPr>
          <w:trHeight w:val="300"/>
          <w:jc w:val="center"/>
        </w:trPr>
        <w:tc>
          <w:tcPr>
            <w:tcW w:w="1640" w:type="dxa"/>
            <w:shd w:val="clear" w:color="auto" w:fill="auto"/>
            <w:vAlign w:val="center"/>
            <w:hideMark/>
          </w:tcPr>
          <w:p w14:paraId="34478B78" w14:textId="77777777" w:rsidR="000976C8" w:rsidRPr="00054790" w:rsidRDefault="000976C8" w:rsidP="009E2811">
            <w:pPr>
              <w:pStyle w:val="ExhibitText"/>
              <w:jc w:val="center"/>
              <w:rPr>
                <w:lang w:val="en-GB"/>
              </w:rPr>
            </w:pPr>
            <w:r w:rsidRPr="00054790">
              <w:rPr>
                <w:lang w:val="en-GB"/>
              </w:rPr>
              <w:t>2015</w:t>
            </w:r>
          </w:p>
        </w:tc>
        <w:tc>
          <w:tcPr>
            <w:tcW w:w="1530" w:type="dxa"/>
            <w:shd w:val="clear" w:color="auto" w:fill="auto"/>
            <w:vAlign w:val="center"/>
            <w:hideMark/>
          </w:tcPr>
          <w:p w14:paraId="37BE4FF0" w14:textId="174EBD61" w:rsidR="000976C8" w:rsidRPr="00054790" w:rsidRDefault="00E36CDE" w:rsidP="002F4426">
            <w:pPr>
              <w:pStyle w:val="ExhibitText"/>
              <w:tabs>
                <w:tab w:val="decimal" w:pos="1581"/>
              </w:tabs>
              <w:jc w:val="right"/>
              <w:rPr>
                <w:lang w:val="en-GB"/>
              </w:rPr>
            </w:pPr>
            <w:r>
              <w:rPr>
                <w:lang w:val="en-GB"/>
              </w:rPr>
              <w:t>$</w:t>
            </w:r>
            <w:r w:rsidR="000976C8" w:rsidRPr="00054790">
              <w:rPr>
                <w:lang w:val="en-GB"/>
              </w:rPr>
              <w:t>4,000,000</w:t>
            </w:r>
          </w:p>
        </w:tc>
        <w:tc>
          <w:tcPr>
            <w:tcW w:w="1710" w:type="dxa"/>
            <w:shd w:val="clear" w:color="auto" w:fill="auto"/>
            <w:vAlign w:val="center"/>
            <w:hideMark/>
          </w:tcPr>
          <w:p w14:paraId="1B0D7FC2" w14:textId="77777777" w:rsidR="000976C8" w:rsidRPr="00054790" w:rsidRDefault="00EA4766" w:rsidP="002F4426">
            <w:pPr>
              <w:pStyle w:val="ExhibitText"/>
              <w:jc w:val="right"/>
              <w:rPr>
                <w:lang w:val="en-GB"/>
              </w:rPr>
            </w:pPr>
            <w:r w:rsidRPr="00054790">
              <w:rPr>
                <w:lang w:val="en-GB"/>
              </w:rPr>
              <w:t>215,429,940</w:t>
            </w:r>
          </w:p>
        </w:tc>
        <w:tc>
          <w:tcPr>
            <w:tcW w:w="1620" w:type="dxa"/>
            <w:shd w:val="clear" w:color="auto" w:fill="auto"/>
            <w:vAlign w:val="center"/>
            <w:hideMark/>
          </w:tcPr>
          <w:p w14:paraId="6FEAF995" w14:textId="77777777" w:rsidR="000976C8" w:rsidRPr="00054790" w:rsidRDefault="00EA4766" w:rsidP="002F4426">
            <w:pPr>
              <w:pStyle w:val="ExhibitText"/>
              <w:tabs>
                <w:tab w:val="decimal" w:pos="1297"/>
              </w:tabs>
              <w:jc w:val="right"/>
              <w:rPr>
                <w:lang w:val="en-GB"/>
              </w:rPr>
            </w:pPr>
            <w:r w:rsidRPr="00054790">
              <w:rPr>
                <w:lang w:val="en-GB"/>
              </w:rPr>
              <w:t>63,885,937</w:t>
            </w:r>
          </w:p>
        </w:tc>
        <w:tc>
          <w:tcPr>
            <w:tcW w:w="1530" w:type="dxa"/>
            <w:shd w:val="clear" w:color="auto" w:fill="auto"/>
            <w:vAlign w:val="center"/>
            <w:hideMark/>
          </w:tcPr>
          <w:p w14:paraId="2475CD9B" w14:textId="77777777" w:rsidR="000976C8" w:rsidRPr="00054790" w:rsidRDefault="00EA4766" w:rsidP="002F4426">
            <w:pPr>
              <w:pStyle w:val="ExhibitText"/>
              <w:tabs>
                <w:tab w:val="decimal" w:pos="1297"/>
              </w:tabs>
              <w:jc w:val="right"/>
              <w:rPr>
                <w:lang w:val="en-GB"/>
              </w:rPr>
            </w:pPr>
            <w:r w:rsidRPr="00054790">
              <w:rPr>
                <w:lang w:val="en-GB"/>
              </w:rPr>
              <w:t>203,150,565</w:t>
            </w:r>
          </w:p>
        </w:tc>
        <w:tc>
          <w:tcPr>
            <w:tcW w:w="1800" w:type="dxa"/>
            <w:shd w:val="clear" w:color="auto" w:fill="auto"/>
            <w:vAlign w:val="center"/>
            <w:hideMark/>
          </w:tcPr>
          <w:p w14:paraId="565D6C2E" w14:textId="77777777" w:rsidR="000976C8" w:rsidRPr="00054790" w:rsidRDefault="00EA4766" w:rsidP="002F4426">
            <w:pPr>
              <w:pStyle w:val="ExhibitText"/>
              <w:tabs>
                <w:tab w:val="decimal" w:pos="1297"/>
              </w:tabs>
              <w:jc w:val="right"/>
              <w:rPr>
                <w:lang w:val="en-GB"/>
              </w:rPr>
            </w:pPr>
            <w:r w:rsidRPr="00054790">
              <w:rPr>
                <w:lang w:val="en-GB"/>
              </w:rPr>
              <w:t>64,524,708</w:t>
            </w:r>
          </w:p>
        </w:tc>
        <w:tc>
          <w:tcPr>
            <w:tcW w:w="1530" w:type="dxa"/>
            <w:shd w:val="clear" w:color="auto" w:fill="auto"/>
            <w:vAlign w:val="center"/>
            <w:hideMark/>
          </w:tcPr>
          <w:p w14:paraId="590BF561" w14:textId="77777777" w:rsidR="000976C8" w:rsidRPr="00054790" w:rsidRDefault="00EA4766" w:rsidP="002F4426">
            <w:pPr>
              <w:pStyle w:val="ExhibitText"/>
              <w:tabs>
                <w:tab w:val="decimal" w:pos="1155"/>
              </w:tabs>
              <w:jc w:val="right"/>
              <w:rPr>
                <w:lang w:val="en-GB"/>
              </w:rPr>
            </w:pPr>
            <w:r w:rsidRPr="00054790">
              <w:rPr>
                <w:lang w:val="en-GB"/>
              </w:rPr>
              <w:t>58,430,191</w:t>
            </w:r>
          </w:p>
        </w:tc>
      </w:tr>
      <w:tr w:rsidR="000976C8" w:rsidRPr="00054790" w14:paraId="2E4F26AB" w14:textId="77777777" w:rsidTr="00D8136E">
        <w:trPr>
          <w:trHeight w:val="300"/>
          <w:jc w:val="center"/>
        </w:trPr>
        <w:tc>
          <w:tcPr>
            <w:tcW w:w="1640" w:type="dxa"/>
            <w:shd w:val="clear" w:color="auto" w:fill="auto"/>
            <w:vAlign w:val="center"/>
            <w:hideMark/>
          </w:tcPr>
          <w:p w14:paraId="0F6ED421" w14:textId="77777777" w:rsidR="000976C8" w:rsidRPr="00054790" w:rsidRDefault="000976C8" w:rsidP="009E2811">
            <w:pPr>
              <w:pStyle w:val="ExhibitText"/>
              <w:jc w:val="center"/>
              <w:rPr>
                <w:lang w:val="en-GB"/>
              </w:rPr>
            </w:pPr>
            <w:r w:rsidRPr="00054790">
              <w:rPr>
                <w:lang w:val="en-GB"/>
              </w:rPr>
              <w:t>2016</w:t>
            </w:r>
          </w:p>
        </w:tc>
        <w:tc>
          <w:tcPr>
            <w:tcW w:w="1530" w:type="dxa"/>
            <w:shd w:val="clear" w:color="auto" w:fill="auto"/>
            <w:vAlign w:val="center"/>
            <w:hideMark/>
          </w:tcPr>
          <w:p w14:paraId="29CCAA5D" w14:textId="42C3E590" w:rsidR="000976C8" w:rsidRPr="00054790" w:rsidRDefault="00E36CDE" w:rsidP="002F4426">
            <w:pPr>
              <w:pStyle w:val="ExhibitText"/>
              <w:tabs>
                <w:tab w:val="decimal" w:pos="1581"/>
              </w:tabs>
              <w:jc w:val="right"/>
              <w:rPr>
                <w:lang w:val="en-GB"/>
              </w:rPr>
            </w:pPr>
            <w:r>
              <w:rPr>
                <w:lang w:val="en-GB"/>
              </w:rPr>
              <w:t>$</w:t>
            </w:r>
            <w:r w:rsidR="000976C8" w:rsidRPr="00054790">
              <w:rPr>
                <w:lang w:val="en-GB"/>
              </w:rPr>
              <w:t>10,000,000</w:t>
            </w:r>
          </w:p>
        </w:tc>
        <w:tc>
          <w:tcPr>
            <w:tcW w:w="1710" w:type="dxa"/>
            <w:shd w:val="clear" w:color="auto" w:fill="auto"/>
            <w:vAlign w:val="center"/>
            <w:hideMark/>
          </w:tcPr>
          <w:p w14:paraId="2BB08A5A" w14:textId="77777777" w:rsidR="000976C8" w:rsidRPr="00054790" w:rsidRDefault="00EA4766" w:rsidP="002F4426">
            <w:pPr>
              <w:pStyle w:val="ExhibitText"/>
              <w:jc w:val="right"/>
              <w:rPr>
                <w:lang w:val="en-GB"/>
              </w:rPr>
            </w:pPr>
            <w:r w:rsidRPr="00054790">
              <w:rPr>
                <w:lang w:val="en-GB"/>
              </w:rPr>
              <w:t>260,611,555</w:t>
            </w:r>
          </w:p>
        </w:tc>
        <w:tc>
          <w:tcPr>
            <w:tcW w:w="1620" w:type="dxa"/>
            <w:shd w:val="clear" w:color="auto" w:fill="auto"/>
            <w:vAlign w:val="center"/>
            <w:hideMark/>
          </w:tcPr>
          <w:p w14:paraId="2EB86CFF" w14:textId="77777777" w:rsidR="000976C8" w:rsidRPr="00054790" w:rsidRDefault="00EA4766" w:rsidP="002F4426">
            <w:pPr>
              <w:pStyle w:val="ExhibitText"/>
              <w:tabs>
                <w:tab w:val="decimal" w:pos="1297"/>
              </w:tabs>
              <w:jc w:val="right"/>
              <w:rPr>
                <w:lang w:val="en-GB"/>
              </w:rPr>
            </w:pPr>
            <w:r w:rsidRPr="00054790">
              <w:rPr>
                <w:lang w:val="en-GB"/>
              </w:rPr>
              <w:t>176,982,877</w:t>
            </w:r>
          </w:p>
        </w:tc>
        <w:tc>
          <w:tcPr>
            <w:tcW w:w="1530" w:type="dxa"/>
            <w:shd w:val="clear" w:color="auto" w:fill="auto"/>
            <w:vAlign w:val="center"/>
            <w:hideMark/>
          </w:tcPr>
          <w:p w14:paraId="743A455B" w14:textId="77777777" w:rsidR="000976C8" w:rsidRPr="00054790" w:rsidRDefault="00EA4766" w:rsidP="002F4426">
            <w:pPr>
              <w:pStyle w:val="ExhibitText"/>
              <w:tabs>
                <w:tab w:val="decimal" w:pos="1297"/>
              </w:tabs>
              <w:jc w:val="right"/>
              <w:rPr>
                <w:lang w:val="en-GB"/>
              </w:rPr>
            </w:pPr>
            <w:r w:rsidRPr="00054790">
              <w:rPr>
                <w:lang w:val="en-GB"/>
              </w:rPr>
              <w:t>366,277,976</w:t>
            </w:r>
          </w:p>
        </w:tc>
        <w:tc>
          <w:tcPr>
            <w:tcW w:w="1800" w:type="dxa"/>
            <w:shd w:val="clear" w:color="auto" w:fill="auto"/>
            <w:vAlign w:val="center"/>
            <w:hideMark/>
          </w:tcPr>
          <w:p w14:paraId="7A83A246" w14:textId="77777777" w:rsidR="000976C8" w:rsidRPr="00054790" w:rsidRDefault="00EA4766" w:rsidP="002F4426">
            <w:pPr>
              <w:pStyle w:val="ExhibitText"/>
              <w:tabs>
                <w:tab w:val="decimal" w:pos="1297"/>
              </w:tabs>
              <w:jc w:val="right"/>
              <w:rPr>
                <w:lang w:val="en-GB"/>
              </w:rPr>
            </w:pPr>
            <w:r w:rsidRPr="00054790">
              <w:rPr>
                <w:lang w:val="en-GB"/>
              </w:rPr>
              <w:t>107,513,888</w:t>
            </w:r>
          </w:p>
        </w:tc>
        <w:tc>
          <w:tcPr>
            <w:tcW w:w="1530" w:type="dxa"/>
            <w:shd w:val="clear" w:color="auto" w:fill="auto"/>
            <w:vAlign w:val="center"/>
            <w:hideMark/>
          </w:tcPr>
          <w:p w14:paraId="26F55F20" w14:textId="77777777" w:rsidR="000976C8" w:rsidRPr="00054790" w:rsidRDefault="00EA4766" w:rsidP="002F4426">
            <w:pPr>
              <w:pStyle w:val="ExhibitText"/>
              <w:tabs>
                <w:tab w:val="decimal" w:pos="1155"/>
              </w:tabs>
              <w:jc w:val="right"/>
              <w:rPr>
                <w:lang w:val="en-GB"/>
              </w:rPr>
            </w:pPr>
            <w:r w:rsidRPr="00054790">
              <w:rPr>
                <w:lang w:val="en-GB"/>
              </w:rPr>
              <w:t>92,813,371</w:t>
            </w:r>
          </w:p>
        </w:tc>
      </w:tr>
      <w:tr w:rsidR="000976C8" w:rsidRPr="00054790" w14:paraId="09A1141F" w14:textId="77777777" w:rsidTr="00D8136E">
        <w:trPr>
          <w:trHeight w:val="383"/>
          <w:jc w:val="center"/>
        </w:trPr>
        <w:tc>
          <w:tcPr>
            <w:tcW w:w="1640" w:type="dxa"/>
            <w:shd w:val="clear" w:color="auto" w:fill="auto"/>
            <w:vAlign w:val="center"/>
            <w:hideMark/>
          </w:tcPr>
          <w:p w14:paraId="2D8B3202" w14:textId="5AE1FCBF" w:rsidR="000976C8" w:rsidRPr="00054790" w:rsidRDefault="000976C8" w:rsidP="009E2811">
            <w:pPr>
              <w:pStyle w:val="ExhibitText"/>
              <w:jc w:val="center"/>
              <w:rPr>
                <w:lang w:val="en-GB"/>
              </w:rPr>
            </w:pPr>
            <w:r w:rsidRPr="00054790">
              <w:rPr>
                <w:lang w:val="en-GB"/>
              </w:rPr>
              <w:t>2017</w:t>
            </w:r>
            <w:r w:rsidR="004A02D2">
              <w:rPr>
                <w:lang w:val="en-GB"/>
              </w:rPr>
              <w:t>,</w:t>
            </w:r>
            <w:r w:rsidRPr="00054790">
              <w:rPr>
                <w:lang w:val="en-GB"/>
              </w:rPr>
              <w:t xml:space="preserve"> First Half</w:t>
            </w:r>
          </w:p>
        </w:tc>
        <w:tc>
          <w:tcPr>
            <w:tcW w:w="1530" w:type="dxa"/>
            <w:shd w:val="clear" w:color="auto" w:fill="auto"/>
            <w:vAlign w:val="center"/>
            <w:hideMark/>
          </w:tcPr>
          <w:p w14:paraId="500A3FEE" w14:textId="704AAF69" w:rsidR="000976C8" w:rsidRPr="00054790" w:rsidRDefault="00E36CDE" w:rsidP="002F4426">
            <w:pPr>
              <w:pStyle w:val="ExhibitText"/>
              <w:tabs>
                <w:tab w:val="decimal" w:pos="1581"/>
              </w:tabs>
              <w:jc w:val="right"/>
              <w:rPr>
                <w:lang w:val="en-GB"/>
              </w:rPr>
            </w:pPr>
            <w:r>
              <w:rPr>
                <w:lang w:val="en-GB"/>
              </w:rPr>
              <w:t>$</w:t>
            </w:r>
            <w:r w:rsidR="000976C8" w:rsidRPr="00054790">
              <w:rPr>
                <w:lang w:val="en-GB"/>
              </w:rPr>
              <w:t>10,000,000</w:t>
            </w:r>
          </w:p>
        </w:tc>
        <w:tc>
          <w:tcPr>
            <w:tcW w:w="1710" w:type="dxa"/>
            <w:shd w:val="clear" w:color="auto" w:fill="auto"/>
            <w:vAlign w:val="center"/>
            <w:hideMark/>
          </w:tcPr>
          <w:p w14:paraId="3443790F" w14:textId="77777777" w:rsidR="000976C8" w:rsidRPr="00054790" w:rsidRDefault="00EA4766" w:rsidP="002F4426">
            <w:pPr>
              <w:pStyle w:val="ExhibitText"/>
              <w:jc w:val="right"/>
              <w:rPr>
                <w:lang w:val="en-GB"/>
              </w:rPr>
            </w:pPr>
            <w:r w:rsidRPr="00054790">
              <w:rPr>
                <w:lang w:val="en-GB"/>
              </w:rPr>
              <w:t>265,382,272</w:t>
            </w:r>
          </w:p>
        </w:tc>
        <w:tc>
          <w:tcPr>
            <w:tcW w:w="1620" w:type="dxa"/>
            <w:shd w:val="clear" w:color="auto" w:fill="auto"/>
            <w:vAlign w:val="center"/>
            <w:hideMark/>
          </w:tcPr>
          <w:p w14:paraId="1B8807FF" w14:textId="77777777" w:rsidR="000976C8" w:rsidRPr="00054790" w:rsidRDefault="00EA4766" w:rsidP="002F4426">
            <w:pPr>
              <w:pStyle w:val="ExhibitText"/>
              <w:tabs>
                <w:tab w:val="decimal" w:pos="1297"/>
              </w:tabs>
              <w:jc w:val="right"/>
              <w:rPr>
                <w:lang w:val="en-GB"/>
              </w:rPr>
            </w:pPr>
            <w:r w:rsidRPr="00054790">
              <w:rPr>
                <w:lang w:val="en-GB"/>
              </w:rPr>
              <w:t>181,080,767</w:t>
            </w:r>
          </w:p>
        </w:tc>
        <w:tc>
          <w:tcPr>
            <w:tcW w:w="1530" w:type="dxa"/>
            <w:shd w:val="clear" w:color="auto" w:fill="auto"/>
            <w:vAlign w:val="center"/>
            <w:hideMark/>
          </w:tcPr>
          <w:p w14:paraId="4CA7896B" w14:textId="77777777" w:rsidR="000976C8" w:rsidRPr="00054790" w:rsidRDefault="00EA4766" w:rsidP="002F4426">
            <w:pPr>
              <w:pStyle w:val="ExhibitText"/>
              <w:tabs>
                <w:tab w:val="decimal" w:pos="1297"/>
              </w:tabs>
              <w:jc w:val="right"/>
              <w:rPr>
                <w:lang w:val="en-GB"/>
              </w:rPr>
            </w:pPr>
            <w:r w:rsidRPr="00054790">
              <w:rPr>
                <w:lang w:val="en-GB"/>
              </w:rPr>
              <w:t>35,377,148</w:t>
            </w:r>
          </w:p>
        </w:tc>
        <w:tc>
          <w:tcPr>
            <w:tcW w:w="1800" w:type="dxa"/>
            <w:shd w:val="clear" w:color="auto" w:fill="auto"/>
            <w:vAlign w:val="center"/>
            <w:hideMark/>
          </w:tcPr>
          <w:p w14:paraId="524FA829" w14:textId="77777777" w:rsidR="000976C8" w:rsidRPr="00054790" w:rsidRDefault="00EA4766" w:rsidP="002F4426">
            <w:pPr>
              <w:pStyle w:val="ExhibitText"/>
              <w:tabs>
                <w:tab w:val="decimal" w:pos="1297"/>
              </w:tabs>
              <w:jc w:val="right"/>
              <w:rPr>
                <w:lang w:val="en-GB"/>
              </w:rPr>
            </w:pPr>
            <w:r w:rsidRPr="00054790">
              <w:rPr>
                <w:lang w:val="en-GB"/>
              </w:rPr>
              <w:t>6,726,625</w:t>
            </w:r>
          </w:p>
        </w:tc>
        <w:tc>
          <w:tcPr>
            <w:tcW w:w="1530" w:type="dxa"/>
            <w:shd w:val="clear" w:color="auto" w:fill="auto"/>
            <w:vAlign w:val="center"/>
            <w:hideMark/>
          </w:tcPr>
          <w:p w14:paraId="54F30203" w14:textId="77777777" w:rsidR="000976C8" w:rsidRPr="00054790" w:rsidRDefault="00EA4766" w:rsidP="002F4426">
            <w:pPr>
              <w:pStyle w:val="ExhibitText"/>
              <w:tabs>
                <w:tab w:val="decimal" w:pos="1155"/>
              </w:tabs>
              <w:jc w:val="right"/>
              <w:rPr>
                <w:lang w:val="en-GB"/>
              </w:rPr>
            </w:pPr>
            <w:r w:rsidRPr="00054790">
              <w:rPr>
                <w:lang w:val="en-GB"/>
              </w:rPr>
              <w:t>5,311,540</w:t>
            </w:r>
          </w:p>
        </w:tc>
      </w:tr>
    </w:tbl>
    <w:p w14:paraId="2B8DCC20" w14:textId="77777777" w:rsidR="000D159D" w:rsidRPr="00054790" w:rsidRDefault="000D159D" w:rsidP="00F0110F">
      <w:pPr>
        <w:pStyle w:val="Footnote"/>
        <w:rPr>
          <w:rFonts w:eastAsia="MS Mincho"/>
          <w:lang w:val="en-GB"/>
        </w:rPr>
      </w:pPr>
    </w:p>
    <w:p w14:paraId="2E0DBB50" w14:textId="39D5146F" w:rsidR="00E36CDE" w:rsidRPr="00AF750C" w:rsidRDefault="00E36CDE" w:rsidP="00F0110F">
      <w:pPr>
        <w:pStyle w:val="Footnote"/>
        <w:rPr>
          <w:rFonts w:eastAsiaTheme="minorEastAsia"/>
          <w:b/>
          <w:lang w:val="en-GB" w:eastAsia="zh-CN"/>
        </w:rPr>
      </w:pPr>
      <w:r>
        <w:rPr>
          <w:rFonts w:eastAsia="SimSun"/>
          <w:lang w:val="en-GB"/>
        </w:rPr>
        <w:t>Note</w:t>
      </w:r>
      <w:r w:rsidR="001B4500">
        <w:rPr>
          <w:rFonts w:eastAsia="SimSun"/>
          <w:lang w:val="en-GB"/>
        </w:rPr>
        <w:t>:</w:t>
      </w:r>
      <w:r>
        <w:rPr>
          <w:rFonts w:eastAsia="SimSun"/>
          <w:lang w:val="en-GB"/>
        </w:rPr>
        <w:t xml:space="preserve"> </w:t>
      </w:r>
      <w:r>
        <w:rPr>
          <w:lang w:val="en-CA"/>
        </w:rPr>
        <w:t>¥ = RMB = Chinese yuan renminbi; ¥1 = US$0.17 on January 31, 2016; 2017 data refers to only the first half of the yea</w:t>
      </w:r>
      <w:r w:rsidR="00D8136E">
        <w:rPr>
          <w:lang w:val="en-CA"/>
        </w:rPr>
        <w:t>r.</w:t>
      </w:r>
    </w:p>
    <w:p w14:paraId="038D9360" w14:textId="1DE02EAB" w:rsidR="000976C8" w:rsidRPr="00054790" w:rsidRDefault="000976C8" w:rsidP="00F0110F">
      <w:pPr>
        <w:pStyle w:val="Footnote"/>
        <w:rPr>
          <w:rFonts w:eastAsia="MS Mincho"/>
          <w:b/>
          <w:sz w:val="24"/>
          <w:szCs w:val="24"/>
          <w:lang w:val="en-GB"/>
        </w:rPr>
      </w:pPr>
      <w:r w:rsidRPr="00054790">
        <w:rPr>
          <w:rFonts w:eastAsia="MS Mincho"/>
          <w:lang w:val="en-GB"/>
        </w:rPr>
        <w:t xml:space="preserve">Source: </w:t>
      </w:r>
      <w:r w:rsidR="00D8136E">
        <w:rPr>
          <w:rFonts w:eastAsia="MS Mincho"/>
          <w:lang w:val="en-GB"/>
        </w:rPr>
        <w:t>Company files.</w:t>
      </w:r>
    </w:p>
    <w:p w14:paraId="695B807F" w14:textId="77777777" w:rsidR="00F0110F" w:rsidRPr="00054790" w:rsidRDefault="00F0110F" w:rsidP="00F0110F">
      <w:pPr>
        <w:pStyle w:val="ExhibitText"/>
        <w:rPr>
          <w:rFonts w:eastAsia="MS Mincho"/>
          <w:lang w:val="en-GB"/>
        </w:rPr>
      </w:pPr>
    </w:p>
    <w:p w14:paraId="765D71EF" w14:textId="77777777" w:rsidR="00F0110F" w:rsidRPr="00054790" w:rsidRDefault="00F0110F" w:rsidP="00F0110F">
      <w:pPr>
        <w:pStyle w:val="ExhibitText"/>
        <w:rPr>
          <w:rFonts w:eastAsia="MS Mincho"/>
          <w:lang w:val="en-GB"/>
        </w:rPr>
      </w:pPr>
    </w:p>
    <w:p w14:paraId="465A867C" w14:textId="12780067" w:rsidR="000976C8" w:rsidRPr="00054790" w:rsidRDefault="000976C8" w:rsidP="007709F2">
      <w:pPr>
        <w:pStyle w:val="ExhibitHeading"/>
        <w:rPr>
          <w:rFonts w:eastAsia="MS Mincho"/>
          <w:lang w:val="en-GB"/>
        </w:rPr>
      </w:pPr>
      <w:r w:rsidRPr="00054790">
        <w:rPr>
          <w:rFonts w:eastAsia="MS Mincho"/>
          <w:lang w:val="en-GB"/>
        </w:rPr>
        <w:t xml:space="preserve">Exhibit </w:t>
      </w:r>
      <w:r w:rsidR="00D35E49" w:rsidRPr="00054790">
        <w:rPr>
          <w:rFonts w:eastAsia="MS Mincho"/>
          <w:lang w:val="en-GB"/>
        </w:rPr>
        <w:t>3</w:t>
      </w:r>
      <w:r w:rsidRPr="00054790">
        <w:rPr>
          <w:rFonts w:eastAsia="MS Mincho"/>
          <w:lang w:val="en-GB"/>
        </w:rPr>
        <w:t xml:space="preserve">: </w:t>
      </w:r>
      <w:r w:rsidR="00D9279F" w:rsidRPr="00054790">
        <w:rPr>
          <w:rFonts w:eastAsia="MS Mincho"/>
          <w:lang w:val="en-GB"/>
        </w:rPr>
        <w:t>Bauing Group</w:t>
      </w:r>
      <w:r w:rsidR="00D9279F">
        <w:rPr>
          <w:rFonts w:eastAsia="MS Mincho"/>
          <w:lang w:val="en-GB"/>
        </w:rPr>
        <w:t>’s</w:t>
      </w:r>
      <w:r w:rsidR="00D9279F" w:rsidRPr="00054790">
        <w:rPr>
          <w:rFonts w:eastAsia="MS Mincho"/>
          <w:lang w:val="en-GB"/>
        </w:rPr>
        <w:t xml:space="preserve"> </w:t>
      </w:r>
      <w:r w:rsidRPr="00054790">
        <w:rPr>
          <w:rFonts w:eastAsia="MS Mincho"/>
          <w:lang w:val="en-GB"/>
        </w:rPr>
        <w:t>Financial Performance, 2013–2016 (in ¥)</w:t>
      </w:r>
    </w:p>
    <w:p w14:paraId="0B1AE110" w14:textId="77777777" w:rsidR="0052726B" w:rsidRPr="00054790" w:rsidRDefault="0052726B" w:rsidP="007709F2">
      <w:pPr>
        <w:pStyle w:val="ExhibitHeading"/>
        <w:rPr>
          <w:rFonts w:eastAsia="MS Mincho"/>
          <w:lang w:val="en-GB"/>
        </w:rPr>
      </w:pPr>
    </w:p>
    <w:tbl>
      <w:tblPr>
        <w:tblW w:w="11463" w:type="dxa"/>
        <w:jc w:val="center"/>
        <w:tblLook w:val="04A0" w:firstRow="1" w:lastRow="0" w:firstColumn="1" w:lastColumn="0" w:noHBand="0" w:noVBand="1"/>
      </w:tblPr>
      <w:tblGrid>
        <w:gridCol w:w="750"/>
        <w:gridCol w:w="2085"/>
        <w:gridCol w:w="2085"/>
        <w:gridCol w:w="1885"/>
        <w:gridCol w:w="1885"/>
        <w:gridCol w:w="2773"/>
      </w:tblGrid>
      <w:tr w:rsidR="0052726B" w:rsidRPr="00054790" w14:paraId="41696A7E" w14:textId="77777777" w:rsidTr="009E2811">
        <w:trPr>
          <w:trHeight w:val="315"/>
          <w:jc w:val="center"/>
        </w:trPr>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98C0B" w14:textId="77777777" w:rsidR="0052726B" w:rsidRPr="00054790" w:rsidRDefault="0052726B" w:rsidP="0052726B">
            <w:pPr>
              <w:jc w:val="center"/>
              <w:rPr>
                <w:rFonts w:ascii="Arial" w:hAnsi="Arial" w:cs="Arial"/>
                <w:b/>
                <w:bCs/>
                <w:color w:val="000000"/>
                <w:lang w:val="en-GB" w:eastAsia="zh-CN"/>
              </w:rPr>
            </w:pPr>
            <w:r w:rsidRPr="00054790">
              <w:rPr>
                <w:rFonts w:ascii="Arial" w:hAnsi="Arial" w:cs="Arial"/>
                <w:b/>
                <w:bCs/>
                <w:color w:val="000000"/>
                <w:lang w:val="en-GB" w:eastAsia="zh-CN"/>
              </w:rPr>
              <w:t>Year</w:t>
            </w:r>
          </w:p>
        </w:tc>
        <w:tc>
          <w:tcPr>
            <w:tcW w:w="2085" w:type="dxa"/>
            <w:tcBorders>
              <w:top w:val="single" w:sz="4" w:space="0" w:color="auto"/>
              <w:left w:val="nil"/>
              <w:bottom w:val="single" w:sz="4" w:space="0" w:color="auto"/>
              <w:right w:val="single" w:sz="4" w:space="0" w:color="auto"/>
            </w:tcBorders>
            <w:shd w:val="clear" w:color="auto" w:fill="auto"/>
            <w:noWrap/>
            <w:vAlign w:val="center"/>
            <w:hideMark/>
          </w:tcPr>
          <w:p w14:paraId="3DBE65F3" w14:textId="77777777" w:rsidR="0052726B" w:rsidRPr="00054790" w:rsidRDefault="0052726B" w:rsidP="0052726B">
            <w:pPr>
              <w:jc w:val="center"/>
              <w:rPr>
                <w:rFonts w:ascii="Arial" w:hAnsi="Arial" w:cs="Arial"/>
                <w:b/>
                <w:bCs/>
                <w:color w:val="000000"/>
                <w:lang w:val="en-GB" w:eastAsia="zh-CN"/>
              </w:rPr>
            </w:pPr>
            <w:r w:rsidRPr="00054790">
              <w:rPr>
                <w:rFonts w:ascii="Arial" w:hAnsi="Arial" w:cs="Arial"/>
                <w:b/>
                <w:bCs/>
                <w:color w:val="000000"/>
                <w:lang w:val="en-GB" w:eastAsia="zh-CN"/>
              </w:rPr>
              <w:t>Total Revenue</w:t>
            </w:r>
          </w:p>
        </w:tc>
        <w:tc>
          <w:tcPr>
            <w:tcW w:w="2085" w:type="dxa"/>
            <w:tcBorders>
              <w:top w:val="single" w:sz="4" w:space="0" w:color="auto"/>
              <w:left w:val="nil"/>
              <w:bottom w:val="single" w:sz="4" w:space="0" w:color="auto"/>
              <w:right w:val="single" w:sz="4" w:space="0" w:color="auto"/>
            </w:tcBorders>
            <w:shd w:val="clear" w:color="auto" w:fill="auto"/>
            <w:noWrap/>
            <w:vAlign w:val="center"/>
            <w:hideMark/>
          </w:tcPr>
          <w:p w14:paraId="4C5A00F4" w14:textId="77777777" w:rsidR="0052726B" w:rsidRPr="00054790" w:rsidRDefault="0052726B" w:rsidP="0052726B">
            <w:pPr>
              <w:jc w:val="center"/>
              <w:rPr>
                <w:rFonts w:ascii="Arial" w:hAnsi="Arial" w:cs="Arial"/>
                <w:b/>
                <w:bCs/>
                <w:color w:val="000000"/>
                <w:lang w:val="en-GB" w:eastAsia="zh-CN"/>
              </w:rPr>
            </w:pPr>
            <w:r w:rsidRPr="00054790">
              <w:rPr>
                <w:rFonts w:ascii="Arial" w:hAnsi="Arial" w:cs="Arial"/>
                <w:b/>
                <w:bCs/>
                <w:color w:val="000000"/>
                <w:lang w:val="en-GB" w:eastAsia="zh-CN"/>
              </w:rPr>
              <w:t>Total Costs</w:t>
            </w:r>
          </w:p>
        </w:tc>
        <w:tc>
          <w:tcPr>
            <w:tcW w:w="1885" w:type="dxa"/>
            <w:tcBorders>
              <w:top w:val="single" w:sz="4" w:space="0" w:color="auto"/>
              <w:left w:val="nil"/>
              <w:bottom w:val="single" w:sz="4" w:space="0" w:color="auto"/>
              <w:right w:val="single" w:sz="4" w:space="0" w:color="auto"/>
            </w:tcBorders>
            <w:shd w:val="clear" w:color="auto" w:fill="auto"/>
            <w:noWrap/>
            <w:vAlign w:val="center"/>
            <w:hideMark/>
          </w:tcPr>
          <w:p w14:paraId="33E37D23" w14:textId="77777777" w:rsidR="0052726B" w:rsidRPr="00054790" w:rsidRDefault="0052726B" w:rsidP="0052726B">
            <w:pPr>
              <w:jc w:val="center"/>
              <w:rPr>
                <w:rFonts w:ascii="Arial" w:hAnsi="Arial" w:cs="Arial"/>
                <w:b/>
                <w:bCs/>
                <w:color w:val="000000"/>
                <w:lang w:val="en-GB" w:eastAsia="zh-CN"/>
              </w:rPr>
            </w:pPr>
            <w:r w:rsidRPr="00054790">
              <w:rPr>
                <w:rFonts w:ascii="Arial" w:hAnsi="Arial" w:cs="Arial"/>
                <w:b/>
                <w:bCs/>
                <w:color w:val="000000"/>
                <w:lang w:val="en-GB" w:eastAsia="zh-CN"/>
              </w:rPr>
              <w:t>Gross Margin</w:t>
            </w:r>
          </w:p>
        </w:tc>
        <w:tc>
          <w:tcPr>
            <w:tcW w:w="1885" w:type="dxa"/>
            <w:tcBorders>
              <w:top w:val="single" w:sz="4" w:space="0" w:color="auto"/>
              <w:left w:val="nil"/>
              <w:bottom w:val="single" w:sz="4" w:space="0" w:color="auto"/>
              <w:right w:val="single" w:sz="4" w:space="0" w:color="auto"/>
            </w:tcBorders>
            <w:shd w:val="clear" w:color="auto" w:fill="auto"/>
            <w:noWrap/>
            <w:vAlign w:val="center"/>
            <w:hideMark/>
          </w:tcPr>
          <w:p w14:paraId="39448227" w14:textId="77777777" w:rsidR="0052726B" w:rsidRPr="00054790" w:rsidRDefault="0052726B" w:rsidP="0052726B">
            <w:pPr>
              <w:jc w:val="center"/>
              <w:rPr>
                <w:rFonts w:ascii="Arial" w:hAnsi="Arial" w:cs="Arial"/>
                <w:b/>
                <w:bCs/>
                <w:color w:val="000000"/>
                <w:lang w:val="en-GB" w:eastAsia="zh-CN"/>
              </w:rPr>
            </w:pPr>
            <w:r w:rsidRPr="00054790">
              <w:rPr>
                <w:rFonts w:ascii="Arial" w:hAnsi="Arial" w:cs="Arial"/>
                <w:b/>
                <w:bCs/>
                <w:color w:val="000000"/>
                <w:lang w:val="en-GB" w:eastAsia="zh-CN"/>
              </w:rPr>
              <w:t>Net Profit</w:t>
            </w:r>
          </w:p>
        </w:tc>
        <w:tc>
          <w:tcPr>
            <w:tcW w:w="2773" w:type="dxa"/>
            <w:tcBorders>
              <w:top w:val="single" w:sz="4" w:space="0" w:color="auto"/>
              <w:left w:val="nil"/>
              <w:bottom w:val="single" w:sz="4" w:space="0" w:color="auto"/>
              <w:right w:val="single" w:sz="4" w:space="0" w:color="auto"/>
            </w:tcBorders>
            <w:shd w:val="clear" w:color="auto" w:fill="auto"/>
            <w:noWrap/>
            <w:vAlign w:val="center"/>
            <w:hideMark/>
          </w:tcPr>
          <w:p w14:paraId="1441F53A" w14:textId="20B41A81" w:rsidR="0052726B" w:rsidRPr="00054790" w:rsidRDefault="0052726B" w:rsidP="001B4500">
            <w:pPr>
              <w:jc w:val="center"/>
              <w:rPr>
                <w:rFonts w:ascii="Arial" w:hAnsi="Arial" w:cs="Arial"/>
                <w:b/>
                <w:bCs/>
                <w:color w:val="000000"/>
                <w:lang w:val="en-GB" w:eastAsia="zh-CN"/>
              </w:rPr>
            </w:pPr>
            <w:r w:rsidRPr="00054790">
              <w:rPr>
                <w:rFonts w:ascii="Arial" w:hAnsi="Arial" w:cs="Arial"/>
                <w:b/>
                <w:bCs/>
                <w:color w:val="000000"/>
                <w:lang w:val="en-GB" w:eastAsia="zh-CN"/>
              </w:rPr>
              <w:t xml:space="preserve">Operational Cash </w:t>
            </w:r>
            <w:r w:rsidR="001B4500">
              <w:rPr>
                <w:rFonts w:ascii="Arial" w:hAnsi="Arial" w:cs="Arial"/>
                <w:b/>
                <w:bCs/>
                <w:color w:val="000000"/>
                <w:lang w:val="en-GB" w:eastAsia="zh-CN"/>
              </w:rPr>
              <w:t>F</w:t>
            </w:r>
            <w:r w:rsidRPr="00054790">
              <w:rPr>
                <w:rFonts w:ascii="Arial" w:hAnsi="Arial" w:cs="Arial"/>
                <w:b/>
                <w:bCs/>
                <w:color w:val="000000"/>
                <w:lang w:val="en-GB" w:eastAsia="zh-CN"/>
              </w:rPr>
              <w:t>low</w:t>
            </w:r>
          </w:p>
        </w:tc>
      </w:tr>
      <w:tr w:rsidR="0052726B" w:rsidRPr="00054790" w14:paraId="49F64AD1" w14:textId="77777777" w:rsidTr="009E2811">
        <w:trPr>
          <w:trHeight w:val="315"/>
          <w:jc w:val="center"/>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4273500" w14:textId="77777777" w:rsidR="0052726B" w:rsidRPr="00054790" w:rsidRDefault="0052726B" w:rsidP="0052726B">
            <w:pPr>
              <w:jc w:val="center"/>
              <w:rPr>
                <w:rFonts w:ascii="Arial" w:hAnsi="Arial" w:cs="Arial"/>
                <w:color w:val="000000"/>
                <w:lang w:val="en-GB" w:eastAsia="zh-CN"/>
              </w:rPr>
            </w:pPr>
            <w:r w:rsidRPr="00054790">
              <w:rPr>
                <w:rFonts w:ascii="Arial" w:hAnsi="Arial" w:cs="Arial"/>
                <w:color w:val="000000"/>
                <w:lang w:val="en-GB" w:eastAsia="zh-CN"/>
              </w:rPr>
              <w:t>2013</w:t>
            </w:r>
          </w:p>
        </w:tc>
        <w:tc>
          <w:tcPr>
            <w:tcW w:w="2085" w:type="dxa"/>
            <w:tcBorders>
              <w:top w:val="nil"/>
              <w:left w:val="nil"/>
              <w:bottom w:val="single" w:sz="4" w:space="0" w:color="auto"/>
              <w:right w:val="single" w:sz="4" w:space="0" w:color="auto"/>
            </w:tcBorders>
            <w:shd w:val="clear" w:color="auto" w:fill="auto"/>
            <w:noWrap/>
            <w:vAlign w:val="center"/>
            <w:hideMark/>
          </w:tcPr>
          <w:p w14:paraId="6F28F094" w14:textId="692D5F46"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3,726,811,295</w:t>
            </w:r>
          </w:p>
        </w:tc>
        <w:tc>
          <w:tcPr>
            <w:tcW w:w="2085" w:type="dxa"/>
            <w:tcBorders>
              <w:top w:val="nil"/>
              <w:left w:val="nil"/>
              <w:bottom w:val="single" w:sz="4" w:space="0" w:color="auto"/>
              <w:right w:val="single" w:sz="4" w:space="0" w:color="auto"/>
            </w:tcBorders>
            <w:shd w:val="clear" w:color="auto" w:fill="auto"/>
            <w:noWrap/>
            <w:vAlign w:val="center"/>
            <w:hideMark/>
          </w:tcPr>
          <w:p w14:paraId="10A244B8" w14:textId="0DE9AB59"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3,433,162,670</w:t>
            </w:r>
          </w:p>
        </w:tc>
        <w:tc>
          <w:tcPr>
            <w:tcW w:w="1885" w:type="dxa"/>
            <w:tcBorders>
              <w:top w:val="nil"/>
              <w:left w:val="nil"/>
              <w:bottom w:val="single" w:sz="4" w:space="0" w:color="auto"/>
              <w:right w:val="single" w:sz="4" w:space="0" w:color="auto"/>
            </w:tcBorders>
            <w:shd w:val="clear" w:color="auto" w:fill="auto"/>
            <w:noWrap/>
            <w:vAlign w:val="center"/>
            <w:hideMark/>
          </w:tcPr>
          <w:p w14:paraId="3C331059" w14:textId="1CD4D202"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294,598,087</w:t>
            </w:r>
          </w:p>
        </w:tc>
        <w:tc>
          <w:tcPr>
            <w:tcW w:w="1885" w:type="dxa"/>
            <w:tcBorders>
              <w:top w:val="nil"/>
              <w:left w:val="nil"/>
              <w:bottom w:val="single" w:sz="4" w:space="0" w:color="auto"/>
              <w:right w:val="single" w:sz="4" w:space="0" w:color="auto"/>
            </w:tcBorders>
            <w:shd w:val="clear" w:color="auto" w:fill="auto"/>
            <w:noWrap/>
            <w:vAlign w:val="center"/>
            <w:hideMark/>
          </w:tcPr>
          <w:p w14:paraId="0E070771" w14:textId="1D674EF5"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219,834,226</w:t>
            </w:r>
          </w:p>
        </w:tc>
        <w:tc>
          <w:tcPr>
            <w:tcW w:w="2773" w:type="dxa"/>
            <w:tcBorders>
              <w:top w:val="nil"/>
              <w:left w:val="nil"/>
              <w:bottom w:val="single" w:sz="4" w:space="0" w:color="auto"/>
              <w:right w:val="single" w:sz="4" w:space="0" w:color="auto"/>
            </w:tcBorders>
            <w:shd w:val="clear" w:color="auto" w:fill="auto"/>
            <w:noWrap/>
            <w:vAlign w:val="center"/>
            <w:hideMark/>
          </w:tcPr>
          <w:p w14:paraId="3EB53D1D" w14:textId="38698B59" w:rsidR="0052726B" w:rsidRPr="00054790" w:rsidRDefault="00D9279F" w:rsidP="002F4426">
            <w:pPr>
              <w:tabs>
                <w:tab w:val="decimal" w:pos="1898"/>
              </w:tabs>
              <w:jc w:val="right"/>
              <w:rPr>
                <w:rFonts w:ascii="Arial" w:hAnsi="Arial" w:cs="Arial"/>
                <w:color w:val="000000"/>
                <w:lang w:val="en-GB" w:eastAsia="zh-CN"/>
              </w:rPr>
            </w:pPr>
            <w:r>
              <w:rPr>
                <w:rFonts w:ascii="Arial" w:hAnsi="Arial" w:cs="Arial"/>
                <w:color w:val="000000"/>
                <w:lang w:val="en-GB" w:eastAsia="zh-CN"/>
              </w:rPr>
              <w:t>–</w:t>
            </w:r>
            <w:r w:rsidR="00523D3A" w:rsidRPr="00054790">
              <w:rPr>
                <w:rFonts w:ascii="Arial" w:hAnsi="Arial" w:cs="Arial"/>
                <w:color w:val="000000"/>
                <w:lang w:val="en-GB" w:eastAsia="zh-CN"/>
              </w:rPr>
              <w:t>448,596,095</w:t>
            </w:r>
          </w:p>
        </w:tc>
      </w:tr>
      <w:tr w:rsidR="0052726B" w:rsidRPr="00054790" w14:paraId="34D00447" w14:textId="77777777" w:rsidTr="009E2811">
        <w:trPr>
          <w:trHeight w:val="315"/>
          <w:jc w:val="center"/>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8A10022" w14:textId="77777777" w:rsidR="0052726B" w:rsidRPr="00054790" w:rsidRDefault="0052726B" w:rsidP="0052726B">
            <w:pPr>
              <w:jc w:val="center"/>
              <w:rPr>
                <w:rFonts w:ascii="Arial" w:hAnsi="Arial" w:cs="Arial"/>
                <w:color w:val="000000"/>
                <w:lang w:val="en-GB" w:eastAsia="zh-CN"/>
              </w:rPr>
            </w:pPr>
            <w:r w:rsidRPr="00054790">
              <w:rPr>
                <w:rFonts w:ascii="Arial" w:hAnsi="Arial" w:cs="Arial"/>
                <w:color w:val="000000"/>
                <w:lang w:val="en-GB" w:eastAsia="zh-CN"/>
              </w:rPr>
              <w:t>2014</w:t>
            </w:r>
          </w:p>
        </w:tc>
        <w:tc>
          <w:tcPr>
            <w:tcW w:w="2085" w:type="dxa"/>
            <w:tcBorders>
              <w:top w:val="nil"/>
              <w:left w:val="nil"/>
              <w:bottom w:val="single" w:sz="4" w:space="0" w:color="auto"/>
              <w:right w:val="single" w:sz="4" w:space="0" w:color="auto"/>
            </w:tcBorders>
            <w:shd w:val="clear" w:color="auto" w:fill="auto"/>
            <w:noWrap/>
            <w:vAlign w:val="center"/>
            <w:hideMark/>
          </w:tcPr>
          <w:p w14:paraId="238EC16A" w14:textId="02CAB411"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5,382,464,813</w:t>
            </w:r>
          </w:p>
        </w:tc>
        <w:tc>
          <w:tcPr>
            <w:tcW w:w="2085" w:type="dxa"/>
            <w:tcBorders>
              <w:top w:val="nil"/>
              <w:left w:val="nil"/>
              <w:bottom w:val="single" w:sz="4" w:space="0" w:color="auto"/>
              <w:right w:val="single" w:sz="4" w:space="0" w:color="auto"/>
            </w:tcBorders>
            <w:shd w:val="clear" w:color="auto" w:fill="auto"/>
            <w:noWrap/>
            <w:vAlign w:val="center"/>
            <w:hideMark/>
          </w:tcPr>
          <w:p w14:paraId="369EC7AA" w14:textId="0007D8F9"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5,019,268,829</w:t>
            </w:r>
          </w:p>
        </w:tc>
        <w:tc>
          <w:tcPr>
            <w:tcW w:w="1885" w:type="dxa"/>
            <w:tcBorders>
              <w:top w:val="nil"/>
              <w:left w:val="nil"/>
              <w:bottom w:val="single" w:sz="4" w:space="0" w:color="auto"/>
              <w:right w:val="single" w:sz="4" w:space="0" w:color="auto"/>
            </w:tcBorders>
            <w:shd w:val="clear" w:color="auto" w:fill="auto"/>
            <w:noWrap/>
            <w:vAlign w:val="center"/>
            <w:hideMark/>
          </w:tcPr>
          <w:p w14:paraId="045E9B87" w14:textId="52CEACB4"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368,513,312</w:t>
            </w:r>
          </w:p>
        </w:tc>
        <w:tc>
          <w:tcPr>
            <w:tcW w:w="1885" w:type="dxa"/>
            <w:tcBorders>
              <w:top w:val="nil"/>
              <w:left w:val="nil"/>
              <w:bottom w:val="single" w:sz="4" w:space="0" w:color="auto"/>
              <w:right w:val="single" w:sz="4" w:space="0" w:color="auto"/>
            </w:tcBorders>
            <w:shd w:val="clear" w:color="auto" w:fill="auto"/>
            <w:noWrap/>
            <w:vAlign w:val="center"/>
            <w:hideMark/>
          </w:tcPr>
          <w:p w14:paraId="3C814A8F" w14:textId="2805CD02"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272,954,954</w:t>
            </w:r>
          </w:p>
        </w:tc>
        <w:tc>
          <w:tcPr>
            <w:tcW w:w="2773" w:type="dxa"/>
            <w:tcBorders>
              <w:top w:val="nil"/>
              <w:left w:val="nil"/>
              <w:bottom w:val="single" w:sz="4" w:space="0" w:color="auto"/>
              <w:right w:val="single" w:sz="4" w:space="0" w:color="auto"/>
            </w:tcBorders>
            <w:shd w:val="clear" w:color="auto" w:fill="auto"/>
            <w:noWrap/>
            <w:vAlign w:val="center"/>
            <w:hideMark/>
          </w:tcPr>
          <w:p w14:paraId="4716127C" w14:textId="4413AFEC" w:rsidR="0052726B" w:rsidRPr="00054790" w:rsidRDefault="00D9279F" w:rsidP="002F4426">
            <w:pPr>
              <w:tabs>
                <w:tab w:val="decimal" w:pos="1898"/>
              </w:tabs>
              <w:jc w:val="right"/>
              <w:rPr>
                <w:rFonts w:ascii="Arial" w:hAnsi="Arial" w:cs="Arial"/>
                <w:color w:val="000000"/>
                <w:lang w:val="en-GB" w:eastAsia="zh-CN"/>
              </w:rPr>
            </w:pPr>
            <w:r>
              <w:rPr>
                <w:rFonts w:ascii="Arial" w:hAnsi="Arial" w:cs="Arial"/>
                <w:color w:val="000000"/>
                <w:lang w:val="en-GB" w:eastAsia="zh-CN"/>
              </w:rPr>
              <w:t>–</w:t>
            </w:r>
            <w:r w:rsidR="00523D3A" w:rsidRPr="00054790">
              <w:rPr>
                <w:rFonts w:ascii="Arial" w:hAnsi="Arial" w:cs="Arial"/>
                <w:color w:val="000000"/>
                <w:lang w:val="en-GB" w:eastAsia="zh-CN"/>
              </w:rPr>
              <w:t>738,645,006</w:t>
            </w:r>
          </w:p>
        </w:tc>
      </w:tr>
      <w:tr w:rsidR="0052726B" w:rsidRPr="00054790" w14:paraId="3A9C5157" w14:textId="77777777" w:rsidTr="009E2811">
        <w:trPr>
          <w:trHeight w:val="315"/>
          <w:jc w:val="center"/>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B40DA7B" w14:textId="77777777" w:rsidR="0052726B" w:rsidRPr="00054790" w:rsidRDefault="0052726B" w:rsidP="0052726B">
            <w:pPr>
              <w:jc w:val="center"/>
              <w:rPr>
                <w:rFonts w:ascii="Arial" w:hAnsi="Arial" w:cs="Arial"/>
                <w:color w:val="000000"/>
                <w:lang w:val="en-GB" w:eastAsia="zh-CN"/>
              </w:rPr>
            </w:pPr>
            <w:r w:rsidRPr="00054790">
              <w:rPr>
                <w:rFonts w:ascii="Arial" w:hAnsi="Arial" w:cs="Arial"/>
                <w:color w:val="000000"/>
                <w:lang w:val="en-GB" w:eastAsia="zh-CN"/>
              </w:rPr>
              <w:t>2015</w:t>
            </w:r>
          </w:p>
        </w:tc>
        <w:tc>
          <w:tcPr>
            <w:tcW w:w="2085" w:type="dxa"/>
            <w:tcBorders>
              <w:top w:val="nil"/>
              <w:left w:val="nil"/>
              <w:bottom w:val="single" w:sz="4" w:space="0" w:color="auto"/>
              <w:right w:val="single" w:sz="4" w:space="0" w:color="auto"/>
            </w:tcBorders>
            <w:shd w:val="clear" w:color="auto" w:fill="auto"/>
            <w:noWrap/>
            <w:vAlign w:val="center"/>
            <w:hideMark/>
          </w:tcPr>
          <w:p w14:paraId="720A6D7B" w14:textId="02F725F7"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6,853,661,299</w:t>
            </w:r>
          </w:p>
        </w:tc>
        <w:tc>
          <w:tcPr>
            <w:tcW w:w="2085" w:type="dxa"/>
            <w:tcBorders>
              <w:top w:val="nil"/>
              <w:left w:val="nil"/>
              <w:bottom w:val="single" w:sz="4" w:space="0" w:color="auto"/>
              <w:right w:val="single" w:sz="4" w:space="0" w:color="auto"/>
            </w:tcBorders>
            <w:shd w:val="clear" w:color="auto" w:fill="auto"/>
            <w:noWrap/>
            <w:vAlign w:val="center"/>
            <w:hideMark/>
          </w:tcPr>
          <w:p w14:paraId="15170EDB" w14:textId="5528C62A"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6,369,445,922</w:t>
            </w:r>
          </w:p>
        </w:tc>
        <w:tc>
          <w:tcPr>
            <w:tcW w:w="1885" w:type="dxa"/>
            <w:tcBorders>
              <w:top w:val="nil"/>
              <w:left w:val="nil"/>
              <w:bottom w:val="single" w:sz="4" w:space="0" w:color="auto"/>
              <w:right w:val="single" w:sz="4" w:space="0" w:color="auto"/>
            </w:tcBorders>
            <w:shd w:val="clear" w:color="auto" w:fill="auto"/>
            <w:noWrap/>
            <w:vAlign w:val="center"/>
            <w:hideMark/>
          </w:tcPr>
          <w:p w14:paraId="30A1B51C" w14:textId="3ADC9128"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492,235,480</w:t>
            </w:r>
          </w:p>
        </w:tc>
        <w:tc>
          <w:tcPr>
            <w:tcW w:w="1885" w:type="dxa"/>
            <w:tcBorders>
              <w:top w:val="nil"/>
              <w:left w:val="nil"/>
              <w:bottom w:val="single" w:sz="4" w:space="0" w:color="auto"/>
              <w:right w:val="single" w:sz="4" w:space="0" w:color="auto"/>
            </w:tcBorders>
            <w:shd w:val="clear" w:color="auto" w:fill="auto"/>
            <w:noWrap/>
            <w:vAlign w:val="center"/>
            <w:hideMark/>
          </w:tcPr>
          <w:p w14:paraId="46ADCCF0" w14:textId="1602E423"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376,808,558</w:t>
            </w:r>
          </w:p>
        </w:tc>
        <w:tc>
          <w:tcPr>
            <w:tcW w:w="2773" w:type="dxa"/>
            <w:tcBorders>
              <w:top w:val="nil"/>
              <w:left w:val="nil"/>
              <w:bottom w:val="single" w:sz="4" w:space="0" w:color="auto"/>
              <w:right w:val="single" w:sz="4" w:space="0" w:color="auto"/>
            </w:tcBorders>
            <w:shd w:val="clear" w:color="auto" w:fill="auto"/>
            <w:noWrap/>
            <w:vAlign w:val="center"/>
            <w:hideMark/>
          </w:tcPr>
          <w:p w14:paraId="149BDDE5" w14:textId="7983FE89" w:rsidR="0052726B" w:rsidRPr="00054790" w:rsidRDefault="00523D3A" w:rsidP="002F4426">
            <w:pPr>
              <w:tabs>
                <w:tab w:val="decimal" w:pos="1898"/>
              </w:tabs>
              <w:jc w:val="right"/>
              <w:rPr>
                <w:rFonts w:ascii="Arial" w:hAnsi="Arial" w:cs="Arial"/>
                <w:color w:val="000000"/>
                <w:lang w:val="en-GB" w:eastAsia="zh-CN"/>
              </w:rPr>
            </w:pPr>
            <w:r w:rsidRPr="00054790">
              <w:rPr>
                <w:rFonts w:ascii="Arial" w:hAnsi="Arial" w:cs="Arial"/>
                <w:color w:val="000000"/>
                <w:lang w:val="en-GB" w:eastAsia="zh-CN"/>
              </w:rPr>
              <w:t>3,444,370,942</w:t>
            </w:r>
          </w:p>
        </w:tc>
      </w:tr>
      <w:tr w:rsidR="0052726B" w:rsidRPr="00054790" w14:paraId="7B3A6AA9" w14:textId="77777777" w:rsidTr="009E2811">
        <w:trPr>
          <w:trHeight w:val="315"/>
          <w:jc w:val="center"/>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9E94475" w14:textId="77777777" w:rsidR="0052726B" w:rsidRPr="00054790" w:rsidRDefault="0052726B" w:rsidP="0052726B">
            <w:pPr>
              <w:jc w:val="center"/>
              <w:rPr>
                <w:rFonts w:ascii="Arial" w:hAnsi="Arial" w:cs="Arial"/>
                <w:color w:val="000000"/>
                <w:lang w:val="en-GB" w:eastAsia="zh-CN"/>
              </w:rPr>
            </w:pPr>
            <w:r w:rsidRPr="00054790">
              <w:rPr>
                <w:rFonts w:ascii="Arial" w:hAnsi="Arial" w:cs="Arial"/>
                <w:color w:val="000000"/>
                <w:lang w:val="en-GB" w:eastAsia="zh-CN"/>
              </w:rPr>
              <w:t>2016</w:t>
            </w:r>
          </w:p>
        </w:tc>
        <w:tc>
          <w:tcPr>
            <w:tcW w:w="2085" w:type="dxa"/>
            <w:tcBorders>
              <w:top w:val="nil"/>
              <w:left w:val="nil"/>
              <w:bottom w:val="single" w:sz="4" w:space="0" w:color="auto"/>
              <w:right w:val="single" w:sz="4" w:space="0" w:color="auto"/>
            </w:tcBorders>
            <w:shd w:val="clear" w:color="auto" w:fill="auto"/>
            <w:noWrap/>
            <w:vAlign w:val="center"/>
            <w:hideMark/>
          </w:tcPr>
          <w:p w14:paraId="24F40BC8" w14:textId="7BC4396F"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6,851,510,073</w:t>
            </w:r>
          </w:p>
        </w:tc>
        <w:tc>
          <w:tcPr>
            <w:tcW w:w="2085" w:type="dxa"/>
            <w:tcBorders>
              <w:top w:val="nil"/>
              <w:left w:val="nil"/>
              <w:bottom w:val="single" w:sz="4" w:space="0" w:color="auto"/>
              <w:right w:val="single" w:sz="4" w:space="0" w:color="auto"/>
            </w:tcBorders>
            <w:shd w:val="clear" w:color="auto" w:fill="auto"/>
            <w:noWrap/>
            <w:vAlign w:val="center"/>
            <w:hideMark/>
          </w:tcPr>
          <w:p w14:paraId="4174B1E0" w14:textId="77BFC5D2"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6,284,031,093</w:t>
            </w:r>
          </w:p>
        </w:tc>
        <w:tc>
          <w:tcPr>
            <w:tcW w:w="1885" w:type="dxa"/>
            <w:tcBorders>
              <w:top w:val="nil"/>
              <w:left w:val="nil"/>
              <w:bottom w:val="single" w:sz="4" w:space="0" w:color="auto"/>
              <w:right w:val="single" w:sz="4" w:space="0" w:color="auto"/>
            </w:tcBorders>
            <w:shd w:val="clear" w:color="auto" w:fill="auto"/>
            <w:noWrap/>
            <w:vAlign w:val="center"/>
            <w:hideMark/>
          </w:tcPr>
          <w:p w14:paraId="34D8BD63" w14:textId="554BC230"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551,279,876</w:t>
            </w:r>
          </w:p>
        </w:tc>
        <w:tc>
          <w:tcPr>
            <w:tcW w:w="1885" w:type="dxa"/>
            <w:tcBorders>
              <w:top w:val="nil"/>
              <w:left w:val="nil"/>
              <w:bottom w:val="single" w:sz="4" w:space="0" w:color="auto"/>
              <w:right w:val="single" w:sz="4" w:space="0" w:color="auto"/>
            </w:tcBorders>
            <w:shd w:val="clear" w:color="auto" w:fill="auto"/>
            <w:noWrap/>
            <w:vAlign w:val="center"/>
            <w:hideMark/>
          </w:tcPr>
          <w:p w14:paraId="79E63EBA" w14:textId="5C03E710" w:rsidR="0052726B" w:rsidRPr="00054790" w:rsidRDefault="00523D3A" w:rsidP="002F4426">
            <w:pPr>
              <w:jc w:val="right"/>
              <w:rPr>
                <w:rFonts w:ascii="Arial" w:hAnsi="Arial" w:cs="Arial"/>
                <w:color w:val="000000"/>
                <w:lang w:val="en-GB" w:eastAsia="zh-CN"/>
              </w:rPr>
            </w:pPr>
            <w:r w:rsidRPr="00054790">
              <w:rPr>
                <w:rFonts w:ascii="Arial" w:hAnsi="Arial" w:cs="Arial"/>
                <w:color w:val="000000"/>
                <w:lang w:val="en-GB" w:eastAsia="zh-CN"/>
              </w:rPr>
              <w:t>420,796,567</w:t>
            </w:r>
          </w:p>
        </w:tc>
        <w:tc>
          <w:tcPr>
            <w:tcW w:w="2773" w:type="dxa"/>
            <w:tcBorders>
              <w:top w:val="nil"/>
              <w:left w:val="nil"/>
              <w:bottom w:val="single" w:sz="4" w:space="0" w:color="auto"/>
              <w:right w:val="single" w:sz="4" w:space="0" w:color="auto"/>
            </w:tcBorders>
            <w:shd w:val="clear" w:color="auto" w:fill="auto"/>
            <w:noWrap/>
            <w:vAlign w:val="center"/>
            <w:hideMark/>
          </w:tcPr>
          <w:p w14:paraId="11015584" w14:textId="4250BB5D" w:rsidR="0052726B" w:rsidRPr="00054790" w:rsidRDefault="00D9279F" w:rsidP="002F4426">
            <w:pPr>
              <w:tabs>
                <w:tab w:val="decimal" w:pos="1898"/>
              </w:tabs>
              <w:jc w:val="right"/>
              <w:rPr>
                <w:rFonts w:ascii="Arial" w:hAnsi="Arial" w:cs="Arial"/>
                <w:color w:val="000000"/>
                <w:lang w:val="en-GB" w:eastAsia="zh-CN"/>
              </w:rPr>
            </w:pPr>
            <w:r>
              <w:rPr>
                <w:rFonts w:ascii="Arial" w:hAnsi="Arial" w:cs="Arial"/>
                <w:color w:val="000000"/>
                <w:lang w:val="en-GB" w:eastAsia="zh-CN"/>
              </w:rPr>
              <w:t>–</w:t>
            </w:r>
            <w:r w:rsidR="00523D3A" w:rsidRPr="00054790">
              <w:rPr>
                <w:rFonts w:ascii="Arial" w:hAnsi="Arial" w:cs="Arial"/>
                <w:color w:val="000000"/>
                <w:lang w:val="en-GB" w:eastAsia="zh-CN"/>
              </w:rPr>
              <w:t>569,343,508</w:t>
            </w:r>
          </w:p>
        </w:tc>
      </w:tr>
    </w:tbl>
    <w:p w14:paraId="5EA16E53" w14:textId="77777777" w:rsidR="00D9279F" w:rsidRDefault="00D9279F" w:rsidP="00944F16">
      <w:pPr>
        <w:pStyle w:val="Footnote"/>
        <w:rPr>
          <w:rFonts w:eastAsia="MS Mincho"/>
          <w:lang w:val="en-GB"/>
        </w:rPr>
      </w:pPr>
    </w:p>
    <w:p w14:paraId="72125F9C" w14:textId="1EC2F1D8" w:rsidR="00D9279F" w:rsidRDefault="00D9279F" w:rsidP="00944F16">
      <w:pPr>
        <w:pStyle w:val="Footnote"/>
        <w:rPr>
          <w:rFonts w:eastAsia="MS Mincho"/>
          <w:lang w:val="en-GB"/>
        </w:rPr>
      </w:pPr>
      <w:r>
        <w:rPr>
          <w:rFonts w:eastAsia="SimSun"/>
          <w:lang w:val="en-GB"/>
        </w:rPr>
        <w:t>Note</w:t>
      </w:r>
      <w:r w:rsidR="001B4500">
        <w:rPr>
          <w:rFonts w:eastAsia="SimSun"/>
          <w:lang w:val="en-GB"/>
        </w:rPr>
        <w:t>:</w:t>
      </w:r>
      <w:r>
        <w:rPr>
          <w:rFonts w:eastAsia="SimSun"/>
          <w:lang w:val="en-GB"/>
        </w:rPr>
        <w:t xml:space="preserve"> </w:t>
      </w:r>
      <w:r>
        <w:rPr>
          <w:lang w:val="en-CA"/>
        </w:rPr>
        <w:t>¥ = RMB = Chinese yuan renminbi; ¥1 = US$0.17 on January 31, 2016.</w:t>
      </w:r>
    </w:p>
    <w:p w14:paraId="6B4E33CC" w14:textId="074611EC" w:rsidR="000976C8" w:rsidRPr="00054790" w:rsidRDefault="000976C8" w:rsidP="00944F16">
      <w:pPr>
        <w:pStyle w:val="Footnote"/>
        <w:rPr>
          <w:rFonts w:eastAsia="MS Mincho"/>
          <w:lang w:val="en-GB"/>
        </w:rPr>
      </w:pPr>
      <w:r w:rsidRPr="00054790">
        <w:rPr>
          <w:rFonts w:eastAsia="MS Mincho"/>
          <w:lang w:val="en-GB"/>
        </w:rPr>
        <w:t xml:space="preserve">Source: </w:t>
      </w:r>
      <w:r w:rsidR="00D8136E">
        <w:rPr>
          <w:rFonts w:eastAsia="MS Mincho"/>
          <w:lang w:val="en-GB"/>
        </w:rPr>
        <w:t>Company files.</w:t>
      </w:r>
    </w:p>
    <w:p w14:paraId="32260D66" w14:textId="77777777" w:rsidR="002D3EE3" w:rsidRPr="00054790" w:rsidRDefault="000976C8" w:rsidP="000976C8">
      <w:pPr>
        <w:rPr>
          <w:rFonts w:eastAsia="MS Mincho"/>
          <w:sz w:val="18"/>
          <w:szCs w:val="24"/>
          <w:lang w:val="en-GB"/>
        </w:rPr>
        <w:sectPr w:rsidR="002D3EE3" w:rsidRPr="00054790" w:rsidSect="009E2811">
          <w:headerReference w:type="default" r:id="rId16"/>
          <w:pgSz w:w="15840" w:h="12240" w:orient="landscape" w:code="1"/>
          <w:pgMar w:top="1440" w:right="1080" w:bottom="1440" w:left="1440" w:header="1080" w:footer="720" w:gutter="0"/>
          <w:cols w:space="720"/>
          <w:docGrid w:linePitch="360"/>
        </w:sectPr>
      </w:pPr>
      <w:r w:rsidRPr="00054790">
        <w:rPr>
          <w:rFonts w:eastAsia="MS Mincho"/>
          <w:sz w:val="18"/>
          <w:szCs w:val="24"/>
          <w:lang w:val="en-GB"/>
        </w:rPr>
        <w:br w:type="page"/>
      </w:r>
    </w:p>
    <w:p w14:paraId="78DCD84B" w14:textId="7F9EA623" w:rsidR="000976C8" w:rsidRPr="00054790" w:rsidRDefault="000976C8" w:rsidP="002D3EE3">
      <w:pPr>
        <w:pStyle w:val="ExhibitHeading"/>
        <w:rPr>
          <w:rFonts w:eastAsia="MS Mincho"/>
          <w:lang w:val="en-GB"/>
        </w:rPr>
      </w:pPr>
      <w:r w:rsidRPr="00054790">
        <w:rPr>
          <w:rFonts w:eastAsia="MS Mincho"/>
          <w:lang w:val="en-GB"/>
        </w:rPr>
        <w:lastRenderedPageBreak/>
        <w:t xml:space="preserve">Exhibit </w:t>
      </w:r>
      <w:r w:rsidR="00B10DE4" w:rsidRPr="00054790">
        <w:rPr>
          <w:rFonts w:eastAsia="MS Mincho"/>
          <w:lang w:val="en-GB"/>
        </w:rPr>
        <w:t>4</w:t>
      </w:r>
      <w:r w:rsidRPr="00054790">
        <w:rPr>
          <w:rFonts w:eastAsia="MS Mincho"/>
          <w:lang w:val="en-GB"/>
        </w:rPr>
        <w:t>: Finished Projects of Bauing Group in Foreign Markets</w:t>
      </w:r>
    </w:p>
    <w:p w14:paraId="4B62B812" w14:textId="77777777" w:rsidR="002D3EE3" w:rsidRPr="00054790" w:rsidRDefault="002D3EE3" w:rsidP="002D3EE3">
      <w:pPr>
        <w:pStyle w:val="ExhibitText"/>
        <w:rPr>
          <w:rFonts w:eastAsia="MS Mincho"/>
          <w:lang w:val="en-GB"/>
        </w:rPr>
      </w:pPr>
    </w:p>
    <w:tbl>
      <w:tblPr>
        <w:tblW w:w="11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800"/>
        <w:gridCol w:w="4672"/>
        <w:gridCol w:w="1842"/>
        <w:gridCol w:w="2835"/>
      </w:tblGrid>
      <w:tr w:rsidR="00AC37FE" w:rsidRPr="00054790" w14:paraId="7664B986" w14:textId="77777777" w:rsidTr="00AC37FE">
        <w:trPr>
          <w:trHeight w:val="170"/>
          <w:jc w:val="center"/>
        </w:trPr>
        <w:tc>
          <w:tcPr>
            <w:tcW w:w="630" w:type="dxa"/>
            <w:shd w:val="clear" w:color="auto" w:fill="auto"/>
            <w:vAlign w:val="center"/>
            <w:hideMark/>
          </w:tcPr>
          <w:p w14:paraId="319C82C9" w14:textId="77777777" w:rsidR="00AC37FE" w:rsidRPr="00054790" w:rsidRDefault="00AC37FE" w:rsidP="00B876A0">
            <w:pPr>
              <w:jc w:val="center"/>
              <w:rPr>
                <w:rFonts w:ascii="Arial" w:hAnsi="Arial" w:cs="Arial"/>
                <w:b/>
                <w:bCs/>
                <w:color w:val="000000"/>
                <w:lang w:val="en-GB"/>
              </w:rPr>
            </w:pPr>
            <w:r w:rsidRPr="00054790">
              <w:rPr>
                <w:rFonts w:ascii="Arial" w:hAnsi="Arial" w:cs="Arial"/>
                <w:b/>
                <w:bCs/>
                <w:color w:val="000000"/>
                <w:lang w:val="en-GB"/>
              </w:rPr>
              <w:t>No.</w:t>
            </w:r>
          </w:p>
        </w:tc>
        <w:tc>
          <w:tcPr>
            <w:tcW w:w="1800" w:type="dxa"/>
            <w:shd w:val="clear" w:color="auto" w:fill="auto"/>
            <w:vAlign w:val="center"/>
          </w:tcPr>
          <w:p w14:paraId="5C522D03" w14:textId="4380BF62" w:rsidR="00AC37FE" w:rsidRPr="00054790" w:rsidRDefault="00AC37FE" w:rsidP="00AC37FE">
            <w:pPr>
              <w:jc w:val="center"/>
              <w:rPr>
                <w:rFonts w:ascii="Arial" w:hAnsi="Arial" w:cs="Arial"/>
                <w:b/>
                <w:bCs/>
                <w:color w:val="000000"/>
                <w:lang w:val="en-GB"/>
              </w:rPr>
            </w:pPr>
            <w:r w:rsidRPr="00054790">
              <w:rPr>
                <w:rFonts w:ascii="Arial" w:hAnsi="Arial" w:cs="Arial"/>
                <w:b/>
                <w:bCs/>
                <w:color w:val="000000"/>
                <w:lang w:val="en-GB"/>
              </w:rPr>
              <w:t>Country/Region</w:t>
            </w:r>
          </w:p>
        </w:tc>
        <w:tc>
          <w:tcPr>
            <w:tcW w:w="4672" w:type="dxa"/>
            <w:shd w:val="clear" w:color="auto" w:fill="auto"/>
            <w:vAlign w:val="center"/>
            <w:hideMark/>
          </w:tcPr>
          <w:p w14:paraId="5795BDAE" w14:textId="77777777" w:rsidR="00AC37FE" w:rsidRPr="00054790" w:rsidRDefault="00AC37FE" w:rsidP="00B876A0">
            <w:pPr>
              <w:jc w:val="center"/>
              <w:rPr>
                <w:rFonts w:ascii="Arial" w:hAnsi="Arial" w:cs="Arial"/>
                <w:b/>
                <w:bCs/>
                <w:color w:val="000000"/>
                <w:lang w:val="en-GB"/>
              </w:rPr>
            </w:pPr>
            <w:r w:rsidRPr="00054790">
              <w:rPr>
                <w:rFonts w:ascii="Arial" w:hAnsi="Arial" w:cs="Arial"/>
                <w:b/>
                <w:bCs/>
                <w:color w:val="000000"/>
                <w:lang w:val="en-GB"/>
              </w:rPr>
              <w:t>Project</w:t>
            </w:r>
          </w:p>
        </w:tc>
        <w:tc>
          <w:tcPr>
            <w:tcW w:w="1842" w:type="dxa"/>
            <w:shd w:val="clear" w:color="auto" w:fill="auto"/>
            <w:vAlign w:val="center"/>
            <w:hideMark/>
          </w:tcPr>
          <w:p w14:paraId="269AA423" w14:textId="77777777" w:rsidR="00AC37FE" w:rsidRPr="00054790" w:rsidRDefault="00AC37FE" w:rsidP="00B876A0">
            <w:pPr>
              <w:jc w:val="center"/>
              <w:rPr>
                <w:rFonts w:ascii="Arial" w:hAnsi="Arial" w:cs="Arial"/>
                <w:b/>
                <w:bCs/>
                <w:color w:val="000000"/>
                <w:lang w:val="en-GB"/>
              </w:rPr>
            </w:pPr>
            <w:r w:rsidRPr="00054790">
              <w:rPr>
                <w:rFonts w:ascii="Arial" w:hAnsi="Arial" w:cs="Arial"/>
                <w:b/>
                <w:bCs/>
                <w:color w:val="000000"/>
                <w:lang w:val="en-GB"/>
              </w:rPr>
              <w:t>Contract Price</w:t>
            </w:r>
          </w:p>
        </w:tc>
        <w:tc>
          <w:tcPr>
            <w:tcW w:w="2835" w:type="dxa"/>
            <w:shd w:val="clear" w:color="auto" w:fill="auto"/>
            <w:vAlign w:val="center"/>
            <w:hideMark/>
          </w:tcPr>
          <w:p w14:paraId="1597AA16" w14:textId="77777777" w:rsidR="00AC37FE" w:rsidRPr="00054790" w:rsidRDefault="00AC37FE" w:rsidP="00B876A0">
            <w:pPr>
              <w:jc w:val="center"/>
              <w:rPr>
                <w:rFonts w:ascii="Arial" w:hAnsi="Arial" w:cs="Arial"/>
                <w:b/>
                <w:bCs/>
                <w:color w:val="000000"/>
                <w:lang w:val="en-GB"/>
              </w:rPr>
            </w:pPr>
            <w:r w:rsidRPr="00054790">
              <w:rPr>
                <w:rFonts w:ascii="Arial" w:hAnsi="Arial" w:cs="Arial"/>
                <w:b/>
                <w:bCs/>
                <w:color w:val="000000"/>
                <w:lang w:val="en-GB"/>
              </w:rPr>
              <w:t>Contractor</w:t>
            </w:r>
          </w:p>
        </w:tc>
      </w:tr>
      <w:tr w:rsidR="00B876A0" w:rsidRPr="00054790" w14:paraId="06B8BF2C" w14:textId="77777777" w:rsidTr="00AC37FE">
        <w:trPr>
          <w:trHeight w:val="195"/>
          <w:jc w:val="center"/>
        </w:trPr>
        <w:tc>
          <w:tcPr>
            <w:tcW w:w="630" w:type="dxa"/>
            <w:shd w:val="clear" w:color="auto" w:fill="auto"/>
            <w:vAlign w:val="center"/>
            <w:hideMark/>
          </w:tcPr>
          <w:p w14:paraId="076A7A7B"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w:t>
            </w:r>
          </w:p>
        </w:tc>
        <w:tc>
          <w:tcPr>
            <w:tcW w:w="1800" w:type="dxa"/>
            <w:shd w:val="clear" w:color="auto" w:fill="auto"/>
            <w:vAlign w:val="center"/>
            <w:hideMark/>
          </w:tcPr>
          <w:p w14:paraId="1AE96A32"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Indonesia</w:t>
            </w:r>
          </w:p>
        </w:tc>
        <w:tc>
          <w:tcPr>
            <w:tcW w:w="4672" w:type="dxa"/>
            <w:shd w:val="clear" w:color="auto" w:fill="auto"/>
            <w:vAlign w:val="center"/>
            <w:hideMark/>
          </w:tcPr>
          <w:p w14:paraId="079BCBC5"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Indonesian army eco-house project</w:t>
            </w:r>
          </w:p>
        </w:tc>
        <w:tc>
          <w:tcPr>
            <w:tcW w:w="1842" w:type="dxa"/>
            <w:shd w:val="clear" w:color="auto" w:fill="auto"/>
            <w:vAlign w:val="center"/>
            <w:hideMark/>
          </w:tcPr>
          <w:p w14:paraId="7EE5029B"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32A1DD6F"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PT </w:t>
            </w:r>
            <w:proofErr w:type="spellStart"/>
            <w:r w:rsidRPr="00054790">
              <w:rPr>
                <w:rFonts w:ascii="Arial" w:hAnsi="Arial" w:cs="Arial"/>
                <w:color w:val="000000"/>
                <w:lang w:val="en-GB"/>
              </w:rPr>
              <w:t>Bauing</w:t>
            </w:r>
            <w:proofErr w:type="spellEnd"/>
            <w:r w:rsidRPr="00054790">
              <w:rPr>
                <w:rFonts w:ascii="Arial" w:hAnsi="Arial" w:cs="Arial"/>
                <w:color w:val="000000"/>
                <w:lang w:val="en-GB"/>
              </w:rPr>
              <w:t xml:space="preserve"> Construction Group Indonesia</w:t>
            </w:r>
          </w:p>
        </w:tc>
      </w:tr>
      <w:tr w:rsidR="00B876A0" w:rsidRPr="00054790" w14:paraId="55F91715" w14:textId="77777777" w:rsidTr="00AC37FE">
        <w:trPr>
          <w:trHeight w:val="430"/>
          <w:jc w:val="center"/>
        </w:trPr>
        <w:tc>
          <w:tcPr>
            <w:tcW w:w="630" w:type="dxa"/>
            <w:shd w:val="clear" w:color="auto" w:fill="auto"/>
            <w:vAlign w:val="center"/>
            <w:hideMark/>
          </w:tcPr>
          <w:p w14:paraId="788AB846"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2</w:t>
            </w:r>
          </w:p>
        </w:tc>
        <w:tc>
          <w:tcPr>
            <w:tcW w:w="1800" w:type="dxa"/>
            <w:shd w:val="clear" w:color="auto" w:fill="auto"/>
            <w:vAlign w:val="center"/>
            <w:hideMark/>
          </w:tcPr>
          <w:p w14:paraId="7CCC459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Malaysia</w:t>
            </w:r>
          </w:p>
        </w:tc>
        <w:tc>
          <w:tcPr>
            <w:tcW w:w="4672" w:type="dxa"/>
            <w:shd w:val="clear" w:color="auto" w:fill="auto"/>
            <w:vAlign w:val="center"/>
            <w:hideMark/>
          </w:tcPr>
          <w:p w14:paraId="4396D546"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Country Garden Forest City sales office and KL Port </w:t>
            </w:r>
            <w:proofErr w:type="spellStart"/>
            <w:r w:rsidRPr="00054790">
              <w:rPr>
                <w:rFonts w:ascii="Arial" w:hAnsi="Arial" w:cs="Arial"/>
                <w:color w:val="000000"/>
                <w:lang w:val="en-GB"/>
              </w:rPr>
              <w:t>Klang</w:t>
            </w:r>
            <w:proofErr w:type="spellEnd"/>
            <w:r w:rsidRPr="00054790">
              <w:rPr>
                <w:rFonts w:ascii="Arial" w:hAnsi="Arial" w:cs="Arial"/>
                <w:color w:val="000000"/>
                <w:lang w:val="en-GB"/>
              </w:rPr>
              <w:t xml:space="preserve"> </w:t>
            </w:r>
            <w:proofErr w:type="spellStart"/>
            <w:r w:rsidRPr="00054790">
              <w:rPr>
                <w:rFonts w:ascii="Arial" w:hAnsi="Arial" w:cs="Arial"/>
                <w:color w:val="000000"/>
                <w:lang w:val="en-GB"/>
              </w:rPr>
              <w:t>Yima</w:t>
            </w:r>
            <w:proofErr w:type="spellEnd"/>
            <w:r w:rsidRPr="00054790">
              <w:rPr>
                <w:rFonts w:ascii="Arial" w:hAnsi="Arial" w:cs="Arial"/>
                <w:color w:val="000000"/>
                <w:lang w:val="en-GB"/>
              </w:rPr>
              <w:t xml:space="preserve"> Hotel fitting-out project</w:t>
            </w:r>
          </w:p>
        </w:tc>
        <w:tc>
          <w:tcPr>
            <w:tcW w:w="1842" w:type="dxa"/>
            <w:shd w:val="clear" w:color="auto" w:fill="auto"/>
            <w:vAlign w:val="center"/>
            <w:hideMark/>
          </w:tcPr>
          <w:p w14:paraId="0C80BE6B" w14:textId="1338E140" w:rsidR="00B876A0" w:rsidRPr="00054790" w:rsidRDefault="00B876A0" w:rsidP="00944F16">
            <w:pPr>
              <w:tabs>
                <w:tab w:val="decimal" w:pos="1414"/>
              </w:tabs>
              <w:rPr>
                <w:rFonts w:ascii="Arial" w:hAnsi="Arial" w:cs="Arial"/>
                <w:color w:val="000000"/>
                <w:lang w:val="en-GB"/>
              </w:rPr>
            </w:pPr>
            <w:r w:rsidRPr="00054790">
              <w:rPr>
                <w:rFonts w:ascii="Arial" w:hAnsi="Arial" w:cs="Arial"/>
                <w:color w:val="000000"/>
                <w:lang w:val="en-GB"/>
              </w:rPr>
              <w:t>US</w:t>
            </w:r>
            <w:r w:rsidR="00D9279F">
              <w:rPr>
                <w:rFonts w:ascii="Arial" w:hAnsi="Arial" w:cs="Arial"/>
                <w:color w:val="000000"/>
                <w:lang w:val="en-GB"/>
              </w:rPr>
              <w:t>$</w:t>
            </w:r>
            <w:r w:rsidRPr="00054790">
              <w:rPr>
                <w:rFonts w:ascii="Arial" w:hAnsi="Arial" w:cs="Arial"/>
                <w:color w:val="000000"/>
                <w:lang w:val="en-GB"/>
              </w:rPr>
              <w:t>9,185,940</w:t>
            </w:r>
          </w:p>
        </w:tc>
        <w:tc>
          <w:tcPr>
            <w:tcW w:w="2835" w:type="dxa"/>
            <w:shd w:val="clear" w:color="auto" w:fill="auto"/>
            <w:vAlign w:val="center"/>
            <w:hideMark/>
          </w:tcPr>
          <w:p w14:paraId="4215B622"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Ninefold</w:t>
            </w:r>
            <w:proofErr w:type="spellEnd"/>
            <w:r w:rsidRPr="00054790">
              <w:rPr>
                <w:rFonts w:ascii="Arial" w:hAnsi="Arial" w:cs="Arial"/>
                <w:color w:val="000000"/>
                <w:lang w:val="en-GB"/>
              </w:rPr>
              <w:t xml:space="preserve"> Construction Group</w:t>
            </w:r>
          </w:p>
        </w:tc>
      </w:tr>
      <w:tr w:rsidR="00B876A0" w:rsidRPr="00054790" w14:paraId="1F3A5B1D" w14:textId="77777777" w:rsidTr="00AC37FE">
        <w:trPr>
          <w:trHeight w:val="223"/>
          <w:jc w:val="center"/>
        </w:trPr>
        <w:tc>
          <w:tcPr>
            <w:tcW w:w="630" w:type="dxa"/>
            <w:shd w:val="clear" w:color="auto" w:fill="auto"/>
            <w:vAlign w:val="center"/>
            <w:hideMark/>
          </w:tcPr>
          <w:p w14:paraId="4FF76D93"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3</w:t>
            </w:r>
          </w:p>
        </w:tc>
        <w:tc>
          <w:tcPr>
            <w:tcW w:w="1800" w:type="dxa"/>
            <w:shd w:val="clear" w:color="auto" w:fill="auto"/>
            <w:vAlign w:val="center"/>
            <w:hideMark/>
          </w:tcPr>
          <w:p w14:paraId="62337E49"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Danang</w:t>
            </w:r>
            <w:proofErr w:type="spellEnd"/>
            <w:r w:rsidRPr="00054790">
              <w:rPr>
                <w:rFonts w:ascii="Arial" w:hAnsi="Arial" w:cs="Arial"/>
                <w:color w:val="000000"/>
                <w:lang w:val="en-GB"/>
              </w:rPr>
              <w:t>, Vietnam</w:t>
            </w:r>
          </w:p>
        </w:tc>
        <w:tc>
          <w:tcPr>
            <w:tcW w:w="4672" w:type="dxa"/>
            <w:shd w:val="clear" w:color="auto" w:fill="auto"/>
            <w:vAlign w:val="center"/>
            <w:hideMark/>
          </w:tcPr>
          <w:p w14:paraId="6C80A736"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Crowne Plaza </w:t>
            </w:r>
            <w:proofErr w:type="spellStart"/>
            <w:r w:rsidRPr="00054790">
              <w:rPr>
                <w:rFonts w:ascii="Arial" w:hAnsi="Arial" w:cs="Arial"/>
                <w:color w:val="000000"/>
                <w:lang w:val="en-GB"/>
              </w:rPr>
              <w:t>Danang</w:t>
            </w:r>
            <w:proofErr w:type="spellEnd"/>
            <w:r w:rsidRPr="00054790">
              <w:rPr>
                <w:rFonts w:ascii="Arial" w:hAnsi="Arial" w:cs="Arial"/>
                <w:color w:val="000000"/>
                <w:lang w:val="en-GB"/>
              </w:rPr>
              <w:t xml:space="preserve"> fitting-out project</w:t>
            </w:r>
          </w:p>
        </w:tc>
        <w:tc>
          <w:tcPr>
            <w:tcW w:w="1842" w:type="dxa"/>
            <w:shd w:val="clear" w:color="auto" w:fill="auto"/>
            <w:vAlign w:val="center"/>
            <w:hideMark/>
          </w:tcPr>
          <w:p w14:paraId="1E9BA3A7" w14:textId="08260914" w:rsidR="00B876A0" w:rsidRPr="00054790" w:rsidRDefault="00B876A0" w:rsidP="00944F16">
            <w:pPr>
              <w:tabs>
                <w:tab w:val="decimal" w:pos="1414"/>
              </w:tabs>
              <w:rPr>
                <w:rFonts w:ascii="Arial" w:hAnsi="Arial" w:cs="Arial"/>
                <w:color w:val="000000"/>
                <w:lang w:val="en-GB"/>
              </w:rPr>
            </w:pPr>
            <w:r w:rsidRPr="00054790">
              <w:rPr>
                <w:rFonts w:ascii="Arial" w:hAnsi="Arial" w:cs="Arial"/>
                <w:color w:val="000000"/>
                <w:lang w:val="en-GB"/>
              </w:rPr>
              <w:t>US</w:t>
            </w:r>
            <w:r w:rsidR="00D9279F">
              <w:rPr>
                <w:rFonts w:ascii="Arial" w:hAnsi="Arial" w:cs="Arial"/>
                <w:color w:val="000000"/>
                <w:lang w:val="en-GB"/>
              </w:rPr>
              <w:t>$</w:t>
            </w:r>
            <w:r w:rsidRPr="00054790">
              <w:rPr>
                <w:rFonts w:ascii="Arial" w:hAnsi="Arial" w:cs="Arial"/>
                <w:color w:val="000000"/>
                <w:lang w:val="en-GB"/>
              </w:rPr>
              <w:t>14,062,200</w:t>
            </w:r>
          </w:p>
        </w:tc>
        <w:tc>
          <w:tcPr>
            <w:tcW w:w="2835" w:type="dxa"/>
            <w:shd w:val="clear" w:color="auto" w:fill="auto"/>
            <w:vAlign w:val="center"/>
            <w:hideMark/>
          </w:tcPr>
          <w:p w14:paraId="53E1F9D6"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Ninefold</w:t>
            </w:r>
            <w:proofErr w:type="spellEnd"/>
            <w:r w:rsidRPr="00054790">
              <w:rPr>
                <w:rFonts w:ascii="Arial" w:hAnsi="Arial" w:cs="Arial"/>
                <w:color w:val="000000"/>
                <w:lang w:val="en-GB"/>
              </w:rPr>
              <w:t xml:space="preserve"> Construction Group</w:t>
            </w:r>
          </w:p>
        </w:tc>
      </w:tr>
      <w:tr w:rsidR="00B876A0" w:rsidRPr="00054790" w14:paraId="65C42569" w14:textId="77777777" w:rsidTr="00AC37FE">
        <w:trPr>
          <w:trHeight w:val="421"/>
          <w:jc w:val="center"/>
        </w:trPr>
        <w:tc>
          <w:tcPr>
            <w:tcW w:w="630" w:type="dxa"/>
            <w:shd w:val="clear" w:color="auto" w:fill="auto"/>
            <w:vAlign w:val="center"/>
            <w:hideMark/>
          </w:tcPr>
          <w:p w14:paraId="1CC62F3E"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4</w:t>
            </w:r>
          </w:p>
        </w:tc>
        <w:tc>
          <w:tcPr>
            <w:tcW w:w="1800" w:type="dxa"/>
            <w:shd w:val="clear" w:color="auto" w:fill="auto"/>
            <w:vAlign w:val="center"/>
            <w:hideMark/>
          </w:tcPr>
          <w:p w14:paraId="7A0F30D7"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Macau</w:t>
            </w:r>
          </w:p>
        </w:tc>
        <w:tc>
          <w:tcPr>
            <w:tcW w:w="4672" w:type="dxa"/>
            <w:shd w:val="clear" w:color="auto" w:fill="auto"/>
            <w:vAlign w:val="center"/>
            <w:hideMark/>
          </w:tcPr>
          <w:p w14:paraId="33D1A7B6"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Studio City Macau ballroom and gymnasium fitting-out project</w:t>
            </w:r>
          </w:p>
        </w:tc>
        <w:tc>
          <w:tcPr>
            <w:tcW w:w="1842" w:type="dxa"/>
            <w:shd w:val="clear" w:color="auto" w:fill="auto"/>
            <w:vAlign w:val="center"/>
            <w:hideMark/>
          </w:tcPr>
          <w:p w14:paraId="0D1BB17C" w14:textId="3636F9EA" w:rsidR="00B876A0" w:rsidRPr="00054790" w:rsidRDefault="00B876A0" w:rsidP="00944F16">
            <w:pPr>
              <w:tabs>
                <w:tab w:val="decimal" w:pos="1414"/>
              </w:tabs>
              <w:rPr>
                <w:rFonts w:ascii="Arial" w:hAnsi="Arial" w:cs="Arial"/>
                <w:color w:val="000000"/>
                <w:lang w:val="en-GB"/>
              </w:rPr>
            </w:pPr>
            <w:r w:rsidRPr="00054790">
              <w:rPr>
                <w:rFonts w:ascii="Arial" w:hAnsi="Arial" w:cs="Arial"/>
                <w:color w:val="000000"/>
                <w:lang w:val="en-GB"/>
              </w:rPr>
              <w:t>US</w:t>
            </w:r>
            <w:r w:rsidR="00D9279F">
              <w:rPr>
                <w:rFonts w:ascii="Arial" w:hAnsi="Arial" w:cs="Arial"/>
                <w:color w:val="000000"/>
                <w:lang w:val="en-GB"/>
              </w:rPr>
              <w:t>$</w:t>
            </w:r>
            <w:r w:rsidRPr="00054790">
              <w:rPr>
                <w:rFonts w:ascii="Arial" w:hAnsi="Arial" w:cs="Arial"/>
                <w:color w:val="000000"/>
                <w:lang w:val="en-GB"/>
              </w:rPr>
              <w:t>4,576,574</w:t>
            </w:r>
          </w:p>
        </w:tc>
        <w:tc>
          <w:tcPr>
            <w:tcW w:w="2835" w:type="dxa"/>
            <w:shd w:val="clear" w:color="auto" w:fill="auto"/>
            <w:vAlign w:val="center"/>
            <w:hideMark/>
          </w:tcPr>
          <w:p w14:paraId="7A7496A5"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Ninefold</w:t>
            </w:r>
            <w:proofErr w:type="spellEnd"/>
            <w:r w:rsidRPr="00054790">
              <w:rPr>
                <w:rFonts w:ascii="Arial" w:hAnsi="Arial" w:cs="Arial"/>
                <w:color w:val="000000"/>
                <w:lang w:val="en-GB"/>
              </w:rPr>
              <w:t xml:space="preserve"> Construction Group</w:t>
            </w:r>
          </w:p>
        </w:tc>
      </w:tr>
      <w:tr w:rsidR="00B876A0" w:rsidRPr="00054790" w14:paraId="46F63027" w14:textId="77777777" w:rsidTr="00AC37FE">
        <w:trPr>
          <w:trHeight w:val="205"/>
          <w:jc w:val="center"/>
        </w:trPr>
        <w:tc>
          <w:tcPr>
            <w:tcW w:w="630" w:type="dxa"/>
            <w:shd w:val="clear" w:color="auto" w:fill="auto"/>
            <w:vAlign w:val="center"/>
            <w:hideMark/>
          </w:tcPr>
          <w:p w14:paraId="30DC1585"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5</w:t>
            </w:r>
          </w:p>
        </w:tc>
        <w:tc>
          <w:tcPr>
            <w:tcW w:w="1800" w:type="dxa"/>
            <w:shd w:val="clear" w:color="auto" w:fill="auto"/>
            <w:vAlign w:val="center"/>
            <w:hideMark/>
          </w:tcPr>
          <w:p w14:paraId="06326A22"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Macau</w:t>
            </w:r>
          </w:p>
        </w:tc>
        <w:tc>
          <w:tcPr>
            <w:tcW w:w="4672" w:type="dxa"/>
            <w:shd w:val="clear" w:color="auto" w:fill="auto"/>
            <w:vAlign w:val="center"/>
            <w:hideMark/>
          </w:tcPr>
          <w:p w14:paraId="571E5385"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Grand Waldo Hotel Macau fitting-out project</w:t>
            </w:r>
          </w:p>
        </w:tc>
        <w:tc>
          <w:tcPr>
            <w:tcW w:w="1842" w:type="dxa"/>
            <w:shd w:val="clear" w:color="auto" w:fill="auto"/>
            <w:vAlign w:val="center"/>
            <w:hideMark/>
          </w:tcPr>
          <w:p w14:paraId="417705DC" w14:textId="761E61F1" w:rsidR="00B876A0" w:rsidRPr="00054790" w:rsidRDefault="00B876A0" w:rsidP="00944F16">
            <w:pPr>
              <w:tabs>
                <w:tab w:val="decimal" w:pos="1414"/>
              </w:tabs>
              <w:rPr>
                <w:rFonts w:ascii="Arial" w:hAnsi="Arial" w:cs="Arial"/>
                <w:color w:val="000000"/>
                <w:lang w:val="en-GB"/>
              </w:rPr>
            </w:pPr>
            <w:r w:rsidRPr="00054790">
              <w:rPr>
                <w:rFonts w:ascii="Arial" w:hAnsi="Arial" w:cs="Arial"/>
                <w:color w:val="000000"/>
                <w:lang w:val="en-GB"/>
              </w:rPr>
              <w:t>US</w:t>
            </w:r>
            <w:r w:rsidR="00D9279F">
              <w:rPr>
                <w:rFonts w:ascii="Arial" w:hAnsi="Arial" w:cs="Arial"/>
                <w:color w:val="000000"/>
                <w:lang w:val="en-GB"/>
              </w:rPr>
              <w:t>$</w:t>
            </w:r>
            <w:r w:rsidRPr="00054790">
              <w:rPr>
                <w:rFonts w:ascii="Arial" w:hAnsi="Arial" w:cs="Arial"/>
                <w:color w:val="000000"/>
                <w:lang w:val="en-GB"/>
              </w:rPr>
              <w:t>4,957,543</w:t>
            </w:r>
          </w:p>
        </w:tc>
        <w:tc>
          <w:tcPr>
            <w:tcW w:w="2835" w:type="dxa"/>
            <w:shd w:val="clear" w:color="auto" w:fill="auto"/>
            <w:vAlign w:val="center"/>
            <w:hideMark/>
          </w:tcPr>
          <w:p w14:paraId="0E289C05"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Ninefold</w:t>
            </w:r>
            <w:proofErr w:type="spellEnd"/>
            <w:r w:rsidRPr="00054790">
              <w:rPr>
                <w:rFonts w:ascii="Arial" w:hAnsi="Arial" w:cs="Arial"/>
                <w:color w:val="000000"/>
                <w:lang w:val="en-GB"/>
              </w:rPr>
              <w:t xml:space="preserve"> Construction Group</w:t>
            </w:r>
          </w:p>
        </w:tc>
      </w:tr>
      <w:tr w:rsidR="00B876A0" w:rsidRPr="00054790" w14:paraId="3B5BF39F" w14:textId="77777777" w:rsidTr="00AC37FE">
        <w:trPr>
          <w:trHeight w:val="313"/>
          <w:jc w:val="center"/>
        </w:trPr>
        <w:tc>
          <w:tcPr>
            <w:tcW w:w="630" w:type="dxa"/>
            <w:shd w:val="clear" w:color="auto" w:fill="auto"/>
            <w:vAlign w:val="center"/>
            <w:hideMark/>
          </w:tcPr>
          <w:p w14:paraId="6DA214D1"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6</w:t>
            </w:r>
          </w:p>
        </w:tc>
        <w:tc>
          <w:tcPr>
            <w:tcW w:w="1800" w:type="dxa"/>
            <w:shd w:val="clear" w:color="auto" w:fill="auto"/>
            <w:vAlign w:val="center"/>
            <w:hideMark/>
          </w:tcPr>
          <w:p w14:paraId="7E058F2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Macau</w:t>
            </w:r>
          </w:p>
        </w:tc>
        <w:tc>
          <w:tcPr>
            <w:tcW w:w="4672" w:type="dxa"/>
            <w:shd w:val="clear" w:color="auto" w:fill="auto"/>
            <w:vAlign w:val="center"/>
            <w:hideMark/>
          </w:tcPr>
          <w:p w14:paraId="3651EDD7"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Studio City entertainment studio fitting-out work </w:t>
            </w:r>
          </w:p>
        </w:tc>
        <w:tc>
          <w:tcPr>
            <w:tcW w:w="1842" w:type="dxa"/>
            <w:shd w:val="clear" w:color="auto" w:fill="auto"/>
            <w:vAlign w:val="center"/>
            <w:hideMark/>
          </w:tcPr>
          <w:p w14:paraId="001E11C6" w14:textId="06A055E3" w:rsidR="00B876A0" w:rsidRPr="00054790" w:rsidRDefault="00B876A0" w:rsidP="00944F16">
            <w:pPr>
              <w:tabs>
                <w:tab w:val="decimal" w:pos="1414"/>
              </w:tabs>
              <w:rPr>
                <w:rFonts w:ascii="Arial" w:hAnsi="Arial" w:cs="Arial"/>
                <w:color w:val="000000"/>
                <w:lang w:val="en-GB"/>
              </w:rPr>
            </w:pPr>
            <w:r w:rsidRPr="00054790">
              <w:rPr>
                <w:rFonts w:ascii="Arial" w:hAnsi="Arial" w:cs="Arial"/>
                <w:color w:val="000000"/>
                <w:lang w:val="en-GB"/>
              </w:rPr>
              <w:t>US</w:t>
            </w:r>
            <w:r w:rsidR="00D9279F">
              <w:rPr>
                <w:rFonts w:ascii="Arial" w:hAnsi="Arial" w:cs="Arial"/>
                <w:color w:val="000000"/>
                <w:lang w:val="en-GB"/>
              </w:rPr>
              <w:t>$</w:t>
            </w:r>
            <w:r w:rsidRPr="00054790">
              <w:rPr>
                <w:rFonts w:ascii="Arial" w:hAnsi="Arial" w:cs="Arial"/>
                <w:color w:val="000000"/>
                <w:lang w:val="en-GB"/>
              </w:rPr>
              <w:t>2,436,716</w:t>
            </w:r>
          </w:p>
        </w:tc>
        <w:tc>
          <w:tcPr>
            <w:tcW w:w="2835" w:type="dxa"/>
            <w:shd w:val="clear" w:color="auto" w:fill="auto"/>
            <w:vAlign w:val="center"/>
            <w:hideMark/>
          </w:tcPr>
          <w:p w14:paraId="1C9C830B"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Ninefold</w:t>
            </w:r>
            <w:proofErr w:type="spellEnd"/>
            <w:r w:rsidRPr="00054790">
              <w:rPr>
                <w:rFonts w:ascii="Arial" w:hAnsi="Arial" w:cs="Arial"/>
                <w:color w:val="000000"/>
                <w:lang w:val="en-GB"/>
              </w:rPr>
              <w:t xml:space="preserve"> Construction Group</w:t>
            </w:r>
          </w:p>
        </w:tc>
      </w:tr>
      <w:tr w:rsidR="00B876A0" w:rsidRPr="00054790" w14:paraId="04296876" w14:textId="77777777" w:rsidTr="00AC37FE">
        <w:trPr>
          <w:trHeight w:val="385"/>
          <w:jc w:val="center"/>
        </w:trPr>
        <w:tc>
          <w:tcPr>
            <w:tcW w:w="630" w:type="dxa"/>
            <w:shd w:val="clear" w:color="auto" w:fill="auto"/>
            <w:vAlign w:val="center"/>
            <w:hideMark/>
          </w:tcPr>
          <w:p w14:paraId="519DEC95"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7</w:t>
            </w:r>
          </w:p>
        </w:tc>
        <w:tc>
          <w:tcPr>
            <w:tcW w:w="1800" w:type="dxa"/>
            <w:shd w:val="clear" w:color="auto" w:fill="auto"/>
            <w:vAlign w:val="center"/>
            <w:hideMark/>
          </w:tcPr>
          <w:p w14:paraId="3289F775"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Tajikistan</w:t>
            </w:r>
          </w:p>
        </w:tc>
        <w:tc>
          <w:tcPr>
            <w:tcW w:w="4672" w:type="dxa"/>
            <w:shd w:val="clear" w:color="auto" w:fill="auto"/>
            <w:vAlign w:val="center"/>
            <w:hideMark/>
          </w:tcPr>
          <w:p w14:paraId="71E7097C"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National Reception </w:t>
            </w:r>
            <w:proofErr w:type="spellStart"/>
            <w:r w:rsidRPr="00054790">
              <w:rPr>
                <w:rFonts w:ascii="Arial" w:hAnsi="Arial" w:cs="Arial"/>
                <w:color w:val="000000"/>
                <w:lang w:val="en-GB"/>
              </w:rPr>
              <w:t>Center</w:t>
            </w:r>
            <w:proofErr w:type="spellEnd"/>
            <w:r w:rsidRPr="00054790">
              <w:rPr>
                <w:rFonts w:ascii="Arial" w:hAnsi="Arial" w:cs="Arial"/>
                <w:color w:val="000000"/>
                <w:lang w:val="en-GB"/>
              </w:rPr>
              <w:t xml:space="preserve"> curtain wall project</w:t>
            </w:r>
          </w:p>
        </w:tc>
        <w:tc>
          <w:tcPr>
            <w:tcW w:w="1842" w:type="dxa"/>
            <w:shd w:val="clear" w:color="auto" w:fill="auto"/>
            <w:vAlign w:val="center"/>
            <w:hideMark/>
          </w:tcPr>
          <w:p w14:paraId="4763CCE9" w14:textId="500B9857" w:rsidR="00B876A0" w:rsidRPr="00054790" w:rsidRDefault="00B876A0" w:rsidP="00944F16">
            <w:pPr>
              <w:tabs>
                <w:tab w:val="decimal" w:pos="1414"/>
              </w:tabs>
              <w:rPr>
                <w:rFonts w:ascii="Arial" w:hAnsi="Arial" w:cs="Arial"/>
                <w:color w:val="000000"/>
                <w:lang w:val="en-GB"/>
              </w:rPr>
            </w:pPr>
            <w:r w:rsidRPr="00054790">
              <w:rPr>
                <w:rFonts w:ascii="Arial" w:hAnsi="Arial" w:cs="Arial"/>
                <w:color w:val="000000"/>
                <w:lang w:val="en-GB"/>
              </w:rPr>
              <w:t>US</w:t>
            </w:r>
            <w:r w:rsidR="00D9279F">
              <w:rPr>
                <w:rFonts w:ascii="Arial" w:hAnsi="Arial" w:cs="Arial"/>
                <w:color w:val="000000"/>
                <w:lang w:val="en-GB"/>
              </w:rPr>
              <w:t>$</w:t>
            </w:r>
            <w:r w:rsidRPr="00054790">
              <w:rPr>
                <w:rFonts w:ascii="Arial" w:hAnsi="Arial" w:cs="Arial"/>
                <w:color w:val="000000"/>
                <w:lang w:val="en-GB"/>
              </w:rPr>
              <w:t>13,422,605</w:t>
            </w:r>
          </w:p>
        </w:tc>
        <w:tc>
          <w:tcPr>
            <w:tcW w:w="2835" w:type="dxa"/>
            <w:shd w:val="clear" w:color="auto" w:fill="auto"/>
            <w:vAlign w:val="center"/>
            <w:hideMark/>
          </w:tcPr>
          <w:p w14:paraId="5AB8F204"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Ninefold</w:t>
            </w:r>
            <w:proofErr w:type="spellEnd"/>
            <w:r w:rsidRPr="00054790">
              <w:rPr>
                <w:rFonts w:ascii="Arial" w:hAnsi="Arial" w:cs="Arial"/>
                <w:color w:val="000000"/>
                <w:lang w:val="en-GB"/>
              </w:rPr>
              <w:t xml:space="preserve"> Construction Group</w:t>
            </w:r>
          </w:p>
        </w:tc>
      </w:tr>
      <w:tr w:rsidR="00B876A0" w:rsidRPr="00054790" w14:paraId="0EB4EB96" w14:textId="77777777" w:rsidTr="00AC37FE">
        <w:trPr>
          <w:trHeight w:val="259"/>
          <w:jc w:val="center"/>
        </w:trPr>
        <w:tc>
          <w:tcPr>
            <w:tcW w:w="630" w:type="dxa"/>
            <w:shd w:val="clear" w:color="auto" w:fill="auto"/>
            <w:vAlign w:val="center"/>
            <w:hideMark/>
          </w:tcPr>
          <w:p w14:paraId="439924A6"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8</w:t>
            </w:r>
          </w:p>
        </w:tc>
        <w:tc>
          <w:tcPr>
            <w:tcW w:w="1800" w:type="dxa"/>
            <w:shd w:val="clear" w:color="auto" w:fill="auto"/>
            <w:vAlign w:val="center"/>
            <w:hideMark/>
          </w:tcPr>
          <w:p w14:paraId="651FCD7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Scotland</w:t>
            </w:r>
          </w:p>
        </w:tc>
        <w:tc>
          <w:tcPr>
            <w:tcW w:w="4672" w:type="dxa"/>
            <w:shd w:val="clear" w:color="auto" w:fill="auto"/>
            <w:vAlign w:val="center"/>
            <w:hideMark/>
          </w:tcPr>
          <w:p w14:paraId="101A5448" w14:textId="77777777" w:rsidR="00B876A0" w:rsidRPr="00054790" w:rsidRDefault="00B876A0" w:rsidP="00B876A0">
            <w:pPr>
              <w:rPr>
                <w:rFonts w:ascii="Arial" w:hAnsi="Arial" w:cs="Arial"/>
                <w:color w:val="000000"/>
                <w:lang w:val="en-GB"/>
              </w:rPr>
            </w:pPr>
            <w:proofErr w:type="spellStart"/>
            <w:r w:rsidRPr="00054790">
              <w:rPr>
                <w:rFonts w:ascii="Arial" w:hAnsi="Arial" w:cs="Arial"/>
                <w:color w:val="000000"/>
                <w:lang w:val="en-GB"/>
              </w:rPr>
              <w:t>Crawfordton</w:t>
            </w:r>
            <w:proofErr w:type="spellEnd"/>
            <w:r w:rsidRPr="00054790">
              <w:rPr>
                <w:rFonts w:ascii="Arial" w:hAnsi="Arial" w:cs="Arial"/>
                <w:color w:val="000000"/>
                <w:lang w:val="en-GB"/>
              </w:rPr>
              <w:t xml:space="preserve"> House </w:t>
            </w:r>
          </w:p>
        </w:tc>
        <w:tc>
          <w:tcPr>
            <w:tcW w:w="1842" w:type="dxa"/>
            <w:shd w:val="clear" w:color="auto" w:fill="auto"/>
            <w:vAlign w:val="center"/>
            <w:hideMark/>
          </w:tcPr>
          <w:p w14:paraId="5D1FFFE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2FA95880"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7F85D5F4" w14:textId="77777777" w:rsidTr="00AC37FE">
        <w:trPr>
          <w:trHeight w:val="160"/>
          <w:jc w:val="center"/>
        </w:trPr>
        <w:tc>
          <w:tcPr>
            <w:tcW w:w="630" w:type="dxa"/>
            <w:shd w:val="clear" w:color="auto" w:fill="auto"/>
            <w:vAlign w:val="center"/>
            <w:hideMark/>
          </w:tcPr>
          <w:p w14:paraId="4DBE9F1A"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9</w:t>
            </w:r>
          </w:p>
        </w:tc>
        <w:tc>
          <w:tcPr>
            <w:tcW w:w="1800" w:type="dxa"/>
            <w:shd w:val="clear" w:color="auto" w:fill="auto"/>
            <w:vAlign w:val="center"/>
            <w:hideMark/>
          </w:tcPr>
          <w:p w14:paraId="24EA7879"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England</w:t>
            </w:r>
          </w:p>
        </w:tc>
        <w:tc>
          <w:tcPr>
            <w:tcW w:w="4672" w:type="dxa"/>
            <w:shd w:val="clear" w:color="auto" w:fill="auto"/>
            <w:vAlign w:val="center"/>
            <w:hideMark/>
          </w:tcPr>
          <w:p w14:paraId="521C6D22"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London My Home</w:t>
            </w:r>
          </w:p>
        </w:tc>
        <w:tc>
          <w:tcPr>
            <w:tcW w:w="1842" w:type="dxa"/>
            <w:shd w:val="clear" w:color="auto" w:fill="auto"/>
            <w:vAlign w:val="center"/>
            <w:hideMark/>
          </w:tcPr>
          <w:p w14:paraId="27938D84"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62A8C476"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1C305158" w14:textId="77777777" w:rsidTr="00AC37FE">
        <w:trPr>
          <w:trHeight w:val="178"/>
          <w:jc w:val="center"/>
        </w:trPr>
        <w:tc>
          <w:tcPr>
            <w:tcW w:w="630" w:type="dxa"/>
            <w:shd w:val="clear" w:color="auto" w:fill="auto"/>
            <w:vAlign w:val="center"/>
            <w:hideMark/>
          </w:tcPr>
          <w:p w14:paraId="4C6DF1D8"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10</w:t>
            </w:r>
          </w:p>
        </w:tc>
        <w:tc>
          <w:tcPr>
            <w:tcW w:w="1800" w:type="dxa"/>
            <w:shd w:val="clear" w:color="auto" w:fill="auto"/>
            <w:vAlign w:val="center"/>
            <w:hideMark/>
          </w:tcPr>
          <w:p w14:paraId="30E3BD37"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Switzerland</w:t>
            </w:r>
          </w:p>
        </w:tc>
        <w:tc>
          <w:tcPr>
            <w:tcW w:w="4672" w:type="dxa"/>
            <w:shd w:val="clear" w:color="auto" w:fill="auto"/>
            <w:vAlign w:val="center"/>
            <w:hideMark/>
          </w:tcPr>
          <w:p w14:paraId="2BDEC757"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Lugano Home</w:t>
            </w:r>
          </w:p>
        </w:tc>
        <w:tc>
          <w:tcPr>
            <w:tcW w:w="1842" w:type="dxa"/>
            <w:shd w:val="clear" w:color="auto" w:fill="auto"/>
            <w:vAlign w:val="center"/>
            <w:hideMark/>
          </w:tcPr>
          <w:p w14:paraId="1C921EB6"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2CB0F83F"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3497A894" w14:textId="77777777" w:rsidTr="00AC37FE">
        <w:trPr>
          <w:trHeight w:val="115"/>
          <w:jc w:val="center"/>
        </w:trPr>
        <w:tc>
          <w:tcPr>
            <w:tcW w:w="630" w:type="dxa"/>
            <w:shd w:val="clear" w:color="auto" w:fill="auto"/>
            <w:vAlign w:val="center"/>
            <w:hideMark/>
          </w:tcPr>
          <w:p w14:paraId="04AD6940"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11</w:t>
            </w:r>
          </w:p>
        </w:tc>
        <w:tc>
          <w:tcPr>
            <w:tcW w:w="1800" w:type="dxa"/>
            <w:shd w:val="clear" w:color="auto" w:fill="auto"/>
            <w:vAlign w:val="center"/>
            <w:hideMark/>
          </w:tcPr>
          <w:p w14:paraId="0BAB6C4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Australia</w:t>
            </w:r>
          </w:p>
        </w:tc>
        <w:tc>
          <w:tcPr>
            <w:tcW w:w="4672" w:type="dxa"/>
            <w:shd w:val="clear" w:color="auto" w:fill="auto"/>
            <w:vAlign w:val="center"/>
            <w:hideMark/>
          </w:tcPr>
          <w:p w14:paraId="4A65CA31"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Hendra House</w:t>
            </w:r>
          </w:p>
        </w:tc>
        <w:tc>
          <w:tcPr>
            <w:tcW w:w="1842" w:type="dxa"/>
            <w:shd w:val="clear" w:color="auto" w:fill="auto"/>
            <w:vAlign w:val="center"/>
            <w:hideMark/>
          </w:tcPr>
          <w:p w14:paraId="3E0A90F1"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366750E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2237ADD8" w14:textId="77777777" w:rsidTr="00AC37FE">
        <w:trPr>
          <w:trHeight w:val="133"/>
          <w:jc w:val="center"/>
        </w:trPr>
        <w:tc>
          <w:tcPr>
            <w:tcW w:w="630" w:type="dxa"/>
            <w:shd w:val="clear" w:color="auto" w:fill="auto"/>
            <w:vAlign w:val="center"/>
            <w:hideMark/>
          </w:tcPr>
          <w:p w14:paraId="392AF681"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12</w:t>
            </w:r>
          </w:p>
        </w:tc>
        <w:tc>
          <w:tcPr>
            <w:tcW w:w="1800" w:type="dxa"/>
            <w:shd w:val="clear" w:color="auto" w:fill="auto"/>
            <w:vAlign w:val="center"/>
            <w:hideMark/>
          </w:tcPr>
          <w:p w14:paraId="403F8A4E"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Turkey</w:t>
            </w:r>
          </w:p>
        </w:tc>
        <w:tc>
          <w:tcPr>
            <w:tcW w:w="4672" w:type="dxa"/>
            <w:shd w:val="clear" w:color="auto" w:fill="auto"/>
            <w:vAlign w:val="center"/>
            <w:hideMark/>
          </w:tcPr>
          <w:p w14:paraId="60A9AB33"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Istanbul My Home Hotel</w:t>
            </w:r>
          </w:p>
        </w:tc>
        <w:tc>
          <w:tcPr>
            <w:tcW w:w="1842" w:type="dxa"/>
            <w:shd w:val="clear" w:color="auto" w:fill="auto"/>
            <w:vAlign w:val="center"/>
            <w:hideMark/>
          </w:tcPr>
          <w:p w14:paraId="6819ADB3"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3C2994A1"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59B7BC78" w14:textId="77777777" w:rsidTr="00AC37FE">
        <w:trPr>
          <w:trHeight w:val="151"/>
          <w:jc w:val="center"/>
        </w:trPr>
        <w:tc>
          <w:tcPr>
            <w:tcW w:w="630" w:type="dxa"/>
            <w:shd w:val="clear" w:color="auto" w:fill="auto"/>
            <w:vAlign w:val="center"/>
            <w:hideMark/>
          </w:tcPr>
          <w:p w14:paraId="4D150AA4"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13</w:t>
            </w:r>
          </w:p>
        </w:tc>
        <w:tc>
          <w:tcPr>
            <w:tcW w:w="1800" w:type="dxa"/>
            <w:shd w:val="clear" w:color="auto" w:fill="auto"/>
            <w:vAlign w:val="center"/>
            <w:hideMark/>
          </w:tcPr>
          <w:p w14:paraId="3B4600E2"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Singapore</w:t>
            </w:r>
          </w:p>
        </w:tc>
        <w:tc>
          <w:tcPr>
            <w:tcW w:w="4672" w:type="dxa"/>
            <w:shd w:val="clear" w:color="auto" w:fill="auto"/>
            <w:vAlign w:val="center"/>
            <w:hideMark/>
          </w:tcPr>
          <w:p w14:paraId="079CA6A3"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Saint </w:t>
            </w:r>
            <w:proofErr w:type="spellStart"/>
            <w:r w:rsidRPr="00054790">
              <w:rPr>
                <w:rFonts w:ascii="Arial" w:hAnsi="Arial" w:cs="Arial"/>
                <w:color w:val="000000"/>
                <w:lang w:val="en-GB"/>
              </w:rPr>
              <w:t>Honore</w:t>
            </w:r>
            <w:proofErr w:type="spellEnd"/>
            <w:r w:rsidRPr="00054790">
              <w:rPr>
                <w:rFonts w:ascii="Arial" w:hAnsi="Arial" w:cs="Arial"/>
                <w:color w:val="000000"/>
                <w:lang w:val="en-GB"/>
              </w:rPr>
              <w:t xml:space="preserve"> Cake Shop chain store</w:t>
            </w:r>
          </w:p>
        </w:tc>
        <w:tc>
          <w:tcPr>
            <w:tcW w:w="1842" w:type="dxa"/>
            <w:shd w:val="clear" w:color="auto" w:fill="auto"/>
            <w:vAlign w:val="center"/>
            <w:hideMark/>
          </w:tcPr>
          <w:p w14:paraId="1FB16819"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73F3595A"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6506FE70" w14:textId="77777777" w:rsidTr="00AC37FE">
        <w:trPr>
          <w:trHeight w:val="79"/>
          <w:jc w:val="center"/>
        </w:trPr>
        <w:tc>
          <w:tcPr>
            <w:tcW w:w="630" w:type="dxa"/>
            <w:shd w:val="clear" w:color="auto" w:fill="auto"/>
            <w:vAlign w:val="center"/>
            <w:hideMark/>
          </w:tcPr>
          <w:p w14:paraId="78C61B49"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14</w:t>
            </w:r>
          </w:p>
        </w:tc>
        <w:tc>
          <w:tcPr>
            <w:tcW w:w="1800" w:type="dxa"/>
            <w:shd w:val="clear" w:color="auto" w:fill="auto"/>
            <w:vAlign w:val="center"/>
            <w:hideMark/>
          </w:tcPr>
          <w:p w14:paraId="6311BB99"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3A56D4FE"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The Peninsula Hotels</w:t>
            </w:r>
          </w:p>
        </w:tc>
        <w:tc>
          <w:tcPr>
            <w:tcW w:w="1842" w:type="dxa"/>
            <w:shd w:val="clear" w:color="auto" w:fill="auto"/>
            <w:vAlign w:val="center"/>
            <w:hideMark/>
          </w:tcPr>
          <w:p w14:paraId="3035EA24"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1F644710"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00B76962" w14:textId="77777777" w:rsidTr="00AC37FE">
        <w:trPr>
          <w:trHeight w:val="106"/>
          <w:jc w:val="center"/>
        </w:trPr>
        <w:tc>
          <w:tcPr>
            <w:tcW w:w="630" w:type="dxa"/>
            <w:shd w:val="clear" w:color="auto" w:fill="auto"/>
            <w:vAlign w:val="center"/>
            <w:hideMark/>
          </w:tcPr>
          <w:p w14:paraId="585BEF6B"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15</w:t>
            </w:r>
          </w:p>
        </w:tc>
        <w:tc>
          <w:tcPr>
            <w:tcW w:w="1800" w:type="dxa"/>
            <w:shd w:val="clear" w:color="auto" w:fill="auto"/>
            <w:vAlign w:val="center"/>
            <w:hideMark/>
          </w:tcPr>
          <w:p w14:paraId="59FCC8D1"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51B0D7CF"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The Peninsula Hotels Japanese Restaurant</w:t>
            </w:r>
          </w:p>
        </w:tc>
        <w:tc>
          <w:tcPr>
            <w:tcW w:w="1842" w:type="dxa"/>
            <w:shd w:val="clear" w:color="auto" w:fill="auto"/>
            <w:vAlign w:val="center"/>
            <w:hideMark/>
          </w:tcPr>
          <w:p w14:paraId="085410E5"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1C18DBDD"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B876A0" w:rsidRPr="00054790" w14:paraId="216648DD" w14:textId="77777777" w:rsidTr="00AC37FE">
        <w:trPr>
          <w:trHeight w:val="124"/>
          <w:jc w:val="center"/>
        </w:trPr>
        <w:tc>
          <w:tcPr>
            <w:tcW w:w="630" w:type="dxa"/>
            <w:shd w:val="clear" w:color="auto" w:fill="auto"/>
            <w:vAlign w:val="center"/>
            <w:hideMark/>
          </w:tcPr>
          <w:p w14:paraId="17527BA4" w14:textId="77777777" w:rsidR="00B876A0" w:rsidRPr="00054790" w:rsidRDefault="00B876A0" w:rsidP="00B876A0">
            <w:pPr>
              <w:jc w:val="center"/>
              <w:rPr>
                <w:rFonts w:ascii="Arial" w:hAnsi="Arial" w:cs="Arial"/>
                <w:color w:val="000000"/>
                <w:lang w:val="en-GB"/>
              </w:rPr>
            </w:pPr>
            <w:r w:rsidRPr="00054790">
              <w:rPr>
                <w:rFonts w:ascii="Arial" w:hAnsi="Arial" w:cs="Arial"/>
                <w:color w:val="000000"/>
                <w:lang w:val="en-GB"/>
              </w:rPr>
              <w:t>16</w:t>
            </w:r>
          </w:p>
        </w:tc>
        <w:tc>
          <w:tcPr>
            <w:tcW w:w="1800" w:type="dxa"/>
            <w:shd w:val="clear" w:color="auto" w:fill="auto"/>
            <w:vAlign w:val="center"/>
            <w:hideMark/>
          </w:tcPr>
          <w:p w14:paraId="525E0E68"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7D5B8A3A"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The Emperor Jewellery Store</w:t>
            </w:r>
          </w:p>
        </w:tc>
        <w:tc>
          <w:tcPr>
            <w:tcW w:w="1842" w:type="dxa"/>
            <w:shd w:val="clear" w:color="auto" w:fill="auto"/>
            <w:vAlign w:val="center"/>
            <w:hideMark/>
          </w:tcPr>
          <w:p w14:paraId="3BD2BE85"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1EE3BA14" w14:textId="77777777" w:rsidR="00B876A0" w:rsidRPr="00054790" w:rsidRDefault="00B876A0" w:rsidP="00B876A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109492F6" w14:textId="77777777" w:rsidTr="00AC37FE">
        <w:trPr>
          <w:trHeight w:val="142"/>
          <w:jc w:val="center"/>
        </w:trPr>
        <w:tc>
          <w:tcPr>
            <w:tcW w:w="630" w:type="dxa"/>
            <w:shd w:val="clear" w:color="auto" w:fill="auto"/>
            <w:vAlign w:val="center"/>
            <w:hideMark/>
          </w:tcPr>
          <w:p w14:paraId="0C2C858E"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17</w:t>
            </w:r>
          </w:p>
        </w:tc>
        <w:tc>
          <w:tcPr>
            <w:tcW w:w="1800" w:type="dxa"/>
            <w:shd w:val="clear" w:color="auto" w:fill="auto"/>
            <w:vAlign w:val="center"/>
            <w:hideMark/>
          </w:tcPr>
          <w:p w14:paraId="230C5162"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2A9AEA4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Cerrui1881</w:t>
            </w:r>
          </w:p>
        </w:tc>
        <w:tc>
          <w:tcPr>
            <w:tcW w:w="1842" w:type="dxa"/>
            <w:shd w:val="clear" w:color="auto" w:fill="auto"/>
            <w:vAlign w:val="center"/>
            <w:hideMark/>
          </w:tcPr>
          <w:p w14:paraId="141B73AD"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7C31764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60B24C8A" w14:textId="77777777" w:rsidTr="00AC37FE">
        <w:trPr>
          <w:trHeight w:val="169"/>
          <w:jc w:val="center"/>
        </w:trPr>
        <w:tc>
          <w:tcPr>
            <w:tcW w:w="630" w:type="dxa"/>
            <w:shd w:val="clear" w:color="auto" w:fill="auto"/>
            <w:vAlign w:val="center"/>
            <w:hideMark/>
          </w:tcPr>
          <w:p w14:paraId="2ED6AE53"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18</w:t>
            </w:r>
          </w:p>
        </w:tc>
        <w:tc>
          <w:tcPr>
            <w:tcW w:w="1800" w:type="dxa"/>
            <w:shd w:val="clear" w:color="auto" w:fill="auto"/>
            <w:vAlign w:val="center"/>
            <w:hideMark/>
          </w:tcPr>
          <w:p w14:paraId="7CEA8083"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4B51240A"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Dior</w:t>
            </w:r>
          </w:p>
        </w:tc>
        <w:tc>
          <w:tcPr>
            <w:tcW w:w="1842" w:type="dxa"/>
            <w:shd w:val="clear" w:color="auto" w:fill="auto"/>
            <w:vAlign w:val="center"/>
            <w:hideMark/>
          </w:tcPr>
          <w:p w14:paraId="02E0769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78333CD9"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3E867522" w14:textId="77777777" w:rsidTr="00AC37FE">
        <w:trPr>
          <w:trHeight w:val="97"/>
          <w:jc w:val="center"/>
        </w:trPr>
        <w:tc>
          <w:tcPr>
            <w:tcW w:w="630" w:type="dxa"/>
            <w:shd w:val="clear" w:color="auto" w:fill="auto"/>
            <w:vAlign w:val="center"/>
            <w:hideMark/>
          </w:tcPr>
          <w:p w14:paraId="332F36B4"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19</w:t>
            </w:r>
          </w:p>
        </w:tc>
        <w:tc>
          <w:tcPr>
            <w:tcW w:w="1800" w:type="dxa"/>
            <w:shd w:val="clear" w:color="auto" w:fill="auto"/>
            <w:vAlign w:val="center"/>
            <w:hideMark/>
          </w:tcPr>
          <w:p w14:paraId="355278C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37F1090B"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Swatch flagship store</w:t>
            </w:r>
          </w:p>
        </w:tc>
        <w:tc>
          <w:tcPr>
            <w:tcW w:w="1842" w:type="dxa"/>
            <w:shd w:val="clear" w:color="auto" w:fill="auto"/>
            <w:vAlign w:val="center"/>
            <w:hideMark/>
          </w:tcPr>
          <w:p w14:paraId="34F4CA28"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2DFC2E3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5C38DAA8" w14:textId="77777777" w:rsidTr="00AC37FE">
        <w:trPr>
          <w:trHeight w:val="106"/>
          <w:jc w:val="center"/>
        </w:trPr>
        <w:tc>
          <w:tcPr>
            <w:tcW w:w="630" w:type="dxa"/>
            <w:shd w:val="clear" w:color="auto" w:fill="auto"/>
            <w:vAlign w:val="center"/>
            <w:hideMark/>
          </w:tcPr>
          <w:p w14:paraId="4748822D"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20</w:t>
            </w:r>
          </w:p>
        </w:tc>
        <w:tc>
          <w:tcPr>
            <w:tcW w:w="1800" w:type="dxa"/>
            <w:shd w:val="clear" w:color="auto" w:fill="auto"/>
            <w:vAlign w:val="center"/>
            <w:hideMark/>
          </w:tcPr>
          <w:p w14:paraId="43B6D69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5853E57A"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Shanghai Tang Mall</w:t>
            </w:r>
          </w:p>
        </w:tc>
        <w:tc>
          <w:tcPr>
            <w:tcW w:w="1842" w:type="dxa"/>
            <w:shd w:val="clear" w:color="auto" w:fill="auto"/>
            <w:vAlign w:val="center"/>
            <w:hideMark/>
          </w:tcPr>
          <w:p w14:paraId="25976C1D"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3D1B5280"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517893E3" w14:textId="77777777" w:rsidTr="00AC37FE">
        <w:trPr>
          <w:trHeight w:val="52"/>
          <w:jc w:val="center"/>
        </w:trPr>
        <w:tc>
          <w:tcPr>
            <w:tcW w:w="630" w:type="dxa"/>
            <w:shd w:val="clear" w:color="auto" w:fill="auto"/>
            <w:vAlign w:val="center"/>
            <w:hideMark/>
          </w:tcPr>
          <w:p w14:paraId="0C2936ED"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21</w:t>
            </w:r>
          </w:p>
        </w:tc>
        <w:tc>
          <w:tcPr>
            <w:tcW w:w="1800" w:type="dxa"/>
            <w:shd w:val="clear" w:color="auto" w:fill="auto"/>
            <w:vAlign w:val="center"/>
            <w:hideMark/>
          </w:tcPr>
          <w:p w14:paraId="242CD80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676915C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Chinese Arts &amp; Crafts </w:t>
            </w:r>
          </w:p>
        </w:tc>
        <w:tc>
          <w:tcPr>
            <w:tcW w:w="1842" w:type="dxa"/>
            <w:shd w:val="clear" w:color="auto" w:fill="auto"/>
            <w:vAlign w:val="center"/>
            <w:hideMark/>
          </w:tcPr>
          <w:p w14:paraId="45766AAF"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6AE79629"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33A7E655" w14:textId="77777777" w:rsidTr="00AC37FE">
        <w:trPr>
          <w:trHeight w:val="151"/>
          <w:jc w:val="center"/>
        </w:trPr>
        <w:tc>
          <w:tcPr>
            <w:tcW w:w="630" w:type="dxa"/>
            <w:shd w:val="clear" w:color="auto" w:fill="auto"/>
            <w:vAlign w:val="center"/>
            <w:hideMark/>
          </w:tcPr>
          <w:p w14:paraId="19CE4202"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22</w:t>
            </w:r>
          </w:p>
        </w:tc>
        <w:tc>
          <w:tcPr>
            <w:tcW w:w="1800" w:type="dxa"/>
            <w:shd w:val="clear" w:color="auto" w:fill="auto"/>
            <w:vAlign w:val="center"/>
            <w:hideMark/>
          </w:tcPr>
          <w:p w14:paraId="18C718B3"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290B59E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Wing On department store</w:t>
            </w:r>
          </w:p>
        </w:tc>
        <w:tc>
          <w:tcPr>
            <w:tcW w:w="1842" w:type="dxa"/>
            <w:shd w:val="clear" w:color="auto" w:fill="auto"/>
            <w:vAlign w:val="center"/>
            <w:hideMark/>
          </w:tcPr>
          <w:p w14:paraId="3385BD34"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2CB84125"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7341C7A9" w14:textId="77777777" w:rsidTr="00AC37FE">
        <w:trPr>
          <w:trHeight w:val="79"/>
          <w:jc w:val="center"/>
        </w:trPr>
        <w:tc>
          <w:tcPr>
            <w:tcW w:w="630" w:type="dxa"/>
            <w:shd w:val="clear" w:color="auto" w:fill="auto"/>
            <w:vAlign w:val="center"/>
            <w:hideMark/>
          </w:tcPr>
          <w:p w14:paraId="4B3C2611"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23</w:t>
            </w:r>
          </w:p>
        </w:tc>
        <w:tc>
          <w:tcPr>
            <w:tcW w:w="1800" w:type="dxa"/>
            <w:shd w:val="clear" w:color="auto" w:fill="auto"/>
            <w:vAlign w:val="center"/>
            <w:hideMark/>
          </w:tcPr>
          <w:p w14:paraId="5D8D3630"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0D64AB61"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CRC department store</w:t>
            </w:r>
          </w:p>
        </w:tc>
        <w:tc>
          <w:tcPr>
            <w:tcW w:w="1842" w:type="dxa"/>
            <w:shd w:val="clear" w:color="auto" w:fill="auto"/>
            <w:vAlign w:val="center"/>
            <w:hideMark/>
          </w:tcPr>
          <w:p w14:paraId="6A0F56D7"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6983758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79BF5905" w14:textId="77777777" w:rsidTr="00AC37FE">
        <w:trPr>
          <w:trHeight w:val="97"/>
          <w:jc w:val="center"/>
        </w:trPr>
        <w:tc>
          <w:tcPr>
            <w:tcW w:w="630" w:type="dxa"/>
            <w:shd w:val="clear" w:color="auto" w:fill="auto"/>
            <w:vAlign w:val="center"/>
            <w:hideMark/>
          </w:tcPr>
          <w:p w14:paraId="3D95A0FF"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24</w:t>
            </w:r>
          </w:p>
        </w:tc>
        <w:tc>
          <w:tcPr>
            <w:tcW w:w="1800" w:type="dxa"/>
            <w:shd w:val="clear" w:color="auto" w:fill="auto"/>
            <w:vAlign w:val="center"/>
            <w:hideMark/>
          </w:tcPr>
          <w:p w14:paraId="304E2131"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405C2460"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Mercedes-Benz flagship store</w:t>
            </w:r>
          </w:p>
        </w:tc>
        <w:tc>
          <w:tcPr>
            <w:tcW w:w="1842" w:type="dxa"/>
            <w:shd w:val="clear" w:color="auto" w:fill="auto"/>
            <w:vAlign w:val="center"/>
            <w:hideMark/>
          </w:tcPr>
          <w:p w14:paraId="29EC4CF8"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6951949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337FBC5D" w14:textId="77777777" w:rsidTr="00AC37FE">
        <w:trPr>
          <w:trHeight w:val="46"/>
          <w:jc w:val="center"/>
        </w:trPr>
        <w:tc>
          <w:tcPr>
            <w:tcW w:w="630" w:type="dxa"/>
            <w:shd w:val="clear" w:color="auto" w:fill="auto"/>
            <w:vAlign w:val="center"/>
            <w:hideMark/>
          </w:tcPr>
          <w:p w14:paraId="3CC71D09"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25</w:t>
            </w:r>
          </w:p>
        </w:tc>
        <w:tc>
          <w:tcPr>
            <w:tcW w:w="1800" w:type="dxa"/>
            <w:shd w:val="clear" w:color="auto" w:fill="auto"/>
            <w:vAlign w:val="center"/>
            <w:hideMark/>
          </w:tcPr>
          <w:p w14:paraId="3DB1C4CD"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67D7C0D7"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Warner Music office centre</w:t>
            </w:r>
          </w:p>
        </w:tc>
        <w:tc>
          <w:tcPr>
            <w:tcW w:w="1842" w:type="dxa"/>
            <w:shd w:val="clear" w:color="auto" w:fill="auto"/>
            <w:vAlign w:val="center"/>
            <w:hideMark/>
          </w:tcPr>
          <w:p w14:paraId="5B0DE62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3F441FAB"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57FC5B08" w14:textId="77777777" w:rsidTr="00AC37FE">
        <w:trPr>
          <w:trHeight w:val="52"/>
          <w:jc w:val="center"/>
        </w:trPr>
        <w:tc>
          <w:tcPr>
            <w:tcW w:w="630" w:type="dxa"/>
            <w:shd w:val="clear" w:color="auto" w:fill="auto"/>
            <w:vAlign w:val="center"/>
            <w:hideMark/>
          </w:tcPr>
          <w:p w14:paraId="4669FC13"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26</w:t>
            </w:r>
          </w:p>
        </w:tc>
        <w:tc>
          <w:tcPr>
            <w:tcW w:w="1800" w:type="dxa"/>
            <w:shd w:val="clear" w:color="auto" w:fill="auto"/>
            <w:vAlign w:val="center"/>
            <w:hideMark/>
          </w:tcPr>
          <w:p w14:paraId="6AF838E5"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4FAB9AC8"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Bazaar</w:t>
            </w:r>
          </w:p>
        </w:tc>
        <w:tc>
          <w:tcPr>
            <w:tcW w:w="1842" w:type="dxa"/>
            <w:shd w:val="clear" w:color="auto" w:fill="auto"/>
            <w:vAlign w:val="center"/>
            <w:hideMark/>
          </w:tcPr>
          <w:p w14:paraId="055DD296"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7B64757E"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49948531" w14:textId="77777777" w:rsidTr="00AC37FE">
        <w:trPr>
          <w:trHeight w:val="178"/>
          <w:jc w:val="center"/>
        </w:trPr>
        <w:tc>
          <w:tcPr>
            <w:tcW w:w="630" w:type="dxa"/>
            <w:shd w:val="clear" w:color="auto" w:fill="auto"/>
            <w:vAlign w:val="center"/>
            <w:hideMark/>
          </w:tcPr>
          <w:p w14:paraId="073D3048"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27</w:t>
            </w:r>
          </w:p>
        </w:tc>
        <w:tc>
          <w:tcPr>
            <w:tcW w:w="1800" w:type="dxa"/>
            <w:shd w:val="clear" w:color="auto" w:fill="auto"/>
            <w:vAlign w:val="center"/>
            <w:hideMark/>
          </w:tcPr>
          <w:p w14:paraId="5171DC9F"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Hong Kong</w:t>
            </w:r>
          </w:p>
        </w:tc>
        <w:tc>
          <w:tcPr>
            <w:tcW w:w="4672" w:type="dxa"/>
            <w:shd w:val="clear" w:color="auto" w:fill="auto"/>
            <w:vAlign w:val="center"/>
            <w:hideMark/>
          </w:tcPr>
          <w:p w14:paraId="1829AEE2"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Toppy</w:t>
            </w:r>
          </w:p>
        </w:tc>
        <w:tc>
          <w:tcPr>
            <w:tcW w:w="1842" w:type="dxa"/>
            <w:shd w:val="clear" w:color="auto" w:fill="auto"/>
            <w:vAlign w:val="center"/>
            <w:hideMark/>
          </w:tcPr>
          <w:p w14:paraId="1226D5E4"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76E851B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r w:rsidR="00CD4F23" w:rsidRPr="00054790" w14:paraId="0C969BE4" w14:textId="77777777" w:rsidTr="00AC37FE">
        <w:trPr>
          <w:trHeight w:val="46"/>
          <w:jc w:val="center"/>
        </w:trPr>
        <w:tc>
          <w:tcPr>
            <w:tcW w:w="630" w:type="dxa"/>
            <w:shd w:val="clear" w:color="auto" w:fill="auto"/>
            <w:vAlign w:val="center"/>
            <w:hideMark/>
          </w:tcPr>
          <w:p w14:paraId="61C69838" w14:textId="77777777" w:rsidR="00CD4F23" w:rsidRPr="00054790" w:rsidRDefault="00CD4F23" w:rsidP="00054790">
            <w:pPr>
              <w:jc w:val="center"/>
              <w:rPr>
                <w:rFonts w:ascii="Arial" w:hAnsi="Arial" w:cs="Arial"/>
                <w:color w:val="000000"/>
                <w:lang w:val="en-GB"/>
              </w:rPr>
            </w:pPr>
            <w:r w:rsidRPr="00054790">
              <w:rPr>
                <w:rFonts w:ascii="Arial" w:hAnsi="Arial" w:cs="Arial"/>
                <w:color w:val="000000"/>
                <w:lang w:val="en-GB"/>
              </w:rPr>
              <w:t>28</w:t>
            </w:r>
          </w:p>
        </w:tc>
        <w:tc>
          <w:tcPr>
            <w:tcW w:w="1800" w:type="dxa"/>
            <w:shd w:val="clear" w:color="auto" w:fill="auto"/>
            <w:vAlign w:val="center"/>
            <w:hideMark/>
          </w:tcPr>
          <w:p w14:paraId="1ACA7A02"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Indonesia</w:t>
            </w:r>
          </w:p>
        </w:tc>
        <w:tc>
          <w:tcPr>
            <w:tcW w:w="4672" w:type="dxa"/>
            <w:shd w:val="clear" w:color="auto" w:fill="auto"/>
            <w:vAlign w:val="center"/>
            <w:hideMark/>
          </w:tcPr>
          <w:p w14:paraId="64B75426"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My Hotel</w:t>
            </w:r>
          </w:p>
        </w:tc>
        <w:tc>
          <w:tcPr>
            <w:tcW w:w="1842" w:type="dxa"/>
            <w:shd w:val="clear" w:color="auto" w:fill="auto"/>
            <w:vAlign w:val="center"/>
            <w:hideMark/>
          </w:tcPr>
          <w:p w14:paraId="68242333"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w:t>
            </w:r>
          </w:p>
        </w:tc>
        <w:tc>
          <w:tcPr>
            <w:tcW w:w="2835" w:type="dxa"/>
            <w:shd w:val="clear" w:color="auto" w:fill="auto"/>
            <w:vAlign w:val="center"/>
            <w:hideMark/>
          </w:tcPr>
          <w:p w14:paraId="4D673CDC" w14:textId="77777777" w:rsidR="00CD4F23" w:rsidRPr="00054790" w:rsidRDefault="00CD4F23" w:rsidP="00054790">
            <w:pPr>
              <w:rPr>
                <w:rFonts w:ascii="Arial" w:hAnsi="Arial" w:cs="Arial"/>
                <w:color w:val="000000"/>
                <w:lang w:val="en-GB"/>
              </w:rPr>
            </w:pPr>
            <w:r w:rsidRPr="00054790">
              <w:rPr>
                <w:rFonts w:ascii="Arial" w:hAnsi="Arial" w:cs="Arial"/>
                <w:color w:val="000000"/>
                <w:lang w:val="en-GB"/>
              </w:rPr>
              <w:t xml:space="preserve">Kenneth </w:t>
            </w:r>
            <w:proofErr w:type="spellStart"/>
            <w:r w:rsidRPr="00054790">
              <w:rPr>
                <w:rFonts w:ascii="Arial" w:hAnsi="Arial" w:cs="Arial"/>
                <w:color w:val="000000"/>
                <w:lang w:val="en-GB"/>
              </w:rPr>
              <w:t>Ko</w:t>
            </w:r>
            <w:proofErr w:type="spellEnd"/>
            <w:r w:rsidRPr="00054790">
              <w:rPr>
                <w:rFonts w:ascii="Arial" w:hAnsi="Arial" w:cs="Arial"/>
                <w:color w:val="000000"/>
                <w:lang w:val="en-GB"/>
              </w:rPr>
              <w:t xml:space="preserve"> Designs Ltd.</w:t>
            </w:r>
          </w:p>
        </w:tc>
      </w:tr>
    </w:tbl>
    <w:p w14:paraId="7337D2B8" w14:textId="77777777" w:rsidR="004B0AE7" w:rsidRDefault="004B0AE7" w:rsidP="00AF750C">
      <w:pPr>
        <w:pStyle w:val="Footnote"/>
        <w:rPr>
          <w:rFonts w:eastAsia="SimSun"/>
          <w:lang w:val="en-GB"/>
        </w:rPr>
      </w:pPr>
    </w:p>
    <w:p w14:paraId="5FB50E95" w14:textId="3F565BA2" w:rsidR="004A02D2" w:rsidRDefault="004B0AE7" w:rsidP="002D3EE3">
      <w:pPr>
        <w:pStyle w:val="Footnote"/>
        <w:rPr>
          <w:rFonts w:eastAsia="SimSun"/>
          <w:lang w:val="en-GB"/>
        </w:rPr>
      </w:pPr>
      <w:r>
        <w:rPr>
          <w:rFonts w:eastAsia="SimSun"/>
          <w:lang w:val="en-GB"/>
        </w:rPr>
        <w:t xml:space="preserve">Note: </w:t>
      </w:r>
      <w:r w:rsidR="00407C53" w:rsidRPr="00AF750C">
        <w:rPr>
          <w:rFonts w:eastAsia="SimSun"/>
          <w:lang w:val="en-GB"/>
        </w:rPr>
        <w:t>Contract prices for item</w:t>
      </w:r>
      <w:r w:rsidR="004A02D2">
        <w:rPr>
          <w:rFonts w:eastAsia="SimSun"/>
          <w:lang w:val="en-GB"/>
        </w:rPr>
        <w:t>s</w:t>
      </w:r>
      <w:r w:rsidR="00407C53" w:rsidRPr="00AF750C">
        <w:rPr>
          <w:rFonts w:eastAsia="SimSun"/>
          <w:lang w:val="en-GB"/>
        </w:rPr>
        <w:t xml:space="preserve"> </w:t>
      </w:r>
      <w:r w:rsidR="00D8136E">
        <w:rPr>
          <w:rFonts w:eastAsia="SimSun"/>
          <w:lang w:val="en-GB"/>
        </w:rPr>
        <w:t>1 and 8</w:t>
      </w:r>
      <w:r w:rsidR="004A02D2">
        <w:rPr>
          <w:rFonts w:eastAsia="SimSun"/>
          <w:lang w:val="en-GB"/>
        </w:rPr>
        <w:t>–</w:t>
      </w:r>
      <w:r w:rsidR="00407C53" w:rsidRPr="00AF750C">
        <w:rPr>
          <w:rFonts w:eastAsia="SimSun"/>
          <w:lang w:val="en-GB"/>
        </w:rPr>
        <w:t xml:space="preserve">28 not provided by </w:t>
      </w:r>
      <w:proofErr w:type="spellStart"/>
      <w:r w:rsidR="00407C53" w:rsidRPr="00AF750C">
        <w:rPr>
          <w:rFonts w:eastAsia="SimSun"/>
          <w:lang w:val="en-GB"/>
        </w:rPr>
        <w:t>Bauing</w:t>
      </w:r>
      <w:proofErr w:type="spellEnd"/>
      <w:r w:rsidR="00407C53" w:rsidRPr="00AF750C">
        <w:rPr>
          <w:rFonts w:eastAsia="SimSun"/>
          <w:lang w:val="en-GB"/>
        </w:rPr>
        <w:t xml:space="preserve"> Group.</w:t>
      </w:r>
    </w:p>
    <w:p w14:paraId="47364285" w14:textId="3392EEC7" w:rsidR="00D9279F" w:rsidRDefault="00D8136E" w:rsidP="002D3EE3">
      <w:pPr>
        <w:pStyle w:val="Footnote"/>
        <w:rPr>
          <w:rFonts w:eastAsia="MS Mincho"/>
          <w:lang w:val="en-GB"/>
        </w:rPr>
      </w:pPr>
      <w:r>
        <w:rPr>
          <w:rFonts w:eastAsia="SimSun"/>
          <w:lang w:val="en-GB"/>
        </w:rPr>
        <w:t>Source: Company files</w:t>
      </w:r>
      <w:r w:rsidR="002D3EE3" w:rsidRPr="00AF750C">
        <w:rPr>
          <w:rFonts w:eastAsia="SimSun"/>
          <w:lang w:val="en-GB"/>
        </w:rPr>
        <w:t>.</w:t>
      </w:r>
    </w:p>
    <w:p w14:paraId="533E1396" w14:textId="77777777" w:rsidR="004A02D2" w:rsidRPr="00054790" w:rsidRDefault="004A02D2" w:rsidP="002D3EE3">
      <w:pPr>
        <w:pStyle w:val="Footnote"/>
        <w:rPr>
          <w:rFonts w:eastAsia="MS Mincho"/>
          <w:lang w:val="en-GB"/>
        </w:rPr>
        <w:sectPr w:rsidR="004A02D2" w:rsidRPr="00054790" w:rsidSect="002D3EE3">
          <w:headerReference w:type="default" r:id="rId17"/>
          <w:pgSz w:w="15840" w:h="12240" w:orient="landscape" w:code="1"/>
          <w:pgMar w:top="1440" w:right="1440" w:bottom="1440" w:left="1440" w:header="1080" w:footer="720" w:gutter="0"/>
          <w:cols w:space="720"/>
          <w:docGrid w:linePitch="360"/>
        </w:sectPr>
      </w:pPr>
    </w:p>
    <w:p w14:paraId="6CCC882C" w14:textId="788D1116" w:rsidR="00523D3A" w:rsidRPr="00054790" w:rsidRDefault="00523D3A" w:rsidP="00523D3A">
      <w:pPr>
        <w:pStyle w:val="ExhibitHeading"/>
        <w:rPr>
          <w:rFonts w:eastAsia="MS Mincho"/>
          <w:lang w:val="en-GB"/>
        </w:rPr>
      </w:pPr>
      <w:r w:rsidRPr="00054790">
        <w:rPr>
          <w:rFonts w:eastAsia="MS Mincho"/>
          <w:lang w:val="en-GB"/>
        </w:rPr>
        <w:lastRenderedPageBreak/>
        <w:t>exhibit 5: foreign market entry strategies</w:t>
      </w:r>
    </w:p>
    <w:p w14:paraId="7D90ED00" w14:textId="77777777" w:rsidR="00523D3A" w:rsidRPr="00054790" w:rsidRDefault="00523D3A" w:rsidP="00523D3A">
      <w:pPr>
        <w:pStyle w:val="ExhibitText"/>
        <w:rPr>
          <w:rFonts w:eastAsia="MS Mincho"/>
          <w:lang w:val="en-GB"/>
        </w:rPr>
      </w:pPr>
    </w:p>
    <w:p w14:paraId="0EF4B9EA" w14:textId="6BF08CD0" w:rsidR="00523D3A" w:rsidRPr="00054790" w:rsidRDefault="00523D3A" w:rsidP="00523D3A">
      <w:pPr>
        <w:pStyle w:val="ExhibitText"/>
        <w:rPr>
          <w:rFonts w:eastAsia="MS Mincho"/>
          <w:lang w:val="en-GB"/>
        </w:rPr>
      </w:pPr>
      <w:r w:rsidRPr="00054790">
        <w:rPr>
          <w:rFonts w:eastAsia="MS Mincho"/>
          <w:lang w:val="en-GB"/>
        </w:rPr>
        <w:t xml:space="preserve">As background information, there are three </w:t>
      </w:r>
      <w:r w:rsidR="00887BDF">
        <w:rPr>
          <w:rFonts w:eastAsia="MS Mincho"/>
          <w:lang w:val="en-GB"/>
        </w:rPr>
        <w:t>main</w:t>
      </w:r>
      <w:r w:rsidR="00887BDF" w:rsidRPr="00054790">
        <w:rPr>
          <w:rFonts w:eastAsia="MS Mincho"/>
          <w:lang w:val="en-GB"/>
        </w:rPr>
        <w:t xml:space="preserve"> </w:t>
      </w:r>
      <w:r w:rsidRPr="00054790">
        <w:rPr>
          <w:rFonts w:eastAsia="MS Mincho"/>
          <w:lang w:val="en-GB"/>
        </w:rPr>
        <w:t xml:space="preserve">foreign market entry strategies. The first strategy </w:t>
      </w:r>
      <w:r w:rsidR="00887BDF">
        <w:rPr>
          <w:rFonts w:eastAsia="MS Mincho"/>
          <w:lang w:val="en-GB"/>
        </w:rPr>
        <w:t>comprises</w:t>
      </w:r>
      <w:r w:rsidR="00887BDF" w:rsidRPr="00054790">
        <w:rPr>
          <w:rFonts w:eastAsia="MS Mincho"/>
          <w:lang w:val="en-GB"/>
        </w:rPr>
        <w:t xml:space="preserve"> </w:t>
      </w:r>
      <w:r w:rsidR="00887BDF">
        <w:rPr>
          <w:rFonts w:eastAsia="MS Mincho"/>
          <w:lang w:val="en-GB"/>
        </w:rPr>
        <w:t xml:space="preserve">four </w:t>
      </w:r>
      <w:r w:rsidRPr="00054790">
        <w:rPr>
          <w:rFonts w:eastAsia="MS Mincho"/>
          <w:lang w:val="en-GB"/>
        </w:rPr>
        <w:t xml:space="preserve">contractual modes of market entry. The first contractual mode is </w:t>
      </w:r>
      <w:r w:rsidRPr="00054790">
        <w:rPr>
          <w:rFonts w:eastAsia="MS Mincho"/>
          <w:i/>
          <w:lang w:val="en-GB"/>
        </w:rPr>
        <w:t>exporting</w:t>
      </w:r>
      <w:r w:rsidRPr="00054790">
        <w:rPr>
          <w:rFonts w:eastAsia="MS Mincho"/>
          <w:lang w:val="en-GB"/>
        </w:rPr>
        <w:t>, which refers to business activities where good</w:t>
      </w:r>
      <w:r w:rsidR="001B4500">
        <w:rPr>
          <w:rFonts w:eastAsia="MS Mincho"/>
          <w:lang w:val="en-GB"/>
        </w:rPr>
        <w:t>s</w:t>
      </w:r>
      <w:r w:rsidRPr="00054790">
        <w:rPr>
          <w:rFonts w:eastAsia="MS Mincho"/>
          <w:lang w:val="en-GB"/>
        </w:rPr>
        <w:t xml:space="preserve"> and/or services are sold outside the country in which the major value-added activities took place. The second mode is </w:t>
      </w:r>
      <w:r w:rsidRPr="00054790">
        <w:rPr>
          <w:rFonts w:eastAsia="MS Mincho"/>
          <w:i/>
          <w:lang w:val="en-GB"/>
        </w:rPr>
        <w:t>licensing</w:t>
      </w:r>
      <w:r w:rsidRPr="00054790">
        <w:rPr>
          <w:rFonts w:eastAsia="MS Mincho"/>
          <w:lang w:val="en-GB"/>
        </w:rPr>
        <w:t xml:space="preserve">, which describes contractual transactions in which the owner of knowledge-based resource assets sells to another organization or individual the right to use these intangible resources for a defined purpose. The third mode is </w:t>
      </w:r>
      <w:r w:rsidRPr="00054790">
        <w:rPr>
          <w:rFonts w:eastAsia="MS Mincho"/>
          <w:i/>
          <w:lang w:val="en-GB"/>
        </w:rPr>
        <w:t>franchising</w:t>
      </w:r>
      <w:r w:rsidRPr="00054790">
        <w:rPr>
          <w:rFonts w:eastAsia="MS Mincho"/>
          <w:lang w:val="en-GB"/>
        </w:rPr>
        <w:t xml:space="preserve">, which is a contractual agreement between a franchisor and usually many franchisees that are legally and financially separated. The franchisor sells to the franchisees the right to commercialize goods or services under the franchisor’s established brand name and a proven business concept. The fourth mode is </w:t>
      </w:r>
      <w:r w:rsidR="00887BDF">
        <w:rPr>
          <w:rFonts w:eastAsia="MS Mincho"/>
          <w:lang w:val="en-GB"/>
        </w:rPr>
        <w:t xml:space="preserve">the </w:t>
      </w:r>
      <w:r w:rsidR="00887BDF" w:rsidRPr="00944F16">
        <w:rPr>
          <w:rFonts w:eastAsia="MS Mincho"/>
          <w:i/>
          <w:lang w:val="en-GB"/>
        </w:rPr>
        <w:t>t</w:t>
      </w:r>
      <w:r w:rsidRPr="00944F16">
        <w:rPr>
          <w:rFonts w:eastAsia="MS Mincho"/>
          <w:i/>
          <w:lang w:val="en-GB"/>
        </w:rPr>
        <w:t>urnkey project</w:t>
      </w:r>
      <w:r w:rsidRPr="00054790">
        <w:rPr>
          <w:rFonts w:eastAsia="MS Mincho"/>
          <w:lang w:val="en-GB"/>
        </w:rPr>
        <w:t>, which is defined as a market entry mode where a firm sells complete operations and supply</w:t>
      </w:r>
      <w:r w:rsidR="004A02D2">
        <w:rPr>
          <w:rFonts w:eastAsia="MS Mincho"/>
          <w:lang w:val="en-GB"/>
        </w:rPr>
        <w:t>-</w:t>
      </w:r>
      <w:r w:rsidRPr="00054790">
        <w:rPr>
          <w:rFonts w:eastAsia="MS Mincho"/>
          <w:lang w:val="en-GB"/>
        </w:rPr>
        <w:t xml:space="preserve"> and distribution</w:t>
      </w:r>
      <w:r w:rsidR="004A02D2">
        <w:rPr>
          <w:rFonts w:eastAsia="MS Mincho"/>
          <w:lang w:val="en-GB"/>
        </w:rPr>
        <w:t>-</w:t>
      </w:r>
      <w:r w:rsidRPr="00054790">
        <w:rPr>
          <w:rFonts w:eastAsia="MS Mincho"/>
          <w:lang w:val="en-GB"/>
        </w:rPr>
        <w:t xml:space="preserve">chain services. Market entry through </w:t>
      </w:r>
      <w:r w:rsidR="00887BDF">
        <w:rPr>
          <w:rFonts w:eastAsia="MS Mincho"/>
          <w:lang w:val="en-GB"/>
        </w:rPr>
        <w:t xml:space="preserve">a </w:t>
      </w:r>
      <w:r w:rsidRPr="00054790">
        <w:rPr>
          <w:rFonts w:eastAsia="MS Mincho"/>
          <w:lang w:val="en-GB"/>
        </w:rPr>
        <w:t xml:space="preserve">turnkey </w:t>
      </w:r>
      <w:r w:rsidR="00887BDF">
        <w:rPr>
          <w:rFonts w:eastAsia="MS Mincho"/>
          <w:lang w:val="en-GB"/>
        </w:rPr>
        <w:t xml:space="preserve">project </w:t>
      </w:r>
      <w:r w:rsidRPr="00054790">
        <w:rPr>
          <w:rFonts w:eastAsia="MS Mincho"/>
          <w:lang w:val="en-GB"/>
        </w:rPr>
        <w:t>usual</w:t>
      </w:r>
      <w:r w:rsidR="00887BDF">
        <w:rPr>
          <w:rFonts w:eastAsia="MS Mincho"/>
          <w:lang w:val="en-GB"/>
        </w:rPr>
        <w:t>ly</w:t>
      </w:r>
      <w:r w:rsidRPr="00054790">
        <w:rPr>
          <w:rFonts w:eastAsia="MS Mincho"/>
          <w:lang w:val="en-GB"/>
        </w:rPr>
        <w:t xml:space="preserve"> include</w:t>
      </w:r>
      <w:r w:rsidR="00887BDF">
        <w:rPr>
          <w:rFonts w:eastAsia="MS Mincho"/>
          <w:lang w:val="en-GB"/>
        </w:rPr>
        <w:t>s</w:t>
      </w:r>
      <w:r w:rsidRPr="00054790">
        <w:rPr>
          <w:rFonts w:eastAsia="MS Mincho"/>
          <w:lang w:val="en-GB"/>
        </w:rPr>
        <w:t xml:space="preserve"> the start-up of operations</w:t>
      </w:r>
      <w:r w:rsidR="004A02D2">
        <w:rPr>
          <w:rFonts w:eastAsia="MS Mincho"/>
          <w:lang w:val="en-GB"/>
        </w:rPr>
        <w:t>, and</w:t>
      </w:r>
      <w:r w:rsidRPr="00054790">
        <w:rPr>
          <w:rFonts w:eastAsia="MS Mincho"/>
          <w:lang w:val="en-GB"/>
        </w:rPr>
        <w:t xml:space="preserve"> </w:t>
      </w:r>
      <w:r w:rsidR="00887BDF">
        <w:rPr>
          <w:rFonts w:eastAsia="MS Mincho"/>
          <w:lang w:val="en-GB"/>
        </w:rPr>
        <w:t xml:space="preserve">the </w:t>
      </w:r>
      <w:r w:rsidRPr="00054790">
        <w:rPr>
          <w:rFonts w:eastAsia="MS Mincho"/>
          <w:lang w:val="en-GB"/>
        </w:rPr>
        <w:t>necessary training, qualification</w:t>
      </w:r>
      <w:r w:rsidR="00887BDF">
        <w:rPr>
          <w:rFonts w:eastAsia="MS Mincho"/>
          <w:lang w:val="en-GB"/>
        </w:rPr>
        <w:t>s,</w:t>
      </w:r>
      <w:r w:rsidRPr="00054790">
        <w:rPr>
          <w:rFonts w:eastAsia="MS Mincho"/>
          <w:lang w:val="en-GB"/>
        </w:rPr>
        <w:t xml:space="preserve"> and consulting with local personnel</w:t>
      </w:r>
      <w:r w:rsidR="00887BDF">
        <w:rPr>
          <w:rFonts w:eastAsia="MS Mincho"/>
          <w:lang w:val="en-GB"/>
        </w:rPr>
        <w:t>;</w:t>
      </w:r>
      <w:r w:rsidRPr="00054790">
        <w:rPr>
          <w:rFonts w:eastAsia="MS Mincho"/>
          <w:lang w:val="en-GB"/>
        </w:rPr>
        <w:t xml:space="preserve"> the firm</w:t>
      </w:r>
      <w:r w:rsidR="004A02D2">
        <w:rPr>
          <w:rFonts w:eastAsia="MS Mincho"/>
          <w:lang w:val="en-GB"/>
        </w:rPr>
        <w:t xml:space="preserve"> then</w:t>
      </w:r>
      <w:r w:rsidRPr="00054790">
        <w:rPr>
          <w:rFonts w:eastAsia="MS Mincho"/>
          <w:lang w:val="en-GB"/>
        </w:rPr>
        <w:t xml:space="preserve"> turn</w:t>
      </w:r>
      <w:r w:rsidR="004A02D2">
        <w:rPr>
          <w:rFonts w:eastAsia="MS Mincho"/>
          <w:lang w:val="en-GB"/>
        </w:rPr>
        <w:t>s</w:t>
      </w:r>
      <w:r w:rsidRPr="00054790">
        <w:rPr>
          <w:rFonts w:eastAsia="MS Mincho"/>
          <w:lang w:val="en-GB"/>
        </w:rPr>
        <w:t xml:space="preserve"> the key over to the local government in return for an agreed</w:t>
      </w:r>
      <w:r w:rsidR="00887BDF">
        <w:rPr>
          <w:rFonts w:eastAsia="MS Mincho"/>
          <w:lang w:val="en-GB"/>
        </w:rPr>
        <w:t>-</w:t>
      </w:r>
      <w:r w:rsidRPr="00054790">
        <w:rPr>
          <w:rFonts w:eastAsia="MS Mincho"/>
          <w:lang w:val="en-GB"/>
        </w:rPr>
        <w:t>upon payment</w:t>
      </w:r>
      <w:r w:rsidR="00887BDF">
        <w:rPr>
          <w:rFonts w:eastAsia="MS Mincho"/>
          <w:lang w:val="en-GB"/>
        </w:rPr>
        <w:t>-</w:t>
      </w:r>
      <w:r w:rsidRPr="00054790">
        <w:rPr>
          <w:rFonts w:eastAsia="MS Mincho"/>
          <w:lang w:val="en-GB"/>
        </w:rPr>
        <w:t>of</w:t>
      </w:r>
      <w:r w:rsidR="00887BDF">
        <w:rPr>
          <w:rFonts w:eastAsia="MS Mincho"/>
          <w:lang w:val="en-GB"/>
        </w:rPr>
        <w:t>-</w:t>
      </w:r>
      <w:r w:rsidRPr="00054790">
        <w:rPr>
          <w:rFonts w:eastAsia="MS Mincho"/>
          <w:lang w:val="en-GB"/>
        </w:rPr>
        <w:t>use fee.</w:t>
      </w:r>
    </w:p>
    <w:p w14:paraId="5D8D07DE" w14:textId="77777777" w:rsidR="00523D3A" w:rsidRPr="00054790" w:rsidRDefault="00523D3A" w:rsidP="00523D3A">
      <w:pPr>
        <w:pStyle w:val="ExhibitText"/>
        <w:rPr>
          <w:rFonts w:eastAsia="MS Mincho"/>
          <w:sz w:val="18"/>
          <w:szCs w:val="18"/>
          <w:lang w:val="en-GB"/>
        </w:rPr>
      </w:pPr>
    </w:p>
    <w:p w14:paraId="0673C2E4" w14:textId="34303BFA" w:rsidR="00523D3A" w:rsidRPr="00054790" w:rsidRDefault="00523D3A" w:rsidP="00523D3A">
      <w:pPr>
        <w:pStyle w:val="ExhibitText"/>
        <w:rPr>
          <w:rFonts w:eastAsia="MS Mincho"/>
          <w:lang w:val="en-GB"/>
        </w:rPr>
      </w:pPr>
      <w:r w:rsidRPr="00054790">
        <w:rPr>
          <w:rFonts w:eastAsia="MS Mincho"/>
          <w:lang w:val="en-GB"/>
        </w:rPr>
        <w:t xml:space="preserve">The second foreign market entry </w:t>
      </w:r>
      <w:r w:rsidR="00887BDF" w:rsidRPr="00054790">
        <w:rPr>
          <w:rFonts w:eastAsia="MS Mincho"/>
          <w:lang w:val="en-GB"/>
        </w:rPr>
        <w:t>strateg</w:t>
      </w:r>
      <w:r w:rsidR="00887BDF">
        <w:rPr>
          <w:rFonts w:eastAsia="MS Mincho"/>
          <w:lang w:val="en-GB"/>
        </w:rPr>
        <w:t>y</w:t>
      </w:r>
      <w:r w:rsidR="00887BDF" w:rsidRPr="00054790">
        <w:rPr>
          <w:rFonts w:eastAsia="MS Mincho"/>
          <w:lang w:val="en-GB"/>
        </w:rPr>
        <w:t xml:space="preserve"> </w:t>
      </w:r>
      <w:r w:rsidR="00887BDF">
        <w:rPr>
          <w:rFonts w:eastAsia="MS Mincho"/>
          <w:lang w:val="en-GB"/>
        </w:rPr>
        <w:t>comprises</w:t>
      </w:r>
      <w:r w:rsidR="00887BDF" w:rsidRPr="00054790">
        <w:rPr>
          <w:rFonts w:eastAsia="MS Mincho"/>
          <w:lang w:val="en-GB"/>
        </w:rPr>
        <w:t xml:space="preserve"> </w:t>
      </w:r>
      <w:r w:rsidR="00887BDF">
        <w:rPr>
          <w:rFonts w:eastAsia="MS Mincho"/>
          <w:lang w:val="en-GB"/>
        </w:rPr>
        <w:t xml:space="preserve">two main </w:t>
      </w:r>
      <w:r w:rsidRPr="00054790">
        <w:rPr>
          <w:rFonts w:eastAsia="MS Mincho"/>
          <w:lang w:val="en-GB"/>
        </w:rPr>
        <w:t>co</w:t>
      </w:r>
      <w:r w:rsidR="00887BDF">
        <w:rPr>
          <w:rFonts w:eastAsia="MS Mincho"/>
          <w:lang w:val="en-GB"/>
        </w:rPr>
        <w:t>-</w:t>
      </w:r>
      <w:r w:rsidRPr="00054790">
        <w:rPr>
          <w:rFonts w:eastAsia="MS Mincho"/>
          <w:lang w:val="en-GB"/>
        </w:rPr>
        <w:t xml:space="preserve">operative modes of market entry. The first mode is </w:t>
      </w:r>
      <w:r w:rsidR="00887BDF">
        <w:rPr>
          <w:rFonts w:eastAsia="MS Mincho"/>
          <w:lang w:val="en-GB"/>
        </w:rPr>
        <w:t xml:space="preserve">the </w:t>
      </w:r>
      <w:r w:rsidRPr="00054790">
        <w:rPr>
          <w:rFonts w:eastAsia="MS Mincho"/>
          <w:i/>
          <w:lang w:val="en-GB"/>
        </w:rPr>
        <w:t>business alliance</w:t>
      </w:r>
      <w:r w:rsidRPr="00054790">
        <w:rPr>
          <w:rFonts w:eastAsia="MS Mincho"/>
          <w:lang w:val="en-GB"/>
        </w:rPr>
        <w:t xml:space="preserve">, which </w:t>
      </w:r>
      <w:r w:rsidR="00887BDF">
        <w:rPr>
          <w:rFonts w:eastAsia="MS Mincho"/>
          <w:lang w:val="en-GB"/>
        </w:rPr>
        <w:t>refer</w:t>
      </w:r>
      <w:r w:rsidR="00887BDF" w:rsidRPr="00054790">
        <w:rPr>
          <w:rFonts w:eastAsia="MS Mincho"/>
          <w:lang w:val="en-GB"/>
        </w:rPr>
        <w:t xml:space="preserve">s </w:t>
      </w:r>
      <w:r w:rsidR="00887BDF">
        <w:rPr>
          <w:rFonts w:eastAsia="MS Mincho"/>
          <w:lang w:val="en-GB"/>
        </w:rPr>
        <w:t xml:space="preserve">to </w:t>
      </w:r>
      <w:r w:rsidRPr="00054790">
        <w:rPr>
          <w:rFonts w:eastAsia="MS Mincho"/>
          <w:lang w:val="en-GB"/>
        </w:rPr>
        <w:t xml:space="preserve">agreements between two or more participating organizations that target </w:t>
      </w:r>
      <w:r w:rsidR="00887BDF">
        <w:rPr>
          <w:rFonts w:eastAsia="MS Mincho"/>
          <w:lang w:val="en-GB"/>
        </w:rPr>
        <w:t xml:space="preserve">long-term </w:t>
      </w:r>
      <w:r w:rsidRPr="00054790">
        <w:rPr>
          <w:rFonts w:eastAsia="MS Mincho"/>
          <w:lang w:val="en-GB"/>
        </w:rPr>
        <w:t>business objectives. The second mode is</w:t>
      </w:r>
      <w:r w:rsidR="00887BDF">
        <w:rPr>
          <w:rFonts w:eastAsia="MS Mincho"/>
          <w:lang w:val="en-GB"/>
        </w:rPr>
        <w:t xml:space="preserve"> the</w:t>
      </w:r>
      <w:r w:rsidRPr="00054790">
        <w:rPr>
          <w:rFonts w:eastAsia="MS Mincho"/>
          <w:lang w:val="en-GB"/>
        </w:rPr>
        <w:t xml:space="preserve"> </w:t>
      </w:r>
      <w:r w:rsidRPr="00054790">
        <w:rPr>
          <w:rFonts w:eastAsia="MS Mincho"/>
          <w:i/>
          <w:lang w:val="en-GB"/>
        </w:rPr>
        <w:t>joint venture</w:t>
      </w:r>
      <w:r w:rsidRPr="00054790">
        <w:rPr>
          <w:rFonts w:eastAsia="MS Mincho"/>
          <w:lang w:val="en-GB"/>
        </w:rPr>
        <w:t>, which refers to a business arrangement in which two or more legally distinct firms decide to own and control a common business.</w:t>
      </w:r>
    </w:p>
    <w:p w14:paraId="2208663E" w14:textId="77777777" w:rsidR="00523D3A" w:rsidRPr="00054790" w:rsidRDefault="00523D3A" w:rsidP="00523D3A">
      <w:pPr>
        <w:pStyle w:val="ExhibitText"/>
        <w:rPr>
          <w:rFonts w:eastAsia="MS Mincho"/>
          <w:sz w:val="18"/>
          <w:szCs w:val="18"/>
          <w:lang w:val="en-GB"/>
        </w:rPr>
      </w:pPr>
    </w:p>
    <w:p w14:paraId="374721F4" w14:textId="504FC441" w:rsidR="00523D3A" w:rsidRPr="00054790" w:rsidRDefault="00523D3A" w:rsidP="00523D3A">
      <w:pPr>
        <w:pStyle w:val="ExhibitText"/>
        <w:rPr>
          <w:rFonts w:eastAsia="MS Mincho"/>
          <w:lang w:val="en-GB"/>
        </w:rPr>
      </w:pPr>
      <w:r w:rsidRPr="00054790">
        <w:rPr>
          <w:rFonts w:eastAsia="MS Mincho"/>
          <w:lang w:val="en-GB"/>
        </w:rPr>
        <w:t xml:space="preserve">The third foreign market entry </w:t>
      </w:r>
      <w:r w:rsidR="00887BDF" w:rsidRPr="00054790">
        <w:rPr>
          <w:rFonts w:eastAsia="MS Mincho"/>
          <w:lang w:val="en-GB"/>
        </w:rPr>
        <w:t>strateg</w:t>
      </w:r>
      <w:r w:rsidR="00887BDF">
        <w:rPr>
          <w:rFonts w:eastAsia="MS Mincho"/>
          <w:lang w:val="en-GB"/>
        </w:rPr>
        <w:t>y</w:t>
      </w:r>
      <w:r w:rsidR="00887BDF" w:rsidRPr="00054790">
        <w:rPr>
          <w:rFonts w:eastAsia="MS Mincho"/>
          <w:lang w:val="en-GB"/>
        </w:rPr>
        <w:t xml:space="preserve"> </w:t>
      </w:r>
      <w:r w:rsidR="00887BDF">
        <w:rPr>
          <w:rFonts w:eastAsia="MS Mincho"/>
          <w:lang w:val="en-GB"/>
        </w:rPr>
        <w:t>comprises mainly two</w:t>
      </w:r>
      <w:r w:rsidR="00887BDF" w:rsidRPr="00054790">
        <w:rPr>
          <w:rFonts w:eastAsia="MS Mincho"/>
          <w:lang w:val="en-GB"/>
        </w:rPr>
        <w:t xml:space="preserve"> </w:t>
      </w:r>
      <w:r w:rsidRPr="00054790">
        <w:rPr>
          <w:rFonts w:eastAsia="MS Mincho"/>
          <w:lang w:val="en-GB"/>
        </w:rPr>
        <w:t xml:space="preserve">hierarchical modes of market entry. The first mode is </w:t>
      </w:r>
      <w:r w:rsidRPr="002F4426">
        <w:rPr>
          <w:rFonts w:eastAsia="MS Mincho"/>
          <w:i/>
          <w:lang w:val="en-GB"/>
        </w:rPr>
        <w:t>acquisition</w:t>
      </w:r>
      <w:r w:rsidRPr="00054790">
        <w:rPr>
          <w:rFonts w:eastAsia="MS Mincho"/>
          <w:lang w:val="en-GB"/>
        </w:rPr>
        <w:t xml:space="preserve">, a corporate action in which </w:t>
      </w:r>
      <w:r w:rsidR="00887BDF">
        <w:rPr>
          <w:rFonts w:eastAsia="MS Mincho"/>
          <w:lang w:val="en-GB"/>
        </w:rPr>
        <w:t>one</w:t>
      </w:r>
      <w:r w:rsidR="00887BDF" w:rsidRPr="00054790">
        <w:rPr>
          <w:rFonts w:eastAsia="MS Mincho"/>
          <w:lang w:val="en-GB"/>
        </w:rPr>
        <w:t xml:space="preserve"> </w:t>
      </w:r>
      <w:r w:rsidRPr="00054790">
        <w:rPr>
          <w:rFonts w:eastAsia="MS Mincho"/>
          <w:lang w:val="en-GB"/>
        </w:rPr>
        <w:t>company buys most, if not all, of another firm</w:t>
      </w:r>
      <w:r w:rsidR="00887BDF">
        <w:rPr>
          <w:rFonts w:eastAsia="MS Mincho"/>
          <w:lang w:val="en-GB"/>
        </w:rPr>
        <w:t>’</w:t>
      </w:r>
      <w:r w:rsidRPr="00054790">
        <w:rPr>
          <w:rFonts w:eastAsia="MS Mincho"/>
          <w:lang w:val="en-GB"/>
        </w:rPr>
        <w:t xml:space="preserve">s ownership stakes to assume control of </w:t>
      </w:r>
      <w:r w:rsidR="00887BDF">
        <w:rPr>
          <w:rFonts w:eastAsia="MS Mincho"/>
          <w:lang w:val="en-GB"/>
        </w:rPr>
        <w:t>the firm</w:t>
      </w:r>
      <w:r w:rsidRPr="00054790">
        <w:rPr>
          <w:rFonts w:eastAsia="MS Mincho"/>
          <w:lang w:val="en-GB"/>
        </w:rPr>
        <w:t xml:space="preserve">. The second mode is </w:t>
      </w:r>
      <w:r w:rsidR="00887BDF">
        <w:rPr>
          <w:rFonts w:eastAsia="MS Mincho"/>
          <w:lang w:val="en-GB"/>
        </w:rPr>
        <w:t xml:space="preserve">a </w:t>
      </w:r>
      <w:proofErr w:type="gramStart"/>
      <w:r w:rsidR="00887BDF" w:rsidRPr="002F4426">
        <w:rPr>
          <w:rFonts w:eastAsia="MS Mincho"/>
          <w:i/>
          <w:lang w:val="en-GB"/>
        </w:rPr>
        <w:t>g</w:t>
      </w:r>
      <w:r w:rsidRPr="002F4426">
        <w:rPr>
          <w:rFonts w:eastAsia="MS Mincho"/>
          <w:i/>
          <w:lang w:val="en-GB"/>
        </w:rPr>
        <w:t>reenfield</w:t>
      </w:r>
      <w:proofErr w:type="gramEnd"/>
      <w:r w:rsidR="00887BDF" w:rsidRPr="002F4426">
        <w:rPr>
          <w:rFonts w:eastAsia="MS Mincho"/>
          <w:i/>
          <w:lang w:val="en-GB"/>
        </w:rPr>
        <w:t xml:space="preserve"> project</w:t>
      </w:r>
      <w:r w:rsidRPr="00054790">
        <w:rPr>
          <w:rFonts w:eastAsia="MS Mincho"/>
          <w:lang w:val="en-GB"/>
        </w:rPr>
        <w:t>, which is a type of foreign direct investment where</w:t>
      </w:r>
      <w:r w:rsidR="00887BDF">
        <w:rPr>
          <w:rFonts w:eastAsia="MS Mincho"/>
          <w:lang w:val="en-GB"/>
        </w:rPr>
        <w:t>by</w:t>
      </w:r>
      <w:r w:rsidRPr="00054790">
        <w:rPr>
          <w:rFonts w:eastAsia="MS Mincho"/>
          <w:lang w:val="en-GB"/>
        </w:rPr>
        <w:t xml:space="preserve"> a parent company builds an entirely new organization in a foreign country (</w:t>
      </w:r>
      <w:r w:rsidR="00887BDF">
        <w:rPr>
          <w:rFonts w:eastAsia="MS Mincho"/>
          <w:lang w:val="en-GB"/>
        </w:rPr>
        <w:t xml:space="preserve">i.e., a </w:t>
      </w:r>
      <w:r w:rsidRPr="00054790">
        <w:rPr>
          <w:rFonts w:eastAsia="MS Mincho"/>
          <w:lang w:val="en-GB"/>
        </w:rPr>
        <w:t>foreign start-up).</w:t>
      </w:r>
    </w:p>
    <w:p w14:paraId="383FA319" w14:textId="6980591A" w:rsidR="00465348" w:rsidRPr="00054790" w:rsidRDefault="00465348" w:rsidP="00523D3A">
      <w:pPr>
        <w:pStyle w:val="Footnote"/>
        <w:rPr>
          <w:rFonts w:eastAsia="MS Mincho"/>
          <w:lang w:val="en-GB"/>
        </w:rPr>
      </w:pPr>
    </w:p>
    <w:p w14:paraId="473A1E7F" w14:textId="2B021212" w:rsidR="00523D3A" w:rsidRPr="00054790" w:rsidRDefault="00523D3A" w:rsidP="00523D3A">
      <w:pPr>
        <w:pStyle w:val="Footnote"/>
        <w:rPr>
          <w:rFonts w:eastAsia="MS Mincho"/>
          <w:lang w:val="en-GB"/>
        </w:rPr>
      </w:pPr>
      <w:r w:rsidRPr="00054790">
        <w:rPr>
          <w:rFonts w:eastAsia="MS Mincho"/>
          <w:lang w:val="en-GB"/>
        </w:rPr>
        <w:t>Source: Mario</w:t>
      </w:r>
      <w:r w:rsidR="00D9279F">
        <w:rPr>
          <w:rFonts w:eastAsia="MS Mincho"/>
          <w:lang w:val="en-GB"/>
        </w:rPr>
        <w:t xml:space="preserve"> </w:t>
      </w:r>
      <w:proofErr w:type="spellStart"/>
      <w:r w:rsidR="00D9279F">
        <w:rPr>
          <w:rFonts w:eastAsia="MS Mincho"/>
          <w:lang w:val="en-GB"/>
        </w:rPr>
        <w:t>Glowik</w:t>
      </w:r>
      <w:proofErr w:type="spellEnd"/>
      <w:r w:rsidR="00D9279F">
        <w:rPr>
          <w:rFonts w:eastAsia="MS Mincho"/>
          <w:lang w:val="en-GB"/>
        </w:rPr>
        <w:t>,</w:t>
      </w:r>
      <w:r w:rsidRPr="00054790">
        <w:rPr>
          <w:rFonts w:eastAsia="MS Mincho"/>
          <w:lang w:val="en-GB"/>
        </w:rPr>
        <w:t xml:space="preserve"> </w:t>
      </w:r>
      <w:r w:rsidRPr="00944F16">
        <w:rPr>
          <w:rFonts w:eastAsia="MS Mincho"/>
          <w:i/>
          <w:lang w:val="en-GB"/>
        </w:rPr>
        <w:t>Market Entry Strategies: Internationalization Theories, Concepts and Cases of Asian High-</w:t>
      </w:r>
      <w:r w:rsidR="00D9279F">
        <w:rPr>
          <w:rFonts w:eastAsia="MS Mincho"/>
          <w:i/>
          <w:lang w:val="en-GB"/>
        </w:rPr>
        <w:t>T</w:t>
      </w:r>
      <w:r w:rsidRPr="00944F16">
        <w:rPr>
          <w:rFonts w:eastAsia="MS Mincho"/>
          <w:i/>
          <w:lang w:val="en-GB"/>
        </w:rPr>
        <w:t>echnology Firms</w:t>
      </w:r>
      <w:r w:rsidRPr="00054790">
        <w:rPr>
          <w:rFonts w:eastAsia="MS Mincho"/>
          <w:lang w:val="en-GB"/>
        </w:rPr>
        <w:t xml:space="preserve"> </w:t>
      </w:r>
      <w:r w:rsidR="00D9279F">
        <w:rPr>
          <w:rFonts w:eastAsia="MS Mincho"/>
          <w:lang w:val="en-GB"/>
        </w:rPr>
        <w:t>(</w:t>
      </w:r>
      <w:r w:rsidRPr="00054790">
        <w:rPr>
          <w:rFonts w:eastAsia="MS Mincho"/>
          <w:lang w:val="en-GB"/>
        </w:rPr>
        <w:t xml:space="preserve">Berlin: De </w:t>
      </w:r>
      <w:proofErr w:type="spellStart"/>
      <w:r w:rsidRPr="00054790">
        <w:rPr>
          <w:rFonts w:eastAsia="MS Mincho"/>
          <w:lang w:val="en-GB"/>
        </w:rPr>
        <w:t>Gruyter</w:t>
      </w:r>
      <w:proofErr w:type="spellEnd"/>
      <w:r w:rsidRPr="00054790">
        <w:rPr>
          <w:rFonts w:eastAsia="MS Mincho"/>
          <w:lang w:val="en-GB"/>
        </w:rPr>
        <w:t xml:space="preserve"> </w:t>
      </w:r>
      <w:proofErr w:type="spellStart"/>
      <w:r w:rsidRPr="00054790">
        <w:rPr>
          <w:rFonts w:eastAsia="MS Mincho"/>
          <w:lang w:val="en-GB"/>
        </w:rPr>
        <w:t>Oldenbourg</w:t>
      </w:r>
      <w:proofErr w:type="spellEnd"/>
      <w:r w:rsidRPr="00054790">
        <w:rPr>
          <w:rFonts w:eastAsia="MS Mincho"/>
          <w:lang w:val="en-GB"/>
        </w:rPr>
        <w:t>, 2016</w:t>
      </w:r>
      <w:r w:rsidR="00D9279F">
        <w:rPr>
          <w:rFonts w:eastAsia="MS Mincho"/>
          <w:lang w:val="en-GB"/>
        </w:rPr>
        <w:t>)</w:t>
      </w:r>
      <w:r w:rsidRPr="00054790">
        <w:rPr>
          <w:rFonts w:eastAsia="MS Mincho"/>
          <w:lang w:val="en-GB"/>
        </w:rPr>
        <w:t>, 156, 164, 166, 169, 172, 193, 194.</w:t>
      </w:r>
    </w:p>
    <w:sectPr w:rsidR="00523D3A" w:rsidRPr="00054790" w:rsidSect="00523D3A">
      <w:headerReference w:type="default" r:id="rId18"/>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88C2A" w14:textId="77777777" w:rsidR="002103E9" w:rsidRDefault="002103E9" w:rsidP="00D75295">
      <w:r>
        <w:separator/>
      </w:r>
    </w:p>
  </w:endnote>
  <w:endnote w:type="continuationSeparator" w:id="0">
    <w:p w14:paraId="4C2E7FF9" w14:textId="77777777" w:rsidR="002103E9" w:rsidRDefault="002103E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7E718" w14:textId="77777777" w:rsidR="002103E9" w:rsidRDefault="002103E9" w:rsidP="00D75295">
      <w:r>
        <w:separator/>
      </w:r>
    </w:p>
  </w:footnote>
  <w:footnote w:type="continuationSeparator" w:id="0">
    <w:p w14:paraId="1E9C989A" w14:textId="77777777" w:rsidR="002103E9" w:rsidRDefault="002103E9" w:rsidP="00D75295">
      <w:r>
        <w:continuationSeparator/>
      </w:r>
    </w:p>
  </w:footnote>
  <w:footnote w:id="1">
    <w:p w14:paraId="00506D33" w14:textId="77777777" w:rsidR="004A02D2" w:rsidRPr="00E67000" w:rsidRDefault="004A02D2" w:rsidP="000976C8">
      <w:pPr>
        <w:pStyle w:val="Footnote"/>
        <w:rPr>
          <w:lang w:val="en-CA"/>
        </w:rPr>
      </w:pPr>
      <w:r>
        <w:rPr>
          <w:rStyle w:val="FootnoteReference"/>
        </w:rPr>
        <w:footnoteRef/>
      </w:r>
      <w:r>
        <w:t xml:space="preserve"> </w:t>
      </w:r>
      <w:r>
        <w:rPr>
          <w:lang w:val="en-CA"/>
        </w:rPr>
        <w:t>¥ = RMB = Chinese yuan renminbi; ¥1 = US$0.17 on January 31, 2016.</w:t>
      </w:r>
    </w:p>
  </w:footnote>
  <w:footnote w:id="2">
    <w:p w14:paraId="1EB6390F" w14:textId="77777777" w:rsidR="00D971E1" w:rsidRPr="00944F16" w:rsidRDefault="00D971E1" w:rsidP="00D971E1">
      <w:pPr>
        <w:pStyle w:val="Footnote"/>
        <w:rPr>
          <w:b/>
        </w:rPr>
      </w:pPr>
      <w:r w:rsidRPr="00E551B4">
        <w:rPr>
          <w:rStyle w:val="FootnoteReference"/>
        </w:rPr>
        <w:footnoteRef/>
      </w:r>
      <w:r>
        <w:t> </w:t>
      </w:r>
      <w:proofErr w:type="spellStart"/>
      <w:r w:rsidRPr="00BD1129">
        <w:t>MarketLine</w:t>
      </w:r>
      <w:proofErr w:type="spellEnd"/>
      <w:r w:rsidRPr="00BD1129">
        <w:t xml:space="preserve">, </w:t>
      </w:r>
      <w:r w:rsidRPr="00BD1129">
        <w:rPr>
          <w:i/>
        </w:rPr>
        <w:t>Construction Industry Profile: China</w:t>
      </w:r>
      <w:r w:rsidRPr="00BD1129">
        <w:t>, 7</w:t>
      </w:r>
      <w:r>
        <w:t>,</w:t>
      </w:r>
      <w:r w:rsidRPr="00BD1129">
        <w:t xml:space="preserve"> December</w:t>
      </w:r>
      <w:r>
        <w:t xml:space="preserve"> 31,</w:t>
      </w:r>
      <w:r w:rsidRPr="00BD1129">
        <w:t xml:space="preserve"> 2017, accessed March</w:t>
      </w:r>
      <w:r>
        <w:t xml:space="preserve"> 31,</w:t>
      </w:r>
      <w:r w:rsidRPr="00BD1129">
        <w:t xml:space="preserve"> 2018, </w:t>
      </w:r>
      <w:r w:rsidRPr="00A62D4E">
        <w:t>https://store.marketline.com/report/ohmf2537--construction-in-china/</w:t>
      </w:r>
      <w:r w:rsidRPr="00BD1129">
        <w:t>.</w:t>
      </w:r>
      <w:r w:rsidRPr="00BD1129">
        <w:rPr>
          <w:rStyle w:val="FootnoteReference"/>
        </w:rPr>
        <w:t xml:space="preserve"> </w:t>
      </w:r>
    </w:p>
  </w:footnote>
  <w:footnote w:id="3">
    <w:p w14:paraId="2564D611" w14:textId="09BCECB1" w:rsidR="004A02D2" w:rsidRDefault="004A02D2" w:rsidP="000976C8">
      <w:pPr>
        <w:pStyle w:val="Footnote"/>
        <w:rPr>
          <w:lang w:eastAsia="zh-CN"/>
        </w:rPr>
      </w:pPr>
      <w:r>
        <w:rPr>
          <w:rStyle w:val="FootnoteReference"/>
        </w:rPr>
        <w:footnoteRef/>
      </w:r>
      <w:r>
        <w:t xml:space="preserve"> </w:t>
      </w:r>
      <w:r>
        <w:rPr>
          <w:lang w:eastAsia="zh-CN"/>
        </w:rPr>
        <w:t>“</w:t>
      </w:r>
      <w:proofErr w:type="spellStart"/>
      <w:r>
        <w:rPr>
          <w:lang w:eastAsia="zh-CN"/>
        </w:rPr>
        <w:t>Bauing</w:t>
      </w:r>
      <w:proofErr w:type="spellEnd"/>
      <w:r>
        <w:rPr>
          <w:lang w:eastAsia="zh-CN"/>
        </w:rPr>
        <w:t xml:space="preserve"> Group: </w:t>
      </w:r>
      <w:r w:rsidRPr="004A37AF">
        <w:rPr>
          <w:lang w:eastAsia="zh-CN"/>
        </w:rPr>
        <w:t xml:space="preserve">Create </w:t>
      </w:r>
      <w:r>
        <w:rPr>
          <w:lang w:eastAsia="zh-CN"/>
        </w:rPr>
        <w:t>C</w:t>
      </w:r>
      <w:r w:rsidRPr="004A37AF">
        <w:rPr>
          <w:lang w:eastAsia="zh-CN"/>
        </w:rPr>
        <w:t>enturies Foundation</w:t>
      </w:r>
      <w:r>
        <w:rPr>
          <w:lang w:eastAsia="zh-CN"/>
        </w:rPr>
        <w:t xml:space="preserve"> [in Chinese],” Manager Sohu.com, November 3, 2017, accessed January 21, 2018, </w:t>
      </w:r>
      <w:r w:rsidRPr="004A37AF">
        <w:rPr>
          <w:lang w:eastAsia="zh-CN"/>
        </w:rPr>
        <w:t>www.sohu.com/a/202078986_479806</w:t>
      </w:r>
      <w:r>
        <w:rPr>
          <w:lang w:eastAsia="zh-CN"/>
        </w:rPr>
        <w:t xml:space="preserve">. </w:t>
      </w:r>
    </w:p>
  </w:footnote>
  <w:footnote w:id="4">
    <w:p w14:paraId="28751C4D" w14:textId="52AB551C" w:rsidR="004A02D2" w:rsidRPr="00944F16" w:rsidRDefault="004A02D2" w:rsidP="000976C8">
      <w:pPr>
        <w:pStyle w:val="Footnote"/>
        <w:rPr>
          <w:b/>
          <w:sz w:val="22"/>
          <w:lang w:val="en-CA"/>
        </w:rPr>
      </w:pPr>
      <w:r w:rsidRPr="00BD5B34">
        <w:rPr>
          <w:rStyle w:val="FootnoteReference"/>
        </w:rPr>
        <w:footnoteRef/>
      </w:r>
      <w:r w:rsidRPr="00833F4D">
        <w:t xml:space="preserve"> </w:t>
      </w:r>
      <w:r w:rsidRPr="00A97ADA">
        <w:rPr>
          <w:i/>
        </w:rPr>
        <w:t>One Belt, One Road: An Economic Roadmap</w:t>
      </w:r>
      <w:r>
        <w:t xml:space="preserve">, Economist Intelligence Unit, 2016, accessed </w:t>
      </w:r>
      <w:r w:rsidRPr="00830488">
        <w:t>February 24, 2018</w:t>
      </w:r>
      <w:r>
        <w:t>,</w:t>
      </w:r>
      <w:r w:rsidRPr="00830488">
        <w:t xml:space="preserve"> </w:t>
      </w:r>
      <w:r w:rsidRPr="00944F16">
        <w:t>www.eiu.com/topic/one-belt-one-road</w:t>
      </w:r>
      <w:r>
        <w:t>.</w:t>
      </w:r>
      <w:r>
        <w:rPr>
          <w:b/>
        </w:rPr>
        <w:t xml:space="preserve"> </w:t>
      </w:r>
    </w:p>
  </w:footnote>
  <w:footnote w:id="5">
    <w:p w14:paraId="377E52D7" w14:textId="7B1DC2EF" w:rsidR="004A02D2" w:rsidRPr="00944F16" w:rsidRDefault="004A02D2">
      <w:pPr>
        <w:pStyle w:val="FootnoteText"/>
        <w:rPr>
          <w:rStyle w:val="FootnoteReference"/>
          <w:rFonts w:ascii="Arial" w:hAnsi="Arial" w:cs="Arial"/>
          <w:sz w:val="17"/>
          <w:szCs w:val="17"/>
        </w:rPr>
      </w:pPr>
      <w:r w:rsidRPr="00944F16">
        <w:rPr>
          <w:rStyle w:val="FootnoteReference"/>
          <w:rFonts w:ascii="Arial" w:hAnsi="Arial" w:cs="Arial"/>
          <w:sz w:val="17"/>
          <w:szCs w:val="17"/>
        </w:rPr>
        <w:footnoteRef/>
      </w:r>
      <w:r w:rsidRPr="00944F16">
        <w:rPr>
          <w:rStyle w:val="FootnoteReference"/>
          <w:rFonts w:ascii="Arial" w:hAnsi="Arial" w:cs="Arial"/>
          <w:sz w:val="17"/>
          <w:szCs w:val="17"/>
        </w:rPr>
        <w:t xml:space="preserve"> </w:t>
      </w:r>
      <w:r>
        <w:rPr>
          <w:rFonts w:ascii="Arial" w:hAnsi="Arial" w:cs="Arial"/>
          <w:sz w:val="17"/>
          <w:szCs w:val="17"/>
        </w:rPr>
        <w:t xml:space="preserve">All dollar-denominated currency amounts are in </w:t>
      </w:r>
      <w:r w:rsidR="00D971E1">
        <w:rPr>
          <w:rFonts w:ascii="Arial" w:hAnsi="Arial" w:cs="Arial"/>
          <w:sz w:val="17"/>
          <w:szCs w:val="17"/>
        </w:rPr>
        <w:t>US</w:t>
      </w:r>
      <w:r>
        <w:rPr>
          <w:rFonts w:ascii="Arial" w:hAnsi="Arial" w:cs="Arial"/>
          <w:sz w:val="17"/>
          <w:szCs w:val="17"/>
        </w:rPr>
        <w:t xml:space="preserve"> dollars.</w:t>
      </w:r>
    </w:p>
  </w:footnote>
  <w:footnote w:id="6">
    <w:p w14:paraId="2FCB6C72" w14:textId="4CFC3358" w:rsidR="004A02D2" w:rsidRPr="007C2B5C" w:rsidRDefault="004A02D2" w:rsidP="000976C8">
      <w:pPr>
        <w:pStyle w:val="Footnote"/>
        <w:rPr>
          <w:lang w:val="en-CA"/>
        </w:rPr>
      </w:pPr>
      <w:r w:rsidRPr="00A97ADA">
        <w:rPr>
          <w:rStyle w:val="FootnoteReference"/>
        </w:rPr>
        <w:footnoteRef/>
      </w:r>
      <w:r w:rsidRPr="00A97ADA">
        <w:t xml:space="preserve"> </w:t>
      </w:r>
      <w:r w:rsidRPr="008A5B3D">
        <w:t xml:space="preserve">Jonathan </w:t>
      </w:r>
      <w:proofErr w:type="spellStart"/>
      <w:r w:rsidRPr="008A5B3D">
        <w:t>Woetzel</w:t>
      </w:r>
      <w:proofErr w:type="spellEnd"/>
      <w:r w:rsidRPr="008A5B3D">
        <w:t xml:space="preserve">, </w:t>
      </w:r>
      <w:proofErr w:type="spellStart"/>
      <w:r w:rsidRPr="008A5B3D">
        <w:t>Nicklas</w:t>
      </w:r>
      <w:proofErr w:type="spellEnd"/>
      <w:r w:rsidRPr="008A5B3D">
        <w:t xml:space="preserve"> </w:t>
      </w:r>
      <w:proofErr w:type="spellStart"/>
      <w:r w:rsidRPr="008A5B3D">
        <w:t>Garemo</w:t>
      </w:r>
      <w:proofErr w:type="spellEnd"/>
      <w:r w:rsidRPr="008A5B3D">
        <w:t xml:space="preserve">, Jan </w:t>
      </w:r>
      <w:proofErr w:type="spellStart"/>
      <w:r w:rsidRPr="008A5B3D">
        <w:t>Mischke</w:t>
      </w:r>
      <w:proofErr w:type="spellEnd"/>
      <w:r w:rsidRPr="008A5B3D">
        <w:t xml:space="preserve">, Martin </w:t>
      </w:r>
      <w:proofErr w:type="spellStart"/>
      <w:r w:rsidRPr="008A5B3D">
        <w:t>Hjerpe</w:t>
      </w:r>
      <w:proofErr w:type="spellEnd"/>
      <w:r w:rsidRPr="008A5B3D">
        <w:t xml:space="preserve">, and Robert Palter, </w:t>
      </w:r>
      <w:r w:rsidRPr="00A97ADA">
        <w:rPr>
          <w:i/>
        </w:rPr>
        <w:t>Bridging Global Infrastructure Gaps</w:t>
      </w:r>
      <w:r w:rsidRPr="008A5B3D">
        <w:t>, McKinsey &amp; Company, June 2016, acce</w:t>
      </w:r>
      <w:r w:rsidR="00D971E1">
        <w:t xml:space="preserve">ssed February 24, 2018, </w:t>
      </w:r>
      <w:r w:rsidRPr="008A5B3D">
        <w:t>www.mckinsey.com/industries/capital-projects-and-infrastructure/our-insights/bridging-global-infrastructure-gaps.</w:t>
      </w:r>
    </w:p>
  </w:footnote>
  <w:footnote w:id="7">
    <w:p w14:paraId="2A0C2D47" w14:textId="5DE9010C" w:rsidR="004A02D2" w:rsidRPr="007C2B5C" w:rsidRDefault="004A02D2" w:rsidP="000976C8">
      <w:pPr>
        <w:pStyle w:val="Footnote"/>
        <w:rPr>
          <w:lang w:val="en-CA"/>
        </w:rPr>
      </w:pPr>
      <w:r w:rsidRPr="00A97ADA">
        <w:rPr>
          <w:rStyle w:val="FootnoteReference"/>
        </w:rPr>
        <w:footnoteRef/>
      </w:r>
      <w:r w:rsidRPr="00A97ADA">
        <w:t xml:space="preserve"> </w:t>
      </w:r>
      <w:r>
        <w:t xml:space="preserve">Ibid. </w:t>
      </w:r>
    </w:p>
  </w:footnote>
  <w:footnote w:id="8">
    <w:p w14:paraId="3031CACB" w14:textId="24D8332E" w:rsidR="004A02D2" w:rsidRPr="006A1FB0" w:rsidRDefault="004A02D2" w:rsidP="000976C8">
      <w:pPr>
        <w:pStyle w:val="Footnote"/>
        <w:rPr>
          <w:lang w:val="en-CA"/>
        </w:rPr>
      </w:pPr>
      <w:r>
        <w:rPr>
          <w:rStyle w:val="FootnoteReference"/>
        </w:rPr>
        <w:footnoteRef/>
      </w:r>
      <w:r>
        <w:t xml:space="preserve"> </w:t>
      </w:r>
      <w:proofErr w:type="spellStart"/>
      <w:r>
        <w:t>Baichun</w:t>
      </w:r>
      <w:proofErr w:type="spellEnd"/>
      <w:r>
        <w:t xml:space="preserve"> Lai, “2016 Analysis of China’s Architectural Decoration Industry Listed Companies [in Chinese],” </w:t>
      </w:r>
      <w:proofErr w:type="spellStart"/>
      <w:r>
        <w:t>Shenzen</w:t>
      </w:r>
      <w:proofErr w:type="spellEnd"/>
      <w:r>
        <w:t xml:space="preserve"> </w:t>
      </w:r>
      <w:proofErr w:type="spellStart"/>
      <w:r>
        <w:t>Guangtian</w:t>
      </w:r>
      <w:proofErr w:type="spellEnd"/>
      <w:r>
        <w:t xml:space="preserve"> Science and Technology Development Research Institute, June 21, 2017, accessed April 15, 2018, </w:t>
      </w:r>
      <w:r w:rsidRPr="00974D6B">
        <w:t>www.sohu.com/a/150901237_659865</w:t>
      </w:r>
      <w:r>
        <w:t>.</w:t>
      </w:r>
    </w:p>
  </w:footnote>
  <w:footnote w:id="9">
    <w:p w14:paraId="013DAAF6" w14:textId="4840B175" w:rsidR="004A02D2" w:rsidRDefault="004A02D2" w:rsidP="000976C8">
      <w:pPr>
        <w:pStyle w:val="Footnote"/>
      </w:pPr>
      <w:r w:rsidRPr="006A1FB0">
        <w:rPr>
          <w:rStyle w:val="FootnoteReference"/>
        </w:rPr>
        <w:footnoteRef/>
      </w:r>
      <w:r>
        <w:t xml:space="preserve"> </w:t>
      </w:r>
      <w:proofErr w:type="spellStart"/>
      <w:r w:rsidRPr="006A1FB0">
        <w:t>MarketLine</w:t>
      </w:r>
      <w:proofErr w:type="spellEnd"/>
      <w:r w:rsidRPr="006A1FB0">
        <w:t xml:space="preserve">, </w:t>
      </w:r>
      <w:r w:rsidRPr="006A1FB0">
        <w:rPr>
          <w:i/>
        </w:rPr>
        <w:t>Industry Profile: Construction in Indonesia</w:t>
      </w:r>
      <w:r w:rsidRPr="006A1FB0">
        <w:t>, 7, December</w:t>
      </w:r>
      <w:r>
        <w:t xml:space="preserve"> 21, </w:t>
      </w:r>
      <w:r w:rsidRPr="006A1FB0">
        <w:t>2017, accessed March 31, 2018,</w:t>
      </w:r>
      <w:r>
        <w:t xml:space="preserve"> </w:t>
      </w:r>
      <w:r w:rsidRPr="00A62D4E">
        <w:t>https://store.marketline.com/report/ohmf2574--construction-in-</w:t>
      </w:r>
      <w:proofErr w:type="spellStart"/>
      <w:r w:rsidRPr="00A62D4E">
        <w:t>indonesia</w:t>
      </w:r>
      <w:proofErr w:type="spellEnd"/>
      <w:r w:rsidRPr="00A62D4E">
        <w:t>/</w:t>
      </w:r>
      <w:r>
        <w:t>.</w:t>
      </w:r>
      <w:r w:rsidRPr="00A57239">
        <w:rPr>
          <w:b/>
          <w:highlight w:val="cyan"/>
        </w:rPr>
        <w:t xml:space="preserve"> </w:t>
      </w:r>
    </w:p>
  </w:footnote>
  <w:footnote w:id="10">
    <w:p w14:paraId="06F00FF2" w14:textId="6AAE486E" w:rsidR="004A02D2" w:rsidRDefault="004A02D2" w:rsidP="00F63EAF">
      <w:pPr>
        <w:pStyle w:val="Footnote"/>
      </w:pPr>
      <w:r w:rsidRPr="006A1FB0">
        <w:rPr>
          <w:rStyle w:val="FootnoteReference"/>
        </w:rPr>
        <w:footnoteRef/>
      </w:r>
      <w:r>
        <w:t xml:space="preserve"> </w:t>
      </w:r>
      <w:proofErr w:type="spellStart"/>
      <w:r>
        <w:t>Bauing</w:t>
      </w:r>
      <w:proofErr w:type="spellEnd"/>
      <w:r>
        <w:t xml:space="preserve"> Group</w:t>
      </w:r>
      <w:r>
        <w:rPr>
          <w:rFonts w:eastAsiaTheme="minorEastAsia" w:hint="eastAsia"/>
          <w:lang w:eastAsia="zh-CN"/>
        </w:rPr>
        <w:t>,</w:t>
      </w:r>
      <w:r>
        <w:t xml:space="preserve"> </w:t>
      </w:r>
      <w:proofErr w:type="spellStart"/>
      <w:r w:rsidRPr="00AF750C">
        <w:rPr>
          <w:i/>
        </w:rPr>
        <w:t>Bauing</w:t>
      </w:r>
      <w:proofErr w:type="spellEnd"/>
      <w:r w:rsidRPr="00AF750C">
        <w:rPr>
          <w:i/>
        </w:rPr>
        <w:t xml:space="preserve"> Culture</w:t>
      </w:r>
      <w:r w:rsidRPr="00AF750C">
        <w:rPr>
          <w:rFonts w:eastAsiaTheme="minorEastAsia"/>
          <w:i/>
          <w:lang w:eastAsia="zh-CN"/>
        </w:rPr>
        <w:t>:</w:t>
      </w:r>
      <w:r w:rsidRPr="00AF750C">
        <w:rPr>
          <w:i/>
        </w:rPr>
        <w:t xml:space="preserve"> Cultural System</w:t>
      </w:r>
      <w:r>
        <w:t>, 201</w:t>
      </w:r>
      <w:r>
        <w:rPr>
          <w:rFonts w:eastAsiaTheme="minorEastAsia" w:hint="eastAsia"/>
          <w:lang w:eastAsia="zh-CN"/>
        </w:rPr>
        <w:t>1</w:t>
      </w:r>
      <w:r w:rsidRPr="00F63EAF">
        <w:t xml:space="preserve">, </w:t>
      </w:r>
      <w:r>
        <w:rPr>
          <w:rFonts w:eastAsiaTheme="minorEastAsia" w:hint="eastAsia"/>
          <w:lang w:eastAsia="zh-CN"/>
        </w:rPr>
        <w:t xml:space="preserve">accessed March 1, 2018, </w:t>
      </w:r>
      <w:r w:rsidRPr="00F63EAF">
        <w:t>en.</w:t>
      </w:r>
      <w:r>
        <w:t>szby.cn/culture/cultural-system.</w:t>
      </w:r>
      <w:r w:rsidRPr="00A57239">
        <w:rPr>
          <w:b/>
          <w:highlight w:val="cyan"/>
        </w:rPr>
        <w:t xml:space="preserve"> </w:t>
      </w:r>
    </w:p>
  </w:footnote>
  <w:footnote w:id="11">
    <w:p w14:paraId="41D69F13" w14:textId="77777777" w:rsidR="00D971E1" w:rsidRPr="00770A1E" w:rsidRDefault="00D971E1" w:rsidP="00D971E1">
      <w:pPr>
        <w:pStyle w:val="Footnote"/>
      </w:pPr>
      <w:r w:rsidRPr="00770A1E">
        <w:rPr>
          <w:rStyle w:val="FootnoteReference"/>
        </w:rPr>
        <w:footnoteRef/>
      </w:r>
      <w:r w:rsidRPr="00770A1E">
        <w:t xml:space="preserve"> </w:t>
      </w:r>
      <w:proofErr w:type="spellStart"/>
      <w:r w:rsidRPr="00770A1E">
        <w:t>MarketLine</w:t>
      </w:r>
      <w:proofErr w:type="spellEnd"/>
      <w:r w:rsidRPr="00770A1E">
        <w:t xml:space="preserve">, </w:t>
      </w:r>
      <w:r w:rsidRPr="00770A1E">
        <w:rPr>
          <w:i/>
        </w:rPr>
        <w:t>Construction in the United States</w:t>
      </w:r>
      <w:r w:rsidRPr="00770A1E">
        <w:t>, 7, December 21, 2017, accessed March 31, 2018,</w:t>
      </w:r>
      <w:r>
        <w:t xml:space="preserve"> </w:t>
      </w:r>
      <w:r w:rsidRPr="00AF750C">
        <w:t>https://store.marketline.com/report/ohmf2481--construction-in-the-united-states</w:t>
      </w:r>
      <w:r>
        <w:rPr>
          <w:rFonts w:eastAsiaTheme="minorEastAsia" w:hint="eastAsia"/>
          <w:lang w:eastAsia="zh-CN"/>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542D1" w14:textId="569EC00D" w:rsidR="004A02D2" w:rsidRPr="00C92CC4" w:rsidRDefault="004A02D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07EC">
      <w:rPr>
        <w:rFonts w:ascii="Arial" w:hAnsi="Arial"/>
        <w:b/>
        <w:noProof/>
      </w:rPr>
      <w:t>6</w:t>
    </w:r>
    <w:r>
      <w:rPr>
        <w:rFonts w:ascii="Arial" w:hAnsi="Arial"/>
        <w:b/>
      </w:rPr>
      <w:fldChar w:fldCharType="end"/>
    </w:r>
    <w:r w:rsidR="00050AA0">
      <w:rPr>
        <w:rFonts w:ascii="Arial" w:hAnsi="Arial"/>
        <w:b/>
      </w:rPr>
      <w:tab/>
      <w:t>9B18M187</w:t>
    </w:r>
  </w:p>
  <w:p w14:paraId="378127F0" w14:textId="77777777" w:rsidR="004A02D2" w:rsidRDefault="004A02D2" w:rsidP="00D13667">
    <w:pPr>
      <w:pStyle w:val="Header"/>
      <w:tabs>
        <w:tab w:val="clear" w:pos="4680"/>
      </w:tabs>
      <w:rPr>
        <w:sz w:val="18"/>
        <w:szCs w:val="18"/>
      </w:rPr>
    </w:pPr>
  </w:p>
  <w:p w14:paraId="70E5FE1F" w14:textId="77777777" w:rsidR="004A02D2" w:rsidRPr="00C92CC4" w:rsidRDefault="004A02D2"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14425" w14:textId="33D6D409" w:rsidR="004A02D2" w:rsidRPr="00C92CC4" w:rsidRDefault="004A02D2" w:rsidP="007709F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07EC">
      <w:rPr>
        <w:rFonts w:ascii="Arial" w:hAnsi="Arial"/>
        <w:b/>
        <w:noProof/>
      </w:rPr>
      <w:t>7</w:t>
    </w:r>
    <w:r>
      <w:rPr>
        <w:rFonts w:ascii="Arial" w:hAnsi="Arial"/>
        <w:b/>
      </w:rPr>
      <w:fldChar w:fldCharType="end"/>
    </w:r>
    <w:r w:rsidR="00050AA0">
      <w:rPr>
        <w:rFonts w:ascii="Arial" w:hAnsi="Arial"/>
        <w:b/>
      </w:rPr>
      <w:tab/>
    </w:r>
    <w:r w:rsidR="00050AA0">
      <w:rPr>
        <w:rFonts w:ascii="Arial" w:hAnsi="Arial"/>
        <w:b/>
      </w:rPr>
      <w:tab/>
    </w:r>
    <w:r w:rsidR="00050AA0">
      <w:rPr>
        <w:rFonts w:ascii="Arial" w:hAnsi="Arial"/>
        <w:b/>
      </w:rPr>
      <w:tab/>
    </w:r>
    <w:r w:rsidR="00050AA0">
      <w:rPr>
        <w:rFonts w:ascii="Arial" w:hAnsi="Arial"/>
        <w:b/>
      </w:rPr>
      <w:tab/>
    </w:r>
    <w:r w:rsidR="00050AA0">
      <w:rPr>
        <w:rFonts w:ascii="Arial" w:hAnsi="Arial"/>
        <w:b/>
      </w:rPr>
      <w:tab/>
      <w:t>9B18M187</w:t>
    </w:r>
  </w:p>
  <w:p w14:paraId="1DCFF0E6" w14:textId="77777777" w:rsidR="004A02D2" w:rsidRDefault="004A02D2" w:rsidP="007709F2">
    <w:pPr>
      <w:pStyle w:val="Header"/>
      <w:tabs>
        <w:tab w:val="clear" w:pos="4680"/>
      </w:tabs>
      <w:rPr>
        <w:sz w:val="18"/>
        <w:szCs w:val="18"/>
      </w:rPr>
    </w:pPr>
  </w:p>
  <w:p w14:paraId="4D595689" w14:textId="77777777" w:rsidR="004A02D2" w:rsidRPr="00C92CC4" w:rsidRDefault="004A02D2" w:rsidP="007709F2">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91CB7" w14:textId="35529965" w:rsidR="004A02D2" w:rsidRPr="00C92CC4" w:rsidRDefault="004A02D2" w:rsidP="002D3EE3">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07EC">
      <w:rPr>
        <w:rFonts w:ascii="Arial" w:hAnsi="Arial"/>
        <w:b/>
        <w:noProof/>
      </w:rPr>
      <w:t>8</w:t>
    </w:r>
    <w:r>
      <w:rPr>
        <w:rFonts w:ascii="Arial" w:hAnsi="Arial"/>
        <w:b/>
      </w:rPr>
      <w:fldChar w:fldCharType="end"/>
    </w:r>
    <w:r w:rsidR="00050AA0">
      <w:rPr>
        <w:rFonts w:ascii="Arial" w:hAnsi="Arial"/>
        <w:b/>
      </w:rPr>
      <w:tab/>
      <w:t>9B18M187</w:t>
    </w:r>
  </w:p>
  <w:p w14:paraId="49BF76AA" w14:textId="77777777" w:rsidR="004A02D2" w:rsidRDefault="004A02D2" w:rsidP="002D3EE3">
    <w:pPr>
      <w:pStyle w:val="Header"/>
      <w:tabs>
        <w:tab w:val="clear" w:pos="4680"/>
        <w:tab w:val="clear" w:pos="9360"/>
        <w:tab w:val="right" w:pos="12960"/>
      </w:tabs>
      <w:rPr>
        <w:sz w:val="18"/>
        <w:szCs w:val="18"/>
      </w:rPr>
    </w:pPr>
  </w:p>
  <w:p w14:paraId="51383DF6" w14:textId="77777777" w:rsidR="004A02D2" w:rsidRPr="00C92CC4" w:rsidRDefault="004A02D2" w:rsidP="002D3EE3">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A00A3" w14:textId="767BB256" w:rsidR="004A02D2" w:rsidRPr="00C92CC4" w:rsidRDefault="004A02D2" w:rsidP="00523D3A">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007EC">
      <w:rPr>
        <w:rFonts w:ascii="Arial" w:hAnsi="Arial"/>
        <w:b/>
        <w:noProof/>
      </w:rPr>
      <w:t>9</w:t>
    </w:r>
    <w:r>
      <w:rPr>
        <w:rFonts w:ascii="Arial" w:hAnsi="Arial"/>
        <w:b/>
      </w:rPr>
      <w:fldChar w:fldCharType="end"/>
    </w:r>
    <w:r w:rsidR="00050AA0">
      <w:rPr>
        <w:rFonts w:ascii="Arial" w:hAnsi="Arial"/>
        <w:b/>
      </w:rPr>
      <w:tab/>
      <w:t>9B18M187</w:t>
    </w:r>
  </w:p>
  <w:p w14:paraId="545769F8" w14:textId="77777777" w:rsidR="004A02D2" w:rsidRDefault="004A02D2" w:rsidP="00523D3A">
    <w:pPr>
      <w:pStyle w:val="Header"/>
      <w:tabs>
        <w:tab w:val="clear" w:pos="4680"/>
      </w:tabs>
      <w:rPr>
        <w:sz w:val="18"/>
        <w:szCs w:val="18"/>
      </w:rPr>
    </w:pPr>
  </w:p>
  <w:p w14:paraId="3889397E" w14:textId="77777777" w:rsidR="004A02D2" w:rsidRPr="00C92CC4" w:rsidRDefault="004A02D2" w:rsidP="00523D3A">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77EB"/>
    <w:rsid w:val="00013360"/>
    <w:rsid w:val="00016759"/>
    <w:rsid w:val="000216CE"/>
    <w:rsid w:val="00024ED4"/>
    <w:rsid w:val="00025DC7"/>
    <w:rsid w:val="00035F09"/>
    <w:rsid w:val="00044ECC"/>
    <w:rsid w:val="00050AA0"/>
    <w:rsid w:val="000531D3"/>
    <w:rsid w:val="00054790"/>
    <w:rsid w:val="0005646B"/>
    <w:rsid w:val="00056A34"/>
    <w:rsid w:val="0008102D"/>
    <w:rsid w:val="00084878"/>
    <w:rsid w:val="00094C0E"/>
    <w:rsid w:val="0009667B"/>
    <w:rsid w:val="000976C8"/>
    <w:rsid w:val="000D159D"/>
    <w:rsid w:val="000D3813"/>
    <w:rsid w:val="000D7091"/>
    <w:rsid w:val="000F0C22"/>
    <w:rsid w:val="000F6B09"/>
    <w:rsid w:val="000F6FDC"/>
    <w:rsid w:val="00103488"/>
    <w:rsid w:val="00104567"/>
    <w:rsid w:val="00104916"/>
    <w:rsid w:val="00104AA7"/>
    <w:rsid w:val="001067A5"/>
    <w:rsid w:val="0012732D"/>
    <w:rsid w:val="00132028"/>
    <w:rsid w:val="00143F25"/>
    <w:rsid w:val="00152682"/>
    <w:rsid w:val="00153F98"/>
    <w:rsid w:val="00154FC9"/>
    <w:rsid w:val="0019241A"/>
    <w:rsid w:val="001950CF"/>
    <w:rsid w:val="001A22D1"/>
    <w:rsid w:val="001A752D"/>
    <w:rsid w:val="001A757E"/>
    <w:rsid w:val="001B4500"/>
    <w:rsid w:val="001B5032"/>
    <w:rsid w:val="001C2492"/>
    <w:rsid w:val="001C72CB"/>
    <w:rsid w:val="001C7777"/>
    <w:rsid w:val="001E364F"/>
    <w:rsid w:val="001F4222"/>
    <w:rsid w:val="00203AA1"/>
    <w:rsid w:val="002103E9"/>
    <w:rsid w:val="00213E98"/>
    <w:rsid w:val="0022621A"/>
    <w:rsid w:val="0023081A"/>
    <w:rsid w:val="00242858"/>
    <w:rsid w:val="00267342"/>
    <w:rsid w:val="002B02E2"/>
    <w:rsid w:val="002D3EE3"/>
    <w:rsid w:val="002F4426"/>
    <w:rsid w:val="002F460C"/>
    <w:rsid w:val="002F48D6"/>
    <w:rsid w:val="00307AFC"/>
    <w:rsid w:val="00317391"/>
    <w:rsid w:val="00326216"/>
    <w:rsid w:val="00336580"/>
    <w:rsid w:val="00354899"/>
    <w:rsid w:val="00355FD6"/>
    <w:rsid w:val="003630FE"/>
    <w:rsid w:val="00364A5C"/>
    <w:rsid w:val="00373FB1"/>
    <w:rsid w:val="003836FB"/>
    <w:rsid w:val="00396C76"/>
    <w:rsid w:val="003B30D8"/>
    <w:rsid w:val="003B45A0"/>
    <w:rsid w:val="003B7EF2"/>
    <w:rsid w:val="003C34E6"/>
    <w:rsid w:val="003C3FA4"/>
    <w:rsid w:val="003C5A0B"/>
    <w:rsid w:val="003D0BA1"/>
    <w:rsid w:val="003F2B0C"/>
    <w:rsid w:val="00407C53"/>
    <w:rsid w:val="004105B2"/>
    <w:rsid w:val="00412900"/>
    <w:rsid w:val="00413FB9"/>
    <w:rsid w:val="00421288"/>
    <w:rsid w:val="004221E4"/>
    <w:rsid w:val="004273F8"/>
    <w:rsid w:val="004355A3"/>
    <w:rsid w:val="00446546"/>
    <w:rsid w:val="00452769"/>
    <w:rsid w:val="0045322D"/>
    <w:rsid w:val="00465348"/>
    <w:rsid w:val="004A02D2"/>
    <w:rsid w:val="004B0AE7"/>
    <w:rsid w:val="004B1CCB"/>
    <w:rsid w:val="004B632F"/>
    <w:rsid w:val="004D3FB1"/>
    <w:rsid w:val="004D6F21"/>
    <w:rsid w:val="004D73A5"/>
    <w:rsid w:val="005007EC"/>
    <w:rsid w:val="005160F1"/>
    <w:rsid w:val="00523D3A"/>
    <w:rsid w:val="00524F2F"/>
    <w:rsid w:val="0052726B"/>
    <w:rsid w:val="00527E5C"/>
    <w:rsid w:val="00532CF5"/>
    <w:rsid w:val="0054612F"/>
    <w:rsid w:val="005528CB"/>
    <w:rsid w:val="00566771"/>
    <w:rsid w:val="00581E2E"/>
    <w:rsid w:val="00584F15"/>
    <w:rsid w:val="005874D8"/>
    <w:rsid w:val="0059514B"/>
    <w:rsid w:val="005A1B0F"/>
    <w:rsid w:val="0060688F"/>
    <w:rsid w:val="006163F7"/>
    <w:rsid w:val="00616656"/>
    <w:rsid w:val="0062438E"/>
    <w:rsid w:val="00627C63"/>
    <w:rsid w:val="00632E5E"/>
    <w:rsid w:val="0063350B"/>
    <w:rsid w:val="00637BE9"/>
    <w:rsid w:val="00652606"/>
    <w:rsid w:val="006946EE"/>
    <w:rsid w:val="0069680E"/>
    <w:rsid w:val="006A58A9"/>
    <w:rsid w:val="006A606D"/>
    <w:rsid w:val="006C0371"/>
    <w:rsid w:val="006C08B6"/>
    <w:rsid w:val="006C0B1A"/>
    <w:rsid w:val="006C6065"/>
    <w:rsid w:val="006C7F9F"/>
    <w:rsid w:val="006E2F6D"/>
    <w:rsid w:val="006E58F6"/>
    <w:rsid w:val="006E77E1"/>
    <w:rsid w:val="006F131D"/>
    <w:rsid w:val="00711642"/>
    <w:rsid w:val="00711F08"/>
    <w:rsid w:val="007507C6"/>
    <w:rsid w:val="00751E0B"/>
    <w:rsid w:val="00752BCD"/>
    <w:rsid w:val="007629AE"/>
    <w:rsid w:val="00766DA1"/>
    <w:rsid w:val="007709F2"/>
    <w:rsid w:val="00780D94"/>
    <w:rsid w:val="00784D56"/>
    <w:rsid w:val="007866A6"/>
    <w:rsid w:val="007A130D"/>
    <w:rsid w:val="007A2AC3"/>
    <w:rsid w:val="007D1A2D"/>
    <w:rsid w:val="007D4102"/>
    <w:rsid w:val="007D4306"/>
    <w:rsid w:val="007F43B7"/>
    <w:rsid w:val="00811162"/>
    <w:rsid w:val="008169E1"/>
    <w:rsid w:val="00821FFC"/>
    <w:rsid w:val="008271CA"/>
    <w:rsid w:val="00837368"/>
    <w:rsid w:val="00837482"/>
    <w:rsid w:val="008467D5"/>
    <w:rsid w:val="00851D08"/>
    <w:rsid w:val="00887BDF"/>
    <w:rsid w:val="008A43E5"/>
    <w:rsid w:val="008A4DC4"/>
    <w:rsid w:val="008B438C"/>
    <w:rsid w:val="008B7074"/>
    <w:rsid w:val="008C1B53"/>
    <w:rsid w:val="008C2E73"/>
    <w:rsid w:val="008D06CA"/>
    <w:rsid w:val="008D3A46"/>
    <w:rsid w:val="009067A4"/>
    <w:rsid w:val="009123F5"/>
    <w:rsid w:val="00923656"/>
    <w:rsid w:val="00925E36"/>
    <w:rsid w:val="00930885"/>
    <w:rsid w:val="00933D68"/>
    <w:rsid w:val="009340DB"/>
    <w:rsid w:val="00944F16"/>
    <w:rsid w:val="0094618C"/>
    <w:rsid w:val="00946AB8"/>
    <w:rsid w:val="0095684B"/>
    <w:rsid w:val="00972498"/>
    <w:rsid w:val="0097481F"/>
    <w:rsid w:val="00974CC6"/>
    <w:rsid w:val="00976AD4"/>
    <w:rsid w:val="009842B4"/>
    <w:rsid w:val="009910F8"/>
    <w:rsid w:val="00995547"/>
    <w:rsid w:val="009A312F"/>
    <w:rsid w:val="009A5348"/>
    <w:rsid w:val="009B0AB7"/>
    <w:rsid w:val="009C76D5"/>
    <w:rsid w:val="009E2811"/>
    <w:rsid w:val="009F0045"/>
    <w:rsid w:val="009F7AA4"/>
    <w:rsid w:val="00A10AD7"/>
    <w:rsid w:val="00A559DB"/>
    <w:rsid w:val="00A569EA"/>
    <w:rsid w:val="00A57239"/>
    <w:rsid w:val="00A62D4E"/>
    <w:rsid w:val="00AC37FE"/>
    <w:rsid w:val="00AF20AF"/>
    <w:rsid w:val="00AF35FC"/>
    <w:rsid w:val="00AF5556"/>
    <w:rsid w:val="00AF750C"/>
    <w:rsid w:val="00B03639"/>
    <w:rsid w:val="00B0652A"/>
    <w:rsid w:val="00B10DE4"/>
    <w:rsid w:val="00B307C0"/>
    <w:rsid w:val="00B40937"/>
    <w:rsid w:val="00B423EF"/>
    <w:rsid w:val="00B438FE"/>
    <w:rsid w:val="00B453DE"/>
    <w:rsid w:val="00B55FBC"/>
    <w:rsid w:val="00B72597"/>
    <w:rsid w:val="00B876A0"/>
    <w:rsid w:val="00B901F9"/>
    <w:rsid w:val="00B9471B"/>
    <w:rsid w:val="00BA6815"/>
    <w:rsid w:val="00BD3E3D"/>
    <w:rsid w:val="00BD6EFB"/>
    <w:rsid w:val="00BE17A5"/>
    <w:rsid w:val="00BE62C8"/>
    <w:rsid w:val="00C04A9B"/>
    <w:rsid w:val="00C1584D"/>
    <w:rsid w:val="00C15BE2"/>
    <w:rsid w:val="00C3447F"/>
    <w:rsid w:val="00C45B88"/>
    <w:rsid w:val="00C67102"/>
    <w:rsid w:val="00C81491"/>
    <w:rsid w:val="00C81676"/>
    <w:rsid w:val="00C85C5D"/>
    <w:rsid w:val="00C92CC4"/>
    <w:rsid w:val="00CA0AFB"/>
    <w:rsid w:val="00CA2CE1"/>
    <w:rsid w:val="00CA3976"/>
    <w:rsid w:val="00CA50E3"/>
    <w:rsid w:val="00CA757B"/>
    <w:rsid w:val="00CC1787"/>
    <w:rsid w:val="00CC182C"/>
    <w:rsid w:val="00CD0824"/>
    <w:rsid w:val="00CD133A"/>
    <w:rsid w:val="00CD2908"/>
    <w:rsid w:val="00CD4F23"/>
    <w:rsid w:val="00D03A82"/>
    <w:rsid w:val="00D13667"/>
    <w:rsid w:val="00D15344"/>
    <w:rsid w:val="00D23F57"/>
    <w:rsid w:val="00D31BEC"/>
    <w:rsid w:val="00D35E49"/>
    <w:rsid w:val="00D40DCB"/>
    <w:rsid w:val="00D63150"/>
    <w:rsid w:val="00D636BA"/>
    <w:rsid w:val="00D64A32"/>
    <w:rsid w:val="00D64EFC"/>
    <w:rsid w:val="00D75295"/>
    <w:rsid w:val="00D76CE9"/>
    <w:rsid w:val="00D8136E"/>
    <w:rsid w:val="00D91B37"/>
    <w:rsid w:val="00D9279F"/>
    <w:rsid w:val="00D971E1"/>
    <w:rsid w:val="00D97F12"/>
    <w:rsid w:val="00DA6095"/>
    <w:rsid w:val="00DB42E7"/>
    <w:rsid w:val="00DE01A6"/>
    <w:rsid w:val="00DE0D59"/>
    <w:rsid w:val="00DE7A98"/>
    <w:rsid w:val="00DF32C2"/>
    <w:rsid w:val="00E236DC"/>
    <w:rsid w:val="00E330BE"/>
    <w:rsid w:val="00E36CDE"/>
    <w:rsid w:val="00E471A7"/>
    <w:rsid w:val="00E635CF"/>
    <w:rsid w:val="00EA4766"/>
    <w:rsid w:val="00EC6E0A"/>
    <w:rsid w:val="00ED4E18"/>
    <w:rsid w:val="00EE1F37"/>
    <w:rsid w:val="00F0110F"/>
    <w:rsid w:val="00F0159C"/>
    <w:rsid w:val="00F105B7"/>
    <w:rsid w:val="00F13220"/>
    <w:rsid w:val="00F17A21"/>
    <w:rsid w:val="00F37B27"/>
    <w:rsid w:val="00F46556"/>
    <w:rsid w:val="00F50E91"/>
    <w:rsid w:val="00F54257"/>
    <w:rsid w:val="00F57D29"/>
    <w:rsid w:val="00F60374"/>
    <w:rsid w:val="00F63EAF"/>
    <w:rsid w:val="00F87C2E"/>
    <w:rsid w:val="00F96201"/>
    <w:rsid w:val="00FA3B09"/>
    <w:rsid w:val="00FB6282"/>
    <w:rsid w:val="00FB72F7"/>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51E9BB"/>
  <w15:docId w15:val="{BFD287AA-3DB2-4B2E-990E-EEE9B727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31187">
      <w:bodyDiv w:val="1"/>
      <w:marLeft w:val="0"/>
      <w:marRight w:val="0"/>
      <w:marTop w:val="0"/>
      <w:marBottom w:val="0"/>
      <w:divBdr>
        <w:top w:val="none" w:sz="0" w:space="0" w:color="auto"/>
        <w:left w:val="none" w:sz="0" w:space="0" w:color="auto"/>
        <w:bottom w:val="none" w:sz="0" w:space="0" w:color="auto"/>
        <w:right w:val="none" w:sz="0" w:space="0" w:color="auto"/>
      </w:divBdr>
    </w:div>
    <w:div w:id="75197014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99961846">
      <w:bodyDiv w:val="1"/>
      <w:marLeft w:val="0"/>
      <w:marRight w:val="0"/>
      <w:marTop w:val="0"/>
      <w:marBottom w:val="0"/>
      <w:divBdr>
        <w:top w:val="none" w:sz="0" w:space="0" w:color="auto"/>
        <w:left w:val="none" w:sz="0" w:space="0" w:color="auto"/>
        <w:bottom w:val="none" w:sz="0" w:space="0" w:color="auto"/>
        <w:right w:val="none" w:sz="0" w:space="0" w:color="auto"/>
      </w:divBdr>
    </w:div>
    <w:div w:id="172401436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ses@ivey.ca"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1CqXF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5271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bmLi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veyca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948B2-3DC5-430F-9DDC-EC45EE1B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2018-12-05T16:32:00Z</dcterms:created>
  <dcterms:modified xsi:type="dcterms:W3CDTF">2018-12-14T14:26:00Z</dcterms:modified>
</cp:coreProperties>
</file>