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CF93" w14:textId="4128588B" w:rsidR="00C95DCD" w:rsidRPr="00E52BC2" w:rsidRDefault="00E52BC2" w:rsidP="00C02410">
      <w:pPr>
        <w:pBdr>
          <w:bottom w:val="single" w:sz="18" w:space="1" w:color="auto"/>
        </w:pBdr>
        <w:tabs>
          <w:tab w:val="left" w:pos="-1440"/>
          <w:tab w:val="left" w:pos="-720"/>
          <w:tab w:val="left" w:pos="1"/>
        </w:tabs>
        <w:jc w:val="both"/>
        <w:rPr>
          <w:rFonts w:ascii="Arial" w:hAnsi="Arial"/>
          <w:b/>
          <w:noProof/>
          <w:sz w:val="24"/>
          <w:lang w:val="en-GB"/>
        </w:rPr>
      </w:pPr>
      <w:r w:rsidRPr="00E52BC2">
        <w:rPr>
          <w:rFonts w:ascii="Arial" w:hAnsi="Arial"/>
          <w:b/>
          <w:noProof/>
          <w:sz w:val="24"/>
        </w:rPr>
        <w:drawing>
          <wp:inline distT="0" distB="0" distL="0" distR="0" wp14:anchorId="7ED72A75" wp14:editId="1F84B53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E4943DB" w:rsidR="00C02410" w:rsidRPr="00E52BC2" w:rsidRDefault="000E21F9" w:rsidP="00C02410">
      <w:pPr>
        <w:pStyle w:val="ProductNumber"/>
        <w:rPr>
          <w:lang w:val="en-GB"/>
        </w:rPr>
      </w:pPr>
      <w:r>
        <w:rPr>
          <w:lang w:val="en-GB"/>
        </w:rPr>
        <w:t>9B18M192</w:t>
      </w:r>
    </w:p>
    <w:p w14:paraId="4E057522" w14:textId="77777777" w:rsidR="00D75295" w:rsidRPr="00E52BC2" w:rsidRDefault="00D75295" w:rsidP="00D75295">
      <w:pPr>
        <w:jc w:val="right"/>
        <w:rPr>
          <w:rFonts w:ascii="Arial" w:hAnsi="Arial"/>
          <w:b/>
          <w:sz w:val="28"/>
          <w:szCs w:val="28"/>
          <w:lang w:val="en-GB"/>
        </w:rPr>
      </w:pPr>
    </w:p>
    <w:p w14:paraId="426B7211" w14:textId="77777777" w:rsidR="00013360" w:rsidRPr="00E52BC2" w:rsidRDefault="00013360" w:rsidP="00D75295">
      <w:pPr>
        <w:jc w:val="right"/>
        <w:rPr>
          <w:rFonts w:ascii="Arial" w:hAnsi="Arial"/>
          <w:b/>
          <w:sz w:val="28"/>
          <w:szCs w:val="28"/>
          <w:lang w:val="en-GB"/>
        </w:rPr>
      </w:pPr>
    </w:p>
    <w:p w14:paraId="2F03D26A" w14:textId="56276BB0" w:rsidR="00013360" w:rsidRPr="00E52BC2" w:rsidRDefault="00C95DCD" w:rsidP="00013360">
      <w:pPr>
        <w:pStyle w:val="CaseTitle"/>
        <w:spacing w:after="0" w:line="240" w:lineRule="auto"/>
        <w:rPr>
          <w:sz w:val="20"/>
          <w:szCs w:val="20"/>
          <w:lang w:val="en-GB"/>
        </w:rPr>
      </w:pPr>
      <w:r w:rsidRPr="00E52BC2">
        <w:rPr>
          <w:rFonts w:eastAsia="Arial"/>
          <w:lang w:val="en-GB"/>
        </w:rPr>
        <w:t>background note on turkey</w:t>
      </w:r>
    </w:p>
    <w:p w14:paraId="40ABF6FD" w14:textId="77777777" w:rsidR="00CA3976" w:rsidRPr="00E52BC2" w:rsidRDefault="00CA3976" w:rsidP="00013360">
      <w:pPr>
        <w:pStyle w:val="CaseTitle"/>
        <w:spacing w:after="0" w:line="240" w:lineRule="auto"/>
        <w:rPr>
          <w:sz w:val="20"/>
          <w:szCs w:val="20"/>
          <w:lang w:val="en-GB"/>
        </w:rPr>
      </w:pPr>
    </w:p>
    <w:p w14:paraId="202F1085" w14:textId="77777777" w:rsidR="00013360" w:rsidRPr="00E52BC2" w:rsidRDefault="00013360" w:rsidP="00013360">
      <w:pPr>
        <w:pStyle w:val="CaseTitle"/>
        <w:spacing w:after="0" w:line="240" w:lineRule="auto"/>
        <w:rPr>
          <w:sz w:val="20"/>
          <w:szCs w:val="20"/>
          <w:lang w:val="en-GB"/>
        </w:rPr>
      </w:pPr>
    </w:p>
    <w:p w14:paraId="58B0C73F" w14:textId="3BE42EF8" w:rsidR="00086B26" w:rsidRPr="00E52BC2" w:rsidRDefault="00F6611B" w:rsidP="00086B26">
      <w:pPr>
        <w:pStyle w:val="StyleCopyrightStatementAfter0ptBottomSinglesolidline1"/>
        <w:rPr>
          <w:lang w:val="en-GB"/>
        </w:rPr>
      </w:pPr>
      <w:r w:rsidRPr="00E52BC2">
        <w:rPr>
          <w:rFonts w:cs="Arial"/>
          <w:szCs w:val="16"/>
          <w:lang w:val="en-GB"/>
        </w:rPr>
        <w:t>Saul Estrin, Christine Côté</w:t>
      </w:r>
      <w:r w:rsidR="004A4430" w:rsidRPr="00E52BC2">
        <w:rPr>
          <w:rFonts w:cs="Arial"/>
          <w:szCs w:val="16"/>
          <w:lang w:val="en-GB"/>
        </w:rPr>
        <w:t>,</w:t>
      </w:r>
      <w:r w:rsidRPr="00E52BC2">
        <w:rPr>
          <w:rFonts w:cs="Arial"/>
          <w:szCs w:val="16"/>
          <w:lang w:val="en-GB"/>
        </w:rPr>
        <w:t xml:space="preserve"> and Katherine Nunner</w:t>
      </w:r>
      <w:r w:rsidR="00ED7922" w:rsidRPr="00E52BC2">
        <w:rPr>
          <w:rFonts w:cs="Arial"/>
          <w:szCs w:val="16"/>
          <w:lang w:val="en-GB"/>
        </w:rPr>
        <w:t xml:space="preserve"> </w:t>
      </w:r>
      <w:r w:rsidR="00086B26" w:rsidRPr="00E52BC2">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52BC2" w:rsidRDefault="00086B26" w:rsidP="00086B26">
      <w:pPr>
        <w:pStyle w:val="StyleCopyrightStatementAfter0ptBottomSinglesolidline1"/>
        <w:rPr>
          <w:lang w:val="en-GB"/>
        </w:rPr>
      </w:pPr>
    </w:p>
    <w:p w14:paraId="041B2C92" w14:textId="77777777" w:rsidR="00E52BC2" w:rsidRPr="00E52BC2" w:rsidRDefault="00E52BC2"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E52BC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52BC2">
          <w:rPr>
            <w:rFonts w:ascii="Arial" w:hAnsi="Arial"/>
            <w:i/>
            <w:iCs/>
            <w:color w:val="000000"/>
            <w:sz w:val="16"/>
            <w:lang w:val="en-GB"/>
          </w:rPr>
          <w:t>cases@ivey.ca</w:t>
        </w:r>
      </w:hyperlink>
      <w:r w:rsidRPr="00E52BC2">
        <w:rPr>
          <w:rFonts w:ascii="Arial" w:hAnsi="Arial"/>
          <w:i/>
          <w:iCs/>
          <w:color w:val="000000"/>
          <w:sz w:val="16"/>
          <w:lang w:val="en-GB"/>
        </w:rPr>
        <w:t xml:space="preserve">; </w:t>
      </w:r>
      <w:hyperlink r:id="rId10" w:history="1">
        <w:r w:rsidRPr="00E52BC2">
          <w:rPr>
            <w:rFonts w:ascii="Arial" w:hAnsi="Arial"/>
            <w:i/>
            <w:iCs/>
            <w:color w:val="000000"/>
            <w:sz w:val="16"/>
            <w:lang w:val="en-GB"/>
          </w:rPr>
          <w:t>www.iveycases.com</w:t>
        </w:r>
      </w:hyperlink>
      <w:r w:rsidRPr="00E52BC2">
        <w:rPr>
          <w:rFonts w:ascii="Arial" w:hAnsi="Arial"/>
          <w:i/>
          <w:iCs/>
          <w:color w:val="000000"/>
          <w:sz w:val="16"/>
          <w:lang w:val="en-GB"/>
        </w:rPr>
        <w:t>.</w:t>
      </w:r>
    </w:p>
    <w:p w14:paraId="0CA99A76" w14:textId="416D8A9D" w:rsidR="00C95DCD" w:rsidRPr="00E52BC2" w:rsidRDefault="00C95DCD" w:rsidP="00C02410">
      <w:pPr>
        <w:pStyle w:val="StyleStyleCopyrightStatementAfter0ptBottomSinglesolid"/>
        <w:rPr>
          <w:rFonts w:cs="Arial"/>
          <w:iCs w:val="0"/>
          <w:color w:val="auto"/>
          <w:szCs w:val="16"/>
          <w:lang w:val="en-GB"/>
        </w:rPr>
      </w:pPr>
    </w:p>
    <w:p w14:paraId="3922E14F" w14:textId="50014340" w:rsidR="00751E0B" w:rsidRPr="00E52BC2" w:rsidRDefault="00E52BC2" w:rsidP="00C02410">
      <w:pPr>
        <w:pStyle w:val="StyleStyleCopyrightStatementAfter0ptBottomSinglesolid"/>
        <w:rPr>
          <w:rFonts w:cs="Arial"/>
          <w:szCs w:val="16"/>
          <w:lang w:val="en-GB"/>
        </w:rPr>
      </w:pPr>
      <w:r w:rsidRPr="00E52BC2">
        <w:rPr>
          <w:rFonts w:cs="Arial"/>
          <w:szCs w:val="16"/>
          <w:lang w:val="en-GB"/>
        </w:rPr>
        <w:t>Copyright © 2018, Ivey Business School Foundation</w:t>
      </w:r>
      <w:r w:rsidR="00C02410" w:rsidRPr="00E52BC2">
        <w:rPr>
          <w:rFonts w:cs="Arial"/>
          <w:iCs w:val="0"/>
          <w:color w:val="auto"/>
          <w:szCs w:val="16"/>
          <w:lang w:val="en-GB"/>
        </w:rPr>
        <w:tab/>
      </w:r>
      <w:r w:rsidR="00C95DCD" w:rsidRPr="00E52BC2">
        <w:rPr>
          <w:rFonts w:cs="Arial"/>
          <w:iCs w:val="0"/>
          <w:color w:val="auto"/>
          <w:szCs w:val="16"/>
          <w:lang w:val="en-GB"/>
        </w:rPr>
        <w:t>Version: 2018-1</w:t>
      </w:r>
      <w:r w:rsidR="009D0C7B" w:rsidRPr="00E52BC2">
        <w:rPr>
          <w:rFonts w:cs="Arial"/>
          <w:iCs w:val="0"/>
          <w:color w:val="auto"/>
          <w:szCs w:val="16"/>
          <w:lang w:val="en-GB"/>
        </w:rPr>
        <w:t>2</w:t>
      </w:r>
      <w:r w:rsidR="00C95DCD" w:rsidRPr="00E52BC2">
        <w:rPr>
          <w:rFonts w:cs="Arial"/>
          <w:iCs w:val="0"/>
          <w:color w:val="auto"/>
          <w:szCs w:val="16"/>
          <w:lang w:val="en-GB"/>
        </w:rPr>
        <w:t>-</w:t>
      </w:r>
      <w:r w:rsidR="00FD1E11">
        <w:rPr>
          <w:rFonts w:cs="Arial"/>
          <w:iCs w:val="0"/>
          <w:color w:val="auto"/>
          <w:szCs w:val="16"/>
          <w:lang w:val="en-GB"/>
        </w:rPr>
        <w:t>21</w:t>
      </w:r>
    </w:p>
    <w:p w14:paraId="0A2A54E4" w14:textId="77777777" w:rsidR="00751E0B" w:rsidRPr="000E21F9" w:rsidRDefault="00751E0B" w:rsidP="00751E0B">
      <w:pPr>
        <w:pStyle w:val="StyleCopyrightStatementAfter0ptBottomSinglesolidline1"/>
        <w:rPr>
          <w:rFonts w:ascii="Times New Roman" w:hAnsi="Times New Roman"/>
          <w:sz w:val="20"/>
          <w:lang w:val="en-GB"/>
        </w:rPr>
      </w:pPr>
    </w:p>
    <w:p w14:paraId="2C183161" w14:textId="77777777" w:rsidR="00B87DC0" w:rsidRPr="000E21F9" w:rsidRDefault="00B87DC0" w:rsidP="004B632F">
      <w:pPr>
        <w:pStyle w:val="StyleCopyrightStatementAfter0ptBottomSinglesolidline1"/>
        <w:rPr>
          <w:rFonts w:ascii="Times New Roman" w:hAnsi="Times New Roman"/>
          <w:sz w:val="20"/>
          <w:lang w:val="en-GB"/>
        </w:rPr>
      </w:pPr>
    </w:p>
    <w:p w14:paraId="6D756F46" w14:textId="59FD93FC" w:rsidR="00802CBB" w:rsidRPr="00E52BC2" w:rsidRDefault="00802CBB" w:rsidP="00802CBB">
      <w:pPr>
        <w:pStyle w:val="Casehead1"/>
        <w:rPr>
          <w:lang w:val="en-GB"/>
        </w:rPr>
      </w:pPr>
      <w:r w:rsidRPr="00E52BC2">
        <w:rPr>
          <w:lang w:val="en-GB"/>
        </w:rPr>
        <w:t>economic and political environment</w:t>
      </w:r>
    </w:p>
    <w:p w14:paraId="4D3AC312" w14:textId="77777777" w:rsidR="00802CBB" w:rsidRPr="000E21F9" w:rsidRDefault="00802CBB" w:rsidP="000E21F9">
      <w:pPr>
        <w:pStyle w:val="BodyTextMain"/>
      </w:pPr>
    </w:p>
    <w:p w14:paraId="625A6014" w14:textId="68CE7A99" w:rsidR="00802CBB" w:rsidRPr="00E52BC2" w:rsidRDefault="00802CBB" w:rsidP="00802CBB">
      <w:pPr>
        <w:pStyle w:val="BodyTextMain"/>
        <w:rPr>
          <w:lang w:val="en-GB"/>
        </w:rPr>
      </w:pPr>
      <w:r w:rsidRPr="00E52BC2">
        <w:rPr>
          <w:lang w:val="en-GB"/>
        </w:rPr>
        <w:t xml:space="preserve">Turkey is a relatively large country at the crossroads of Europe and Asia. With a population of nearly 79 million people and </w:t>
      </w:r>
      <w:r w:rsidR="00CB2426" w:rsidRPr="00E52BC2">
        <w:rPr>
          <w:lang w:val="en-GB"/>
        </w:rPr>
        <w:t>gross domestic product (</w:t>
      </w:r>
      <w:r w:rsidRPr="00E52BC2">
        <w:rPr>
          <w:lang w:val="en-GB"/>
        </w:rPr>
        <w:t>GDP</w:t>
      </w:r>
      <w:r w:rsidR="00CB2426" w:rsidRPr="00E52BC2">
        <w:rPr>
          <w:lang w:val="en-GB"/>
        </w:rPr>
        <w:t>)</w:t>
      </w:r>
      <w:r w:rsidRPr="00E52BC2">
        <w:rPr>
          <w:lang w:val="en-GB"/>
        </w:rPr>
        <w:t xml:space="preserve"> of almost </w:t>
      </w:r>
      <w:r w:rsidR="00D871D5" w:rsidRPr="00E52BC2">
        <w:rPr>
          <w:lang w:val="en-GB"/>
        </w:rPr>
        <w:t>US</w:t>
      </w:r>
      <w:r w:rsidR="00BA4F5A" w:rsidRPr="00E52BC2">
        <w:rPr>
          <w:lang w:val="en-GB"/>
        </w:rPr>
        <w:t>$800 billion</w:t>
      </w:r>
      <w:r w:rsidR="003A7FF7">
        <w:rPr>
          <w:rStyle w:val="FootnoteReference"/>
          <w:lang w:val="en-GB"/>
        </w:rPr>
        <w:footnoteReference w:id="1"/>
      </w:r>
      <w:r w:rsidR="00BA4F5A" w:rsidRPr="00E52BC2">
        <w:rPr>
          <w:lang w:val="en-GB"/>
        </w:rPr>
        <w:t xml:space="preserve"> in 2015</w:t>
      </w:r>
      <w:r w:rsidR="00D871D5" w:rsidRPr="00E52BC2">
        <w:rPr>
          <w:lang w:val="en-GB"/>
        </w:rPr>
        <w:t>,</w:t>
      </w:r>
      <w:r w:rsidR="00BA4F5A" w:rsidRPr="00E52BC2">
        <w:rPr>
          <w:rStyle w:val="FootnoteReference"/>
          <w:lang w:val="en-GB"/>
        </w:rPr>
        <w:footnoteReference w:id="2"/>
      </w:r>
      <w:r w:rsidRPr="00E52BC2">
        <w:rPr>
          <w:lang w:val="en-GB"/>
        </w:rPr>
        <w:t xml:space="preserve"> Turkey ranks with Brazil, China, Russia</w:t>
      </w:r>
      <w:r w:rsidR="00D871D5" w:rsidRPr="00E52BC2">
        <w:rPr>
          <w:lang w:val="en-GB"/>
        </w:rPr>
        <w:t>,</w:t>
      </w:r>
      <w:r w:rsidRPr="00E52BC2">
        <w:rPr>
          <w:lang w:val="en-GB"/>
        </w:rPr>
        <w:t xml:space="preserve"> and South Africa as an “upper middle income” economy</w:t>
      </w:r>
      <w:r w:rsidR="00BA554E" w:rsidRPr="00E52BC2">
        <w:rPr>
          <w:lang w:val="en-GB"/>
        </w:rPr>
        <w:t>.</w:t>
      </w:r>
      <w:r w:rsidR="00BA4F5A" w:rsidRPr="00E52BC2">
        <w:rPr>
          <w:rStyle w:val="FootnoteReference"/>
          <w:lang w:val="en-GB"/>
        </w:rPr>
        <w:footnoteReference w:id="3"/>
      </w:r>
      <w:r w:rsidR="00BA554E" w:rsidRPr="00E52BC2">
        <w:rPr>
          <w:lang w:val="en-GB"/>
        </w:rPr>
        <w:t xml:space="preserve"> </w:t>
      </w:r>
      <w:r w:rsidRPr="00E52BC2">
        <w:rPr>
          <w:lang w:val="en-GB"/>
        </w:rPr>
        <w:t>Modern Turkey grew out of the Ottoman Empire</w:t>
      </w:r>
      <w:r w:rsidR="00D871D5" w:rsidRPr="00E52BC2">
        <w:rPr>
          <w:lang w:val="en-GB"/>
        </w:rPr>
        <w:t>,</w:t>
      </w:r>
      <w:r w:rsidRPr="00E52BC2">
        <w:rPr>
          <w:lang w:val="en-GB"/>
        </w:rPr>
        <w:t xml:space="preserve"> which until World War </w:t>
      </w:r>
      <w:r w:rsidR="00D871D5" w:rsidRPr="00E52BC2">
        <w:rPr>
          <w:lang w:val="en-GB"/>
        </w:rPr>
        <w:t>I</w:t>
      </w:r>
      <w:r w:rsidRPr="00E52BC2">
        <w:rPr>
          <w:lang w:val="en-GB"/>
        </w:rPr>
        <w:t xml:space="preserve"> dominated Southern Europe, the Middle East</w:t>
      </w:r>
      <w:r w:rsidR="00D871D5" w:rsidRPr="00E52BC2">
        <w:rPr>
          <w:lang w:val="en-GB"/>
        </w:rPr>
        <w:t>,</w:t>
      </w:r>
      <w:r w:rsidRPr="00E52BC2">
        <w:rPr>
          <w:lang w:val="en-GB"/>
        </w:rPr>
        <w:t xml:space="preserve"> and Egypt. </w:t>
      </w:r>
    </w:p>
    <w:p w14:paraId="4024D79A" w14:textId="77777777" w:rsidR="00802CBB" w:rsidRPr="000E21F9" w:rsidRDefault="00802CBB" w:rsidP="000E21F9">
      <w:pPr>
        <w:pStyle w:val="BodyTextMain"/>
      </w:pPr>
    </w:p>
    <w:p w14:paraId="606FFDD8" w14:textId="07D67957" w:rsidR="00802CBB" w:rsidRPr="00E52BC2" w:rsidRDefault="00802CBB" w:rsidP="00802CBB">
      <w:pPr>
        <w:pStyle w:val="BodyTextMain"/>
        <w:rPr>
          <w:lang w:val="en-GB"/>
        </w:rPr>
      </w:pPr>
      <w:r w:rsidRPr="00E52BC2">
        <w:rPr>
          <w:lang w:val="en-GB"/>
        </w:rPr>
        <w:t>After the fall of the Ottoman Empire, Kemal Attat</w:t>
      </w:r>
      <w:r w:rsidR="007826BA" w:rsidRPr="00E52BC2">
        <w:rPr>
          <w:lang w:val="en-GB"/>
        </w:rPr>
        <w:t>ü</w:t>
      </w:r>
      <w:r w:rsidRPr="00E52BC2">
        <w:rPr>
          <w:lang w:val="en-GB"/>
        </w:rPr>
        <w:t>rk</w:t>
      </w:r>
      <w:r w:rsidR="00D871D5" w:rsidRPr="00E52BC2">
        <w:rPr>
          <w:lang w:val="en-GB"/>
        </w:rPr>
        <w:t>—</w:t>
      </w:r>
      <w:r w:rsidRPr="00E52BC2">
        <w:rPr>
          <w:lang w:val="en-GB"/>
        </w:rPr>
        <w:t>Turkey’s founding father</w:t>
      </w:r>
      <w:r w:rsidR="00D871D5" w:rsidRPr="00E52BC2">
        <w:rPr>
          <w:lang w:val="en-GB"/>
        </w:rPr>
        <w:t>—</w:t>
      </w:r>
      <w:r w:rsidRPr="00E52BC2">
        <w:rPr>
          <w:lang w:val="en-GB"/>
        </w:rPr>
        <w:t xml:space="preserve">created a secular state, though </w:t>
      </w:r>
      <w:r w:rsidR="0029730E" w:rsidRPr="00E52BC2">
        <w:rPr>
          <w:lang w:val="en-GB"/>
        </w:rPr>
        <w:t xml:space="preserve">Islam remained </w:t>
      </w:r>
      <w:r w:rsidRPr="00E52BC2">
        <w:rPr>
          <w:lang w:val="en-GB"/>
        </w:rPr>
        <w:t xml:space="preserve">the dominant religion. His reforms included introducing Western scripts and numbers, banning many traditional </w:t>
      </w:r>
      <w:r w:rsidR="003D3AF4" w:rsidRPr="00E52BC2">
        <w:rPr>
          <w:lang w:val="en-GB"/>
        </w:rPr>
        <w:t>rules</w:t>
      </w:r>
      <w:r w:rsidRPr="00E52BC2">
        <w:rPr>
          <w:lang w:val="en-GB"/>
        </w:rPr>
        <w:t xml:space="preserve"> and </w:t>
      </w:r>
      <w:r w:rsidR="003D3AF4" w:rsidRPr="00E52BC2">
        <w:rPr>
          <w:lang w:val="en-GB"/>
        </w:rPr>
        <w:t>norms</w:t>
      </w:r>
      <w:r w:rsidRPr="00E52BC2">
        <w:rPr>
          <w:lang w:val="en-GB"/>
        </w:rPr>
        <w:t xml:space="preserve"> including the fez (a traditional Turkish hat), and establishing women’s rights to vote and be elected. He also spearheaded a “Turkification” of the economy that saw the emergence of large business groups</w:t>
      </w:r>
      <w:r w:rsidR="0029730E" w:rsidRPr="00E52BC2">
        <w:rPr>
          <w:lang w:val="en-GB"/>
        </w:rPr>
        <w:t xml:space="preserve"> (BGs)</w:t>
      </w:r>
      <w:r w:rsidR="00BA554E" w:rsidRPr="00E52BC2">
        <w:rPr>
          <w:lang w:val="en-GB"/>
        </w:rPr>
        <w:t>.</w:t>
      </w:r>
      <w:r w:rsidR="00965D47" w:rsidRPr="00E52BC2">
        <w:rPr>
          <w:rStyle w:val="FootnoteReference"/>
          <w:lang w:val="en-GB"/>
        </w:rPr>
        <w:footnoteReference w:id="4"/>
      </w:r>
      <w:r w:rsidRPr="00E52BC2">
        <w:rPr>
          <w:lang w:val="en-GB"/>
        </w:rPr>
        <w:t xml:space="preserve"> Economic liberalism and integration into the world economy has been a consistent policy since the 1980s, though there was significant political instability including coups and periods of military rule in the 1960s</w:t>
      </w:r>
      <w:r w:rsidR="00D871D5" w:rsidRPr="00E52BC2">
        <w:rPr>
          <w:lang w:val="en-GB"/>
        </w:rPr>
        <w:t>–</w:t>
      </w:r>
      <w:r w:rsidRPr="00E52BC2">
        <w:rPr>
          <w:lang w:val="en-GB"/>
        </w:rPr>
        <w:t>1980s</w:t>
      </w:r>
      <w:r w:rsidR="00BA554E" w:rsidRPr="00E52BC2">
        <w:rPr>
          <w:lang w:val="en-GB"/>
        </w:rPr>
        <w:t>.</w:t>
      </w:r>
      <w:r w:rsidR="00965D47" w:rsidRPr="00E52BC2">
        <w:rPr>
          <w:rStyle w:val="FootnoteReference"/>
          <w:lang w:val="en-GB"/>
        </w:rPr>
        <w:footnoteReference w:id="5"/>
      </w:r>
      <w:r w:rsidR="00BA554E" w:rsidRPr="00E52BC2">
        <w:rPr>
          <w:lang w:val="en-GB"/>
        </w:rPr>
        <w:t xml:space="preserve"> </w:t>
      </w:r>
      <w:r w:rsidRPr="00E52BC2">
        <w:rPr>
          <w:lang w:val="en-GB"/>
        </w:rPr>
        <w:t xml:space="preserve">Since 2002, the secular tradition has been increasingly challenged by the political success of Recep Erdogan and his Islamicist AKP party. Erdogan was </w:t>
      </w:r>
      <w:r w:rsidR="00D871D5" w:rsidRPr="00E52BC2">
        <w:rPr>
          <w:lang w:val="en-GB"/>
        </w:rPr>
        <w:t>p</w:t>
      </w:r>
      <w:r w:rsidRPr="00E52BC2">
        <w:rPr>
          <w:lang w:val="en-GB"/>
        </w:rPr>
        <w:t xml:space="preserve">rime </w:t>
      </w:r>
      <w:r w:rsidR="00D871D5" w:rsidRPr="00E52BC2">
        <w:rPr>
          <w:lang w:val="en-GB"/>
        </w:rPr>
        <w:t>m</w:t>
      </w:r>
      <w:r w:rsidRPr="00E52BC2">
        <w:rPr>
          <w:lang w:val="en-GB"/>
        </w:rPr>
        <w:t>inister until 2014</w:t>
      </w:r>
      <w:r w:rsidR="00D871D5" w:rsidRPr="00E52BC2">
        <w:rPr>
          <w:lang w:val="en-GB"/>
        </w:rPr>
        <w:t>,</w:t>
      </w:r>
      <w:r w:rsidRPr="00E52BC2">
        <w:rPr>
          <w:lang w:val="en-GB"/>
        </w:rPr>
        <w:t xml:space="preserve"> when he became the country’s first directly elected president</w:t>
      </w:r>
      <w:r w:rsidR="00965D47" w:rsidRPr="00E52BC2">
        <w:rPr>
          <w:lang w:val="en-GB"/>
        </w:rPr>
        <w:t>.</w:t>
      </w:r>
      <w:r w:rsidR="00965D47" w:rsidRPr="00E52BC2">
        <w:rPr>
          <w:rStyle w:val="FootnoteReference"/>
          <w:lang w:val="en-GB"/>
        </w:rPr>
        <w:footnoteReference w:id="6"/>
      </w:r>
    </w:p>
    <w:p w14:paraId="436A2B93" w14:textId="77777777" w:rsidR="00802CBB" w:rsidRPr="000E21F9" w:rsidRDefault="00802CBB" w:rsidP="000E21F9">
      <w:pPr>
        <w:pStyle w:val="BodyTextMain"/>
      </w:pPr>
    </w:p>
    <w:p w14:paraId="716BA46A" w14:textId="2DA25C0C" w:rsidR="000D05FD" w:rsidRDefault="00802CBB" w:rsidP="00965D47">
      <w:pPr>
        <w:pStyle w:val="BodyTextMain"/>
        <w:rPr>
          <w:spacing w:val="-4"/>
          <w:kern w:val="22"/>
          <w:lang w:val="en-GB"/>
        </w:rPr>
      </w:pPr>
      <w:r w:rsidRPr="00E52BC2">
        <w:rPr>
          <w:spacing w:val="-4"/>
          <w:kern w:val="22"/>
          <w:lang w:val="en-GB"/>
        </w:rPr>
        <w:t xml:space="preserve">Turkey’s GDP per capita </w:t>
      </w:r>
      <w:r w:rsidR="0029730E" w:rsidRPr="00E52BC2">
        <w:rPr>
          <w:spacing w:val="-4"/>
          <w:kern w:val="22"/>
          <w:lang w:val="en-GB"/>
        </w:rPr>
        <w:t>was</w:t>
      </w:r>
      <w:r w:rsidRPr="00E52BC2">
        <w:rPr>
          <w:spacing w:val="-4"/>
          <w:kern w:val="22"/>
          <w:lang w:val="en-GB"/>
        </w:rPr>
        <w:t xml:space="preserve"> fairly static</w:t>
      </w:r>
      <w:r w:rsidR="00271C62">
        <w:rPr>
          <w:spacing w:val="-4"/>
          <w:kern w:val="22"/>
          <w:lang w:val="en-GB"/>
        </w:rPr>
        <w:t>,</w:t>
      </w:r>
      <w:r w:rsidRPr="00E52BC2">
        <w:rPr>
          <w:spacing w:val="-4"/>
          <w:kern w:val="22"/>
          <w:lang w:val="en-GB"/>
        </w:rPr>
        <w:t xml:space="preserve"> in dollar terms</w:t>
      </w:r>
      <w:r w:rsidR="00271C62">
        <w:rPr>
          <w:spacing w:val="-4"/>
          <w:kern w:val="22"/>
          <w:lang w:val="en-GB"/>
        </w:rPr>
        <w:t>,</w:t>
      </w:r>
      <w:r w:rsidRPr="00E52BC2">
        <w:rPr>
          <w:spacing w:val="-4"/>
          <w:kern w:val="22"/>
          <w:lang w:val="en-GB"/>
        </w:rPr>
        <w:t xml:space="preserve"> </w:t>
      </w:r>
      <w:r w:rsidR="00271C62">
        <w:rPr>
          <w:spacing w:val="-4"/>
          <w:kern w:val="22"/>
          <w:lang w:val="en-GB"/>
        </w:rPr>
        <w:t>dur</w:t>
      </w:r>
      <w:r w:rsidR="0029730E" w:rsidRPr="00E52BC2">
        <w:rPr>
          <w:spacing w:val="-4"/>
          <w:kern w:val="22"/>
          <w:lang w:val="en-GB"/>
        </w:rPr>
        <w:t>in</w:t>
      </w:r>
      <w:r w:rsidR="00271C62">
        <w:rPr>
          <w:spacing w:val="-4"/>
          <w:kern w:val="22"/>
          <w:lang w:val="en-GB"/>
        </w:rPr>
        <w:t>g</w:t>
      </w:r>
      <w:r w:rsidRPr="00E52BC2">
        <w:rPr>
          <w:spacing w:val="-4"/>
          <w:kern w:val="22"/>
          <w:lang w:val="en-GB"/>
        </w:rPr>
        <w:t xml:space="preserve"> the </w:t>
      </w:r>
      <w:r w:rsidR="00271C62">
        <w:rPr>
          <w:spacing w:val="-4"/>
          <w:kern w:val="22"/>
          <w:lang w:val="en-GB"/>
        </w:rPr>
        <w:t>1990s</w:t>
      </w:r>
      <w:r w:rsidRPr="00E52BC2">
        <w:rPr>
          <w:spacing w:val="-4"/>
          <w:kern w:val="22"/>
          <w:lang w:val="en-GB"/>
        </w:rPr>
        <w:t xml:space="preserve"> </w:t>
      </w:r>
      <w:r w:rsidR="00271C62">
        <w:rPr>
          <w:spacing w:val="-4"/>
          <w:kern w:val="22"/>
          <w:lang w:val="en-GB"/>
        </w:rPr>
        <w:t xml:space="preserve">but </w:t>
      </w:r>
      <w:r w:rsidRPr="00E52BC2">
        <w:rPr>
          <w:spacing w:val="-4"/>
          <w:kern w:val="22"/>
          <w:lang w:val="en-GB"/>
        </w:rPr>
        <w:t>grew rapidly from 2001</w:t>
      </w:r>
      <w:r w:rsidR="00271C62">
        <w:rPr>
          <w:spacing w:val="-4"/>
          <w:kern w:val="22"/>
          <w:lang w:val="en-GB"/>
        </w:rPr>
        <w:t xml:space="preserve"> (see Exhibit 1)</w:t>
      </w:r>
      <w:r w:rsidRPr="00E52BC2">
        <w:rPr>
          <w:spacing w:val="-4"/>
          <w:kern w:val="22"/>
          <w:lang w:val="en-GB"/>
        </w:rPr>
        <w:t>, in line with the other major emerging markets (see Exhibit 2). However, domestic growth has slowed again since around 2010</w:t>
      </w:r>
      <w:r w:rsidR="003A7FF7">
        <w:rPr>
          <w:spacing w:val="-4"/>
          <w:kern w:val="22"/>
          <w:lang w:val="en-GB"/>
        </w:rPr>
        <w:t>. S</w:t>
      </w:r>
      <w:r w:rsidRPr="00E52BC2">
        <w:rPr>
          <w:spacing w:val="-4"/>
          <w:kern w:val="22"/>
          <w:lang w:val="en-GB"/>
        </w:rPr>
        <w:t>tructural economic problems</w:t>
      </w:r>
      <w:r w:rsidR="003A7FF7">
        <w:rPr>
          <w:spacing w:val="-4"/>
          <w:kern w:val="22"/>
          <w:lang w:val="en-GB"/>
        </w:rPr>
        <w:t xml:space="preserve"> include</w:t>
      </w:r>
      <w:r w:rsidRPr="00E52BC2">
        <w:rPr>
          <w:spacing w:val="-4"/>
          <w:kern w:val="22"/>
          <w:lang w:val="en-GB"/>
        </w:rPr>
        <w:t xml:space="preserve"> a persistent </w:t>
      </w:r>
      <w:r w:rsidR="002E7877" w:rsidRPr="00E52BC2">
        <w:rPr>
          <w:spacing w:val="-4"/>
          <w:kern w:val="22"/>
          <w:lang w:val="en-GB"/>
        </w:rPr>
        <w:t>b</w:t>
      </w:r>
      <w:r w:rsidRPr="00E52BC2">
        <w:rPr>
          <w:spacing w:val="-4"/>
          <w:kern w:val="22"/>
          <w:lang w:val="en-GB"/>
        </w:rPr>
        <w:t xml:space="preserve">alance of </w:t>
      </w:r>
      <w:r w:rsidR="002E7877" w:rsidRPr="00E52BC2">
        <w:rPr>
          <w:spacing w:val="-4"/>
          <w:kern w:val="22"/>
          <w:lang w:val="en-GB"/>
        </w:rPr>
        <w:t>p</w:t>
      </w:r>
      <w:r w:rsidRPr="00E52BC2">
        <w:rPr>
          <w:spacing w:val="-4"/>
          <w:kern w:val="22"/>
          <w:lang w:val="en-GB"/>
        </w:rPr>
        <w:t>ayments deficit</w:t>
      </w:r>
      <w:r w:rsidR="003E4B28">
        <w:rPr>
          <w:spacing w:val="-4"/>
          <w:kern w:val="22"/>
          <w:lang w:val="en-GB"/>
        </w:rPr>
        <w:t>,</w:t>
      </w:r>
      <w:r w:rsidRPr="00E52BC2">
        <w:rPr>
          <w:spacing w:val="-4"/>
          <w:kern w:val="22"/>
          <w:lang w:val="en-GB"/>
        </w:rPr>
        <w:t xml:space="preserve"> representing around 4</w:t>
      </w:r>
      <w:r w:rsidR="00D871D5" w:rsidRPr="00E52BC2">
        <w:rPr>
          <w:spacing w:val="-4"/>
          <w:kern w:val="22"/>
          <w:lang w:val="en-GB"/>
        </w:rPr>
        <w:t>–</w:t>
      </w:r>
      <w:r w:rsidRPr="00E52BC2">
        <w:rPr>
          <w:spacing w:val="-4"/>
          <w:kern w:val="22"/>
          <w:lang w:val="en-GB"/>
        </w:rPr>
        <w:t>6</w:t>
      </w:r>
      <w:r w:rsidR="00D871D5" w:rsidRPr="00E52BC2">
        <w:rPr>
          <w:spacing w:val="-4"/>
          <w:kern w:val="22"/>
          <w:lang w:val="en-GB"/>
        </w:rPr>
        <w:t xml:space="preserve"> per cent</w:t>
      </w:r>
      <w:r w:rsidRPr="00E52BC2">
        <w:rPr>
          <w:spacing w:val="-4"/>
          <w:kern w:val="22"/>
          <w:lang w:val="en-GB"/>
        </w:rPr>
        <w:t xml:space="preserve"> GDP</w:t>
      </w:r>
      <w:r w:rsidR="003E4B28">
        <w:rPr>
          <w:spacing w:val="-4"/>
          <w:kern w:val="22"/>
          <w:lang w:val="en-GB"/>
        </w:rPr>
        <w:t>,</w:t>
      </w:r>
      <w:r w:rsidRPr="00E52BC2">
        <w:rPr>
          <w:spacing w:val="-4"/>
          <w:kern w:val="22"/>
          <w:lang w:val="en-GB"/>
        </w:rPr>
        <w:t xml:space="preserve"> between 2010 and 2015. The economy is also highly reliant on energy imports</w:t>
      </w:r>
      <w:r w:rsidR="00D871D5" w:rsidRPr="00E52BC2">
        <w:rPr>
          <w:spacing w:val="-4"/>
          <w:kern w:val="22"/>
          <w:lang w:val="en-GB"/>
        </w:rPr>
        <w:t>,</w:t>
      </w:r>
      <w:r w:rsidRPr="00E52BC2">
        <w:rPr>
          <w:spacing w:val="-4"/>
          <w:kern w:val="22"/>
          <w:lang w:val="en-GB"/>
        </w:rPr>
        <w:t xml:space="preserve"> which are only partially financed by </w:t>
      </w:r>
      <w:r w:rsidR="00D871D5" w:rsidRPr="00E52BC2">
        <w:rPr>
          <w:spacing w:val="-4"/>
          <w:kern w:val="22"/>
          <w:lang w:val="en-GB"/>
        </w:rPr>
        <w:t>foreign direct investment</w:t>
      </w:r>
      <w:r w:rsidRPr="00E52BC2">
        <w:rPr>
          <w:spacing w:val="-4"/>
          <w:kern w:val="22"/>
          <w:lang w:val="en-GB"/>
        </w:rPr>
        <w:t xml:space="preserve"> inflows </w:t>
      </w:r>
      <w:r w:rsidR="003E4B28">
        <w:rPr>
          <w:spacing w:val="-4"/>
          <w:kern w:val="22"/>
          <w:lang w:val="en-GB"/>
        </w:rPr>
        <w:t xml:space="preserve">(e.g., </w:t>
      </w:r>
      <w:r w:rsidRPr="00E52BC2">
        <w:rPr>
          <w:spacing w:val="-4"/>
          <w:kern w:val="22"/>
          <w:lang w:val="en-GB"/>
        </w:rPr>
        <w:t xml:space="preserve">around $17 billion </w:t>
      </w:r>
      <w:r w:rsidR="003E4B28">
        <w:rPr>
          <w:spacing w:val="-4"/>
          <w:kern w:val="22"/>
          <w:lang w:val="en-GB"/>
        </w:rPr>
        <w:t xml:space="preserve">in </w:t>
      </w:r>
      <w:r w:rsidRPr="00E52BC2">
        <w:rPr>
          <w:spacing w:val="-4"/>
          <w:kern w:val="22"/>
          <w:lang w:val="en-GB"/>
        </w:rPr>
        <w:t>2015</w:t>
      </w:r>
      <w:r w:rsidR="003E4B28">
        <w:rPr>
          <w:spacing w:val="-4"/>
          <w:kern w:val="22"/>
          <w:lang w:val="en-GB"/>
        </w:rPr>
        <w:t>)</w:t>
      </w:r>
      <w:r w:rsidRPr="00E52BC2">
        <w:rPr>
          <w:spacing w:val="-4"/>
          <w:kern w:val="22"/>
          <w:lang w:val="en-GB"/>
        </w:rPr>
        <w:t xml:space="preserve">. Finally, the economy </w:t>
      </w:r>
      <w:r w:rsidR="00D871D5" w:rsidRPr="00E52BC2">
        <w:rPr>
          <w:spacing w:val="-4"/>
          <w:kern w:val="22"/>
          <w:lang w:val="en-GB"/>
        </w:rPr>
        <w:t>shows</w:t>
      </w:r>
      <w:r w:rsidRPr="00E52BC2">
        <w:rPr>
          <w:spacing w:val="-4"/>
          <w:kern w:val="22"/>
          <w:lang w:val="en-GB"/>
        </w:rPr>
        <w:t xml:space="preserve"> a tendency to</w:t>
      </w:r>
      <w:r w:rsidR="00D871D5" w:rsidRPr="00E52BC2">
        <w:rPr>
          <w:spacing w:val="-4"/>
          <w:kern w:val="22"/>
          <w:lang w:val="en-GB"/>
        </w:rPr>
        <w:t>ward</w:t>
      </w:r>
      <w:r w:rsidRPr="00E52BC2">
        <w:rPr>
          <w:spacing w:val="-4"/>
          <w:kern w:val="22"/>
          <w:lang w:val="en-GB"/>
        </w:rPr>
        <w:t xml:space="preserve"> </w:t>
      </w:r>
      <w:r w:rsidR="002F4452" w:rsidRPr="00E52BC2">
        <w:rPr>
          <w:spacing w:val="-4"/>
          <w:kern w:val="22"/>
          <w:lang w:val="en-GB"/>
        </w:rPr>
        <w:t>inflation,</w:t>
      </w:r>
      <w:r w:rsidRPr="00E52BC2">
        <w:rPr>
          <w:spacing w:val="-4"/>
          <w:kern w:val="22"/>
          <w:lang w:val="en-GB"/>
        </w:rPr>
        <w:t xml:space="preserve"> with bouts of very high inflation </w:t>
      </w:r>
      <w:r w:rsidR="0019418C">
        <w:rPr>
          <w:spacing w:val="-4"/>
          <w:kern w:val="22"/>
          <w:lang w:val="en-GB"/>
        </w:rPr>
        <w:t>seen</w:t>
      </w:r>
      <w:r w:rsidR="0019418C" w:rsidRPr="00E52BC2">
        <w:rPr>
          <w:spacing w:val="-4"/>
          <w:kern w:val="22"/>
          <w:lang w:val="en-GB"/>
        </w:rPr>
        <w:t xml:space="preserve"> </w:t>
      </w:r>
      <w:r w:rsidR="0019418C">
        <w:rPr>
          <w:spacing w:val="-4"/>
          <w:kern w:val="22"/>
          <w:lang w:val="en-GB"/>
        </w:rPr>
        <w:t>during</w:t>
      </w:r>
      <w:r w:rsidR="003E4B28">
        <w:rPr>
          <w:spacing w:val="-4"/>
          <w:kern w:val="22"/>
          <w:lang w:val="en-GB"/>
        </w:rPr>
        <w:t xml:space="preserve"> the period </w:t>
      </w:r>
      <w:r w:rsidR="0019418C">
        <w:rPr>
          <w:spacing w:val="-4"/>
          <w:kern w:val="22"/>
          <w:lang w:val="en-GB"/>
        </w:rPr>
        <w:t>before and after</w:t>
      </w:r>
      <w:r w:rsidRPr="00E52BC2">
        <w:rPr>
          <w:spacing w:val="-4"/>
          <w:kern w:val="22"/>
          <w:lang w:val="en-GB"/>
        </w:rPr>
        <w:t xml:space="preserve"> 2000</w:t>
      </w:r>
      <w:r w:rsidR="003E4B28">
        <w:rPr>
          <w:spacing w:val="-4"/>
          <w:kern w:val="22"/>
          <w:lang w:val="en-GB"/>
        </w:rPr>
        <w:t>,</w:t>
      </w:r>
      <w:r w:rsidRPr="00E52BC2">
        <w:rPr>
          <w:spacing w:val="-4"/>
          <w:kern w:val="22"/>
          <w:lang w:val="en-GB"/>
        </w:rPr>
        <w:t xml:space="preserve"> and </w:t>
      </w:r>
      <w:r w:rsidR="0019418C">
        <w:rPr>
          <w:spacing w:val="-4"/>
          <w:kern w:val="22"/>
          <w:lang w:val="en-GB"/>
        </w:rPr>
        <w:t xml:space="preserve">somewhat lower, but still high </w:t>
      </w:r>
      <w:r w:rsidRPr="00E52BC2">
        <w:rPr>
          <w:spacing w:val="-4"/>
          <w:kern w:val="22"/>
          <w:lang w:val="en-GB"/>
        </w:rPr>
        <w:t>levels around 8</w:t>
      </w:r>
      <w:r w:rsidR="00D871D5" w:rsidRPr="00E52BC2">
        <w:rPr>
          <w:spacing w:val="-4"/>
          <w:kern w:val="22"/>
          <w:lang w:val="en-GB"/>
        </w:rPr>
        <w:t>–</w:t>
      </w:r>
      <w:r w:rsidRPr="00E52BC2">
        <w:rPr>
          <w:spacing w:val="-4"/>
          <w:kern w:val="22"/>
          <w:lang w:val="en-GB"/>
        </w:rPr>
        <w:t>10</w:t>
      </w:r>
      <w:r w:rsidR="00D871D5" w:rsidRPr="00E52BC2">
        <w:rPr>
          <w:spacing w:val="-4"/>
          <w:kern w:val="22"/>
          <w:lang w:val="en-GB"/>
        </w:rPr>
        <w:t xml:space="preserve"> per cent</w:t>
      </w:r>
      <w:r w:rsidRPr="00E52BC2">
        <w:rPr>
          <w:spacing w:val="-4"/>
          <w:kern w:val="22"/>
          <w:lang w:val="en-GB"/>
        </w:rPr>
        <w:t xml:space="preserve"> between 2010 and 2015</w:t>
      </w:r>
      <w:r w:rsidR="00965D47" w:rsidRPr="00E52BC2">
        <w:rPr>
          <w:spacing w:val="-4"/>
          <w:kern w:val="22"/>
          <w:lang w:val="en-GB"/>
        </w:rPr>
        <w:t>.</w:t>
      </w:r>
      <w:r w:rsidR="00965D47" w:rsidRPr="00E52BC2">
        <w:rPr>
          <w:rStyle w:val="FootnoteReference"/>
          <w:spacing w:val="-4"/>
          <w:kern w:val="22"/>
          <w:lang w:val="en-GB"/>
        </w:rPr>
        <w:footnoteReference w:id="7"/>
      </w:r>
    </w:p>
    <w:p w14:paraId="2BF69493" w14:textId="77777777" w:rsidR="000E21F9" w:rsidRPr="000E21F9" w:rsidRDefault="000E21F9" w:rsidP="00965D47">
      <w:pPr>
        <w:pStyle w:val="BodyTextMain"/>
        <w:rPr>
          <w:spacing w:val="-4"/>
          <w:kern w:val="22"/>
          <w:sz w:val="16"/>
          <w:szCs w:val="16"/>
          <w:lang w:val="en-GB"/>
        </w:rPr>
      </w:pPr>
    </w:p>
    <w:p w14:paraId="7D3985EB" w14:textId="0469FF16" w:rsidR="00802CBB" w:rsidRDefault="00802CBB" w:rsidP="00802CBB">
      <w:pPr>
        <w:pStyle w:val="Casehead1"/>
        <w:rPr>
          <w:lang w:val="en-GB"/>
        </w:rPr>
      </w:pPr>
      <w:r w:rsidRPr="00E52BC2">
        <w:rPr>
          <w:lang w:val="en-GB"/>
        </w:rPr>
        <w:lastRenderedPageBreak/>
        <w:t>The country’s institutional voids</w:t>
      </w:r>
    </w:p>
    <w:p w14:paraId="2DAE8792" w14:textId="77777777" w:rsidR="000E21F9" w:rsidRPr="00E52BC2" w:rsidRDefault="000E21F9" w:rsidP="000E21F9">
      <w:pPr>
        <w:pStyle w:val="BodyTextMain"/>
        <w:rPr>
          <w:lang w:val="en-GB"/>
        </w:rPr>
      </w:pPr>
    </w:p>
    <w:p w14:paraId="1BCFD45B" w14:textId="2943962E" w:rsidR="00802CBB" w:rsidRPr="00E52BC2" w:rsidRDefault="00802CBB" w:rsidP="00802CBB">
      <w:pPr>
        <w:pStyle w:val="BodyTextMain"/>
        <w:rPr>
          <w:lang w:val="en-GB"/>
        </w:rPr>
      </w:pPr>
      <w:r w:rsidRPr="00E52BC2">
        <w:rPr>
          <w:lang w:val="en-GB"/>
        </w:rPr>
        <w:t xml:space="preserve">Turkey has been democratic since the 1990s, </w:t>
      </w:r>
      <w:r w:rsidR="00970C59" w:rsidRPr="00E52BC2">
        <w:rPr>
          <w:lang w:val="en-GB"/>
        </w:rPr>
        <w:t xml:space="preserve">and </w:t>
      </w:r>
      <w:r w:rsidRPr="00E52BC2">
        <w:rPr>
          <w:lang w:val="en-GB"/>
        </w:rPr>
        <w:t>the AKP has won every election since 2002</w:t>
      </w:r>
      <w:r w:rsidR="00970C59" w:rsidRPr="00E52BC2">
        <w:rPr>
          <w:lang w:val="en-GB"/>
        </w:rPr>
        <w:t>;</w:t>
      </w:r>
      <w:r w:rsidRPr="00E52BC2">
        <w:rPr>
          <w:lang w:val="en-GB"/>
        </w:rPr>
        <w:t xml:space="preserve"> its leader, Erdogan, presides over an increasingly divisive political regime. A key fault line is between the secularist</w:t>
      </w:r>
      <w:r w:rsidR="007826BA" w:rsidRPr="00E52BC2">
        <w:rPr>
          <w:lang w:val="en-GB"/>
        </w:rPr>
        <w:t>,</w:t>
      </w:r>
      <w:r w:rsidRPr="00E52BC2">
        <w:rPr>
          <w:lang w:val="en-GB"/>
        </w:rPr>
        <w:t xml:space="preserve"> economically liberal tradition </w:t>
      </w:r>
      <w:r w:rsidR="0029730E" w:rsidRPr="00E52BC2">
        <w:rPr>
          <w:lang w:val="en-GB"/>
        </w:rPr>
        <w:t>of</w:t>
      </w:r>
      <w:r w:rsidRPr="00E52BC2">
        <w:rPr>
          <w:lang w:val="en-GB"/>
        </w:rPr>
        <w:t xml:space="preserve"> Atatürk, and the increasingly conservative and traditionally Islamic rhetoric and policies of the AKP. These </w:t>
      </w:r>
      <w:r w:rsidR="00970C59" w:rsidRPr="00E52BC2">
        <w:rPr>
          <w:lang w:val="en-GB"/>
        </w:rPr>
        <w:t xml:space="preserve">sometimes </w:t>
      </w:r>
      <w:r w:rsidRPr="00E52BC2">
        <w:rPr>
          <w:lang w:val="en-GB"/>
        </w:rPr>
        <w:t>find voice in violent street demonstrations in cosmopolitan Istanbul over issues such as women’s rights or the environment</w:t>
      </w:r>
      <w:r w:rsidR="00BA554E" w:rsidRPr="00E52BC2">
        <w:rPr>
          <w:lang w:val="en-GB"/>
        </w:rPr>
        <w:t>.</w:t>
      </w:r>
      <w:r w:rsidR="00BA554E" w:rsidRPr="00E52BC2">
        <w:rPr>
          <w:rStyle w:val="FootnoteReference"/>
          <w:lang w:val="en-GB"/>
        </w:rPr>
        <w:footnoteReference w:id="8"/>
      </w:r>
    </w:p>
    <w:p w14:paraId="7065874D" w14:textId="77777777" w:rsidR="00802CBB" w:rsidRPr="000E21F9" w:rsidRDefault="00802CBB" w:rsidP="000E21F9">
      <w:pPr>
        <w:pStyle w:val="BodyTextMain"/>
      </w:pPr>
    </w:p>
    <w:p w14:paraId="4DFCED61" w14:textId="51F93822" w:rsidR="00802CBB" w:rsidRPr="00E52BC2" w:rsidRDefault="00CE1ACF" w:rsidP="00802CBB">
      <w:pPr>
        <w:pStyle w:val="BodyTextMain"/>
        <w:rPr>
          <w:lang w:val="en-GB"/>
        </w:rPr>
      </w:pPr>
      <w:r w:rsidRPr="00E52BC2">
        <w:rPr>
          <w:lang w:val="en-GB"/>
        </w:rPr>
        <w:t>D</w:t>
      </w:r>
      <w:r w:rsidR="00802CBB" w:rsidRPr="00E52BC2">
        <w:rPr>
          <w:lang w:val="en-GB"/>
        </w:rPr>
        <w:t>espite recent progress, the Turkish business environment still causes many problems for business. The country ranks 69</w:t>
      </w:r>
      <w:r w:rsidR="007826BA" w:rsidRPr="00E52BC2">
        <w:rPr>
          <w:lang w:val="en-GB"/>
        </w:rPr>
        <w:t>th</w:t>
      </w:r>
      <w:r w:rsidR="00802CBB" w:rsidRPr="00E52BC2">
        <w:rPr>
          <w:lang w:val="en-GB"/>
        </w:rPr>
        <w:t xml:space="preserve"> out of 190 in the World Bank</w:t>
      </w:r>
      <w:r w:rsidR="006F667C" w:rsidRPr="00E52BC2">
        <w:rPr>
          <w:lang w:val="en-GB"/>
        </w:rPr>
        <w:t xml:space="preserve"> 2018</w:t>
      </w:r>
      <w:r w:rsidR="00802CBB" w:rsidRPr="00E52BC2">
        <w:rPr>
          <w:lang w:val="en-GB"/>
        </w:rPr>
        <w:t xml:space="preserve"> Doing Business ranking, comparable with China at 78th and South Africa at 74th. The World Justice project</w:t>
      </w:r>
      <w:r w:rsidR="00BA554E" w:rsidRPr="00E52BC2">
        <w:rPr>
          <w:rStyle w:val="FootnoteReference"/>
          <w:lang w:val="en-GB"/>
        </w:rPr>
        <w:footnoteReference w:id="9"/>
      </w:r>
      <w:r w:rsidR="00802CBB" w:rsidRPr="00E52BC2">
        <w:rPr>
          <w:lang w:val="en-GB"/>
        </w:rPr>
        <w:t xml:space="preserve"> sees Turkey at or near the norm for development </w:t>
      </w:r>
      <w:r w:rsidR="00DC7754" w:rsidRPr="00E52BC2">
        <w:rPr>
          <w:lang w:val="en-GB"/>
        </w:rPr>
        <w:t xml:space="preserve">level </w:t>
      </w:r>
      <w:r w:rsidR="00802CBB" w:rsidRPr="00E52BC2">
        <w:rPr>
          <w:lang w:val="en-GB"/>
        </w:rPr>
        <w:t xml:space="preserve">in terms of corruption (which </w:t>
      </w:r>
      <w:r w:rsidR="007826BA" w:rsidRPr="00E52BC2">
        <w:rPr>
          <w:lang w:val="en-GB"/>
        </w:rPr>
        <w:t xml:space="preserve">therefore </w:t>
      </w:r>
      <w:r w:rsidR="00802CBB" w:rsidRPr="00E52BC2">
        <w:rPr>
          <w:lang w:val="en-GB"/>
        </w:rPr>
        <w:t>remains quite a serious problem)</w:t>
      </w:r>
      <w:r w:rsidR="007826BA" w:rsidRPr="00E52BC2">
        <w:rPr>
          <w:lang w:val="en-GB"/>
        </w:rPr>
        <w:t>,</w:t>
      </w:r>
      <w:r w:rsidR="00802CBB" w:rsidRPr="00E52BC2">
        <w:rPr>
          <w:lang w:val="en-GB"/>
        </w:rPr>
        <w:t xml:space="preserve"> </w:t>
      </w:r>
      <w:r w:rsidR="0029730E" w:rsidRPr="00E52BC2">
        <w:rPr>
          <w:lang w:val="en-GB"/>
        </w:rPr>
        <w:t>and</w:t>
      </w:r>
      <w:r w:rsidR="00802CBB" w:rsidRPr="00E52BC2">
        <w:rPr>
          <w:lang w:val="en-GB"/>
        </w:rPr>
        <w:t xml:space="preserve"> </w:t>
      </w:r>
      <w:r w:rsidR="00DC7754" w:rsidRPr="00E52BC2">
        <w:rPr>
          <w:lang w:val="en-GB"/>
        </w:rPr>
        <w:t xml:space="preserve">as </w:t>
      </w:r>
      <w:r w:rsidR="00802CBB" w:rsidRPr="00E52BC2">
        <w:rPr>
          <w:lang w:val="en-GB"/>
        </w:rPr>
        <w:t>especially poor in terms of fundamental rights and criminal justice</w:t>
      </w:r>
      <w:r w:rsidR="007826BA" w:rsidRPr="00E52BC2">
        <w:rPr>
          <w:lang w:val="en-GB"/>
        </w:rPr>
        <w:t>;</w:t>
      </w:r>
      <w:r w:rsidR="00802CBB" w:rsidRPr="00E52BC2">
        <w:rPr>
          <w:lang w:val="en-GB"/>
        </w:rPr>
        <w:t xml:space="preserve"> Turkey therefore suffers many of the problems</w:t>
      </w:r>
      <w:r w:rsidR="007826BA" w:rsidRPr="00E52BC2">
        <w:rPr>
          <w:lang w:val="en-GB"/>
        </w:rPr>
        <w:t>—</w:t>
      </w:r>
      <w:r w:rsidR="00802CBB" w:rsidRPr="00E52BC2">
        <w:rPr>
          <w:lang w:val="en-GB"/>
        </w:rPr>
        <w:t>in terms of corruption, the rule of law</w:t>
      </w:r>
      <w:r w:rsidR="007826BA" w:rsidRPr="00E52BC2">
        <w:rPr>
          <w:lang w:val="en-GB"/>
        </w:rPr>
        <w:t>,</w:t>
      </w:r>
      <w:r w:rsidR="00802CBB" w:rsidRPr="00E52BC2">
        <w:rPr>
          <w:lang w:val="en-GB"/>
        </w:rPr>
        <w:t xml:space="preserve"> and human rights</w:t>
      </w:r>
      <w:r w:rsidR="007826BA" w:rsidRPr="00E52BC2">
        <w:rPr>
          <w:lang w:val="en-GB"/>
        </w:rPr>
        <w:t>—</w:t>
      </w:r>
      <w:r w:rsidR="00802CBB" w:rsidRPr="00E52BC2">
        <w:rPr>
          <w:lang w:val="en-GB"/>
        </w:rPr>
        <w:t xml:space="preserve">typical of </w:t>
      </w:r>
      <w:r w:rsidRPr="00E52BC2">
        <w:rPr>
          <w:lang w:val="en-GB"/>
        </w:rPr>
        <w:t>middle-income</w:t>
      </w:r>
      <w:r w:rsidR="00BA554E" w:rsidRPr="00E52BC2">
        <w:rPr>
          <w:lang w:val="en-GB"/>
        </w:rPr>
        <w:t xml:space="preserve"> countries.</w:t>
      </w:r>
      <w:r w:rsidR="00BA554E" w:rsidRPr="00E52BC2">
        <w:rPr>
          <w:rStyle w:val="FootnoteReference"/>
          <w:lang w:val="en-GB"/>
        </w:rPr>
        <w:footnoteReference w:id="10"/>
      </w:r>
    </w:p>
    <w:p w14:paraId="0773910C" w14:textId="77777777" w:rsidR="00802CBB" w:rsidRPr="000E21F9" w:rsidRDefault="00802CBB" w:rsidP="000E21F9">
      <w:pPr>
        <w:pStyle w:val="BodyTextMain"/>
      </w:pPr>
    </w:p>
    <w:p w14:paraId="023B0F5C" w14:textId="77777777" w:rsidR="00802CBB" w:rsidRPr="000E21F9" w:rsidRDefault="00802CBB" w:rsidP="000E21F9">
      <w:pPr>
        <w:pStyle w:val="BodyTextMain"/>
      </w:pPr>
    </w:p>
    <w:p w14:paraId="7B2B9314" w14:textId="60EB5A26" w:rsidR="00802CBB" w:rsidRPr="00E52BC2" w:rsidRDefault="00802CBB" w:rsidP="00802CBB">
      <w:pPr>
        <w:pStyle w:val="Casehead1"/>
        <w:rPr>
          <w:lang w:val="en-GB"/>
        </w:rPr>
      </w:pPr>
      <w:r w:rsidRPr="00E52BC2">
        <w:rPr>
          <w:lang w:val="en-GB"/>
        </w:rPr>
        <w:t xml:space="preserve">emergence </w:t>
      </w:r>
      <w:r w:rsidR="00DC7754" w:rsidRPr="00E52BC2">
        <w:rPr>
          <w:lang w:val="en-GB"/>
        </w:rPr>
        <w:t xml:space="preserve">of </w:t>
      </w:r>
      <w:r w:rsidRPr="00E52BC2">
        <w:rPr>
          <w:lang w:val="en-GB"/>
        </w:rPr>
        <w:t>and rationale for business groups in Turkey</w:t>
      </w:r>
    </w:p>
    <w:p w14:paraId="51B6553C" w14:textId="77777777" w:rsidR="00802CBB" w:rsidRPr="000E21F9" w:rsidRDefault="00802CBB" w:rsidP="000E21F9">
      <w:pPr>
        <w:pStyle w:val="BodyTextMain"/>
      </w:pPr>
    </w:p>
    <w:p w14:paraId="5AF0B916" w14:textId="10E711B9" w:rsidR="00802CBB" w:rsidRPr="00E52BC2" w:rsidRDefault="00A07D69" w:rsidP="00802CBB">
      <w:pPr>
        <w:pStyle w:val="BodyTextMain"/>
        <w:rPr>
          <w:lang w:val="en-GB"/>
        </w:rPr>
      </w:pPr>
      <w:r w:rsidRPr="00E52BC2">
        <w:rPr>
          <w:spacing w:val="-2"/>
          <w:lang w:val="en-GB"/>
        </w:rPr>
        <w:t>Initially, t</w:t>
      </w:r>
      <w:r w:rsidR="00802CBB" w:rsidRPr="00E52BC2">
        <w:rPr>
          <w:spacing w:val="-2"/>
          <w:lang w:val="en-GB"/>
        </w:rPr>
        <w:t>he Turkish economy grew in the period 1920</w:t>
      </w:r>
      <w:r w:rsidR="00DC7754" w:rsidRPr="00E52BC2">
        <w:rPr>
          <w:spacing w:val="-2"/>
          <w:lang w:val="en-GB"/>
        </w:rPr>
        <w:t>–</w:t>
      </w:r>
      <w:r w:rsidR="00802CBB" w:rsidRPr="00E52BC2">
        <w:rPr>
          <w:spacing w:val="-2"/>
          <w:lang w:val="en-GB"/>
        </w:rPr>
        <w:t xml:space="preserve">1980 largely behind tariff walls and based on the benign support for domestic businesspeople by the </w:t>
      </w:r>
      <w:r w:rsidRPr="00E52BC2">
        <w:rPr>
          <w:spacing w:val="-2"/>
          <w:lang w:val="en-GB"/>
        </w:rPr>
        <w:t>n</w:t>
      </w:r>
      <w:r w:rsidR="00802CBB" w:rsidRPr="00E52BC2">
        <w:rPr>
          <w:spacing w:val="-2"/>
          <w:lang w:val="en-GB"/>
        </w:rPr>
        <w:t>ationalist regime</w:t>
      </w:r>
      <w:r w:rsidR="00BA554E" w:rsidRPr="00E52BC2">
        <w:rPr>
          <w:spacing w:val="-2"/>
          <w:lang w:val="en-GB"/>
        </w:rPr>
        <w:t>.</w:t>
      </w:r>
      <w:r w:rsidR="00BA554E" w:rsidRPr="00E52BC2">
        <w:rPr>
          <w:rStyle w:val="FootnoteReference"/>
          <w:spacing w:val="-2"/>
          <w:lang w:val="en-GB"/>
        </w:rPr>
        <w:footnoteReference w:id="11"/>
      </w:r>
      <w:r w:rsidR="00BA554E" w:rsidRPr="00E52BC2">
        <w:rPr>
          <w:spacing w:val="-2"/>
          <w:lang w:val="en-GB"/>
        </w:rPr>
        <w:t xml:space="preserve"> </w:t>
      </w:r>
      <w:r w:rsidR="00802CBB" w:rsidRPr="00E52BC2">
        <w:rPr>
          <w:spacing w:val="-2"/>
          <w:lang w:val="en-GB"/>
        </w:rPr>
        <w:t xml:space="preserve">This environment encouraged the widespread development of large </w:t>
      </w:r>
      <w:r w:rsidRPr="00E52BC2">
        <w:rPr>
          <w:spacing w:val="-2"/>
          <w:lang w:val="en-GB"/>
        </w:rPr>
        <w:t xml:space="preserve">BGs, </w:t>
      </w:r>
      <w:r w:rsidR="00802CBB" w:rsidRPr="00E52BC2">
        <w:rPr>
          <w:spacing w:val="-2"/>
          <w:lang w:val="en-GB"/>
        </w:rPr>
        <w:t>which came to dominate much of the business landscape</w:t>
      </w:r>
      <w:r w:rsidRPr="00E52BC2">
        <w:rPr>
          <w:spacing w:val="-2"/>
          <w:lang w:val="en-GB"/>
        </w:rPr>
        <w:t>—</w:t>
      </w:r>
      <w:r w:rsidR="00802CBB" w:rsidRPr="00E52BC2">
        <w:rPr>
          <w:spacing w:val="-2"/>
          <w:lang w:val="en-GB"/>
        </w:rPr>
        <w:t xml:space="preserve">and </w:t>
      </w:r>
      <w:r w:rsidR="003D3AF4" w:rsidRPr="00E52BC2">
        <w:rPr>
          <w:spacing w:val="-2"/>
          <w:lang w:val="en-GB"/>
        </w:rPr>
        <w:t xml:space="preserve">that </w:t>
      </w:r>
      <w:r w:rsidR="00802CBB" w:rsidRPr="00E52BC2">
        <w:rPr>
          <w:spacing w:val="-2"/>
          <w:lang w:val="en-GB"/>
        </w:rPr>
        <w:t xml:space="preserve">remain the key players in the Turkish economy to this day. BGs are a set of legally independent firms linked by ownership and a variety of other formal and informal ties </w:t>
      </w:r>
      <w:r w:rsidRPr="00E52BC2">
        <w:rPr>
          <w:spacing w:val="-2"/>
          <w:lang w:val="en-GB"/>
        </w:rPr>
        <w:t>that</w:t>
      </w:r>
      <w:r w:rsidR="00802CBB" w:rsidRPr="00E52BC2">
        <w:rPr>
          <w:spacing w:val="-2"/>
          <w:lang w:val="en-GB"/>
        </w:rPr>
        <w:t xml:space="preserve"> act in a coordinated manner</w:t>
      </w:r>
      <w:r w:rsidR="00BA554E" w:rsidRPr="00E52BC2">
        <w:rPr>
          <w:spacing w:val="-2"/>
          <w:lang w:val="en-GB"/>
        </w:rPr>
        <w:t>.</w:t>
      </w:r>
      <w:r w:rsidR="00BA554E" w:rsidRPr="00E52BC2">
        <w:rPr>
          <w:rStyle w:val="FootnoteReference"/>
          <w:spacing w:val="-2"/>
          <w:lang w:val="en-GB"/>
        </w:rPr>
        <w:footnoteReference w:id="12"/>
      </w:r>
      <w:r w:rsidR="00BA554E" w:rsidRPr="00E52BC2">
        <w:rPr>
          <w:spacing w:val="-2"/>
          <w:lang w:val="en-GB"/>
        </w:rPr>
        <w:t xml:space="preserve"> </w:t>
      </w:r>
      <w:r w:rsidR="00802CBB" w:rsidRPr="00E52BC2">
        <w:rPr>
          <w:spacing w:val="-2"/>
          <w:lang w:val="en-GB"/>
        </w:rPr>
        <w:t>They exist in most economies but are especially common in emerging markets</w:t>
      </w:r>
      <w:r w:rsidR="005E3850" w:rsidRPr="00E52BC2">
        <w:rPr>
          <w:spacing w:val="-2"/>
          <w:lang w:val="en-GB"/>
        </w:rPr>
        <w:t>.</w:t>
      </w:r>
      <w:r w:rsidR="005E3850" w:rsidRPr="00E52BC2">
        <w:rPr>
          <w:rStyle w:val="FootnoteReference"/>
          <w:spacing w:val="-2"/>
          <w:lang w:val="en-GB"/>
        </w:rPr>
        <w:footnoteReference w:id="13"/>
      </w:r>
      <w:r w:rsidR="005E3850" w:rsidRPr="00E52BC2">
        <w:rPr>
          <w:spacing w:val="-2"/>
          <w:lang w:val="en-GB"/>
        </w:rPr>
        <w:t xml:space="preserve"> </w:t>
      </w:r>
      <w:r w:rsidR="00802CBB" w:rsidRPr="00E52BC2">
        <w:rPr>
          <w:spacing w:val="-2"/>
          <w:lang w:val="en-GB"/>
        </w:rPr>
        <w:t>BGs are viewed as an efficient or functional response to institutional underdevelopment</w:t>
      </w:r>
      <w:r w:rsidRPr="00E52BC2">
        <w:rPr>
          <w:spacing w:val="-2"/>
          <w:lang w:val="en-GB"/>
        </w:rPr>
        <w:t>,</w:t>
      </w:r>
      <w:r w:rsidR="00802CBB" w:rsidRPr="00E52BC2">
        <w:rPr>
          <w:spacing w:val="-2"/>
          <w:lang w:val="en-GB"/>
        </w:rPr>
        <w:t xml:space="preserve"> filling voids in the</w:t>
      </w:r>
      <w:r w:rsidR="00802CBB" w:rsidRPr="00E52BC2">
        <w:rPr>
          <w:b/>
          <w:i/>
          <w:spacing w:val="-2"/>
          <w:lang w:val="en-GB"/>
        </w:rPr>
        <w:t xml:space="preserve"> </w:t>
      </w:r>
      <w:r w:rsidR="00802CBB" w:rsidRPr="00E52BC2">
        <w:rPr>
          <w:spacing w:val="-2"/>
          <w:lang w:val="en-GB"/>
        </w:rPr>
        <w:t>market-supporting infrastructure and enabling firms to acquire resources that would be otherwise unavailable in the business environment of emerging markets.</w:t>
      </w:r>
      <w:r w:rsidR="005E3850" w:rsidRPr="00E52BC2">
        <w:rPr>
          <w:rStyle w:val="FootnoteReference"/>
          <w:spacing w:val="-2"/>
          <w:lang w:val="en-GB"/>
        </w:rPr>
        <w:footnoteReference w:id="14"/>
      </w:r>
      <w:r w:rsidR="00802CBB" w:rsidRPr="00E52BC2">
        <w:rPr>
          <w:spacing w:val="-2"/>
          <w:lang w:val="en-GB"/>
        </w:rPr>
        <w:t xml:space="preserve"> However, it is argued that BGs might begin to </w:t>
      </w:r>
      <w:r w:rsidR="00802CBB" w:rsidRPr="00E52BC2">
        <w:rPr>
          <w:iCs/>
          <w:spacing w:val="-2"/>
          <w:lang w:val="en-GB"/>
        </w:rPr>
        <w:t xml:space="preserve">disappear with increasing economic development. This is because it becomes more profitable for individual firms to be unaffiliated </w:t>
      </w:r>
      <w:r w:rsidRPr="00E52BC2">
        <w:rPr>
          <w:iCs/>
          <w:spacing w:val="-2"/>
          <w:lang w:val="en-GB"/>
        </w:rPr>
        <w:t>with</w:t>
      </w:r>
      <w:r w:rsidR="00802CBB" w:rsidRPr="00E52BC2">
        <w:rPr>
          <w:iCs/>
          <w:spacing w:val="-2"/>
          <w:lang w:val="en-GB"/>
        </w:rPr>
        <w:t xml:space="preserve"> a BG when domestic markets are able to provide the resources and capabilities more efficiently and cheaply than from within the BG. Under this scenario, group affiliation should become progressively less prevalent following institutional and economic development</w:t>
      </w:r>
      <w:r w:rsidR="00A0698D" w:rsidRPr="00E52BC2">
        <w:rPr>
          <w:iCs/>
          <w:lang w:val="en-GB"/>
        </w:rPr>
        <w:t>.</w:t>
      </w:r>
      <w:r w:rsidR="00A0698D" w:rsidRPr="00E52BC2">
        <w:rPr>
          <w:rStyle w:val="FootnoteReference"/>
          <w:iCs/>
          <w:lang w:val="en-GB"/>
        </w:rPr>
        <w:footnoteReference w:id="15"/>
      </w:r>
    </w:p>
    <w:p w14:paraId="5FF9561C" w14:textId="77777777" w:rsidR="00802CBB" w:rsidRPr="000E21F9" w:rsidRDefault="00802CBB" w:rsidP="000E21F9">
      <w:pPr>
        <w:pStyle w:val="BodyTextMain"/>
      </w:pPr>
    </w:p>
    <w:p w14:paraId="7EE81A42" w14:textId="46B99B9E" w:rsidR="000D05FD" w:rsidRPr="00E52BC2" w:rsidRDefault="00802CBB" w:rsidP="00460CDC">
      <w:pPr>
        <w:pStyle w:val="BodyTextMain"/>
        <w:rPr>
          <w:spacing w:val="-2"/>
          <w:kern w:val="22"/>
          <w:lang w:val="en-GB"/>
        </w:rPr>
      </w:pPr>
      <w:r w:rsidRPr="00E52BC2">
        <w:rPr>
          <w:spacing w:val="-2"/>
          <w:kern w:val="22"/>
          <w:lang w:val="en-GB"/>
        </w:rPr>
        <w:t>The rise of BGs in Turkey was associated with Attat</w:t>
      </w:r>
      <w:r w:rsidR="00A07D69" w:rsidRPr="00E52BC2">
        <w:rPr>
          <w:spacing w:val="-2"/>
          <w:kern w:val="22"/>
          <w:lang w:val="en-GB"/>
        </w:rPr>
        <w:t>ü</w:t>
      </w:r>
      <w:r w:rsidRPr="00E52BC2">
        <w:rPr>
          <w:spacing w:val="-2"/>
          <w:kern w:val="22"/>
          <w:lang w:val="en-GB"/>
        </w:rPr>
        <w:t>rk’s nationalist revolution, and Yildiz</w:t>
      </w:r>
      <w:r w:rsidR="00A07D69" w:rsidRPr="00E52BC2">
        <w:rPr>
          <w:spacing w:val="-2"/>
          <w:kern w:val="22"/>
          <w:lang w:val="en-GB"/>
        </w:rPr>
        <w:t xml:space="preserve"> Holding</w:t>
      </w:r>
      <w:r w:rsidRPr="00E52BC2">
        <w:rPr>
          <w:spacing w:val="-2"/>
          <w:kern w:val="22"/>
          <w:lang w:val="en-GB"/>
        </w:rPr>
        <w:t xml:space="preserve">, together with other family companies of that generation, </w:t>
      </w:r>
      <w:r w:rsidR="00A07D69" w:rsidRPr="00E52BC2">
        <w:rPr>
          <w:spacing w:val="-2"/>
          <w:kern w:val="22"/>
          <w:lang w:val="en-GB"/>
        </w:rPr>
        <w:t>was</w:t>
      </w:r>
      <w:r w:rsidRPr="00E52BC2">
        <w:rPr>
          <w:spacing w:val="-2"/>
          <w:kern w:val="22"/>
          <w:lang w:val="en-GB"/>
        </w:rPr>
        <w:t xml:space="preserve"> part of the national secular elite protected in the early days. </w:t>
      </w:r>
      <w:r w:rsidR="00970C59" w:rsidRPr="00E52BC2">
        <w:rPr>
          <w:spacing w:val="-2"/>
          <w:kern w:val="22"/>
          <w:lang w:val="en-GB"/>
        </w:rPr>
        <w:t xml:space="preserve">As we have seen, </w:t>
      </w:r>
      <w:r w:rsidR="00DD5F07" w:rsidRPr="00E52BC2">
        <w:rPr>
          <w:spacing w:val="-2"/>
          <w:kern w:val="22"/>
          <w:lang w:val="en-GB"/>
        </w:rPr>
        <w:t xml:space="preserve">Turkey’s economic strategy from the 1930s was to develop local national champions supported by the state and growing behind a relatively protected tariff and regulatory wall hindering foreign competitors,. </w:t>
      </w:r>
      <w:r w:rsidR="00970C59" w:rsidRPr="00E52BC2">
        <w:rPr>
          <w:spacing w:val="-2"/>
          <w:kern w:val="22"/>
          <w:lang w:val="en-GB"/>
        </w:rPr>
        <w:t>However, t</w:t>
      </w:r>
      <w:r w:rsidR="00DD5F07" w:rsidRPr="00E52BC2">
        <w:rPr>
          <w:spacing w:val="-2"/>
          <w:kern w:val="22"/>
          <w:lang w:val="en-GB"/>
        </w:rPr>
        <w:t xml:space="preserve">he Turkish economy began to integrate more closely with the rest of the world from the 1980s, and as part of this movement to engage with globalization, the </w:t>
      </w:r>
      <w:r w:rsidRPr="00E52BC2">
        <w:rPr>
          <w:spacing w:val="-2"/>
          <w:kern w:val="22"/>
          <w:lang w:val="en-GB"/>
        </w:rPr>
        <w:t>protectionist barriers</w:t>
      </w:r>
      <w:r w:rsidR="00DD5F07" w:rsidRPr="00E52BC2">
        <w:rPr>
          <w:spacing w:val="-2"/>
          <w:kern w:val="22"/>
          <w:lang w:val="en-GB"/>
        </w:rPr>
        <w:t xml:space="preserve"> were gradually </w:t>
      </w:r>
      <w:r w:rsidR="00DD5F07" w:rsidRPr="00E52BC2">
        <w:rPr>
          <w:spacing w:val="-2"/>
          <w:kern w:val="22"/>
          <w:lang w:val="en-GB"/>
        </w:rPr>
        <w:lastRenderedPageBreak/>
        <w:t xml:space="preserve">reduced. However, most business groups were by then sufficiently well positioned to survive that transition. The Muslim AKP party took office from </w:t>
      </w:r>
      <w:r w:rsidR="00F30D03" w:rsidRPr="00E52BC2">
        <w:rPr>
          <w:spacing w:val="-2"/>
          <w:kern w:val="22"/>
          <w:lang w:val="en-GB"/>
        </w:rPr>
        <w:t xml:space="preserve">2001, and maintained the policy of global integration. However, it represented a somewhat different elite </w:t>
      </w:r>
      <w:r w:rsidR="00E52BC2" w:rsidRPr="00E52BC2">
        <w:rPr>
          <w:spacing w:val="-2"/>
          <w:kern w:val="22"/>
          <w:lang w:val="en-GB"/>
        </w:rPr>
        <w:t>and the</w:t>
      </w:r>
      <w:r w:rsidRPr="00E52BC2">
        <w:rPr>
          <w:spacing w:val="-2"/>
          <w:kern w:val="22"/>
          <w:lang w:val="en-GB"/>
        </w:rPr>
        <w:t xml:space="preserve"> close relationship between </w:t>
      </w:r>
      <w:r w:rsidR="00C235E3" w:rsidRPr="00E52BC2">
        <w:rPr>
          <w:spacing w:val="-2"/>
          <w:kern w:val="22"/>
          <w:lang w:val="en-GB"/>
        </w:rPr>
        <w:t xml:space="preserve">the </w:t>
      </w:r>
      <w:r w:rsidRPr="00E52BC2">
        <w:rPr>
          <w:spacing w:val="-2"/>
          <w:kern w:val="22"/>
          <w:lang w:val="en-GB"/>
        </w:rPr>
        <w:t xml:space="preserve">government and these </w:t>
      </w:r>
      <w:r w:rsidR="00F30D03" w:rsidRPr="00E52BC2">
        <w:rPr>
          <w:spacing w:val="-2"/>
          <w:kern w:val="22"/>
          <w:lang w:val="en-GB"/>
        </w:rPr>
        <w:t>business groups</w:t>
      </w:r>
      <w:r w:rsidRPr="00E52BC2">
        <w:rPr>
          <w:spacing w:val="-2"/>
          <w:kern w:val="22"/>
          <w:lang w:val="en-GB"/>
        </w:rPr>
        <w:t xml:space="preserve"> no</w:t>
      </w:r>
      <w:r w:rsidR="00A07D69" w:rsidRPr="00E52BC2">
        <w:rPr>
          <w:spacing w:val="-2"/>
          <w:kern w:val="22"/>
          <w:lang w:val="en-GB"/>
        </w:rPr>
        <w:t xml:space="preserve"> longer exists</w:t>
      </w:r>
      <w:r w:rsidRPr="00E52BC2">
        <w:rPr>
          <w:spacing w:val="-2"/>
          <w:kern w:val="22"/>
          <w:lang w:val="en-GB"/>
        </w:rPr>
        <w:t xml:space="preserve">. </w:t>
      </w:r>
      <w:r w:rsidR="00F30D03" w:rsidRPr="00E52BC2">
        <w:rPr>
          <w:spacing w:val="-2"/>
          <w:kern w:val="22"/>
          <w:lang w:val="en-GB"/>
        </w:rPr>
        <w:t xml:space="preserve">This is significant because in an environment with institutional voids, </w:t>
      </w:r>
      <w:r w:rsidRPr="00E52BC2">
        <w:rPr>
          <w:spacing w:val="-2"/>
          <w:kern w:val="22"/>
          <w:lang w:val="en-GB"/>
        </w:rPr>
        <w:t xml:space="preserve">political ties </w:t>
      </w:r>
      <w:r w:rsidR="00F30D03" w:rsidRPr="00E52BC2">
        <w:rPr>
          <w:spacing w:val="-2"/>
          <w:kern w:val="22"/>
          <w:lang w:val="en-GB"/>
        </w:rPr>
        <w:t xml:space="preserve">can be very </w:t>
      </w:r>
      <w:r w:rsidRPr="00E52BC2">
        <w:rPr>
          <w:spacing w:val="-2"/>
          <w:kern w:val="22"/>
          <w:lang w:val="en-GB"/>
        </w:rPr>
        <w:t>important</w:t>
      </w:r>
      <w:r w:rsidR="00F30D03" w:rsidRPr="00E52BC2">
        <w:rPr>
          <w:spacing w:val="-2"/>
          <w:kern w:val="22"/>
          <w:lang w:val="en-GB"/>
        </w:rPr>
        <w:t xml:space="preserve">, though perhaps more </w:t>
      </w:r>
      <w:r w:rsidRPr="00E52BC2">
        <w:rPr>
          <w:spacing w:val="-2"/>
          <w:kern w:val="22"/>
          <w:lang w:val="en-GB"/>
        </w:rPr>
        <w:t>in creat</w:t>
      </w:r>
      <w:r w:rsidR="00410AEA" w:rsidRPr="00E52BC2">
        <w:rPr>
          <w:spacing w:val="-2"/>
          <w:kern w:val="22"/>
          <w:lang w:val="en-GB"/>
        </w:rPr>
        <w:t>ing</w:t>
      </w:r>
      <w:r w:rsidRPr="00E52BC2">
        <w:rPr>
          <w:spacing w:val="-2"/>
          <w:kern w:val="22"/>
          <w:lang w:val="en-GB"/>
        </w:rPr>
        <w:t xml:space="preserve"> </w:t>
      </w:r>
      <w:r w:rsidR="00C235E3" w:rsidRPr="00E52BC2">
        <w:rPr>
          <w:spacing w:val="-2"/>
          <w:kern w:val="22"/>
          <w:lang w:val="en-GB"/>
        </w:rPr>
        <w:t xml:space="preserve">a business </w:t>
      </w:r>
      <w:r w:rsidRPr="00E52BC2">
        <w:rPr>
          <w:spacing w:val="-2"/>
          <w:kern w:val="22"/>
          <w:lang w:val="en-GB"/>
        </w:rPr>
        <w:t xml:space="preserve">than </w:t>
      </w:r>
      <w:r w:rsidR="00C235E3" w:rsidRPr="00E52BC2">
        <w:rPr>
          <w:spacing w:val="-2"/>
          <w:kern w:val="22"/>
          <w:lang w:val="en-GB"/>
        </w:rPr>
        <w:t xml:space="preserve">in </w:t>
      </w:r>
      <w:r w:rsidRPr="00E52BC2">
        <w:rPr>
          <w:spacing w:val="-2"/>
          <w:kern w:val="22"/>
          <w:lang w:val="en-GB"/>
        </w:rPr>
        <w:t>maintain</w:t>
      </w:r>
      <w:r w:rsidR="00410AEA" w:rsidRPr="00E52BC2">
        <w:rPr>
          <w:spacing w:val="-2"/>
          <w:kern w:val="22"/>
          <w:lang w:val="en-GB"/>
        </w:rPr>
        <w:t>ing</w:t>
      </w:r>
      <w:r w:rsidRPr="00E52BC2">
        <w:rPr>
          <w:spacing w:val="-2"/>
          <w:kern w:val="22"/>
          <w:lang w:val="en-GB"/>
        </w:rPr>
        <w:t xml:space="preserve"> </w:t>
      </w:r>
      <w:r w:rsidR="00C235E3" w:rsidRPr="00E52BC2">
        <w:rPr>
          <w:spacing w:val="-2"/>
          <w:kern w:val="22"/>
          <w:lang w:val="en-GB"/>
        </w:rPr>
        <w:t>one</w:t>
      </w:r>
      <w:r w:rsidRPr="00E52BC2">
        <w:rPr>
          <w:spacing w:val="-2"/>
          <w:kern w:val="22"/>
          <w:lang w:val="en-GB"/>
        </w:rPr>
        <w:t xml:space="preserve">. </w:t>
      </w:r>
      <w:r w:rsidR="000D05FD" w:rsidRPr="00E52BC2">
        <w:rPr>
          <w:b/>
          <w:spacing w:val="-2"/>
          <w:kern w:val="22"/>
          <w:lang w:val="en-GB"/>
        </w:rPr>
        <w:br w:type="page"/>
      </w:r>
    </w:p>
    <w:p w14:paraId="68D04205" w14:textId="64D47738" w:rsidR="00802CBB" w:rsidRPr="00E52BC2" w:rsidRDefault="00460CDC" w:rsidP="00460CDC">
      <w:pPr>
        <w:pStyle w:val="ExhibitHeading"/>
        <w:rPr>
          <w:lang w:val="en-GB"/>
        </w:rPr>
      </w:pPr>
      <w:r w:rsidRPr="00E52BC2">
        <w:rPr>
          <w:lang w:val="en-GB"/>
        </w:rPr>
        <w:lastRenderedPageBreak/>
        <w:t xml:space="preserve">Exhibit 1: </w:t>
      </w:r>
      <w:r w:rsidR="00802CBB" w:rsidRPr="00E52BC2">
        <w:rPr>
          <w:lang w:val="en-GB"/>
        </w:rPr>
        <w:t>Turkey G</w:t>
      </w:r>
      <w:r w:rsidR="00C235E3" w:rsidRPr="00E52BC2">
        <w:rPr>
          <w:lang w:val="en-GB"/>
        </w:rPr>
        <w:t xml:space="preserve">ross </w:t>
      </w:r>
      <w:r w:rsidR="00802CBB" w:rsidRPr="00E52BC2">
        <w:rPr>
          <w:lang w:val="en-GB"/>
        </w:rPr>
        <w:t>D</w:t>
      </w:r>
      <w:r w:rsidR="00C235E3" w:rsidRPr="00E52BC2">
        <w:rPr>
          <w:lang w:val="en-GB"/>
        </w:rPr>
        <w:t xml:space="preserve">omestic </w:t>
      </w:r>
      <w:r w:rsidR="00802CBB" w:rsidRPr="00E52BC2">
        <w:rPr>
          <w:lang w:val="en-GB"/>
        </w:rPr>
        <w:t>P</w:t>
      </w:r>
      <w:r w:rsidR="00C235E3" w:rsidRPr="00E52BC2">
        <w:rPr>
          <w:lang w:val="en-GB"/>
        </w:rPr>
        <w:t>roduct</w:t>
      </w:r>
      <w:r w:rsidR="00802CBB" w:rsidRPr="00E52BC2">
        <w:rPr>
          <w:lang w:val="en-GB"/>
        </w:rPr>
        <w:t xml:space="preserve"> Per Capita</w:t>
      </w:r>
    </w:p>
    <w:p w14:paraId="1881B3A7" w14:textId="77777777" w:rsidR="00802CBB" w:rsidRPr="00E52BC2" w:rsidRDefault="00802CBB" w:rsidP="00802CBB">
      <w:pPr>
        <w:rPr>
          <w:b/>
          <w:lang w:val="en-GB"/>
        </w:rPr>
      </w:pPr>
    </w:p>
    <w:p w14:paraId="775D17B3" w14:textId="3B1DF281" w:rsidR="00B2519E" w:rsidRPr="00E52BC2" w:rsidRDefault="00A0698D" w:rsidP="00E52BC2">
      <w:pPr>
        <w:rPr>
          <w:b/>
          <w:lang w:val="en-GB"/>
        </w:rPr>
      </w:pPr>
      <w:r w:rsidRPr="00E52BC2">
        <w:rPr>
          <w:noProof/>
          <w:lang w:val="en-GB"/>
        </w:rPr>
        <w:t xml:space="preserve"> </w:t>
      </w:r>
      <w:r w:rsidR="00C235E3" w:rsidRPr="00E52BC2">
        <w:rPr>
          <w:b/>
          <w:noProof/>
        </w:rPr>
        <w:drawing>
          <wp:inline distT="0" distB="0" distL="0" distR="0" wp14:anchorId="29039511" wp14:editId="467B2D93">
            <wp:extent cx="5702060" cy="3217652"/>
            <wp:effectExtent l="0" t="0" r="13335" b="190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B86E7E5-B0F9-FE4F-A601-BABFD0A69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AE9648" w14:textId="77777777" w:rsidR="00C235E3" w:rsidRPr="00E52BC2" w:rsidRDefault="00C235E3" w:rsidP="00460CDC">
      <w:pPr>
        <w:pStyle w:val="Footnote"/>
        <w:rPr>
          <w:lang w:val="en-GB"/>
        </w:rPr>
      </w:pPr>
    </w:p>
    <w:p w14:paraId="48C83567" w14:textId="5ECFDB03" w:rsidR="00C235E3" w:rsidRPr="00E52BC2" w:rsidRDefault="00C235E3" w:rsidP="00460CDC">
      <w:pPr>
        <w:pStyle w:val="Footnote"/>
        <w:rPr>
          <w:lang w:val="en-GB"/>
        </w:rPr>
      </w:pPr>
      <w:r w:rsidRPr="00E52BC2">
        <w:rPr>
          <w:lang w:val="en-GB"/>
        </w:rPr>
        <w:t>Note: GDP = gross domestic product</w:t>
      </w:r>
      <w:r w:rsidR="00FD1E11">
        <w:rPr>
          <w:lang w:val="en-GB"/>
        </w:rPr>
        <w:t>.</w:t>
      </w:r>
      <w:bookmarkStart w:id="0" w:name="_GoBack"/>
      <w:bookmarkEnd w:id="0"/>
    </w:p>
    <w:p w14:paraId="624923AE" w14:textId="4FF0AD8A" w:rsidR="00B75338" w:rsidRPr="00E52BC2" w:rsidRDefault="00602AD9" w:rsidP="00460CDC">
      <w:pPr>
        <w:pStyle w:val="Footnote"/>
        <w:rPr>
          <w:lang w:val="en-GB"/>
        </w:rPr>
      </w:pPr>
      <w:r w:rsidRPr="00E52BC2">
        <w:rPr>
          <w:lang w:val="en-GB"/>
        </w:rPr>
        <w:t xml:space="preserve">Source: </w:t>
      </w:r>
      <w:r w:rsidR="002E7877" w:rsidRPr="00E52BC2">
        <w:rPr>
          <w:lang w:val="en-GB"/>
        </w:rPr>
        <w:t xml:space="preserve">The </w:t>
      </w:r>
      <w:r w:rsidRPr="00E52BC2">
        <w:rPr>
          <w:lang w:val="en-GB"/>
        </w:rPr>
        <w:t>World Bank</w:t>
      </w:r>
      <w:r w:rsidR="00C235E3" w:rsidRPr="00E52BC2">
        <w:rPr>
          <w:lang w:val="en-GB"/>
        </w:rPr>
        <w:t>,</w:t>
      </w:r>
      <w:r w:rsidRPr="00E52BC2">
        <w:rPr>
          <w:lang w:val="en-GB"/>
        </w:rPr>
        <w:t xml:space="preserve"> </w:t>
      </w:r>
      <w:r w:rsidRPr="00E52BC2">
        <w:rPr>
          <w:i/>
          <w:lang w:val="en-GB"/>
        </w:rPr>
        <w:t xml:space="preserve">Turkey GDP </w:t>
      </w:r>
      <w:r w:rsidR="002E7877" w:rsidRPr="00E52BC2">
        <w:rPr>
          <w:i/>
          <w:lang w:val="en-GB"/>
        </w:rPr>
        <w:t>p</w:t>
      </w:r>
      <w:r w:rsidRPr="00E52BC2">
        <w:rPr>
          <w:i/>
          <w:lang w:val="en-GB"/>
        </w:rPr>
        <w:t>er Capita: World Development Indicators</w:t>
      </w:r>
      <w:r w:rsidR="00A90D11" w:rsidRPr="00E52BC2">
        <w:rPr>
          <w:lang w:val="en-GB"/>
        </w:rPr>
        <w:t xml:space="preserve">, </w:t>
      </w:r>
      <w:r w:rsidR="00A90D11" w:rsidRPr="00E52BC2">
        <w:rPr>
          <w:rFonts w:eastAsia="Calibri"/>
          <w:color w:val="000000" w:themeColor="text1"/>
          <w:lang w:val="en-GB"/>
        </w:rPr>
        <w:t xml:space="preserve">accessed November 20, 2015, </w:t>
      </w:r>
      <w:r w:rsidR="00A90D11" w:rsidRPr="00E52BC2">
        <w:rPr>
          <w:lang w:val="en-GB"/>
        </w:rPr>
        <w:t xml:space="preserve">https://data.worldbank.org/indicator/NY.GDP.PCAP.CD. </w:t>
      </w:r>
    </w:p>
    <w:p w14:paraId="2AEAA985" w14:textId="77777777" w:rsidR="00B75338" w:rsidRPr="00E52BC2" w:rsidRDefault="00B75338" w:rsidP="00802CBB">
      <w:pPr>
        <w:rPr>
          <w:b/>
          <w:lang w:val="en-GB"/>
        </w:rPr>
      </w:pPr>
    </w:p>
    <w:p w14:paraId="7E9217DE" w14:textId="77777777" w:rsidR="00B75338" w:rsidRPr="00E52BC2" w:rsidRDefault="00B75338" w:rsidP="00802CBB">
      <w:pPr>
        <w:rPr>
          <w:b/>
          <w:lang w:val="en-GB"/>
        </w:rPr>
      </w:pPr>
    </w:p>
    <w:p w14:paraId="45AAAEC3" w14:textId="77777777" w:rsidR="00B75338" w:rsidRPr="00E52BC2" w:rsidRDefault="00B75338" w:rsidP="00802CBB">
      <w:pPr>
        <w:rPr>
          <w:b/>
          <w:lang w:val="en-GB"/>
        </w:rPr>
      </w:pPr>
    </w:p>
    <w:p w14:paraId="12DEFBC5" w14:textId="77777777" w:rsidR="00B75338" w:rsidRPr="00E52BC2" w:rsidRDefault="00B75338" w:rsidP="00802CBB">
      <w:pPr>
        <w:rPr>
          <w:b/>
          <w:lang w:val="en-GB"/>
        </w:rPr>
      </w:pPr>
    </w:p>
    <w:p w14:paraId="0F6D6AD1" w14:textId="77777777" w:rsidR="00B75338" w:rsidRPr="00E52BC2" w:rsidRDefault="00B75338" w:rsidP="00802CBB">
      <w:pPr>
        <w:rPr>
          <w:b/>
          <w:lang w:val="en-GB"/>
        </w:rPr>
      </w:pPr>
    </w:p>
    <w:p w14:paraId="73A79AE1" w14:textId="77777777" w:rsidR="00B75338" w:rsidRPr="00E52BC2" w:rsidRDefault="00B75338" w:rsidP="00802CBB">
      <w:pPr>
        <w:rPr>
          <w:b/>
          <w:lang w:val="en-GB"/>
        </w:rPr>
      </w:pPr>
    </w:p>
    <w:p w14:paraId="73A9CA6C" w14:textId="77777777" w:rsidR="00B75338" w:rsidRPr="00E52BC2" w:rsidRDefault="00B75338" w:rsidP="00802CBB">
      <w:pPr>
        <w:rPr>
          <w:b/>
          <w:lang w:val="en-GB"/>
        </w:rPr>
      </w:pPr>
    </w:p>
    <w:p w14:paraId="53C77A35" w14:textId="77777777" w:rsidR="00B75338" w:rsidRPr="00E52BC2" w:rsidRDefault="00B75338" w:rsidP="00802CBB">
      <w:pPr>
        <w:rPr>
          <w:b/>
          <w:lang w:val="en-GB"/>
        </w:rPr>
      </w:pPr>
    </w:p>
    <w:p w14:paraId="26A82F87" w14:textId="77777777" w:rsidR="00B75338" w:rsidRPr="00E52BC2" w:rsidRDefault="00B75338" w:rsidP="00802CBB">
      <w:pPr>
        <w:rPr>
          <w:b/>
          <w:lang w:val="en-GB"/>
        </w:rPr>
      </w:pPr>
    </w:p>
    <w:p w14:paraId="1D341394" w14:textId="77777777" w:rsidR="00B75338" w:rsidRPr="00E52BC2" w:rsidRDefault="00B75338" w:rsidP="00802CBB">
      <w:pPr>
        <w:rPr>
          <w:b/>
          <w:lang w:val="en-GB"/>
        </w:rPr>
      </w:pPr>
    </w:p>
    <w:p w14:paraId="71DFDDD1" w14:textId="77777777" w:rsidR="00B75338" w:rsidRPr="00E52BC2" w:rsidRDefault="00B75338" w:rsidP="00802CBB">
      <w:pPr>
        <w:rPr>
          <w:b/>
          <w:lang w:val="en-GB"/>
        </w:rPr>
      </w:pPr>
    </w:p>
    <w:p w14:paraId="357F78B3" w14:textId="77777777" w:rsidR="00460CDC" w:rsidRPr="00E52BC2" w:rsidRDefault="00460CDC" w:rsidP="00802CBB">
      <w:pPr>
        <w:rPr>
          <w:b/>
          <w:lang w:val="en-GB"/>
        </w:rPr>
      </w:pPr>
    </w:p>
    <w:p w14:paraId="76464B28" w14:textId="77777777" w:rsidR="00460CDC" w:rsidRPr="00E52BC2" w:rsidRDefault="00460CDC" w:rsidP="00802CBB">
      <w:pPr>
        <w:rPr>
          <w:b/>
          <w:lang w:val="en-GB"/>
        </w:rPr>
      </w:pPr>
    </w:p>
    <w:p w14:paraId="344D9EF3" w14:textId="77777777" w:rsidR="00B75338" w:rsidRPr="00E52BC2" w:rsidRDefault="00B75338" w:rsidP="00802CBB">
      <w:pPr>
        <w:rPr>
          <w:b/>
          <w:lang w:val="en-GB"/>
        </w:rPr>
      </w:pPr>
    </w:p>
    <w:p w14:paraId="57A6DB84" w14:textId="77777777" w:rsidR="00B75338" w:rsidRPr="00E52BC2" w:rsidRDefault="00B75338" w:rsidP="00802CBB">
      <w:pPr>
        <w:rPr>
          <w:b/>
          <w:lang w:val="en-GB"/>
        </w:rPr>
      </w:pPr>
    </w:p>
    <w:p w14:paraId="37404E9D" w14:textId="77777777" w:rsidR="00B75338" w:rsidRPr="00E52BC2" w:rsidRDefault="00B75338" w:rsidP="00802CBB">
      <w:pPr>
        <w:rPr>
          <w:b/>
          <w:lang w:val="en-GB"/>
        </w:rPr>
      </w:pPr>
    </w:p>
    <w:p w14:paraId="3914B9F2" w14:textId="77777777" w:rsidR="00B75338" w:rsidRPr="00E52BC2" w:rsidRDefault="00B75338" w:rsidP="00802CBB">
      <w:pPr>
        <w:rPr>
          <w:b/>
          <w:lang w:val="en-GB"/>
        </w:rPr>
      </w:pPr>
    </w:p>
    <w:p w14:paraId="6B2E5BBE" w14:textId="77777777" w:rsidR="00B75338" w:rsidRPr="00E52BC2" w:rsidRDefault="00B75338" w:rsidP="00802CBB">
      <w:pPr>
        <w:rPr>
          <w:b/>
          <w:lang w:val="en-GB"/>
        </w:rPr>
      </w:pPr>
    </w:p>
    <w:p w14:paraId="6C827843" w14:textId="77777777" w:rsidR="00B75338" w:rsidRPr="00E52BC2" w:rsidRDefault="00B75338" w:rsidP="00802CBB">
      <w:pPr>
        <w:rPr>
          <w:b/>
          <w:lang w:val="en-GB"/>
        </w:rPr>
      </w:pPr>
    </w:p>
    <w:p w14:paraId="13F249F9" w14:textId="77777777" w:rsidR="00B75338" w:rsidRPr="00E52BC2" w:rsidRDefault="00B75338" w:rsidP="00802CBB">
      <w:pPr>
        <w:rPr>
          <w:b/>
          <w:lang w:val="en-GB"/>
        </w:rPr>
      </w:pPr>
    </w:p>
    <w:p w14:paraId="510C899B" w14:textId="77777777" w:rsidR="00B75338" w:rsidRPr="00E52BC2" w:rsidRDefault="00B75338" w:rsidP="00802CBB">
      <w:pPr>
        <w:rPr>
          <w:b/>
          <w:lang w:val="en-GB"/>
        </w:rPr>
      </w:pPr>
    </w:p>
    <w:p w14:paraId="44DC8658" w14:textId="77777777" w:rsidR="00B75338" w:rsidRPr="00E52BC2" w:rsidRDefault="00B75338" w:rsidP="00802CBB">
      <w:pPr>
        <w:rPr>
          <w:b/>
          <w:lang w:val="en-GB"/>
        </w:rPr>
      </w:pPr>
    </w:p>
    <w:p w14:paraId="5E19D5BA" w14:textId="77777777" w:rsidR="00C235E3" w:rsidRPr="00E52BC2" w:rsidRDefault="00C235E3" w:rsidP="00460CDC">
      <w:pPr>
        <w:pStyle w:val="ExhibitHeading"/>
        <w:rPr>
          <w:lang w:val="en-GB"/>
        </w:rPr>
      </w:pPr>
    </w:p>
    <w:p w14:paraId="20293443" w14:textId="77777777" w:rsidR="00C235E3" w:rsidRPr="00E52BC2" w:rsidRDefault="00C235E3" w:rsidP="00460CDC">
      <w:pPr>
        <w:pStyle w:val="ExhibitHeading"/>
        <w:rPr>
          <w:lang w:val="en-GB"/>
        </w:rPr>
      </w:pPr>
    </w:p>
    <w:p w14:paraId="67C6B332" w14:textId="77777777" w:rsidR="00C235E3" w:rsidRPr="00E52BC2" w:rsidRDefault="00C235E3" w:rsidP="00460CDC">
      <w:pPr>
        <w:pStyle w:val="ExhibitHeading"/>
        <w:rPr>
          <w:lang w:val="en-GB"/>
        </w:rPr>
      </w:pPr>
    </w:p>
    <w:p w14:paraId="4CD58298" w14:textId="77777777" w:rsidR="00C235E3" w:rsidRPr="00E52BC2" w:rsidRDefault="00C235E3" w:rsidP="00460CDC">
      <w:pPr>
        <w:pStyle w:val="ExhibitHeading"/>
        <w:rPr>
          <w:lang w:val="en-GB"/>
        </w:rPr>
      </w:pPr>
    </w:p>
    <w:p w14:paraId="35FFDD9B" w14:textId="77777777" w:rsidR="00C235E3" w:rsidRPr="00E52BC2" w:rsidRDefault="00C235E3" w:rsidP="00460CDC">
      <w:pPr>
        <w:pStyle w:val="ExhibitHeading"/>
        <w:rPr>
          <w:lang w:val="en-GB"/>
        </w:rPr>
      </w:pPr>
    </w:p>
    <w:p w14:paraId="4C8109B4" w14:textId="4EC08795" w:rsidR="002F4452" w:rsidRDefault="00460CDC" w:rsidP="00460CDC">
      <w:pPr>
        <w:pStyle w:val="ExhibitHeading"/>
        <w:rPr>
          <w:lang w:val="en-GB"/>
        </w:rPr>
      </w:pPr>
      <w:r w:rsidRPr="00E52BC2">
        <w:rPr>
          <w:lang w:val="en-GB"/>
        </w:rPr>
        <w:lastRenderedPageBreak/>
        <w:t>Exhibit 2:</w:t>
      </w:r>
      <w:r w:rsidR="00802CBB" w:rsidRPr="00E52BC2">
        <w:rPr>
          <w:lang w:val="en-GB"/>
        </w:rPr>
        <w:t xml:space="preserve"> G</w:t>
      </w:r>
      <w:r w:rsidR="00C235E3" w:rsidRPr="00E52BC2">
        <w:rPr>
          <w:lang w:val="en-GB"/>
        </w:rPr>
        <w:t xml:space="preserve">ross </w:t>
      </w:r>
      <w:r w:rsidR="00802CBB" w:rsidRPr="00E52BC2">
        <w:rPr>
          <w:lang w:val="en-GB"/>
        </w:rPr>
        <w:t>D</w:t>
      </w:r>
      <w:r w:rsidR="00C235E3" w:rsidRPr="00E52BC2">
        <w:rPr>
          <w:lang w:val="en-GB"/>
        </w:rPr>
        <w:t xml:space="preserve">omestic </w:t>
      </w:r>
      <w:r w:rsidR="00802CBB" w:rsidRPr="00E52BC2">
        <w:rPr>
          <w:lang w:val="en-GB"/>
        </w:rPr>
        <w:t>P</w:t>
      </w:r>
      <w:r w:rsidR="00C235E3" w:rsidRPr="00E52BC2">
        <w:rPr>
          <w:lang w:val="en-GB"/>
        </w:rPr>
        <w:t>roduct</w:t>
      </w:r>
      <w:r w:rsidR="00802CBB" w:rsidRPr="00E52BC2">
        <w:rPr>
          <w:lang w:val="en-GB"/>
        </w:rPr>
        <w:t xml:space="preserve"> growth</w:t>
      </w:r>
      <w:r w:rsidR="00C235E3" w:rsidRPr="00E52BC2">
        <w:rPr>
          <w:lang w:val="en-GB"/>
        </w:rPr>
        <w:t>—</w:t>
      </w:r>
      <w:r w:rsidR="00802CBB" w:rsidRPr="00E52BC2">
        <w:rPr>
          <w:lang w:val="en-GB"/>
        </w:rPr>
        <w:t>select countries</w:t>
      </w:r>
      <w:r w:rsidR="002F4452" w:rsidRPr="00E52BC2">
        <w:rPr>
          <w:lang w:val="en-GB"/>
        </w:rPr>
        <w:t xml:space="preserve"> </w:t>
      </w:r>
    </w:p>
    <w:p w14:paraId="4B1E4F99" w14:textId="77777777" w:rsidR="00943066" w:rsidRDefault="00943066" w:rsidP="00460CDC">
      <w:pPr>
        <w:pStyle w:val="ExhibitHeading"/>
        <w:rPr>
          <w:lang w:val="en-GB"/>
        </w:rPr>
      </w:pPr>
    </w:p>
    <w:p w14:paraId="703FDDE8" w14:textId="7733B5D1" w:rsidR="00943066" w:rsidRDefault="00943066" w:rsidP="00460CDC">
      <w:pPr>
        <w:pStyle w:val="ExhibitHeading"/>
        <w:rPr>
          <w:lang w:val="en-GB"/>
        </w:rPr>
      </w:pPr>
      <w:r>
        <w:rPr>
          <w:noProof/>
        </w:rPr>
        <w:drawing>
          <wp:inline distT="0" distB="0" distL="0" distR="0" wp14:anchorId="5A125106" wp14:editId="127BE432">
            <wp:extent cx="3493458" cy="3316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hibit 2a.jpg"/>
                    <pic:cNvPicPr/>
                  </pic:nvPicPr>
                  <pic:blipFill>
                    <a:blip r:embed="rId12">
                      <a:extLst>
                        <a:ext uri="{28A0092B-C50C-407E-A947-70E740481C1C}">
                          <a14:useLocalDpi xmlns:a14="http://schemas.microsoft.com/office/drawing/2010/main" val="0"/>
                        </a:ext>
                      </a:extLst>
                    </a:blip>
                    <a:stretch>
                      <a:fillRect/>
                    </a:stretch>
                  </pic:blipFill>
                  <pic:spPr>
                    <a:xfrm>
                      <a:off x="0" y="0"/>
                      <a:ext cx="3515734" cy="3337319"/>
                    </a:xfrm>
                    <a:prstGeom prst="rect">
                      <a:avLst/>
                    </a:prstGeom>
                  </pic:spPr>
                </pic:pic>
              </a:graphicData>
            </a:graphic>
          </wp:inline>
        </w:drawing>
      </w:r>
    </w:p>
    <w:p w14:paraId="15D30CFD" w14:textId="77777777" w:rsidR="00943066" w:rsidRDefault="00943066" w:rsidP="00460CDC">
      <w:pPr>
        <w:pStyle w:val="ExhibitHeading"/>
        <w:rPr>
          <w:lang w:val="en-GB"/>
        </w:rPr>
      </w:pPr>
    </w:p>
    <w:p w14:paraId="56E67E21" w14:textId="0FBF618C" w:rsidR="004A1743" w:rsidRDefault="00943066" w:rsidP="00460CDC">
      <w:pPr>
        <w:pStyle w:val="ExhibitHeading"/>
        <w:rPr>
          <w:lang w:val="en-GB"/>
        </w:rPr>
      </w:pPr>
      <w:r>
        <w:rPr>
          <w:noProof/>
        </w:rPr>
        <w:drawing>
          <wp:inline distT="0" distB="0" distL="0" distR="0" wp14:anchorId="3C0DEEA2" wp14:editId="0E3B16EE">
            <wp:extent cx="3507475" cy="2826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hibit 2b.jpg"/>
                    <pic:cNvPicPr/>
                  </pic:nvPicPr>
                  <pic:blipFill>
                    <a:blip r:embed="rId13">
                      <a:grayscl/>
                      <a:extLst>
                        <a:ext uri="{28A0092B-C50C-407E-A947-70E740481C1C}">
                          <a14:useLocalDpi xmlns:a14="http://schemas.microsoft.com/office/drawing/2010/main" val="0"/>
                        </a:ext>
                      </a:extLst>
                    </a:blip>
                    <a:stretch>
                      <a:fillRect/>
                    </a:stretch>
                  </pic:blipFill>
                  <pic:spPr>
                    <a:xfrm>
                      <a:off x="0" y="0"/>
                      <a:ext cx="3524023" cy="2840303"/>
                    </a:xfrm>
                    <a:prstGeom prst="rect">
                      <a:avLst/>
                    </a:prstGeom>
                  </pic:spPr>
                </pic:pic>
              </a:graphicData>
            </a:graphic>
          </wp:inline>
        </w:drawing>
      </w:r>
    </w:p>
    <w:p w14:paraId="6ABCF0F9" w14:textId="5175459F" w:rsidR="00802CBB" w:rsidRPr="00E52BC2" w:rsidRDefault="00802CBB" w:rsidP="0082561E">
      <w:pPr>
        <w:pStyle w:val="ExhibitHeading"/>
        <w:rPr>
          <w:lang w:val="en-GB"/>
        </w:rPr>
      </w:pPr>
    </w:p>
    <w:p w14:paraId="6FCC48FB" w14:textId="5C55CC92" w:rsidR="00F92272" w:rsidRPr="00E52BC2" w:rsidRDefault="00F92272" w:rsidP="00460CDC">
      <w:pPr>
        <w:pStyle w:val="Footnote"/>
        <w:rPr>
          <w:lang w:val="en-GB"/>
        </w:rPr>
      </w:pPr>
      <w:r w:rsidRPr="00E52BC2">
        <w:rPr>
          <w:lang w:val="en-GB"/>
        </w:rPr>
        <w:t>Note: BRICS = Brazil, China, India, Russia</w:t>
      </w:r>
      <w:r w:rsidR="005A6660" w:rsidRPr="00E52BC2">
        <w:rPr>
          <w:lang w:val="en-GB"/>
        </w:rPr>
        <w:t>, and South Africa</w:t>
      </w:r>
      <w:r w:rsidRPr="00E52BC2">
        <w:rPr>
          <w:lang w:val="en-GB"/>
        </w:rPr>
        <w:t>; MINT = Mexico, Indonesia, Nigeria, and Turkey</w:t>
      </w:r>
    </w:p>
    <w:p w14:paraId="1037D26C" w14:textId="05B691E8" w:rsidR="001E1B94" w:rsidRPr="00E52BC2" w:rsidRDefault="00460CDC" w:rsidP="00252350">
      <w:pPr>
        <w:pStyle w:val="Footnote"/>
        <w:rPr>
          <w:lang w:val="en-GB"/>
        </w:rPr>
      </w:pPr>
      <w:r w:rsidRPr="00E52BC2">
        <w:rPr>
          <w:lang w:val="en-GB"/>
        </w:rPr>
        <w:t xml:space="preserve">Source: </w:t>
      </w:r>
      <w:r w:rsidR="00A90D11" w:rsidRPr="00E52BC2">
        <w:rPr>
          <w:lang w:val="en-GB"/>
        </w:rPr>
        <w:t>International Monetary Fund (IMF)</w:t>
      </w:r>
      <w:r w:rsidR="00E52BC2" w:rsidRPr="00E52BC2">
        <w:rPr>
          <w:lang w:val="en-GB"/>
        </w:rPr>
        <w:t>, “</w:t>
      </w:r>
      <w:r w:rsidR="00A90D11" w:rsidRPr="00E52BC2">
        <w:rPr>
          <w:lang w:val="en-GB"/>
        </w:rPr>
        <w:t xml:space="preserve">Uneven Growth, Short and Long Term Factors 2015”, </w:t>
      </w:r>
      <w:r w:rsidR="00A90D11" w:rsidRPr="00E52BC2">
        <w:rPr>
          <w:i/>
          <w:lang w:val="en-GB"/>
        </w:rPr>
        <w:t>World Economic Outlook (WEO) Update</w:t>
      </w:r>
      <w:r w:rsidR="00A90D11" w:rsidRPr="00E52BC2">
        <w:rPr>
          <w:lang w:val="en-GB"/>
        </w:rPr>
        <w:t xml:space="preserve">,” January 2015, accessed November 20, 2015, </w:t>
      </w:r>
      <w:r w:rsidR="00FD1E11">
        <w:rPr>
          <w:lang w:val="en-GB"/>
        </w:rPr>
        <w:t>www</w:t>
      </w:r>
      <w:r w:rsidR="00A90D11" w:rsidRPr="00E52BC2">
        <w:rPr>
          <w:lang w:val="en-GB"/>
        </w:rPr>
        <w:t xml:space="preserve">.imf.org/external/pubs/ft/weo/2015/01/. </w:t>
      </w:r>
    </w:p>
    <w:p w14:paraId="34881F43" w14:textId="1504A2CD" w:rsidR="00A90D11" w:rsidRPr="00E52BC2" w:rsidRDefault="00A90D11" w:rsidP="00252350">
      <w:pPr>
        <w:pStyle w:val="Footnote"/>
        <w:rPr>
          <w:b/>
          <w:lang w:val="en-GB"/>
        </w:rPr>
      </w:pPr>
    </w:p>
    <w:sectPr w:rsidR="00A90D11" w:rsidRPr="00E52BC2"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F29B4D" w16cid:durableId="1FBA2195"/>
  <w16cid:commentId w16cid:paraId="040101AC" w16cid:durableId="1FBA22F1"/>
  <w16cid:commentId w16cid:paraId="6A3461F1" w16cid:durableId="1FBA2376"/>
  <w16cid:commentId w16cid:paraId="677F6FA5" w16cid:durableId="1FBA290C"/>
  <w16cid:commentId w16cid:paraId="1D5881AE" w16cid:durableId="1FBA29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E0379" w14:textId="77777777" w:rsidR="0015642C" w:rsidRDefault="0015642C" w:rsidP="00D75295">
      <w:r>
        <w:separator/>
      </w:r>
    </w:p>
  </w:endnote>
  <w:endnote w:type="continuationSeparator" w:id="0">
    <w:p w14:paraId="29FB1C57" w14:textId="77777777" w:rsidR="0015642C" w:rsidRDefault="0015642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71BFD" w14:textId="77777777" w:rsidR="0015642C" w:rsidRDefault="0015642C" w:rsidP="00D75295">
      <w:r>
        <w:separator/>
      </w:r>
    </w:p>
  </w:footnote>
  <w:footnote w:type="continuationSeparator" w:id="0">
    <w:p w14:paraId="3E0C452C" w14:textId="77777777" w:rsidR="0015642C" w:rsidRDefault="0015642C" w:rsidP="00D75295">
      <w:r>
        <w:continuationSeparator/>
      </w:r>
    </w:p>
  </w:footnote>
  <w:footnote w:id="1">
    <w:p w14:paraId="544237FE" w14:textId="14F66D7E" w:rsidR="003A7FF7" w:rsidRPr="003A7FF7" w:rsidRDefault="003A7FF7">
      <w:pPr>
        <w:pStyle w:val="FootnoteText"/>
        <w:rPr>
          <w:rFonts w:ascii="Arial" w:hAnsi="Arial" w:cs="Arial"/>
          <w:sz w:val="17"/>
          <w:szCs w:val="17"/>
          <w:lang w:val="en-CA"/>
        </w:rPr>
      </w:pPr>
      <w:r w:rsidRPr="003A7FF7">
        <w:rPr>
          <w:rStyle w:val="FootnoteReference"/>
          <w:rFonts w:ascii="Arial" w:hAnsi="Arial" w:cs="Arial"/>
          <w:sz w:val="17"/>
          <w:szCs w:val="17"/>
        </w:rPr>
        <w:footnoteRef/>
      </w:r>
      <w:r w:rsidRPr="003A7FF7">
        <w:rPr>
          <w:rFonts w:ascii="Arial" w:hAnsi="Arial" w:cs="Arial"/>
          <w:sz w:val="17"/>
          <w:szCs w:val="17"/>
        </w:rPr>
        <w:t xml:space="preserve"> </w:t>
      </w:r>
      <w:r w:rsidRPr="003A7FF7">
        <w:rPr>
          <w:rFonts w:ascii="Arial" w:hAnsi="Arial" w:cs="Arial"/>
          <w:sz w:val="17"/>
          <w:szCs w:val="17"/>
          <w:lang w:val="en-CA"/>
        </w:rPr>
        <w:t>All currency amounts are in US$ unless otherwise specified.</w:t>
      </w:r>
    </w:p>
  </w:footnote>
  <w:footnote w:id="2">
    <w:p w14:paraId="6C8934F7" w14:textId="3DE3C93B" w:rsidR="00BA4F5A" w:rsidRPr="00965D47" w:rsidRDefault="00BA4F5A" w:rsidP="00460CDC">
      <w:pPr>
        <w:pStyle w:val="Footnote"/>
      </w:pPr>
      <w:r w:rsidRPr="00965D47">
        <w:rPr>
          <w:rStyle w:val="FootnoteReference"/>
        </w:rPr>
        <w:footnoteRef/>
      </w:r>
      <w:r w:rsidR="00E52BC2">
        <w:t> </w:t>
      </w:r>
      <w:r w:rsidR="002E7877">
        <w:t xml:space="preserve">The </w:t>
      </w:r>
      <w:r w:rsidRPr="00965D47">
        <w:t xml:space="preserve">World Bank, </w:t>
      </w:r>
      <w:r w:rsidRPr="00252350">
        <w:rPr>
          <w:i/>
        </w:rPr>
        <w:t>World Development Report</w:t>
      </w:r>
      <w:r w:rsidR="002E7877">
        <w:rPr>
          <w:i/>
        </w:rPr>
        <w:t>: Governance and the Law</w:t>
      </w:r>
      <w:r w:rsidRPr="00965D47">
        <w:t xml:space="preserve">, 2017, accessed March 2017, </w:t>
      </w:r>
      <w:r w:rsidRPr="00460CDC">
        <w:t>www.worldbank.org/en/publication/wdr2017</w:t>
      </w:r>
      <w:r w:rsidRPr="00965D47">
        <w:t xml:space="preserve">. </w:t>
      </w:r>
    </w:p>
  </w:footnote>
  <w:footnote w:id="3">
    <w:p w14:paraId="5D1F24F1" w14:textId="04E5804E" w:rsidR="00BA4F5A" w:rsidRPr="00965D47" w:rsidRDefault="00BA4F5A" w:rsidP="00460CDC">
      <w:pPr>
        <w:pStyle w:val="Footnote"/>
      </w:pPr>
      <w:r w:rsidRPr="00965D47">
        <w:rPr>
          <w:rStyle w:val="FootnoteReference"/>
        </w:rPr>
        <w:footnoteRef/>
      </w:r>
      <w:r w:rsidRPr="00965D47">
        <w:t xml:space="preserve"> Jim O’Neill, </w:t>
      </w:r>
      <w:r w:rsidRPr="00965D47">
        <w:rPr>
          <w:i/>
        </w:rPr>
        <w:t>The Growth Map (</w:t>
      </w:r>
      <w:r w:rsidRPr="00965D47">
        <w:t>London</w:t>
      </w:r>
      <w:r w:rsidR="00271C62">
        <w:t>, UK</w:t>
      </w:r>
      <w:r w:rsidRPr="00965D47">
        <w:t>: Penguin, 2011)</w:t>
      </w:r>
      <w:r w:rsidR="00460CDC">
        <w:t>.</w:t>
      </w:r>
    </w:p>
  </w:footnote>
  <w:footnote w:id="4">
    <w:p w14:paraId="3B44E37A" w14:textId="377D7E09" w:rsidR="00965D47" w:rsidRPr="00965D47" w:rsidRDefault="00965D47" w:rsidP="00460CDC">
      <w:pPr>
        <w:pStyle w:val="Footnote"/>
      </w:pPr>
      <w:r w:rsidRPr="00965D47">
        <w:rPr>
          <w:rStyle w:val="FootnoteReference"/>
        </w:rPr>
        <w:footnoteRef/>
      </w:r>
      <w:r w:rsidRPr="00965D47">
        <w:t xml:space="preserve"> Erik J. Zurcher, </w:t>
      </w:r>
      <w:r w:rsidRPr="00965D47">
        <w:rPr>
          <w:i/>
        </w:rPr>
        <w:t>A History of Modern Turkey</w:t>
      </w:r>
      <w:r w:rsidRPr="00965D47">
        <w:t xml:space="preserve"> (London</w:t>
      </w:r>
      <w:r w:rsidR="00271C62">
        <w:t>, UK</w:t>
      </w:r>
      <w:r w:rsidRPr="00965D47">
        <w:t>: I B Tauris, 2004)</w:t>
      </w:r>
      <w:r w:rsidR="00460CDC">
        <w:t>.</w:t>
      </w:r>
    </w:p>
  </w:footnote>
  <w:footnote w:id="5">
    <w:p w14:paraId="789C634A" w14:textId="0D680E4B" w:rsidR="00965D47" w:rsidRPr="00965D47" w:rsidRDefault="00965D47" w:rsidP="00460CDC">
      <w:pPr>
        <w:pStyle w:val="Footnote"/>
        <w:rPr>
          <w:iCs/>
          <w:color w:val="000000"/>
          <w:sz w:val="24"/>
          <w:szCs w:val="24"/>
        </w:rPr>
      </w:pPr>
      <w:r w:rsidRPr="00965D47">
        <w:rPr>
          <w:rStyle w:val="FootnoteReference"/>
        </w:rPr>
        <w:footnoteRef/>
      </w:r>
      <w:r w:rsidRPr="00965D47">
        <w:t xml:space="preserve"> Faruk </w:t>
      </w:r>
      <w:r w:rsidRPr="00965D47">
        <w:rPr>
          <w:iCs/>
          <w:color w:val="000000"/>
        </w:rPr>
        <w:t xml:space="preserve">Selcuk, Libby Rittenberg, and Aykut Kibritcioglu, </w:t>
      </w:r>
      <w:r w:rsidRPr="00965D47">
        <w:rPr>
          <w:i/>
          <w:iCs/>
          <w:color w:val="000000"/>
        </w:rPr>
        <w:t>Inflation and Disinflation in Turkey (</w:t>
      </w:r>
      <w:r w:rsidRPr="00965D47">
        <w:rPr>
          <w:iCs/>
          <w:color w:val="000000"/>
        </w:rPr>
        <w:t>London</w:t>
      </w:r>
      <w:r w:rsidR="00271C62">
        <w:rPr>
          <w:iCs/>
          <w:color w:val="000000"/>
        </w:rPr>
        <w:t>, UK</w:t>
      </w:r>
      <w:r w:rsidRPr="00965D47">
        <w:rPr>
          <w:iCs/>
          <w:color w:val="000000"/>
        </w:rPr>
        <w:t>: Routledge, 2002)</w:t>
      </w:r>
      <w:r w:rsidR="00460CDC">
        <w:rPr>
          <w:iCs/>
          <w:color w:val="000000"/>
        </w:rPr>
        <w:t>.</w:t>
      </w:r>
    </w:p>
  </w:footnote>
  <w:footnote w:id="6">
    <w:p w14:paraId="24DB5AA7" w14:textId="6B1E8884" w:rsidR="00965D47" w:rsidRPr="000E21F9" w:rsidRDefault="00965D47" w:rsidP="000E21F9">
      <w:pPr>
        <w:pStyle w:val="Footnote"/>
        <w:rPr>
          <w:spacing w:val="-6"/>
          <w:kern w:val="17"/>
        </w:rPr>
      </w:pPr>
      <w:r w:rsidRPr="000E21F9">
        <w:rPr>
          <w:rStyle w:val="FootnoteReference"/>
          <w:spacing w:val="-6"/>
          <w:kern w:val="17"/>
        </w:rPr>
        <w:footnoteRef/>
      </w:r>
      <w:r w:rsidRPr="000E21F9">
        <w:rPr>
          <w:spacing w:val="-6"/>
          <w:kern w:val="17"/>
        </w:rPr>
        <w:t xml:space="preserve"> Sevket Pamuk, Globalization, Industrialization, and Changing Politics in Turkey (Cambridge</w:t>
      </w:r>
      <w:r w:rsidR="00271C62" w:rsidRPr="000E21F9">
        <w:rPr>
          <w:spacing w:val="-6"/>
          <w:kern w:val="17"/>
        </w:rPr>
        <w:t>, UK</w:t>
      </w:r>
      <w:r w:rsidRPr="000E21F9">
        <w:rPr>
          <w:spacing w:val="-6"/>
          <w:kern w:val="17"/>
        </w:rPr>
        <w:t>: Cambridge University Press, 2008)</w:t>
      </w:r>
      <w:r w:rsidR="007826BA" w:rsidRPr="000E21F9">
        <w:rPr>
          <w:spacing w:val="-6"/>
          <w:kern w:val="17"/>
        </w:rPr>
        <w:t>.</w:t>
      </w:r>
    </w:p>
  </w:footnote>
  <w:footnote w:id="7">
    <w:p w14:paraId="301BB8C6" w14:textId="6C442445" w:rsidR="00965D47" w:rsidRPr="00BA554E" w:rsidRDefault="00965D47" w:rsidP="00460CDC">
      <w:pPr>
        <w:pStyle w:val="Footnote"/>
      </w:pPr>
      <w:r w:rsidRPr="00BA554E">
        <w:rPr>
          <w:rStyle w:val="FootnoteReference"/>
        </w:rPr>
        <w:footnoteRef/>
      </w:r>
      <w:r w:rsidRPr="00BA554E">
        <w:t xml:space="preserve"> Faruk Selcuk, Libby Rittenberg, and Aykut Kibritcioglu, </w:t>
      </w:r>
      <w:r w:rsidRPr="00BA554E">
        <w:rPr>
          <w:i/>
        </w:rPr>
        <w:t>Inflation and Disinflation in Turkey (</w:t>
      </w:r>
      <w:r w:rsidRPr="00BA554E">
        <w:t>London</w:t>
      </w:r>
      <w:r w:rsidR="00271C62">
        <w:t>, UK</w:t>
      </w:r>
      <w:r w:rsidRPr="00BA554E">
        <w:t>: Routledge, 2002)</w:t>
      </w:r>
      <w:r w:rsidR="00460CDC">
        <w:t>.</w:t>
      </w:r>
    </w:p>
  </w:footnote>
  <w:footnote w:id="8">
    <w:p w14:paraId="041E2158" w14:textId="7D206501" w:rsidR="00BA554E" w:rsidRPr="00460CDC" w:rsidRDefault="00BA554E"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Human Rights Watch, “Turkey: Events of 2017</w:t>
      </w:r>
      <w:r w:rsidR="00DC7754">
        <w:rPr>
          <w:color w:val="000000" w:themeColor="text1"/>
        </w:rPr>
        <w:t>,</w:t>
      </w:r>
      <w:r w:rsidRPr="00460CDC">
        <w:rPr>
          <w:color w:val="000000" w:themeColor="text1"/>
        </w:rPr>
        <w:t xml:space="preserve">” </w:t>
      </w:r>
      <w:r w:rsidRPr="00460CDC">
        <w:rPr>
          <w:i/>
          <w:color w:val="000000" w:themeColor="text1"/>
        </w:rPr>
        <w:t>Reuters</w:t>
      </w:r>
      <w:r w:rsidRPr="00460CDC">
        <w:rPr>
          <w:color w:val="000000" w:themeColor="text1"/>
        </w:rPr>
        <w:t>, accessed March 2017</w:t>
      </w:r>
      <w:r w:rsidR="00DC7754">
        <w:rPr>
          <w:color w:val="000000" w:themeColor="text1"/>
        </w:rPr>
        <w:t>,</w:t>
      </w:r>
      <w:r w:rsidRPr="00460CDC">
        <w:rPr>
          <w:color w:val="000000" w:themeColor="text1"/>
        </w:rPr>
        <w:t xml:space="preserve"> </w:t>
      </w:r>
      <w:hyperlink r:id="rId1" w:history="1">
        <w:r w:rsidR="00FD1E11">
          <w:rPr>
            <w:rStyle w:val="Hyperlink"/>
            <w:color w:val="000000" w:themeColor="text1"/>
            <w:u w:val="none"/>
          </w:rPr>
          <w:t>www</w:t>
        </w:r>
        <w:r w:rsidRPr="00460CDC">
          <w:rPr>
            <w:rStyle w:val="Hyperlink"/>
            <w:color w:val="000000" w:themeColor="text1"/>
            <w:u w:val="none"/>
          </w:rPr>
          <w:t>.hrw.org/world-report/2018/country-chapters/turkey</w:t>
        </w:r>
      </w:hyperlink>
      <w:r w:rsidRPr="00460CDC">
        <w:rPr>
          <w:color w:val="000000" w:themeColor="text1"/>
        </w:rPr>
        <w:t xml:space="preserve">. </w:t>
      </w:r>
    </w:p>
  </w:footnote>
  <w:footnote w:id="9">
    <w:p w14:paraId="2BD6A211" w14:textId="1D1AE602" w:rsidR="00BA554E" w:rsidRPr="000E21F9" w:rsidRDefault="00BA554E" w:rsidP="00FD1E11">
      <w:pPr>
        <w:pStyle w:val="Footnote"/>
        <w:rPr>
          <w:color w:val="000000" w:themeColor="text1"/>
          <w:spacing w:val="-10"/>
          <w:kern w:val="17"/>
        </w:rPr>
      </w:pPr>
      <w:r w:rsidRPr="000E21F9">
        <w:rPr>
          <w:rStyle w:val="FootnoteReference"/>
          <w:color w:val="000000" w:themeColor="text1"/>
        </w:rPr>
        <w:footnoteRef/>
      </w:r>
      <w:r w:rsidR="000E21F9" w:rsidRPr="000E21F9">
        <w:rPr>
          <w:color w:val="000000" w:themeColor="text1"/>
        </w:rPr>
        <w:t> World Justice Project Reports, 2015, accessed March </w:t>
      </w:r>
      <w:r w:rsidRPr="000E21F9">
        <w:rPr>
          <w:color w:val="000000" w:themeColor="text1"/>
        </w:rPr>
        <w:t>2017,</w:t>
      </w:r>
      <w:r w:rsidR="000E21F9" w:rsidRPr="000E21F9">
        <w:rPr>
          <w:color w:val="000000" w:themeColor="text1"/>
        </w:rPr>
        <w:t> </w:t>
      </w:r>
      <w:hyperlink r:id="rId2" w:history="1">
        <w:r w:rsidRPr="000E21F9">
          <w:rPr>
            <w:rStyle w:val="Hyperlink"/>
            <w:color w:val="000000" w:themeColor="text1"/>
            <w:u w:val="none"/>
          </w:rPr>
          <w:t>https://worldjusticeproject.org/our-work/publications/world-justice-project-reports</w:t>
        </w:r>
      </w:hyperlink>
      <w:r w:rsidRPr="000E21F9">
        <w:rPr>
          <w:color w:val="000000" w:themeColor="text1"/>
          <w:spacing w:val="-10"/>
          <w:kern w:val="17"/>
        </w:rPr>
        <w:t xml:space="preserve">. </w:t>
      </w:r>
    </w:p>
  </w:footnote>
  <w:footnote w:id="10">
    <w:p w14:paraId="4B95E3F7" w14:textId="77B19427" w:rsidR="00BA554E" w:rsidRPr="00460CDC" w:rsidRDefault="00BA554E" w:rsidP="00FD1E11">
      <w:pPr>
        <w:pStyle w:val="Footnote"/>
        <w:rPr>
          <w:color w:val="000000" w:themeColor="text1"/>
        </w:rPr>
      </w:pPr>
      <w:r w:rsidRPr="00460CDC">
        <w:rPr>
          <w:rStyle w:val="FootnoteReference"/>
          <w:color w:val="000000" w:themeColor="text1"/>
        </w:rPr>
        <w:footnoteRef/>
      </w:r>
      <w:r w:rsidR="00E52BC2">
        <w:rPr>
          <w:color w:val="000000" w:themeColor="text1"/>
        </w:rPr>
        <w:t> </w:t>
      </w:r>
      <w:r w:rsidR="000E21F9">
        <w:rPr>
          <w:color w:val="000000" w:themeColor="text1"/>
        </w:rPr>
        <w:t>The World Bank </w:t>
      </w:r>
      <w:r w:rsidRPr="00460CDC">
        <w:rPr>
          <w:color w:val="000000" w:themeColor="text1"/>
        </w:rPr>
        <w:t>Group,</w:t>
      </w:r>
      <w:r w:rsidR="000E21F9">
        <w:rPr>
          <w:color w:val="000000" w:themeColor="text1"/>
        </w:rPr>
        <w:t> </w:t>
      </w:r>
      <w:r w:rsidR="000E21F9">
        <w:rPr>
          <w:i/>
          <w:color w:val="000000" w:themeColor="text1"/>
        </w:rPr>
        <w:t>Doing Business 2018: Reforming to Create </w:t>
      </w:r>
      <w:r w:rsidRPr="00252350">
        <w:rPr>
          <w:i/>
          <w:color w:val="000000" w:themeColor="text1"/>
        </w:rPr>
        <w:t>Jobs</w:t>
      </w:r>
      <w:r w:rsidR="000E21F9">
        <w:rPr>
          <w:color w:val="000000" w:themeColor="text1"/>
        </w:rPr>
        <w:t>, accessed 2018, </w:t>
      </w:r>
      <w:r w:rsidRPr="00460CDC">
        <w:rPr>
          <w:color w:val="000000" w:themeColor="text1"/>
        </w:rPr>
        <w:t>www.doingbusiness.org/content/dam/doingBusiness/media/Annual-Reports/English/DB2018-Full-Report.pdf.</w:t>
      </w:r>
    </w:p>
  </w:footnote>
  <w:footnote w:id="11">
    <w:p w14:paraId="4EDDE20F" w14:textId="21602D29" w:rsidR="00BA554E" w:rsidRPr="00460CDC" w:rsidRDefault="00BA554E"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Erik J. Zurcher, </w:t>
      </w:r>
      <w:r w:rsidR="00DC7754" w:rsidRPr="00252350">
        <w:rPr>
          <w:color w:val="000000" w:themeColor="text1"/>
        </w:rPr>
        <w:t>op. cit.</w:t>
      </w:r>
    </w:p>
  </w:footnote>
  <w:footnote w:id="12">
    <w:p w14:paraId="27D4A913" w14:textId="494C43FD" w:rsidR="00BA554E" w:rsidRPr="00460CDC" w:rsidRDefault="00BA554E"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Asli </w:t>
      </w:r>
      <w:r w:rsidR="005E3850" w:rsidRPr="00460CDC">
        <w:rPr>
          <w:color w:val="000000" w:themeColor="text1"/>
        </w:rPr>
        <w:t>M.</w:t>
      </w:r>
      <w:r w:rsidRPr="00460CDC">
        <w:rPr>
          <w:color w:val="000000" w:themeColor="text1"/>
        </w:rPr>
        <w:t xml:space="preserve">Coplan, </w:t>
      </w:r>
      <w:r w:rsidR="005E3850" w:rsidRPr="00460CDC">
        <w:rPr>
          <w:color w:val="000000" w:themeColor="text1"/>
        </w:rPr>
        <w:t>“</w:t>
      </w:r>
      <w:r w:rsidRPr="00460CDC">
        <w:rPr>
          <w:color w:val="000000" w:themeColor="text1"/>
        </w:rPr>
        <w:t>Turkish Business Groups</w:t>
      </w:r>
      <w:r w:rsidR="00DC7754">
        <w:rPr>
          <w:color w:val="000000" w:themeColor="text1"/>
        </w:rPr>
        <w:t>,</w:t>
      </w:r>
      <w:r w:rsidR="005E3850" w:rsidRPr="00460CDC">
        <w:rPr>
          <w:i/>
          <w:color w:val="000000" w:themeColor="text1"/>
        </w:rPr>
        <w:t>”</w:t>
      </w:r>
      <w:r w:rsidR="005E3850" w:rsidRPr="00460CDC">
        <w:rPr>
          <w:color w:val="000000" w:themeColor="text1"/>
        </w:rPr>
        <w:t xml:space="preserve"> in Asli M. Colpan, Takashi Hikino, and James R. Lincoln, </w:t>
      </w:r>
      <w:r w:rsidRPr="00460CDC">
        <w:rPr>
          <w:i/>
          <w:color w:val="000000" w:themeColor="text1"/>
        </w:rPr>
        <w:t>Handbook of Business Groups</w:t>
      </w:r>
      <w:r w:rsidRPr="00460CDC">
        <w:rPr>
          <w:color w:val="000000" w:themeColor="text1"/>
        </w:rPr>
        <w:t xml:space="preserve"> </w:t>
      </w:r>
      <w:r w:rsidR="005E3850" w:rsidRPr="00460CDC">
        <w:rPr>
          <w:color w:val="000000" w:themeColor="text1"/>
        </w:rPr>
        <w:t>(</w:t>
      </w:r>
      <w:r w:rsidRPr="00460CDC">
        <w:rPr>
          <w:color w:val="000000" w:themeColor="text1"/>
        </w:rPr>
        <w:t>Ox</w:t>
      </w:r>
      <w:r w:rsidR="005E3850" w:rsidRPr="00460CDC">
        <w:rPr>
          <w:color w:val="000000" w:themeColor="text1"/>
        </w:rPr>
        <w:t>ford</w:t>
      </w:r>
      <w:r w:rsidR="0019418C">
        <w:rPr>
          <w:color w:val="000000" w:themeColor="text1"/>
        </w:rPr>
        <w:t>, UK</w:t>
      </w:r>
      <w:r w:rsidR="005E3850" w:rsidRPr="00460CDC">
        <w:rPr>
          <w:color w:val="000000" w:themeColor="text1"/>
        </w:rPr>
        <w:t>: Oxford University Press, 2010)</w:t>
      </w:r>
      <w:r w:rsidR="00DC7754">
        <w:rPr>
          <w:color w:val="000000" w:themeColor="text1"/>
        </w:rPr>
        <w:t>.</w:t>
      </w:r>
      <w:r w:rsidRPr="00460CDC">
        <w:rPr>
          <w:color w:val="000000" w:themeColor="text1"/>
        </w:rPr>
        <w:t xml:space="preserve"> </w:t>
      </w:r>
    </w:p>
  </w:footnote>
  <w:footnote w:id="13">
    <w:p w14:paraId="3E7F28B5" w14:textId="4B40C227" w:rsidR="005E3850" w:rsidRPr="00460CDC" w:rsidRDefault="005E3850"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Tarun Khanna and Krishna G Palepu, “The </w:t>
      </w:r>
      <w:r w:rsidR="00A07D69">
        <w:rPr>
          <w:color w:val="000000" w:themeColor="text1"/>
        </w:rPr>
        <w:t>F</w:t>
      </w:r>
      <w:r w:rsidRPr="00460CDC">
        <w:rPr>
          <w:color w:val="000000" w:themeColor="text1"/>
        </w:rPr>
        <w:t xml:space="preserve">uture of </w:t>
      </w:r>
      <w:r w:rsidR="00A07D69">
        <w:rPr>
          <w:color w:val="000000" w:themeColor="text1"/>
        </w:rPr>
        <w:t>B</w:t>
      </w:r>
      <w:r w:rsidRPr="00460CDC">
        <w:rPr>
          <w:color w:val="000000" w:themeColor="text1"/>
        </w:rPr>
        <w:t xml:space="preserve">usiness </w:t>
      </w:r>
      <w:r w:rsidR="00A07D69">
        <w:rPr>
          <w:color w:val="000000" w:themeColor="text1"/>
        </w:rPr>
        <w:t>G</w:t>
      </w:r>
      <w:r w:rsidRPr="00460CDC">
        <w:rPr>
          <w:color w:val="000000" w:themeColor="text1"/>
        </w:rPr>
        <w:t xml:space="preserve">roups in </w:t>
      </w:r>
      <w:r w:rsidR="00A07D69">
        <w:rPr>
          <w:color w:val="000000" w:themeColor="text1"/>
        </w:rPr>
        <w:t>E</w:t>
      </w:r>
      <w:r w:rsidRPr="00460CDC">
        <w:rPr>
          <w:color w:val="000000" w:themeColor="text1"/>
        </w:rPr>
        <w:t xml:space="preserve">merging </w:t>
      </w:r>
      <w:r w:rsidR="00A07D69">
        <w:rPr>
          <w:color w:val="000000" w:themeColor="text1"/>
        </w:rPr>
        <w:t>M</w:t>
      </w:r>
      <w:r w:rsidRPr="00460CDC">
        <w:rPr>
          <w:color w:val="000000" w:themeColor="text1"/>
        </w:rPr>
        <w:t>arkets: Long</w:t>
      </w:r>
      <w:r w:rsidR="002E7877">
        <w:rPr>
          <w:color w:val="000000" w:themeColor="text1"/>
        </w:rPr>
        <w:t>-</w:t>
      </w:r>
      <w:r w:rsidR="00A07D69">
        <w:rPr>
          <w:color w:val="000000" w:themeColor="text1"/>
        </w:rPr>
        <w:t>R</w:t>
      </w:r>
      <w:r w:rsidRPr="00460CDC">
        <w:rPr>
          <w:color w:val="000000" w:themeColor="text1"/>
        </w:rPr>
        <w:t xml:space="preserve">un </w:t>
      </w:r>
      <w:r w:rsidR="00A07D69">
        <w:rPr>
          <w:color w:val="000000" w:themeColor="text1"/>
        </w:rPr>
        <w:t>E</w:t>
      </w:r>
      <w:r w:rsidRPr="00460CDC">
        <w:rPr>
          <w:color w:val="000000" w:themeColor="text1"/>
        </w:rPr>
        <w:t xml:space="preserve">vidence from Chile,” </w:t>
      </w:r>
      <w:r w:rsidRPr="00460CDC">
        <w:rPr>
          <w:i/>
          <w:color w:val="000000" w:themeColor="text1"/>
        </w:rPr>
        <w:t>Academy of Management Journal</w:t>
      </w:r>
      <w:r w:rsidRPr="00460CDC">
        <w:rPr>
          <w:color w:val="000000" w:themeColor="text1"/>
        </w:rPr>
        <w:t>, 43 (2000), 268</w:t>
      </w:r>
      <w:r w:rsidR="00A07D69">
        <w:rPr>
          <w:color w:val="000000" w:themeColor="text1"/>
        </w:rPr>
        <w:t>–</w:t>
      </w:r>
      <w:r w:rsidRPr="00460CDC">
        <w:rPr>
          <w:color w:val="000000" w:themeColor="text1"/>
        </w:rPr>
        <w:t>285.</w:t>
      </w:r>
    </w:p>
  </w:footnote>
  <w:footnote w:id="14">
    <w:p w14:paraId="3AD7C172" w14:textId="0E690FBD" w:rsidR="005E3850" w:rsidRPr="00460CDC" w:rsidRDefault="005E3850"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Michael Carney, Marc van Essen, Saul Estrin, and Daniel Shapiro, “Business Groups Reconsidered: Beyond Paragons and Parasites,” </w:t>
      </w:r>
      <w:r w:rsidRPr="00460CDC">
        <w:rPr>
          <w:i/>
          <w:color w:val="000000" w:themeColor="text1"/>
        </w:rPr>
        <w:t>Academy of Management Perspectives</w:t>
      </w:r>
      <w:r w:rsidRPr="00460CDC">
        <w:rPr>
          <w:color w:val="000000" w:themeColor="text1"/>
        </w:rPr>
        <w:t xml:space="preserve"> (</w:t>
      </w:r>
      <w:r w:rsidR="00F4582F">
        <w:rPr>
          <w:color w:val="000000" w:themeColor="text1"/>
        </w:rPr>
        <w:t>forthcoming</w:t>
      </w:r>
      <w:r w:rsidRPr="00460CDC">
        <w:rPr>
          <w:color w:val="000000" w:themeColor="text1"/>
        </w:rPr>
        <w:t>).</w:t>
      </w:r>
    </w:p>
  </w:footnote>
  <w:footnote w:id="15">
    <w:p w14:paraId="6A2981F0" w14:textId="52FA3BC9" w:rsidR="00A0698D" w:rsidRPr="00460CDC" w:rsidRDefault="00A0698D" w:rsidP="00FD1E11">
      <w:pPr>
        <w:pStyle w:val="Footnote"/>
        <w:rPr>
          <w:color w:val="000000" w:themeColor="text1"/>
        </w:rPr>
      </w:pPr>
      <w:r w:rsidRPr="00460CDC">
        <w:rPr>
          <w:rStyle w:val="FootnoteReference"/>
          <w:color w:val="000000" w:themeColor="text1"/>
        </w:rPr>
        <w:footnoteRef/>
      </w:r>
      <w:r w:rsidRPr="00460CDC">
        <w:rPr>
          <w:color w:val="000000" w:themeColor="text1"/>
        </w:rPr>
        <w:t xml:space="preserve"> </w:t>
      </w:r>
      <w:r w:rsidR="00410AEA">
        <w:rPr>
          <w:color w:val="000000" w:themeColor="text1"/>
        </w:rP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413A5B1"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1E11">
      <w:rPr>
        <w:rFonts w:ascii="Arial" w:hAnsi="Arial"/>
        <w:b/>
        <w:noProof/>
      </w:rPr>
      <w:t>5</w:t>
    </w:r>
    <w:r>
      <w:rPr>
        <w:rFonts w:ascii="Arial" w:hAnsi="Arial"/>
        <w:b/>
      </w:rPr>
      <w:fldChar w:fldCharType="end"/>
    </w:r>
    <w:r>
      <w:rPr>
        <w:rFonts w:ascii="Arial" w:hAnsi="Arial"/>
        <w:b/>
      </w:rPr>
      <w:tab/>
    </w:r>
    <w:r w:rsidR="000E21F9">
      <w:rPr>
        <w:rFonts w:ascii="Arial" w:hAnsi="Arial"/>
        <w:b/>
      </w:rPr>
      <w:t>9B18M192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0"/>
    <w:docVar w:name="85TrailerDateField" w:val="0"/>
    <w:docVar w:name="85TrailerDraft" w:val="0"/>
    <w:docVar w:name="85TrailerTime" w:val="0"/>
    <w:docVar w:name="85TrailerType" w:val="102"/>
    <w:docVar w:name="MPDocID" w:val="Yildiz NOTEsekn.docx"/>
    <w:docVar w:name="MPDocIDTemplateDefault" w:val="|%c\|%m\|%n|.%v"/>
    <w:docVar w:name="NewDocStampType" w:val="7"/>
  </w:docVars>
  <w:rsids>
    <w:rsidRoot w:val="008A4DC4"/>
    <w:rsid w:val="0000085A"/>
    <w:rsid w:val="00013360"/>
    <w:rsid w:val="00016759"/>
    <w:rsid w:val="000216CE"/>
    <w:rsid w:val="00024ED4"/>
    <w:rsid w:val="00025DC7"/>
    <w:rsid w:val="00035F09"/>
    <w:rsid w:val="00044ECC"/>
    <w:rsid w:val="000531D3"/>
    <w:rsid w:val="00056099"/>
    <w:rsid w:val="0005646B"/>
    <w:rsid w:val="00063256"/>
    <w:rsid w:val="0008100B"/>
    <w:rsid w:val="0008102D"/>
    <w:rsid w:val="00086B26"/>
    <w:rsid w:val="00094C0E"/>
    <w:rsid w:val="000A146D"/>
    <w:rsid w:val="000D05FD"/>
    <w:rsid w:val="000D2A2F"/>
    <w:rsid w:val="000D7091"/>
    <w:rsid w:val="000E21F9"/>
    <w:rsid w:val="000F0C22"/>
    <w:rsid w:val="000F6B09"/>
    <w:rsid w:val="000F6FDC"/>
    <w:rsid w:val="00101246"/>
    <w:rsid w:val="00104567"/>
    <w:rsid w:val="00104916"/>
    <w:rsid w:val="00104AA7"/>
    <w:rsid w:val="001072FE"/>
    <w:rsid w:val="0012732D"/>
    <w:rsid w:val="00137DA6"/>
    <w:rsid w:val="00143F25"/>
    <w:rsid w:val="00152682"/>
    <w:rsid w:val="00154FC9"/>
    <w:rsid w:val="0015642C"/>
    <w:rsid w:val="0019241A"/>
    <w:rsid w:val="00192A18"/>
    <w:rsid w:val="0019418C"/>
    <w:rsid w:val="001A22D1"/>
    <w:rsid w:val="001A752D"/>
    <w:rsid w:val="001A757E"/>
    <w:rsid w:val="001B5032"/>
    <w:rsid w:val="001C1DDC"/>
    <w:rsid w:val="001C7777"/>
    <w:rsid w:val="001D344B"/>
    <w:rsid w:val="001E1B94"/>
    <w:rsid w:val="001E364F"/>
    <w:rsid w:val="001F4222"/>
    <w:rsid w:val="00203AA1"/>
    <w:rsid w:val="00213E98"/>
    <w:rsid w:val="00230150"/>
    <w:rsid w:val="0023081A"/>
    <w:rsid w:val="00233111"/>
    <w:rsid w:val="00252350"/>
    <w:rsid w:val="00265FA8"/>
    <w:rsid w:val="00271C62"/>
    <w:rsid w:val="00291719"/>
    <w:rsid w:val="0029730E"/>
    <w:rsid w:val="002C4E29"/>
    <w:rsid w:val="002E7877"/>
    <w:rsid w:val="002F4452"/>
    <w:rsid w:val="002F460C"/>
    <w:rsid w:val="002F48D6"/>
    <w:rsid w:val="003064E4"/>
    <w:rsid w:val="00317391"/>
    <w:rsid w:val="003175B7"/>
    <w:rsid w:val="00326216"/>
    <w:rsid w:val="00336580"/>
    <w:rsid w:val="00354899"/>
    <w:rsid w:val="00355FD6"/>
    <w:rsid w:val="00356217"/>
    <w:rsid w:val="00364A5C"/>
    <w:rsid w:val="00373FB1"/>
    <w:rsid w:val="00396C76"/>
    <w:rsid w:val="003A7FF7"/>
    <w:rsid w:val="003B30D8"/>
    <w:rsid w:val="003B528C"/>
    <w:rsid w:val="003B7EF2"/>
    <w:rsid w:val="003C3FA4"/>
    <w:rsid w:val="003D0BA1"/>
    <w:rsid w:val="003D3AF4"/>
    <w:rsid w:val="003E4B28"/>
    <w:rsid w:val="003F2B0C"/>
    <w:rsid w:val="004105B2"/>
    <w:rsid w:val="00410AEA"/>
    <w:rsid w:val="0041145A"/>
    <w:rsid w:val="00412900"/>
    <w:rsid w:val="004221E4"/>
    <w:rsid w:val="004273F8"/>
    <w:rsid w:val="004355A3"/>
    <w:rsid w:val="00446546"/>
    <w:rsid w:val="00452769"/>
    <w:rsid w:val="00454FA7"/>
    <w:rsid w:val="00460CDC"/>
    <w:rsid w:val="004651F4"/>
    <w:rsid w:val="00465348"/>
    <w:rsid w:val="004915D9"/>
    <w:rsid w:val="004979A5"/>
    <w:rsid w:val="004A1743"/>
    <w:rsid w:val="004A25E0"/>
    <w:rsid w:val="004A4430"/>
    <w:rsid w:val="004B1CCB"/>
    <w:rsid w:val="004B632F"/>
    <w:rsid w:val="004D3FB1"/>
    <w:rsid w:val="004D6F21"/>
    <w:rsid w:val="004D73A5"/>
    <w:rsid w:val="005160F1"/>
    <w:rsid w:val="00524F2F"/>
    <w:rsid w:val="00527E5C"/>
    <w:rsid w:val="00532CF5"/>
    <w:rsid w:val="005528CB"/>
    <w:rsid w:val="00557CD1"/>
    <w:rsid w:val="00566771"/>
    <w:rsid w:val="00581E2E"/>
    <w:rsid w:val="00584F15"/>
    <w:rsid w:val="0059514B"/>
    <w:rsid w:val="005A1B0F"/>
    <w:rsid w:val="005A6660"/>
    <w:rsid w:val="005B5EFE"/>
    <w:rsid w:val="005E3850"/>
    <w:rsid w:val="00602AD9"/>
    <w:rsid w:val="006101A5"/>
    <w:rsid w:val="006163F7"/>
    <w:rsid w:val="00627C63"/>
    <w:rsid w:val="00632274"/>
    <w:rsid w:val="0063350B"/>
    <w:rsid w:val="00652606"/>
    <w:rsid w:val="006946EE"/>
    <w:rsid w:val="006A58A9"/>
    <w:rsid w:val="006A606D"/>
    <w:rsid w:val="006C0371"/>
    <w:rsid w:val="006C08B6"/>
    <w:rsid w:val="006C0B1A"/>
    <w:rsid w:val="006C6065"/>
    <w:rsid w:val="006C7F9F"/>
    <w:rsid w:val="006E2F6D"/>
    <w:rsid w:val="006E58F6"/>
    <w:rsid w:val="006E77E1"/>
    <w:rsid w:val="006F131D"/>
    <w:rsid w:val="006F667C"/>
    <w:rsid w:val="00711642"/>
    <w:rsid w:val="00740FEF"/>
    <w:rsid w:val="007507C6"/>
    <w:rsid w:val="00751E0B"/>
    <w:rsid w:val="00752BCD"/>
    <w:rsid w:val="0075554E"/>
    <w:rsid w:val="00766DA1"/>
    <w:rsid w:val="00780D94"/>
    <w:rsid w:val="007826BA"/>
    <w:rsid w:val="007866A6"/>
    <w:rsid w:val="00797513"/>
    <w:rsid w:val="007A130D"/>
    <w:rsid w:val="007C36A5"/>
    <w:rsid w:val="007D1A2D"/>
    <w:rsid w:val="007D3965"/>
    <w:rsid w:val="007D4102"/>
    <w:rsid w:val="007D56B4"/>
    <w:rsid w:val="007E54A7"/>
    <w:rsid w:val="007F43B7"/>
    <w:rsid w:val="00802CBB"/>
    <w:rsid w:val="00821FFC"/>
    <w:rsid w:val="0082561E"/>
    <w:rsid w:val="008271CA"/>
    <w:rsid w:val="008467D5"/>
    <w:rsid w:val="008A4DC4"/>
    <w:rsid w:val="008B438C"/>
    <w:rsid w:val="008D06CA"/>
    <w:rsid w:val="008D3A46"/>
    <w:rsid w:val="008F2385"/>
    <w:rsid w:val="009067A4"/>
    <w:rsid w:val="00930885"/>
    <w:rsid w:val="00933D68"/>
    <w:rsid w:val="009340DB"/>
    <w:rsid w:val="00943066"/>
    <w:rsid w:val="0094618C"/>
    <w:rsid w:val="0095684B"/>
    <w:rsid w:val="00965D47"/>
    <w:rsid w:val="00970C59"/>
    <w:rsid w:val="00972498"/>
    <w:rsid w:val="0097481F"/>
    <w:rsid w:val="00974CC6"/>
    <w:rsid w:val="00976AD4"/>
    <w:rsid w:val="00995547"/>
    <w:rsid w:val="009A312F"/>
    <w:rsid w:val="009A4162"/>
    <w:rsid w:val="009A5348"/>
    <w:rsid w:val="009B0AB7"/>
    <w:rsid w:val="009C76D5"/>
    <w:rsid w:val="009D07BC"/>
    <w:rsid w:val="009D0C7B"/>
    <w:rsid w:val="009E083C"/>
    <w:rsid w:val="009F7AA4"/>
    <w:rsid w:val="00A0698D"/>
    <w:rsid w:val="00A07D69"/>
    <w:rsid w:val="00A10AD7"/>
    <w:rsid w:val="00A559DB"/>
    <w:rsid w:val="00A569EA"/>
    <w:rsid w:val="00A676A0"/>
    <w:rsid w:val="00A90D11"/>
    <w:rsid w:val="00AC3DC2"/>
    <w:rsid w:val="00AD1934"/>
    <w:rsid w:val="00AE137B"/>
    <w:rsid w:val="00AE19FD"/>
    <w:rsid w:val="00AF35FC"/>
    <w:rsid w:val="00AF5556"/>
    <w:rsid w:val="00B03639"/>
    <w:rsid w:val="00B0652A"/>
    <w:rsid w:val="00B2519E"/>
    <w:rsid w:val="00B40937"/>
    <w:rsid w:val="00B423EF"/>
    <w:rsid w:val="00B453DE"/>
    <w:rsid w:val="00B50217"/>
    <w:rsid w:val="00B62497"/>
    <w:rsid w:val="00B72597"/>
    <w:rsid w:val="00B75338"/>
    <w:rsid w:val="00B87DC0"/>
    <w:rsid w:val="00B901F9"/>
    <w:rsid w:val="00BA4F5A"/>
    <w:rsid w:val="00BA554E"/>
    <w:rsid w:val="00BB4B0C"/>
    <w:rsid w:val="00BC4D98"/>
    <w:rsid w:val="00BD6EFB"/>
    <w:rsid w:val="00BE3DF5"/>
    <w:rsid w:val="00BF5EAB"/>
    <w:rsid w:val="00C02410"/>
    <w:rsid w:val="00C1584D"/>
    <w:rsid w:val="00C15BE2"/>
    <w:rsid w:val="00C235E3"/>
    <w:rsid w:val="00C30818"/>
    <w:rsid w:val="00C3447F"/>
    <w:rsid w:val="00C44714"/>
    <w:rsid w:val="00C52555"/>
    <w:rsid w:val="00C67102"/>
    <w:rsid w:val="00C81491"/>
    <w:rsid w:val="00C81676"/>
    <w:rsid w:val="00C82DE7"/>
    <w:rsid w:val="00C85C5D"/>
    <w:rsid w:val="00C92CC4"/>
    <w:rsid w:val="00C95DCD"/>
    <w:rsid w:val="00CA0AFB"/>
    <w:rsid w:val="00CA2CE1"/>
    <w:rsid w:val="00CA3976"/>
    <w:rsid w:val="00CA50E3"/>
    <w:rsid w:val="00CA757B"/>
    <w:rsid w:val="00CB2426"/>
    <w:rsid w:val="00CC1787"/>
    <w:rsid w:val="00CC182C"/>
    <w:rsid w:val="00CD0824"/>
    <w:rsid w:val="00CD0DBF"/>
    <w:rsid w:val="00CD2908"/>
    <w:rsid w:val="00CD4810"/>
    <w:rsid w:val="00CE1ACF"/>
    <w:rsid w:val="00CE3396"/>
    <w:rsid w:val="00D03A82"/>
    <w:rsid w:val="00D062A3"/>
    <w:rsid w:val="00D11F59"/>
    <w:rsid w:val="00D13667"/>
    <w:rsid w:val="00D15344"/>
    <w:rsid w:val="00D23F57"/>
    <w:rsid w:val="00D31BEC"/>
    <w:rsid w:val="00D63150"/>
    <w:rsid w:val="00D636BA"/>
    <w:rsid w:val="00D64A32"/>
    <w:rsid w:val="00D64EFC"/>
    <w:rsid w:val="00D65A13"/>
    <w:rsid w:val="00D75295"/>
    <w:rsid w:val="00D76CE9"/>
    <w:rsid w:val="00D871D5"/>
    <w:rsid w:val="00D97F12"/>
    <w:rsid w:val="00DA6095"/>
    <w:rsid w:val="00DB42E7"/>
    <w:rsid w:val="00DC09D8"/>
    <w:rsid w:val="00DC7754"/>
    <w:rsid w:val="00DD5F07"/>
    <w:rsid w:val="00DE01A6"/>
    <w:rsid w:val="00DE7A98"/>
    <w:rsid w:val="00DF32C2"/>
    <w:rsid w:val="00E471A7"/>
    <w:rsid w:val="00E52BC2"/>
    <w:rsid w:val="00E6256A"/>
    <w:rsid w:val="00E635CF"/>
    <w:rsid w:val="00EB1E3B"/>
    <w:rsid w:val="00EC6E0A"/>
    <w:rsid w:val="00ED4E18"/>
    <w:rsid w:val="00ED7922"/>
    <w:rsid w:val="00EE02C4"/>
    <w:rsid w:val="00EE1F37"/>
    <w:rsid w:val="00F0159C"/>
    <w:rsid w:val="00F105B7"/>
    <w:rsid w:val="00F12440"/>
    <w:rsid w:val="00F13220"/>
    <w:rsid w:val="00F17A21"/>
    <w:rsid w:val="00F30D03"/>
    <w:rsid w:val="00F37B27"/>
    <w:rsid w:val="00F42FEB"/>
    <w:rsid w:val="00F4582F"/>
    <w:rsid w:val="00F46556"/>
    <w:rsid w:val="00F50E91"/>
    <w:rsid w:val="00F57D29"/>
    <w:rsid w:val="00F60786"/>
    <w:rsid w:val="00F6611B"/>
    <w:rsid w:val="00F91BC7"/>
    <w:rsid w:val="00F92272"/>
    <w:rsid w:val="00F96201"/>
    <w:rsid w:val="00FA1BBC"/>
    <w:rsid w:val="00FA6C4C"/>
    <w:rsid w:val="00FD0B18"/>
    <w:rsid w:val="00FD1E11"/>
    <w:rsid w:val="00FD2FAD"/>
    <w:rsid w:val="00FD7621"/>
    <w:rsid w:val="00FE133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92A50BC9-521E-42A5-BF76-6DEC7A11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Body">
    <w:name w:val="Body"/>
    <w:rsid w:val="00802CB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character" w:customStyle="1" w:styleId="zzmpTrailerItem">
    <w:name w:val="zzmpTrailerItem"/>
    <w:basedOn w:val="DefaultParagraphFont"/>
    <w:rsid w:val="009E083C"/>
    <w:rPr>
      <w:rFonts w:ascii="Times New Roman" w:hAnsi="Times New Roman" w:cs="Times New Roman"/>
      <w:dstrike w:val="0"/>
      <w:noProof/>
      <w:color w:val="auto"/>
      <w:spacing w:val="0"/>
      <w:position w:val="0"/>
      <w:sz w:val="16"/>
      <w:szCs w:val="16"/>
      <w:u w:val="none"/>
      <w:effect w:val="none"/>
      <w:vertAlign w:val="baseline"/>
    </w:rPr>
  </w:style>
  <w:style w:type="character" w:customStyle="1" w:styleId="UnresolvedMention1">
    <w:name w:val="Unresolved Mention1"/>
    <w:basedOn w:val="DefaultParagraphFont"/>
    <w:uiPriority w:val="99"/>
    <w:semiHidden/>
    <w:unhideWhenUsed/>
    <w:rsid w:val="00BA4F5A"/>
    <w:rPr>
      <w:color w:val="605E5C"/>
      <w:shd w:val="clear" w:color="auto" w:fill="E1DFDD"/>
    </w:rPr>
  </w:style>
  <w:style w:type="character" w:customStyle="1" w:styleId="UnresolvedMention2">
    <w:name w:val="Unresolved Mention2"/>
    <w:basedOn w:val="DefaultParagraphFont"/>
    <w:uiPriority w:val="99"/>
    <w:semiHidden/>
    <w:unhideWhenUsed/>
    <w:rsid w:val="00A90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5973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44537146">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orldjusticeproject.org/our-work/publications/world-justice-project-reports" TargetMode="External"/><Relationship Id="rId1" Type="http://schemas.openxmlformats.org/officeDocument/2006/relationships/hyperlink" Target="https://www.hrw.org/world-report/2018/country-chapters/turke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000" dirty="0">
                <a:latin typeface="Arial" panose="020B0604020202020204" pitchFamily="34" charset="0"/>
                <a:cs typeface="Arial" panose="020B0604020202020204" pitchFamily="34" charset="0"/>
              </a:rPr>
              <a:t>The Long View:</a:t>
            </a:r>
            <a:r>
              <a:rPr lang="en-US" sz="1000" baseline="0" dirty="0">
                <a:latin typeface="Arial" panose="020B0604020202020204" pitchFamily="34" charset="0"/>
                <a:cs typeface="Arial" panose="020B0604020202020204" pitchFamily="34" charset="0"/>
              </a:rPr>
              <a:t> GDP per Capita (in US$ billion)</a:t>
            </a:r>
            <a:endParaRPr lang="en-US" sz="1000" dirty="0">
              <a:latin typeface="Arial" panose="020B0604020202020204" pitchFamily="34" charset="0"/>
              <a:cs typeface="Arial" panose="020B0604020202020204" pitchFamily="34" charset="0"/>
            </a:endParaRPr>
          </a:p>
        </c:rich>
      </c:tx>
      <c:layout/>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dPt>
            <c:idx val="1"/>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1-D3CE-4459-8237-AAAF38D84BC9}"/>
              </c:ext>
            </c:extLst>
          </c:dPt>
          <c:dPt>
            <c:idx val="2"/>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3-D3CE-4459-8237-AAAF38D84BC9}"/>
              </c:ext>
            </c:extLst>
          </c:dPt>
          <c:dPt>
            <c:idx val="3"/>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5-D3CE-4459-8237-AAAF38D84BC9}"/>
              </c:ext>
            </c:extLst>
          </c:dPt>
          <c:dPt>
            <c:idx val="4"/>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7-D3CE-4459-8237-AAAF38D84BC9}"/>
              </c:ext>
            </c:extLst>
          </c:dPt>
          <c:dPt>
            <c:idx val="5"/>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9-D3CE-4459-8237-AAAF38D84BC9}"/>
              </c:ext>
            </c:extLst>
          </c:dPt>
          <c:dPt>
            <c:idx val="6"/>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B-D3CE-4459-8237-AAAF38D84BC9}"/>
              </c:ext>
            </c:extLst>
          </c:dPt>
          <c:dPt>
            <c:idx val="7"/>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D-D3CE-4459-8237-AAAF38D84BC9}"/>
              </c:ext>
            </c:extLst>
          </c:dPt>
          <c:dPt>
            <c:idx val="8"/>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0F-D3CE-4459-8237-AAAF38D84BC9}"/>
              </c:ext>
            </c:extLst>
          </c:dPt>
          <c:dPt>
            <c:idx val="9"/>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1-D3CE-4459-8237-AAAF38D84BC9}"/>
              </c:ext>
            </c:extLst>
          </c:dPt>
          <c:dPt>
            <c:idx val="10"/>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3-D3CE-4459-8237-AAAF38D84BC9}"/>
              </c:ext>
            </c:extLst>
          </c:dPt>
          <c:dPt>
            <c:idx val="11"/>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5-D3CE-4459-8237-AAAF38D84BC9}"/>
              </c:ext>
            </c:extLst>
          </c:dPt>
          <c:dPt>
            <c:idx val="12"/>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7-D3CE-4459-8237-AAAF38D84BC9}"/>
              </c:ext>
            </c:extLst>
          </c:dPt>
          <c:dPt>
            <c:idx val="13"/>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9-D3CE-4459-8237-AAAF38D84BC9}"/>
              </c:ext>
            </c:extLst>
          </c:dPt>
          <c:dPt>
            <c:idx val="14"/>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B-D3CE-4459-8237-AAAF38D84BC9}"/>
              </c:ext>
            </c:extLst>
          </c:dPt>
          <c:dPt>
            <c:idx val="15"/>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D-D3CE-4459-8237-AAAF38D84BC9}"/>
              </c:ext>
            </c:extLst>
          </c:dPt>
          <c:dPt>
            <c:idx val="16"/>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1F-D3CE-4459-8237-AAAF38D84BC9}"/>
              </c:ext>
            </c:extLst>
          </c:dPt>
          <c:dPt>
            <c:idx val="17"/>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1-D3CE-4459-8237-AAAF38D84BC9}"/>
              </c:ext>
            </c:extLst>
          </c:dPt>
          <c:dPt>
            <c:idx val="18"/>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3-D3CE-4459-8237-AAAF38D84BC9}"/>
              </c:ext>
            </c:extLst>
          </c:dPt>
          <c:dPt>
            <c:idx val="19"/>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5-D3CE-4459-8237-AAAF38D84BC9}"/>
              </c:ext>
            </c:extLst>
          </c:dPt>
          <c:dPt>
            <c:idx val="20"/>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7-D3CE-4459-8237-AAAF38D84BC9}"/>
              </c:ext>
            </c:extLst>
          </c:dPt>
          <c:dPt>
            <c:idx val="21"/>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9-D3CE-4459-8237-AAAF38D84BC9}"/>
              </c:ext>
            </c:extLst>
          </c:dPt>
          <c:dPt>
            <c:idx val="22"/>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B-D3CE-4459-8237-AAAF38D84BC9}"/>
              </c:ext>
            </c:extLst>
          </c:dPt>
          <c:dPt>
            <c:idx val="23"/>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D-D3CE-4459-8237-AAAF38D84BC9}"/>
              </c:ext>
            </c:extLst>
          </c:dPt>
          <c:dPt>
            <c:idx val="24"/>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2F-D3CE-4459-8237-AAAF38D84BC9}"/>
              </c:ext>
            </c:extLst>
          </c:dPt>
          <c:dPt>
            <c:idx val="25"/>
            <c:marker>
              <c:symbol val="none"/>
            </c:marker>
            <c:bubble3D val="0"/>
            <c:spPr>
              <a:ln w="28575" cap="rnd">
                <a:solidFill>
                  <a:schemeClr val="tx1"/>
                </a:solidFill>
                <a:round/>
              </a:ln>
              <a:effectLst/>
            </c:spPr>
            <c:extLst xmlns:c16r2="http://schemas.microsoft.com/office/drawing/2015/06/chart">
              <c:ext xmlns:c16="http://schemas.microsoft.com/office/drawing/2014/chart" uri="{C3380CC4-5D6E-409C-BE32-E72D297353CC}">
                <c16:uniqueId val="{00000031-D3CE-4459-8237-AAAF38D84BC9}"/>
              </c:ext>
            </c:extLst>
          </c:dPt>
          <c:cat>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cat>
          <c:val>
            <c:numRef>
              <c:f>Sheet1!$B$2:$B$27</c:f>
              <c:numCache>
                <c:formatCode>General</c:formatCode>
                <c:ptCount val="26"/>
                <c:pt idx="0">
                  <c:v>150.5</c:v>
                </c:pt>
                <c:pt idx="1">
                  <c:v>150</c:v>
                </c:pt>
                <c:pt idx="2">
                  <c:v>158.4</c:v>
                </c:pt>
                <c:pt idx="3">
                  <c:v>180</c:v>
                </c:pt>
                <c:pt idx="4">
                  <c:v>130</c:v>
                </c:pt>
                <c:pt idx="5">
                  <c:v>169.4</c:v>
                </c:pt>
                <c:pt idx="6">
                  <c:v>181.4</c:v>
                </c:pt>
                <c:pt idx="7">
                  <c:v>189.8</c:v>
                </c:pt>
                <c:pt idx="8">
                  <c:v>275.7</c:v>
                </c:pt>
                <c:pt idx="9">
                  <c:v>255.8</c:v>
                </c:pt>
                <c:pt idx="10">
                  <c:v>272.89999999999998</c:v>
                </c:pt>
                <c:pt idx="11">
                  <c:v>200.2</c:v>
                </c:pt>
                <c:pt idx="12">
                  <c:v>238.4</c:v>
                </c:pt>
                <c:pt idx="13">
                  <c:v>311.8</c:v>
                </c:pt>
                <c:pt idx="14">
                  <c:v>404.7</c:v>
                </c:pt>
                <c:pt idx="15">
                  <c:v>501.4</c:v>
                </c:pt>
                <c:pt idx="16">
                  <c:v>552.4</c:v>
                </c:pt>
                <c:pt idx="17">
                  <c:v>675.7</c:v>
                </c:pt>
                <c:pt idx="18">
                  <c:v>764.3</c:v>
                </c:pt>
                <c:pt idx="19">
                  <c:v>644.64</c:v>
                </c:pt>
                <c:pt idx="20">
                  <c:v>771.1</c:v>
                </c:pt>
                <c:pt idx="21">
                  <c:v>832.5</c:v>
                </c:pt>
                <c:pt idx="22">
                  <c:v>873.9</c:v>
                </c:pt>
                <c:pt idx="23">
                  <c:v>950.5</c:v>
                </c:pt>
                <c:pt idx="24">
                  <c:v>934.1</c:v>
                </c:pt>
                <c:pt idx="25">
                  <c:v>859.7</c:v>
                </c:pt>
              </c:numCache>
            </c:numRef>
          </c:val>
          <c:smooth val="0"/>
          <c:extLst xmlns:c16r2="http://schemas.microsoft.com/office/drawing/2015/06/chart">
            <c:ext xmlns:c16="http://schemas.microsoft.com/office/drawing/2014/chart" uri="{C3380CC4-5D6E-409C-BE32-E72D297353CC}">
              <c16:uniqueId val="{00000000-56B1-FA43-B16B-834F23F1D06C}"/>
            </c:ext>
          </c:extLst>
        </c:ser>
        <c:dLbls>
          <c:showLegendKey val="0"/>
          <c:showVal val="0"/>
          <c:showCatName val="0"/>
          <c:showSerName val="0"/>
          <c:showPercent val="0"/>
          <c:showBubbleSize val="0"/>
        </c:dLbls>
        <c:smooth val="0"/>
        <c:axId val="163284960"/>
        <c:axId val="163285352"/>
      </c:lineChart>
      <c:catAx>
        <c:axId val="16328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3285352"/>
        <c:crosses val="autoZero"/>
        <c:auto val="1"/>
        <c:lblAlgn val="ctr"/>
        <c:lblOffset val="100"/>
        <c:noMultiLvlLbl val="0"/>
      </c:catAx>
      <c:valAx>
        <c:axId val="16328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6328496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99297-5564-4D3E-BC7E-FBA67DF4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2018-12-17T14:57:00Z</dcterms:created>
  <dcterms:modified xsi:type="dcterms:W3CDTF">2018-12-21T15:12:00Z</dcterms:modified>
</cp:coreProperties>
</file>