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AB318" w14:textId="72C07F44" w:rsidR="00391F2B" w:rsidRPr="00845670" w:rsidRDefault="005826EF" w:rsidP="005826EF">
      <w:pPr>
        <w:pBdr>
          <w:bottom w:val="single" w:sz="18" w:space="1" w:color="auto"/>
        </w:pBdr>
        <w:tabs>
          <w:tab w:val="left" w:pos="-1440"/>
          <w:tab w:val="left" w:pos="-720"/>
          <w:tab w:val="left" w:pos="1"/>
          <w:tab w:val="left" w:pos="5954"/>
        </w:tabs>
        <w:jc w:val="both"/>
        <w:rPr>
          <w:rFonts w:ascii="Arial" w:hAnsi="Arial"/>
          <w:b/>
          <w:noProof/>
          <w:sz w:val="24"/>
        </w:rPr>
      </w:pPr>
      <w:r>
        <w:rPr>
          <w:rFonts w:ascii="Arial" w:hAnsi="Arial"/>
          <w:b/>
          <w:sz w:val="24"/>
          <w:lang w:val="en-GB"/>
        </w:rPr>
        <w:tab/>
      </w:r>
      <w:r w:rsidR="00845670" w:rsidRPr="00845670">
        <w:rPr>
          <w:rFonts w:ascii="Arial" w:hAnsi="Arial"/>
          <w:b/>
          <w:noProof/>
          <w:sz w:val="24"/>
        </w:rPr>
        <w:drawing>
          <wp:inline distT="0" distB="0" distL="0" distR="0" wp14:anchorId="43A3B490" wp14:editId="7A52C48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845670">
        <w:rPr>
          <w:rFonts w:ascii="Arial" w:hAnsi="Arial"/>
          <w:b/>
          <w:sz w:val="24"/>
          <w:lang w:val="en-GB"/>
        </w:rPr>
        <w:tab/>
        <w:t xml:space="preserve"> </w:t>
      </w:r>
      <w:r w:rsidR="00845670">
        <w:rPr>
          <w:rFonts w:ascii="Arial" w:hAnsi="Arial"/>
          <w:b/>
          <w:noProof/>
          <w:sz w:val="24"/>
        </w:rPr>
        <w:drawing>
          <wp:inline distT="0" distB="0" distL="0" distR="0" wp14:anchorId="2C956F18" wp14:editId="3759502E">
            <wp:extent cx="2097405" cy="516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344" cy="520367"/>
                    </a:xfrm>
                    <a:prstGeom prst="rect">
                      <a:avLst/>
                    </a:prstGeom>
                    <a:noFill/>
                  </pic:spPr>
                </pic:pic>
              </a:graphicData>
            </a:graphic>
          </wp:inline>
        </w:drawing>
      </w:r>
    </w:p>
    <w:p w14:paraId="3792B48E" w14:textId="59301938" w:rsidR="00D75295" w:rsidRPr="005826EF" w:rsidRDefault="00845670" w:rsidP="005826EF">
      <w:pPr>
        <w:pStyle w:val="ProductNumber"/>
        <w:rPr>
          <w:lang w:val="en-GB"/>
        </w:rPr>
      </w:pPr>
      <w:r>
        <w:rPr>
          <w:lang w:val="en-GB"/>
        </w:rPr>
        <w:t>9B18M202</w:t>
      </w:r>
    </w:p>
    <w:p w14:paraId="122584D4" w14:textId="77777777" w:rsidR="00D75295" w:rsidRPr="005826EF" w:rsidRDefault="00D75295" w:rsidP="00D75295">
      <w:pPr>
        <w:jc w:val="right"/>
        <w:rPr>
          <w:rFonts w:ascii="Arial" w:hAnsi="Arial"/>
          <w:b/>
          <w:sz w:val="28"/>
          <w:szCs w:val="28"/>
          <w:lang w:val="en-GB"/>
        </w:rPr>
      </w:pPr>
    </w:p>
    <w:p w14:paraId="4465794E" w14:textId="77777777" w:rsidR="00013360" w:rsidRPr="005826EF" w:rsidRDefault="00013360" w:rsidP="00D75295">
      <w:pPr>
        <w:jc w:val="right"/>
        <w:rPr>
          <w:rFonts w:ascii="Arial" w:hAnsi="Arial"/>
          <w:b/>
          <w:sz w:val="28"/>
          <w:szCs w:val="28"/>
          <w:lang w:val="en-GB"/>
        </w:rPr>
      </w:pPr>
    </w:p>
    <w:p w14:paraId="03EB7956" w14:textId="77777777" w:rsidR="00013360" w:rsidRPr="005826EF" w:rsidRDefault="00F54ACF" w:rsidP="00013360">
      <w:pPr>
        <w:pStyle w:val="CaseTitle"/>
        <w:spacing w:after="0" w:line="240" w:lineRule="auto"/>
        <w:rPr>
          <w:sz w:val="20"/>
          <w:szCs w:val="20"/>
          <w:lang w:val="en-GB"/>
        </w:rPr>
      </w:pPr>
      <w:r w:rsidRPr="005826EF">
        <w:rPr>
          <w:rFonts w:eastAsia="Times New Roman"/>
          <w:szCs w:val="20"/>
          <w:lang w:val="en-GB"/>
        </w:rPr>
        <w:t>STOREHOUSE TEA: CULTIVATING OPTIONS FOR GROWTH</w:t>
      </w:r>
    </w:p>
    <w:p w14:paraId="7B9A7D1B" w14:textId="77777777" w:rsidR="00CA3976" w:rsidRPr="005826EF" w:rsidRDefault="00CA3976" w:rsidP="00013360">
      <w:pPr>
        <w:pStyle w:val="CaseTitle"/>
        <w:spacing w:after="0" w:line="240" w:lineRule="auto"/>
        <w:rPr>
          <w:sz w:val="20"/>
          <w:szCs w:val="20"/>
          <w:lang w:val="en-GB"/>
        </w:rPr>
      </w:pPr>
    </w:p>
    <w:p w14:paraId="70BE5CBB" w14:textId="77777777" w:rsidR="00013360" w:rsidRPr="005826EF" w:rsidRDefault="00013360" w:rsidP="00013360">
      <w:pPr>
        <w:pStyle w:val="CaseTitle"/>
        <w:spacing w:after="0" w:line="240" w:lineRule="auto"/>
        <w:rPr>
          <w:sz w:val="20"/>
          <w:szCs w:val="20"/>
          <w:lang w:val="en-GB"/>
        </w:rPr>
      </w:pPr>
    </w:p>
    <w:p w14:paraId="51F86FBD" w14:textId="5D33581F" w:rsidR="00627C63" w:rsidRPr="005826EF" w:rsidRDefault="00C76DFF" w:rsidP="00627C63">
      <w:pPr>
        <w:pStyle w:val="StyleCopyrightStatementAfter0ptBottomSinglesolidline1"/>
        <w:rPr>
          <w:lang w:val="en-GB"/>
        </w:rPr>
      </w:pPr>
      <w:hyperlink r:id="rId10" w:history="1">
        <w:r w:rsidR="00F242D8" w:rsidRPr="005826EF">
          <w:rPr>
            <w:rStyle w:val="Hyperlink"/>
            <w:color w:val="auto"/>
            <w:u w:val="none"/>
            <w:lang w:val="en-GB"/>
          </w:rPr>
          <w:t>Stephanie Hagen</w:t>
        </w:r>
      </w:hyperlink>
      <w:r w:rsidR="00F242D8">
        <w:rPr>
          <w:rStyle w:val="Hyperlink"/>
          <w:color w:val="auto"/>
          <w:u w:val="none"/>
          <w:lang w:val="en-GB"/>
        </w:rPr>
        <w:t xml:space="preserve"> wrote this case under the supervision of </w:t>
      </w:r>
      <w:r w:rsidR="00F54ACF" w:rsidRPr="005826EF">
        <w:rPr>
          <w:color w:val="auto"/>
          <w:lang w:val="en-GB"/>
        </w:rPr>
        <w:t>Chris Laszlo</w:t>
      </w:r>
      <w:r w:rsidR="00F242D8">
        <w:rPr>
          <w:color w:val="auto"/>
          <w:lang w:val="en-GB"/>
        </w:rPr>
        <w:t xml:space="preserve"> and </w:t>
      </w:r>
      <w:hyperlink r:id="rId11" w:history="1">
        <w:r w:rsidR="00F54ACF" w:rsidRPr="005826EF">
          <w:rPr>
            <w:rStyle w:val="Hyperlink"/>
            <w:color w:val="auto"/>
            <w:u w:val="none"/>
            <w:lang w:val="en-GB"/>
          </w:rPr>
          <w:t>Katherine Gullett</w:t>
        </w:r>
      </w:hyperlink>
      <w:r w:rsidR="00F54ACF" w:rsidRPr="005826EF">
        <w:rPr>
          <w:color w:val="auto"/>
          <w:lang w:val="en-GB"/>
        </w:rPr>
        <w:t>,</w:t>
      </w:r>
      <w:r w:rsidR="004B632F" w:rsidRPr="005826EF">
        <w:rPr>
          <w:lang w:val="en-GB"/>
        </w:rPr>
        <w:t xml:space="preserve"> </w:t>
      </w:r>
      <w:r w:rsidR="00152682" w:rsidRPr="005826EF">
        <w:rPr>
          <w:lang w:val="en-GB"/>
        </w:rPr>
        <w:t>solely to provide material for class discussion. The</w:t>
      </w:r>
      <w:r w:rsidR="001C7777" w:rsidRPr="005826EF">
        <w:rPr>
          <w:lang w:val="en-GB"/>
        </w:rPr>
        <w:t xml:space="preserve"> author</w:t>
      </w:r>
      <w:r w:rsidR="001A22D1" w:rsidRPr="005826EF">
        <w:rPr>
          <w:lang w:val="en-GB"/>
        </w:rPr>
        <w:t>s</w:t>
      </w:r>
      <w:r w:rsidR="00152682" w:rsidRPr="005826EF">
        <w:rPr>
          <w:lang w:val="en-GB"/>
        </w:rPr>
        <w:t xml:space="preserve"> do not intend to illustrate either effective or ineffective handling of a managerial situation. The author</w:t>
      </w:r>
      <w:r w:rsidR="001A22D1" w:rsidRPr="005826EF">
        <w:rPr>
          <w:lang w:val="en-GB"/>
        </w:rPr>
        <w:t>s</w:t>
      </w:r>
      <w:r w:rsidR="00152682" w:rsidRPr="005826EF">
        <w:rPr>
          <w:lang w:val="en-GB"/>
        </w:rPr>
        <w:t xml:space="preserve"> may have disguised certain names and other identifying information to protect confidentiality.</w:t>
      </w:r>
    </w:p>
    <w:p w14:paraId="42E37E9A" w14:textId="77777777" w:rsidR="00751E0B" w:rsidRDefault="00751E0B" w:rsidP="00751E0B">
      <w:pPr>
        <w:pStyle w:val="StyleCopyrightStatementAfter0ptBottomSinglesolidline1"/>
        <w:rPr>
          <w:lang w:val="en-GB"/>
        </w:rPr>
      </w:pPr>
    </w:p>
    <w:p w14:paraId="254469BD" w14:textId="77777777" w:rsidR="00845670" w:rsidRPr="00E23AB7" w:rsidRDefault="00845670"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5E20A38C" w14:textId="23E2265B" w:rsidR="00391F2B" w:rsidRDefault="00391F2B" w:rsidP="00751E0B">
      <w:pPr>
        <w:pStyle w:val="StyleCopyrightStatementAfter0ptBottomSinglesolidline1"/>
        <w:rPr>
          <w:lang w:val="en-GB"/>
        </w:rPr>
      </w:pPr>
    </w:p>
    <w:p w14:paraId="042979E5" w14:textId="2E593ACB" w:rsidR="00751E0B" w:rsidRPr="005826EF" w:rsidRDefault="00845670"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5826EF">
        <w:rPr>
          <w:rFonts w:cs="Arial"/>
          <w:szCs w:val="16"/>
          <w:lang w:val="en-GB"/>
        </w:rPr>
        <w:tab/>
      </w:r>
      <w:r w:rsidR="00751E0B" w:rsidRPr="005826EF">
        <w:rPr>
          <w:lang w:val="en-GB"/>
        </w:rPr>
        <w:t xml:space="preserve">Version: </w:t>
      </w:r>
      <w:r w:rsidR="003D0BA1" w:rsidRPr="005826EF">
        <w:rPr>
          <w:lang w:val="en-GB"/>
        </w:rPr>
        <w:t>20</w:t>
      </w:r>
      <w:r w:rsidR="00C76DFF">
        <w:rPr>
          <w:lang w:val="en-GB"/>
        </w:rPr>
        <w:t>19</w:t>
      </w:r>
      <w:r w:rsidR="001C7777" w:rsidRPr="005826EF">
        <w:rPr>
          <w:lang w:val="en-GB"/>
        </w:rPr>
        <w:t>-</w:t>
      </w:r>
      <w:r w:rsidR="00C76DFF">
        <w:rPr>
          <w:lang w:val="en-GB"/>
        </w:rPr>
        <w:t>01</w:t>
      </w:r>
      <w:r w:rsidR="00751E0B" w:rsidRPr="005826EF">
        <w:rPr>
          <w:lang w:val="en-GB"/>
        </w:rPr>
        <w:t>-</w:t>
      </w:r>
      <w:r w:rsidR="00391F2B">
        <w:rPr>
          <w:lang w:val="en-GB"/>
        </w:rPr>
        <w:t>1</w:t>
      </w:r>
      <w:r w:rsidR="00C76DFF">
        <w:rPr>
          <w:lang w:val="en-GB"/>
        </w:rPr>
        <w:t>1</w:t>
      </w:r>
    </w:p>
    <w:p w14:paraId="463607D4" w14:textId="77777777" w:rsidR="00751E0B" w:rsidRPr="004F788B" w:rsidRDefault="00751E0B" w:rsidP="00751E0B">
      <w:pPr>
        <w:pStyle w:val="StyleCopyrightStatementAfter0ptBottomSinglesolidline1"/>
        <w:rPr>
          <w:rFonts w:ascii="Times New Roman" w:hAnsi="Times New Roman"/>
          <w:sz w:val="18"/>
          <w:szCs w:val="18"/>
          <w:lang w:val="en-GB"/>
        </w:rPr>
      </w:pPr>
    </w:p>
    <w:p w14:paraId="21D72E5A" w14:textId="77777777" w:rsidR="004B632F" w:rsidRPr="004F788B" w:rsidRDefault="004B632F" w:rsidP="004B632F">
      <w:pPr>
        <w:pStyle w:val="StyleCopyrightStatementAfter0ptBottomSinglesolidline1"/>
        <w:rPr>
          <w:rFonts w:ascii="Times New Roman" w:hAnsi="Times New Roman"/>
          <w:sz w:val="18"/>
          <w:szCs w:val="18"/>
          <w:lang w:val="en-GB"/>
        </w:rPr>
      </w:pPr>
    </w:p>
    <w:p w14:paraId="571A0078" w14:textId="30314035" w:rsidR="00F54ACF" w:rsidRPr="005826EF" w:rsidRDefault="00F54ACF" w:rsidP="00F54ACF">
      <w:pPr>
        <w:pStyle w:val="BodyTextMain"/>
        <w:rPr>
          <w:rFonts w:eastAsia="Calibri"/>
          <w:lang w:val="en-GB"/>
        </w:rPr>
      </w:pPr>
      <w:r w:rsidRPr="005826EF">
        <w:rPr>
          <w:rFonts w:eastAsia="Calibri"/>
          <w:lang w:val="en-GB"/>
        </w:rPr>
        <w:t>Paula Hershman set down the last cardboard box and smiled. It was January 2017, and she was taking advantage of the calm after a busy holiday season to finish moving the headquarters of Storehouse Tea, the company she had founded and owned</w:t>
      </w:r>
      <w:r w:rsidR="00C7663D" w:rsidRPr="005826EF">
        <w:rPr>
          <w:rFonts w:eastAsia="Calibri"/>
          <w:lang w:val="en-GB"/>
        </w:rPr>
        <w:t xml:space="preserve">. </w:t>
      </w:r>
      <w:r w:rsidR="005F1CF4" w:rsidRPr="005826EF">
        <w:rPr>
          <w:rFonts w:eastAsia="Calibri"/>
          <w:lang w:val="en-GB"/>
        </w:rPr>
        <w:t>The company was moving</w:t>
      </w:r>
      <w:r w:rsidRPr="005826EF">
        <w:rPr>
          <w:rFonts w:eastAsia="Calibri"/>
          <w:lang w:val="en-GB"/>
        </w:rPr>
        <w:t xml:space="preserve"> </w:t>
      </w:r>
      <w:r w:rsidR="005F1CF4" w:rsidRPr="005826EF">
        <w:rPr>
          <w:rFonts w:eastAsia="Calibri"/>
          <w:lang w:val="en-GB"/>
        </w:rPr>
        <w:t xml:space="preserve">from an upper floor </w:t>
      </w:r>
      <w:r w:rsidRPr="005826EF">
        <w:rPr>
          <w:rFonts w:eastAsia="Calibri"/>
          <w:lang w:val="en-GB"/>
        </w:rPr>
        <w:t>down to the first floor of the Hildebrandt Building in Cleveland, Ohio. After the move, she would be next door to the kitchens</w:t>
      </w:r>
      <w:r w:rsidR="005F1CF4" w:rsidRPr="005826EF">
        <w:rPr>
          <w:rFonts w:eastAsia="Calibri"/>
          <w:lang w:val="en-GB"/>
        </w:rPr>
        <w:t>,</w:t>
      </w:r>
      <w:r w:rsidRPr="005826EF">
        <w:rPr>
          <w:rFonts w:eastAsia="Calibri"/>
          <w:lang w:val="en-GB"/>
        </w:rPr>
        <w:t xml:space="preserve"> where she and her employees worked to blend and package Storehouse Tea’s organic, </w:t>
      </w:r>
      <w:r w:rsidR="00C810B1" w:rsidRPr="005826EF">
        <w:rPr>
          <w:rFonts w:eastAsia="Calibri"/>
          <w:lang w:val="en-GB"/>
        </w:rPr>
        <w:t>f</w:t>
      </w:r>
      <w:r w:rsidRPr="005826EF">
        <w:rPr>
          <w:rFonts w:eastAsia="Calibri"/>
          <w:lang w:val="en-GB"/>
        </w:rPr>
        <w:t>air</w:t>
      </w:r>
      <w:r w:rsidR="00C810B1" w:rsidRPr="005826EF">
        <w:rPr>
          <w:rFonts w:eastAsia="Calibri"/>
          <w:lang w:val="en-GB"/>
        </w:rPr>
        <w:t xml:space="preserve"> </w:t>
      </w:r>
      <w:r w:rsidR="00BC3398" w:rsidRPr="005826EF">
        <w:rPr>
          <w:rFonts w:eastAsia="Calibri"/>
          <w:lang w:val="en-GB"/>
        </w:rPr>
        <w:t>t</w:t>
      </w:r>
      <w:r w:rsidRPr="005826EF">
        <w:rPr>
          <w:rFonts w:eastAsia="Calibri"/>
          <w:lang w:val="en-GB"/>
        </w:rPr>
        <w:t>rade certified</w:t>
      </w:r>
      <w:r w:rsidR="00C76DFF">
        <w:rPr>
          <w:rFonts w:eastAsia="Calibri"/>
          <w:lang w:val="en-GB"/>
        </w:rPr>
        <w:t>,</w:t>
      </w:r>
      <w:r w:rsidRPr="005826EF">
        <w:rPr>
          <w:rFonts w:eastAsia="Calibri"/>
          <w:lang w:val="en-GB"/>
        </w:rPr>
        <w:t xml:space="preserve"> loose-leaf teas. Hershman was committed to operating her business in a way that would have a positive impact. As she surveyed her new headquarters, she was reminded of just how far the company had come from the days when she held tea parties to teach her friends about new teas. She was proud to have built the company around sustainability, from its organic sourcing and support of </w:t>
      </w:r>
      <w:r w:rsidR="00BC3398" w:rsidRPr="005826EF">
        <w:rPr>
          <w:rFonts w:eastAsia="Calibri"/>
          <w:lang w:val="en-GB"/>
        </w:rPr>
        <w:t>f</w:t>
      </w:r>
      <w:r w:rsidRPr="005826EF">
        <w:rPr>
          <w:rFonts w:eastAsia="Calibri"/>
          <w:lang w:val="en-GB"/>
        </w:rPr>
        <w:t xml:space="preserve">air </w:t>
      </w:r>
      <w:r w:rsidR="00BC3398" w:rsidRPr="005826EF">
        <w:rPr>
          <w:rFonts w:eastAsia="Calibri"/>
          <w:lang w:val="en-GB"/>
        </w:rPr>
        <w:t>t</w:t>
      </w:r>
      <w:r w:rsidRPr="005826EF">
        <w:rPr>
          <w:rFonts w:eastAsia="Calibri"/>
          <w:lang w:val="en-GB"/>
        </w:rPr>
        <w:t xml:space="preserve">rade producers to its hiring of refugees. </w:t>
      </w:r>
      <w:r w:rsidR="005F1CF4" w:rsidRPr="005826EF">
        <w:rPr>
          <w:rFonts w:eastAsia="Calibri"/>
          <w:lang w:val="en-GB"/>
        </w:rPr>
        <w:t>However</w:t>
      </w:r>
      <w:r w:rsidR="00DA003B" w:rsidRPr="005826EF">
        <w:rPr>
          <w:rFonts w:eastAsia="Calibri"/>
          <w:lang w:val="en-GB"/>
        </w:rPr>
        <w:t>,</w:t>
      </w:r>
      <w:r w:rsidRPr="005826EF">
        <w:rPr>
          <w:rFonts w:eastAsia="Calibri"/>
          <w:lang w:val="en-GB"/>
        </w:rPr>
        <w:t xml:space="preserve"> she wondered how she could scale this impact. What avenues for growth would best allow Storehouse Tea to further its cor</w:t>
      </w:r>
      <w:r w:rsidR="00125F3E" w:rsidRPr="005826EF">
        <w:rPr>
          <w:rFonts w:eastAsia="Calibri"/>
          <w:lang w:val="en-GB"/>
        </w:rPr>
        <w:t>e mission</w:t>
      </w:r>
      <w:r w:rsidRPr="005826EF">
        <w:rPr>
          <w:rFonts w:eastAsia="Calibri"/>
          <w:lang w:val="en-GB"/>
        </w:rPr>
        <w:t xml:space="preserve">? </w:t>
      </w:r>
    </w:p>
    <w:p w14:paraId="1B90EA44" w14:textId="77777777" w:rsidR="00F54ACF" w:rsidRPr="004F788B" w:rsidRDefault="00F54ACF" w:rsidP="00F54ACF">
      <w:pPr>
        <w:pStyle w:val="BodyTextMain"/>
        <w:rPr>
          <w:rFonts w:eastAsia="Calibri"/>
          <w:sz w:val="18"/>
          <w:szCs w:val="18"/>
          <w:lang w:val="en-GB"/>
        </w:rPr>
      </w:pPr>
    </w:p>
    <w:p w14:paraId="2177F10C" w14:textId="4A0AE882" w:rsidR="00F54ACF" w:rsidRPr="004F788B" w:rsidRDefault="00F54ACF" w:rsidP="00F54ACF">
      <w:pPr>
        <w:pStyle w:val="BodyTextMain"/>
        <w:rPr>
          <w:rFonts w:eastAsia="Calibri"/>
          <w:spacing w:val="-2"/>
          <w:kern w:val="22"/>
          <w:lang w:val="en-GB"/>
        </w:rPr>
      </w:pPr>
      <w:r w:rsidRPr="004F788B">
        <w:rPr>
          <w:rFonts w:eastAsia="Calibri"/>
          <w:spacing w:val="-2"/>
          <w:kern w:val="22"/>
          <w:lang w:val="en-GB"/>
        </w:rPr>
        <w:t xml:space="preserve">Hershman had several options in mind. She </w:t>
      </w:r>
      <w:r w:rsidR="001763E1" w:rsidRPr="004F788B">
        <w:rPr>
          <w:rFonts w:eastAsia="Calibri"/>
          <w:spacing w:val="-2"/>
          <w:kern w:val="22"/>
          <w:lang w:val="en-GB"/>
        </w:rPr>
        <w:t>was</w:t>
      </w:r>
      <w:r w:rsidRPr="004F788B">
        <w:rPr>
          <w:rFonts w:eastAsia="Calibri"/>
          <w:spacing w:val="-2"/>
          <w:kern w:val="22"/>
          <w:lang w:val="en-GB"/>
        </w:rPr>
        <w:t xml:space="preserve"> consider</w:t>
      </w:r>
      <w:r w:rsidR="001763E1" w:rsidRPr="004F788B">
        <w:rPr>
          <w:rFonts w:eastAsia="Calibri"/>
          <w:spacing w:val="-2"/>
          <w:kern w:val="22"/>
          <w:lang w:val="en-GB"/>
        </w:rPr>
        <w:t>ing</w:t>
      </w:r>
      <w:r w:rsidRPr="004F788B">
        <w:rPr>
          <w:rFonts w:eastAsia="Calibri"/>
          <w:spacing w:val="-2"/>
          <w:kern w:val="22"/>
          <w:lang w:val="en-GB"/>
        </w:rPr>
        <w:t xml:space="preserve"> introducing product extensions or focusing on geographic expansion. Other alternatives included targeting certain customer types (such as larger accounts) or hiring additional staff members. As she thought about which path might best help Storehouse Tea to grow while staying true to the company’s mission, she hoped that one of these options could be the key.</w:t>
      </w:r>
    </w:p>
    <w:p w14:paraId="116711A2" w14:textId="77777777" w:rsidR="00F54ACF" w:rsidRPr="004F788B" w:rsidRDefault="00F54ACF" w:rsidP="00F54ACF">
      <w:pPr>
        <w:pStyle w:val="BodyTextMain"/>
        <w:rPr>
          <w:rFonts w:eastAsia="Calibri"/>
          <w:sz w:val="18"/>
          <w:szCs w:val="18"/>
          <w:lang w:val="en-GB"/>
        </w:rPr>
      </w:pPr>
    </w:p>
    <w:p w14:paraId="3A1C3723" w14:textId="77777777" w:rsidR="00F54ACF" w:rsidRPr="004F788B" w:rsidRDefault="00F54ACF" w:rsidP="00F54ACF">
      <w:pPr>
        <w:pStyle w:val="BodyTextMain"/>
        <w:rPr>
          <w:rFonts w:eastAsia="Calibri"/>
          <w:sz w:val="18"/>
          <w:szCs w:val="18"/>
          <w:lang w:val="en-GB"/>
        </w:rPr>
      </w:pPr>
    </w:p>
    <w:p w14:paraId="677C17E6" w14:textId="77777777" w:rsidR="00F54ACF" w:rsidRPr="005826EF" w:rsidRDefault="00F54ACF" w:rsidP="00F54ACF">
      <w:pPr>
        <w:pStyle w:val="Casehead1"/>
        <w:rPr>
          <w:lang w:val="en-GB"/>
        </w:rPr>
      </w:pPr>
      <w:r w:rsidRPr="005826EF">
        <w:rPr>
          <w:lang w:val="en-GB"/>
        </w:rPr>
        <w:t>BUSINESS SITUATION</w:t>
      </w:r>
    </w:p>
    <w:p w14:paraId="1EADB8C2" w14:textId="77777777" w:rsidR="00F54ACF" w:rsidRPr="004F788B" w:rsidRDefault="00F54ACF" w:rsidP="00F54ACF">
      <w:pPr>
        <w:pStyle w:val="BodyTextMain"/>
        <w:rPr>
          <w:sz w:val="18"/>
          <w:szCs w:val="18"/>
          <w:lang w:val="en-GB"/>
        </w:rPr>
      </w:pPr>
    </w:p>
    <w:p w14:paraId="0995BB07" w14:textId="77777777" w:rsidR="00F54ACF" w:rsidRPr="005826EF" w:rsidRDefault="00F54ACF" w:rsidP="00F54ACF">
      <w:pPr>
        <w:pStyle w:val="Casehead2"/>
        <w:rPr>
          <w:lang w:val="en-GB"/>
        </w:rPr>
      </w:pPr>
      <w:r w:rsidRPr="005826EF">
        <w:rPr>
          <w:lang w:val="en-GB"/>
        </w:rPr>
        <w:t>Company History</w:t>
      </w:r>
    </w:p>
    <w:p w14:paraId="5034B922" w14:textId="77777777" w:rsidR="00F54ACF" w:rsidRPr="004F788B" w:rsidRDefault="00F54ACF" w:rsidP="00F54ACF">
      <w:pPr>
        <w:pStyle w:val="BodyTextMain"/>
        <w:rPr>
          <w:sz w:val="18"/>
          <w:szCs w:val="18"/>
          <w:lang w:val="en-GB"/>
        </w:rPr>
      </w:pPr>
    </w:p>
    <w:p w14:paraId="11AF3308" w14:textId="0ABD216B" w:rsidR="00F54ACF" w:rsidRPr="005826EF" w:rsidRDefault="00F54ACF" w:rsidP="00F54ACF">
      <w:pPr>
        <w:pStyle w:val="BodyTextMain"/>
        <w:rPr>
          <w:rFonts w:eastAsia="Calibri"/>
          <w:lang w:val="en-GB"/>
        </w:rPr>
      </w:pPr>
      <w:r w:rsidRPr="005826EF">
        <w:rPr>
          <w:rFonts w:eastAsia="Calibri"/>
          <w:lang w:val="en-GB"/>
        </w:rPr>
        <w:t>A self-described coffee addict, Hershman was at a loss when the doctor told her to stop drinking coffee for health reasons in 2006. Then</w:t>
      </w:r>
      <w:r w:rsidR="00414110" w:rsidRPr="005826EF">
        <w:rPr>
          <w:rFonts w:eastAsia="Calibri"/>
          <w:lang w:val="en-GB"/>
        </w:rPr>
        <w:t>,</w:t>
      </w:r>
      <w:r w:rsidRPr="005826EF">
        <w:rPr>
          <w:rFonts w:eastAsia="Calibri"/>
          <w:lang w:val="en-GB"/>
        </w:rPr>
        <w:t xml:space="preserve"> a friend introduced her to loose-leaf teas and she was amazed at the difference in how she felt. Hershman threw herself into learning all about teas</w:t>
      </w:r>
      <w:r w:rsidR="00414110" w:rsidRPr="005826EF">
        <w:rPr>
          <w:rFonts w:eastAsia="Calibri"/>
          <w:lang w:val="en-GB"/>
        </w:rPr>
        <w:t xml:space="preserve">. </w:t>
      </w:r>
      <w:r w:rsidRPr="005826EF">
        <w:rPr>
          <w:rFonts w:eastAsia="Calibri"/>
          <w:lang w:val="en-GB"/>
        </w:rPr>
        <w:t>“I investigated, read every book, went to the World Tea Expo, and took classes.” She began to host tea parties, inviting friends to sample various loose-leaf brews and give feedback on what they liked. She gradually shifted from purchasing bulk organic tea from manufacturers to creating her own custom blends.</w:t>
      </w:r>
    </w:p>
    <w:p w14:paraId="0945800B" w14:textId="77777777" w:rsidR="00F54ACF" w:rsidRPr="004F788B" w:rsidRDefault="00F54ACF" w:rsidP="00F54ACF">
      <w:pPr>
        <w:pStyle w:val="BodyTextMain"/>
        <w:rPr>
          <w:rFonts w:eastAsia="Calibri"/>
          <w:sz w:val="18"/>
          <w:szCs w:val="18"/>
          <w:lang w:val="en-GB"/>
        </w:rPr>
      </w:pPr>
    </w:p>
    <w:p w14:paraId="4A4DDA12" w14:textId="7B5501C2" w:rsidR="004F788B" w:rsidRPr="005826EF" w:rsidRDefault="00F54ACF" w:rsidP="00F54ACF">
      <w:pPr>
        <w:pStyle w:val="BodyTextMain"/>
        <w:rPr>
          <w:rFonts w:eastAsia="Calibri"/>
          <w:lang w:val="en-GB"/>
        </w:rPr>
      </w:pPr>
      <w:r w:rsidRPr="005826EF">
        <w:rPr>
          <w:rFonts w:eastAsia="Calibri"/>
          <w:lang w:val="en-GB"/>
        </w:rPr>
        <w:t>When Hershman founded Storehouse Tea in 2007, she began by producing her teas out of a community church kitchen in Bainbridge, O</w:t>
      </w:r>
      <w:r w:rsidR="00DA003B" w:rsidRPr="005826EF">
        <w:rPr>
          <w:rFonts w:eastAsia="Calibri"/>
          <w:lang w:val="en-GB"/>
        </w:rPr>
        <w:t>hio</w:t>
      </w:r>
      <w:r w:rsidRPr="005826EF">
        <w:rPr>
          <w:rFonts w:eastAsia="Calibri"/>
          <w:lang w:val="en-GB"/>
        </w:rPr>
        <w:t xml:space="preserve">, storing her supplies in a warehouse nearby. “I started small and lean and mean, but there were lessons in growing [the company] without a lot of money. I couldn’t make a stupid decision; everything had to be carefully planned out.” </w:t>
      </w:r>
      <w:r w:rsidR="00414110" w:rsidRPr="005826EF">
        <w:rPr>
          <w:rFonts w:eastAsia="Calibri"/>
          <w:lang w:val="en-GB"/>
        </w:rPr>
        <w:t>She took</w:t>
      </w:r>
      <w:r w:rsidRPr="005826EF">
        <w:rPr>
          <w:rFonts w:eastAsia="Calibri"/>
          <w:lang w:val="en-GB"/>
        </w:rPr>
        <w:t xml:space="preserve"> part </w:t>
      </w:r>
      <w:r w:rsidR="00414110" w:rsidRPr="005826EF">
        <w:rPr>
          <w:rFonts w:eastAsia="Calibri"/>
          <w:lang w:val="en-GB"/>
        </w:rPr>
        <w:t>in</w:t>
      </w:r>
      <w:r w:rsidRPr="005826EF">
        <w:rPr>
          <w:rFonts w:eastAsia="Calibri"/>
          <w:lang w:val="en-GB"/>
        </w:rPr>
        <w:t xml:space="preserve"> the first class of Bad Girl </w:t>
      </w:r>
      <w:r w:rsidRPr="005826EF">
        <w:rPr>
          <w:rFonts w:eastAsia="Calibri"/>
          <w:lang w:val="en-GB"/>
        </w:rPr>
        <w:lastRenderedPageBreak/>
        <w:t>Ventures (</w:t>
      </w:r>
      <w:r w:rsidR="00DA003B" w:rsidRPr="005826EF">
        <w:rPr>
          <w:rFonts w:eastAsia="Calibri"/>
          <w:lang w:val="en-GB"/>
        </w:rPr>
        <w:t>later renamed</w:t>
      </w:r>
      <w:r w:rsidRPr="005826EF">
        <w:rPr>
          <w:rFonts w:eastAsia="Calibri"/>
          <w:lang w:val="en-GB"/>
        </w:rPr>
        <w:t xml:space="preserve"> Aviatra Accelerators), an educational</w:t>
      </w:r>
      <w:r w:rsidR="00C76DFF">
        <w:rPr>
          <w:rFonts w:eastAsia="Calibri"/>
          <w:lang w:val="en-GB"/>
        </w:rPr>
        <w:t>,</w:t>
      </w:r>
      <w:r w:rsidRPr="005826EF">
        <w:rPr>
          <w:rFonts w:eastAsia="Calibri"/>
          <w:lang w:val="en-GB"/>
        </w:rPr>
        <w:t xml:space="preserve"> micro-finance</w:t>
      </w:r>
      <w:r w:rsidR="00C76DFF">
        <w:rPr>
          <w:rFonts w:eastAsia="Calibri"/>
          <w:lang w:val="en-GB"/>
        </w:rPr>
        <w:t>,</w:t>
      </w:r>
      <w:r w:rsidRPr="005826EF">
        <w:rPr>
          <w:rFonts w:eastAsia="Calibri"/>
          <w:lang w:val="en-GB"/>
        </w:rPr>
        <w:t xml:space="preserve"> non</w:t>
      </w:r>
      <w:r w:rsidR="00DA003B" w:rsidRPr="005826EF">
        <w:rPr>
          <w:rFonts w:eastAsia="Calibri"/>
          <w:lang w:val="en-GB"/>
        </w:rPr>
        <w:t>-</w:t>
      </w:r>
      <w:r w:rsidRPr="005826EF">
        <w:rPr>
          <w:rFonts w:eastAsia="Calibri"/>
          <w:lang w:val="en-GB"/>
        </w:rPr>
        <w:t xml:space="preserve">profit </w:t>
      </w:r>
      <w:r w:rsidR="00DA003B" w:rsidRPr="005826EF">
        <w:rPr>
          <w:rFonts w:eastAsia="Calibri"/>
          <w:lang w:val="en-GB"/>
        </w:rPr>
        <w:t xml:space="preserve">organization </w:t>
      </w:r>
      <w:r w:rsidRPr="005826EF">
        <w:rPr>
          <w:rFonts w:eastAsia="Calibri"/>
          <w:lang w:val="en-GB"/>
        </w:rPr>
        <w:t>that supported female entrepreneurs</w:t>
      </w:r>
      <w:r w:rsidR="00414110" w:rsidRPr="005826EF">
        <w:rPr>
          <w:rFonts w:eastAsia="Calibri"/>
          <w:lang w:val="en-GB"/>
        </w:rPr>
        <w:t>.</w:t>
      </w:r>
      <w:r w:rsidR="004F788B" w:rsidRPr="005826EF">
        <w:rPr>
          <w:rFonts w:eastAsia="Calibri"/>
          <w:vertAlign w:val="superscript"/>
          <w:lang w:val="en-GB"/>
        </w:rPr>
        <w:footnoteReference w:id="1"/>
      </w:r>
      <w:r w:rsidR="004F788B" w:rsidRPr="005826EF">
        <w:rPr>
          <w:rFonts w:eastAsia="Calibri"/>
          <w:lang w:val="en-GB"/>
        </w:rPr>
        <w:t xml:space="preserve"> Hershman learned valuable lessons there in areas such as finance and accounting, which helped her continue to grow her company. In 2012, she moved to working for Storehouse Tea full-time; soon afterward, Whole Foods started carrying her teas. </w:t>
      </w:r>
    </w:p>
    <w:p w14:paraId="27B3C799" w14:textId="77777777" w:rsidR="004F788B" w:rsidRPr="004F788B" w:rsidRDefault="004F788B" w:rsidP="00F54ACF">
      <w:pPr>
        <w:pStyle w:val="BodyTextMain"/>
        <w:rPr>
          <w:rFonts w:eastAsia="Calibri"/>
          <w:sz w:val="18"/>
          <w:szCs w:val="18"/>
          <w:lang w:val="en-GB"/>
        </w:rPr>
      </w:pPr>
    </w:p>
    <w:p w14:paraId="36FCF101" w14:textId="34B8BDFC" w:rsidR="004F788B" w:rsidRPr="005826EF" w:rsidRDefault="004F788B" w:rsidP="00F54ACF">
      <w:pPr>
        <w:pStyle w:val="BodyTextMain"/>
        <w:rPr>
          <w:rFonts w:eastAsia="Calibri"/>
          <w:lang w:val="en-GB"/>
        </w:rPr>
      </w:pPr>
      <w:r w:rsidRPr="005826EF">
        <w:rPr>
          <w:rFonts w:eastAsia="Calibri"/>
          <w:lang w:val="en-GB"/>
        </w:rPr>
        <w:t>In 2013, Hershman received a loan for $10,000</w:t>
      </w:r>
      <w:r w:rsidRPr="005826EF">
        <w:rPr>
          <w:rStyle w:val="FootnoteReference"/>
          <w:rFonts w:eastAsia="Calibri"/>
          <w:lang w:val="en-GB"/>
        </w:rPr>
        <w:footnoteReference w:id="2"/>
      </w:r>
      <w:r w:rsidRPr="005826EF">
        <w:rPr>
          <w:rFonts w:eastAsia="Calibri"/>
          <w:lang w:val="en-GB"/>
        </w:rPr>
        <w:t xml:space="preserve"> from the Slow Money Institute (Slow), an organization that connected investors and small food enterprises.</w:t>
      </w:r>
      <w:r w:rsidRPr="005826EF">
        <w:rPr>
          <w:rFonts w:eastAsia="Calibri"/>
          <w:vertAlign w:val="superscript"/>
          <w:lang w:val="en-GB"/>
        </w:rPr>
        <w:footnoteReference w:id="3"/>
      </w:r>
      <w:r w:rsidRPr="005826EF">
        <w:rPr>
          <w:rFonts w:eastAsia="Calibri"/>
          <w:lang w:val="en-GB"/>
        </w:rPr>
        <w:t xml:space="preserve"> “The [loan from] Slow was pivotal; it helped us get to the next level,” she noted. Hershman used this funding to move to an upper floor of Cleveland’s Hildebrandt Building in February 2015. The building also housed other entrepreneurs and artisans, and offered a better kitchen set-up, albeit on the main floor. In January 2017, when space opened next to the kitchen, Hershman was quick to move downstairs. Storehouse Tea was becoming more established; product sales in 2016 had surpassed $70,000, with a net profit margin of 17 per cent (see Exhibit 1). Hershman was then ready to consider her next steps in expanding the company.</w:t>
      </w:r>
    </w:p>
    <w:p w14:paraId="20B68496" w14:textId="77777777" w:rsidR="004F788B" w:rsidRPr="004F788B" w:rsidRDefault="004F788B" w:rsidP="00F54ACF">
      <w:pPr>
        <w:pStyle w:val="BodyTextMain"/>
        <w:rPr>
          <w:rFonts w:eastAsia="Calibri"/>
          <w:sz w:val="18"/>
          <w:szCs w:val="18"/>
          <w:lang w:val="en-GB"/>
        </w:rPr>
      </w:pPr>
    </w:p>
    <w:p w14:paraId="15094470" w14:textId="77777777" w:rsidR="004F788B" w:rsidRPr="004F788B" w:rsidRDefault="004F788B" w:rsidP="00F54ACF">
      <w:pPr>
        <w:pStyle w:val="BodyTextMain"/>
        <w:rPr>
          <w:rFonts w:eastAsia="Calibri"/>
          <w:sz w:val="18"/>
          <w:szCs w:val="18"/>
          <w:lang w:val="en-GB"/>
        </w:rPr>
      </w:pPr>
    </w:p>
    <w:p w14:paraId="1F933D47" w14:textId="77777777" w:rsidR="004F788B" w:rsidRPr="005826EF" w:rsidRDefault="004F788B" w:rsidP="00F54ACF">
      <w:pPr>
        <w:pStyle w:val="Casehead2"/>
        <w:rPr>
          <w:lang w:val="en-GB"/>
        </w:rPr>
      </w:pPr>
      <w:r w:rsidRPr="005826EF">
        <w:rPr>
          <w:lang w:val="en-GB"/>
        </w:rPr>
        <w:t>Mission</w:t>
      </w:r>
    </w:p>
    <w:p w14:paraId="6EA2964C" w14:textId="77777777" w:rsidR="004F788B" w:rsidRPr="004F788B" w:rsidRDefault="004F788B" w:rsidP="00F54ACF">
      <w:pPr>
        <w:pStyle w:val="BodyTextMain"/>
        <w:rPr>
          <w:sz w:val="18"/>
          <w:szCs w:val="18"/>
          <w:lang w:val="en-GB"/>
        </w:rPr>
      </w:pPr>
    </w:p>
    <w:p w14:paraId="6E6CC2B7" w14:textId="7DF3686E" w:rsidR="004F788B" w:rsidRPr="005826EF" w:rsidRDefault="004F788B" w:rsidP="00F54ACF">
      <w:pPr>
        <w:pStyle w:val="BodyTextMain"/>
        <w:rPr>
          <w:rFonts w:eastAsia="Calibri"/>
          <w:lang w:val="en-GB"/>
        </w:rPr>
      </w:pPr>
      <w:r w:rsidRPr="005826EF">
        <w:rPr>
          <w:rFonts w:eastAsia="Calibri"/>
          <w:lang w:val="en-GB"/>
        </w:rPr>
        <w:t>Storehouse Tea focused on providing organic, fair trade certified products. Organic farming methods offered a more sustainable alternative to conventional methods, helping to minimize the environmental impact of production.</w:t>
      </w:r>
      <w:r w:rsidRPr="005826EF">
        <w:rPr>
          <w:rFonts w:eastAsia="Calibri"/>
          <w:vertAlign w:val="superscript"/>
          <w:lang w:val="en-GB"/>
        </w:rPr>
        <w:footnoteReference w:id="4"/>
      </w:r>
      <w:r w:rsidRPr="005826EF">
        <w:rPr>
          <w:rFonts w:eastAsia="Calibri"/>
          <w:lang w:val="en-GB"/>
        </w:rPr>
        <w:t xml:space="preserve"> Ingredients sold under the organic label had to meet strict requirements for quality and growing conditions.</w:t>
      </w:r>
      <w:r w:rsidRPr="005826EF">
        <w:rPr>
          <w:rFonts w:eastAsia="Calibri"/>
          <w:vertAlign w:val="superscript"/>
          <w:lang w:val="en-GB"/>
        </w:rPr>
        <w:footnoteReference w:id="5"/>
      </w:r>
      <w:r w:rsidRPr="005826EF">
        <w:rPr>
          <w:rFonts w:eastAsia="Calibri"/>
          <w:lang w:val="en-GB"/>
        </w:rPr>
        <w:t xml:space="preserve"> As a result, organic produce was likely to be of higher quality than conventional produce. A study comparing the quality characteristics of tea grown using organic and conventional farming methods found that organic tea had higher concentrations of compounds linked to quality and higher levels of antioxidants, suggesting that organic tea might offer superior health benefits.</w:t>
      </w:r>
      <w:r w:rsidRPr="005826EF">
        <w:rPr>
          <w:rFonts w:eastAsia="Calibri"/>
          <w:vertAlign w:val="superscript"/>
          <w:lang w:val="en-GB"/>
        </w:rPr>
        <w:footnoteReference w:id="6"/>
      </w:r>
      <w:r w:rsidRPr="005826EF">
        <w:rPr>
          <w:rFonts w:eastAsia="Calibri"/>
          <w:lang w:val="en-GB"/>
        </w:rPr>
        <w:t xml:space="preserve"> </w:t>
      </w:r>
    </w:p>
    <w:p w14:paraId="5D76CFE7" w14:textId="77777777" w:rsidR="004F788B" w:rsidRPr="005826EF" w:rsidRDefault="004F788B" w:rsidP="00F54ACF">
      <w:pPr>
        <w:pStyle w:val="BodyTextMain"/>
        <w:rPr>
          <w:rFonts w:eastAsia="Calibri"/>
          <w:sz w:val="18"/>
          <w:szCs w:val="18"/>
          <w:lang w:val="en-GB"/>
        </w:rPr>
      </w:pPr>
    </w:p>
    <w:p w14:paraId="451B4647" w14:textId="294A4B3C" w:rsidR="004F788B" w:rsidRPr="005826EF" w:rsidRDefault="004F788B" w:rsidP="00F54ACF">
      <w:pPr>
        <w:pStyle w:val="BodyTextMain"/>
        <w:rPr>
          <w:rFonts w:eastAsia="Calibri"/>
          <w:lang w:val="en-GB"/>
        </w:rPr>
      </w:pPr>
      <w:r w:rsidRPr="005826EF">
        <w:rPr>
          <w:rFonts w:eastAsia="Calibri"/>
          <w:lang w:val="en-GB"/>
        </w:rPr>
        <w:t xml:space="preserve">Similarly, fair trade certified producers had to meet rigorous social, environmental, and economic standards. Most conventional tea </w:t>
      </w:r>
      <w:r>
        <w:rPr>
          <w:rFonts w:eastAsia="Calibri"/>
          <w:lang w:val="en-GB"/>
        </w:rPr>
        <w:t xml:space="preserve">grown </w:t>
      </w:r>
      <w:r w:rsidRPr="005826EF">
        <w:rPr>
          <w:rFonts w:eastAsia="Calibri"/>
          <w:lang w:val="en-GB"/>
        </w:rPr>
        <w:t>on large tea plantations or estates was hand</w:t>
      </w:r>
      <w:r>
        <w:rPr>
          <w:rFonts w:eastAsia="Calibri"/>
          <w:lang w:val="en-GB"/>
        </w:rPr>
        <w:t>-</w:t>
      </w:r>
      <w:r w:rsidRPr="005826EF">
        <w:rPr>
          <w:rFonts w:eastAsia="Calibri"/>
          <w:lang w:val="en-GB"/>
        </w:rPr>
        <w:t>picked by workers who often faced harsh conditions</w:t>
      </w:r>
      <w:r>
        <w:rPr>
          <w:rFonts w:eastAsia="Calibri"/>
          <w:lang w:val="en-GB"/>
        </w:rPr>
        <w:t>,</w:t>
      </w:r>
      <w:r w:rsidRPr="005826EF">
        <w:rPr>
          <w:rFonts w:eastAsia="Calibri"/>
          <w:lang w:val="en-GB"/>
        </w:rPr>
        <w:t xml:space="preserve"> including low wages, long working hours, and fractious relationships with the managers of the estate. Fair trade certified farms complied with robust labour standards in return for higher payment: an origin-specific minimum price that helped shield against fluctuations in the market, and a premium given directly to producers to invest in community projects such as farming improvements or education.</w:t>
      </w:r>
      <w:r w:rsidRPr="005826EF">
        <w:rPr>
          <w:rFonts w:eastAsia="Calibri"/>
          <w:vertAlign w:val="superscript"/>
          <w:lang w:val="en-GB"/>
        </w:rPr>
        <w:footnoteReference w:id="7"/>
      </w:r>
      <w:r w:rsidRPr="005826EF">
        <w:rPr>
          <w:rFonts w:eastAsia="Calibri"/>
          <w:lang w:val="en-GB"/>
        </w:rPr>
        <w:t xml:space="preserve"> </w:t>
      </w:r>
    </w:p>
    <w:p w14:paraId="10058400" w14:textId="77777777" w:rsidR="004F788B" w:rsidRPr="005826EF" w:rsidRDefault="004F788B" w:rsidP="00F54ACF">
      <w:pPr>
        <w:pStyle w:val="BodyTextMain"/>
        <w:rPr>
          <w:rFonts w:eastAsia="Calibri"/>
          <w:sz w:val="18"/>
          <w:szCs w:val="18"/>
          <w:lang w:val="en-GB"/>
        </w:rPr>
      </w:pPr>
    </w:p>
    <w:p w14:paraId="28059BDA" w14:textId="673F9914" w:rsidR="004F788B" w:rsidRDefault="004F788B" w:rsidP="00F54ACF">
      <w:pPr>
        <w:pStyle w:val="BodyTextMain"/>
        <w:rPr>
          <w:rFonts w:eastAsia="Calibri"/>
          <w:lang w:val="en-GB"/>
        </w:rPr>
      </w:pPr>
      <w:r w:rsidRPr="005826EF">
        <w:rPr>
          <w:rFonts w:eastAsia="Calibri"/>
          <w:lang w:val="en-GB"/>
        </w:rPr>
        <w:t xml:space="preserve">A 2012 investigation by Oxfam and the Ethical Tea Partnership found that although fair trade certification had little effect on wage levels, it provided additional benefits to workers, such as the social premium (which could amount to thousands of dollars in community development funds). In addition, fair trade certification benefited smaller companies </w:t>
      </w:r>
      <w:r>
        <w:rPr>
          <w:rFonts w:eastAsia="Calibri"/>
          <w:lang w:val="en-GB"/>
        </w:rPr>
        <w:t>that</w:t>
      </w:r>
      <w:r w:rsidRPr="005826EF">
        <w:rPr>
          <w:rFonts w:eastAsia="Calibri"/>
          <w:lang w:val="en-GB"/>
        </w:rPr>
        <w:t xml:space="preserve"> lacked the resources to develop their own auditing and certification schemes. For companies </w:t>
      </w:r>
      <w:r>
        <w:rPr>
          <w:rFonts w:eastAsia="Calibri"/>
          <w:lang w:val="en-GB"/>
        </w:rPr>
        <w:t>such as</w:t>
      </w:r>
      <w:r w:rsidRPr="005826EF">
        <w:rPr>
          <w:rFonts w:eastAsia="Calibri"/>
          <w:lang w:val="en-GB"/>
        </w:rPr>
        <w:t xml:space="preserve"> Storehouse Tea, fair trade certification helped to ensure that their positive impact was consistent throughout their value chain.</w:t>
      </w:r>
      <w:r w:rsidRPr="005826EF">
        <w:rPr>
          <w:rFonts w:eastAsia="Calibri"/>
          <w:vertAlign w:val="superscript"/>
          <w:lang w:val="en-GB"/>
        </w:rPr>
        <w:footnoteReference w:id="8"/>
      </w:r>
      <w:r w:rsidRPr="005826EF">
        <w:rPr>
          <w:rFonts w:eastAsia="Calibri"/>
          <w:lang w:val="en-GB"/>
        </w:rPr>
        <w:t xml:space="preserve"> Hershman noted, “It wouldn’t feel right to me to not have an ethical business from start to finish.”</w:t>
      </w:r>
    </w:p>
    <w:p w14:paraId="3212C0A3" w14:textId="2CF60825" w:rsidR="004F788B" w:rsidRPr="004F788B" w:rsidRDefault="004F788B" w:rsidP="00F54ACF">
      <w:pPr>
        <w:pStyle w:val="BodyTextMain"/>
        <w:rPr>
          <w:rFonts w:eastAsia="Calibri"/>
          <w:sz w:val="18"/>
          <w:szCs w:val="18"/>
          <w:lang w:val="en-GB"/>
        </w:rPr>
      </w:pPr>
    </w:p>
    <w:p w14:paraId="14750063" w14:textId="32AFF855" w:rsidR="004F788B" w:rsidRPr="005826EF" w:rsidRDefault="004F788B" w:rsidP="00F54ACF">
      <w:pPr>
        <w:pStyle w:val="BodyTextMain"/>
        <w:rPr>
          <w:rFonts w:eastAsia="Calibri"/>
          <w:lang w:val="en-GB"/>
        </w:rPr>
      </w:pPr>
      <w:r w:rsidRPr="005826EF">
        <w:rPr>
          <w:rFonts w:eastAsia="Calibri"/>
          <w:lang w:val="en-GB"/>
        </w:rPr>
        <w:lastRenderedPageBreak/>
        <w:t>From the very beginning, Hershman had wanted to build a company that would have a positive social impact at home as well as overseas. “I really believe that if you set out to do something good and right, the money will come,” she said. She saw a need for decent work among Cleveland’s growing refugee population. Between 2000 and 2016, nearly 5,000 refugees had arrived in Cuyahoga County, where Storehouse Tea was located.</w:t>
      </w:r>
      <w:r w:rsidRPr="005826EF">
        <w:rPr>
          <w:rFonts w:eastAsia="Calibri"/>
          <w:vertAlign w:val="superscript"/>
          <w:lang w:val="en-GB"/>
        </w:rPr>
        <w:footnoteReference w:id="9"/>
      </w:r>
      <w:r w:rsidRPr="005826EF">
        <w:rPr>
          <w:rFonts w:eastAsia="Calibri"/>
          <w:lang w:val="en-GB"/>
        </w:rPr>
        <w:t xml:space="preserve"> </w:t>
      </w:r>
      <w:r>
        <w:rPr>
          <w:rFonts w:eastAsia="Calibri"/>
          <w:lang w:val="en-GB"/>
        </w:rPr>
        <w:t>When seeking good employment, r</w:t>
      </w:r>
      <w:r w:rsidRPr="005826EF">
        <w:rPr>
          <w:rFonts w:eastAsia="Calibri"/>
          <w:lang w:val="en-GB"/>
        </w:rPr>
        <w:t>efugees faced additional challenges, such as language barriers, lack of transportation, and cultural expectations. Working with US Together, an Ohio-based resettlement agency,</w:t>
      </w:r>
      <w:r w:rsidRPr="005826EF">
        <w:rPr>
          <w:rFonts w:eastAsia="Calibri"/>
          <w:vertAlign w:val="superscript"/>
          <w:lang w:val="en-GB"/>
        </w:rPr>
        <w:footnoteReference w:id="10"/>
      </w:r>
      <w:r w:rsidRPr="005826EF">
        <w:rPr>
          <w:rFonts w:eastAsia="Calibri"/>
          <w:lang w:val="en-GB"/>
        </w:rPr>
        <w:t xml:space="preserve"> Hershman hired several refugee women to assist in blending and packaging the teas. “It’s just because that’s what I want to do—hire people that need the help. With our business it totally fits, as an international business with ingredients from all around the world. I think people need to understand the connection; it’s a business model that comes full circle.” </w:t>
      </w:r>
    </w:p>
    <w:p w14:paraId="679CA144" w14:textId="77777777" w:rsidR="004F788B" w:rsidRPr="005826EF" w:rsidRDefault="004F788B" w:rsidP="00F54ACF">
      <w:pPr>
        <w:pStyle w:val="BodyTextMain"/>
        <w:rPr>
          <w:rFonts w:eastAsia="Calibri"/>
          <w:sz w:val="18"/>
          <w:szCs w:val="18"/>
          <w:lang w:val="en-GB"/>
        </w:rPr>
      </w:pPr>
    </w:p>
    <w:p w14:paraId="7EE39C98" w14:textId="77777777" w:rsidR="004F788B" w:rsidRPr="005826EF" w:rsidRDefault="004F788B" w:rsidP="00F54ACF">
      <w:pPr>
        <w:pStyle w:val="BodyTextMain"/>
        <w:rPr>
          <w:rFonts w:eastAsia="Calibri"/>
          <w:lang w:val="en-GB"/>
        </w:rPr>
      </w:pPr>
      <w:r w:rsidRPr="005826EF">
        <w:rPr>
          <w:rFonts w:eastAsia="Calibri"/>
          <w:lang w:val="en-GB"/>
        </w:rPr>
        <w:t>Hershman also partnered with Back to Jerusalem, an evangelical movement of the Chinese Christian church, to create private-label teas. Sales of this product line supported a school for Yazidi children in a refugee camp in northern Iraq.</w:t>
      </w:r>
      <w:r w:rsidRPr="005826EF">
        <w:rPr>
          <w:rFonts w:eastAsia="Calibri"/>
          <w:vertAlign w:val="superscript"/>
          <w:lang w:val="en-GB"/>
        </w:rPr>
        <w:footnoteReference w:id="11"/>
      </w:r>
      <w:r w:rsidRPr="005826EF">
        <w:rPr>
          <w:rFonts w:eastAsia="Calibri"/>
          <w:lang w:val="en-GB"/>
        </w:rPr>
        <w:t xml:space="preserve"> </w:t>
      </w:r>
    </w:p>
    <w:p w14:paraId="7CFB6CD3" w14:textId="77777777" w:rsidR="004F788B" w:rsidRPr="005826EF" w:rsidRDefault="004F788B" w:rsidP="00F54ACF">
      <w:pPr>
        <w:pStyle w:val="BodyTextMain"/>
        <w:rPr>
          <w:rFonts w:eastAsia="Calibri"/>
          <w:sz w:val="18"/>
          <w:szCs w:val="18"/>
          <w:lang w:val="en-GB"/>
        </w:rPr>
      </w:pPr>
    </w:p>
    <w:p w14:paraId="548AD35C" w14:textId="77777777" w:rsidR="004F788B" w:rsidRPr="005826EF" w:rsidRDefault="004F788B" w:rsidP="00F54ACF">
      <w:pPr>
        <w:pStyle w:val="BodyTextMain"/>
        <w:rPr>
          <w:rFonts w:eastAsia="Calibri"/>
          <w:sz w:val="18"/>
          <w:szCs w:val="18"/>
          <w:lang w:val="en-GB"/>
        </w:rPr>
      </w:pPr>
    </w:p>
    <w:p w14:paraId="6CDB623C" w14:textId="77777777" w:rsidR="004F788B" w:rsidRPr="005826EF" w:rsidRDefault="004F788B" w:rsidP="00F54ACF">
      <w:pPr>
        <w:pStyle w:val="Casehead1"/>
        <w:rPr>
          <w:lang w:val="en-GB"/>
        </w:rPr>
      </w:pPr>
      <w:r w:rsidRPr="005826EF">
        <w:rPr>
          <w:lang w:val="en-GB"/>
        </w:rPr>
        <w:t>PRODUCTS</w:t>
      </w:r>
    </w:p>
    <w:p w14:paraId="375494A1" w14:textId="77777777" w:rsidR="004F788B" w:rsidRPr="005826EF" w:rsidRDefault="004F788B" w:rsidP="00F54ACF">
      <w:pPr>
        <w:pStyle w:val="BodyTextMain"/>
        <w:rPr>
          <w:sz w:val="18"/>
          <w:szCs w:val="18"/>
          <w:lang w:val="en-GB"/>
        </w:rPr>
      </w:pPr>
    </w:p>
    <w:p w14:paraId="42D6AFA4" w14:textId="67D60E46" w:rsidR="004F788B" w:rsidRPr="005826EF" w:rsidRDefault="004F788B" w:rsidP="00F54ACF">
      <w:pPr>
        <w:pStyle w:val="BodyTextMain"/>
        <w:rPr>
          <w:rFonts w:eastAsia="Calibri"/>
          <w:lang w:val="en-GB"/>
        </w:rPr>
      </w:pPr>
      <w:r w:rsidRPr="005826EF">
        <w:rPr>
          <w:rFonts w:eastAsia="Calibri"/>
          <w:lang w:val="en-GB"/>
        </w:rPr>
        <w:t>Storehouse Tea sold more than 50 different blends of high-quality</w:t>
      </w:r>
      <w:r w:rsidR="00C76DFF">
        <w:rPr>
          <w:rFonts w:eastAsia="Calibri"/>
          <w:lang w:val="en-GB"/>
        </w:rPr>
        <w:t>,</w:t>
      </w:r>
      <w:r w:rsidRPr="005826EF">
        <w:rPr>
          <w:rFonts w:eastAsia="Calibri"/>
          <w:lang w:val="en-GB"/>
        </w:rPr>
        <w:t xml:space="preserve"> loose-leaf teas, ranging from traditional white, green, oolong, and black teas, to the more exotic yerba mate, guayusa, and rooibos teas.</w:t>
      </w:r>
      <w:r w:rsidRPr="005826EF">
        <w:rPr>
          <w:rFonts w:eastAsia="Calibri"/>
          <w:vertAlign w:val="superscript"/>
          <w:lang w:val="en-GB"/>
        </w:rPr>
        <w:footnoteReference w:id="12"/>
      </w:r>
      <w:r w:rsidRPr="005826EF">
        <w:rPr>
          <w:rFonts w:eastAsia="Calibri"/>
          <w:lang w:val="en-GB"/>
        </w:rPr>
        <w:t xml:space="preserve"> In addition, th</w:t>
      </w:r>
      <w:r w:rsidR="00C76DFF">
        <w:rPr>
          <w:rFonts w:eastAsia="Calibri"/>
          <w:lang w:val="en-GB"/>
        </w:rPr>
        <w:t>e company offered mini samplers;</w:t>
      </w:r>
      <w:r w:rsidRPr="005826EF">
        <w:rPr>
          <w:rFonts w:eastAsia="Calibri"/>
          <w:lang w:val="en-GB"/>
        </w:rPr>
        <w:t xml:space="preserve"> members</w:t>
      </w:r>
      <w:r w:rsidR="00C76DFF">
        <w:rPr>
          <w:rFonts w:eastAsia="Calibri"/>
          <w:lang w:val="en-GB"/>
        </w:rPr>
        <w:t>hips to a tea-of-the-month club;</w:t>
      </w:r>
      <w:r w:rsidRPr="005826EF">
        <w:rPr>
          <w:rFonts w:eastAsia="Calibri"/>
          <w:lang w:val="en-GB"/>
        </w:rPr>
        <w:t xml:space="preserve"> and teaware items such as teapots, strainers, and mugs. Storehouse Tea focused its procurement strategy on freshness. The company purchased ingredients in small lots from individual producers and relied on quick turnover. In addition, the company’s focus on providing organic and fair trade certified teas helped to ensure both high quality and fair labour practices throughout the supply chain.</w:t>
      </w:r>
    </w:p>
    <w:p w14:paraId="411D0789" w14:textId="77777777" w:rsidR="004F788B" w:rsidRPr="005826EF" w:rsidRDefault="004F788B" w:rsidP="00F54ACF">
      <w:pPr>
        <w:pStyle w:val="BodyTextMain"/>
        <w:rPr>
          <w:rFonts w:eastAsia="Calibri"/>
          <w:sz w:val="16"/>
          <w:szCs w:val="16"/>
          <w:lang w:val="en-GB"/>
        </w:rPr>
      </w:pPr>
    </w:p>
    <w:p w14:paraId="11B6EE43" w14:textId="2333C1F1" w:rsidR="004F788B" w:rsidRPr="005826EF" w:rsidRDefault="004F788B" w:rsidP="00F54ACF">
      <w:pPr>
        <w:pStyle w:val="BodyTextMain"/>
        <w:rPr>
          <w:rFonts w:eastAsia="Calibri"/>
          <w:lang w:val="en-GB"/>
        </w:rPr>
      </w:pPr>
      <w:r w:rsidRPr="005826EF">
        <w:rPr>
          <w:rFonts w:eastAsia="Calibri"/>
          <w:lang w:val="en-GB"/>
        </w:rPr>
        <w:t xml:space="preserve">Hershman was considering several potential product extensions that included tea as a key ingredient. Products such as spice rubs, tea soaps, </w:t>
      </w:r>
      <w:r>
        <w:rPr>
          <w:rFonts w:eastAsia="Calibri"/>
          <w:lang w:val="en-GB"/>
        </w:rPr>
        <w:t>and</w:t>
      </w:r>
      <w:r w:rsidRPr="005826EF">
        <w:rPr>
          <w:rFonts w:eastAsia="Calibri"/>
          <w:lang w:val="en-GB"/>
        </w:rPr>
        <w:t xml:space="preserve"> craft cocktails offered new ways to highlight Storehouse Tea’s high-quality teas. The company was currently developing a tea cookie kit that would include a sugar cookie mix packaged with a foil packet of loose-leaf tea to be used as flavouring. Initially, Hershman planned to purchase </w:t>
      </w:r>
      <w:r>
        <w:rPr>
          <w:rFonts w:eastAsia="Calibri"/>
          <w:lang w:val="en-GB"/>
        </w:rPr>
        <w:t>premade</w:t>
      </w:r>
      <w:r w:rsidRPr="005826EF">
        <w:rPr>
          <w:rFonts w:eastAsia="Calibri"/>
          <w:lang w:val="en-GB"/>
        </w:rPr>
        <w:t xml:space="preserve"> cookie mix</w:t>
      </w:r>
      <w:r>
        <w:rPr>
          <w:rFonts w:eastAsia="Calibri"/>
          <w:lang w:val="en-GB"/>
        </w:rPr>
        <w:t>es</w:t>
      </w:r>
      <w:r w:rsidRPr="005826EF">
        <w:rPr>
          <w:rFonts w:eastAsia="Calibri"/>
          <w:lang w:val="en-GB"/>
        </w:rPr>
        <w:t xml:space="preserve">, although she hoped that Storehouse Tea could eventually move to in-house production. Although the company was still in its early experimentation phase, Hershman wondered </w:t>
      </w:r>
      <w:r>
        <w:rPr>
          <w:rFonts w:eastAsia="Calibri"/>
          <w:lang w:val="en-GB"/>
        </w:rPr>
        <w:t>whether</w:t>
      </w:r>
      <w:r w:rsidRPr="005826EF">
        <w:rPr>
          <w:rFonts w:eastAsia="Calibri"/>
          <w:lang w:val="en-GB"/>
        </w:rPr>
        <w:t xml:space="preserve"> product extensions might provide a new influx of growth.</w:t>
      </w:r>
    </w:p>
    <w:p w14:paraId="31DF2B80" w14:textId="77777777" w:rsidR="004F788B" w:rsidRPr="005826EF" w:rsidRDefault="004F788B" w:rsidP="000E17EF">
      <w:pPr>
        <w:pStyle w:val="BodyTextMain"/>
        <w:rPr>
          <w:rFonts w:eastAsia="Calibri"/>
          <w:sz w:val="16"/>
          <w:szCs w:val="16"/>
          <w:lang w:val="en-GB"/>
        </w:rPr>
      </w:pPr>
    </w:p>
    <w:p w14:paraId="599498F4" w14:textId="77777777" w:rsidR="004F788B" w:rsidRPr="005826EF" w:rsidRDefault="004F788B" w:rsidP="000E17EF">
      <w:pPr>
        <w:pStyle w:val="BodyTextMain"/>
        <w:rPr>
          <w:rFonts w:eastAsia="Calibri"/>
          <w:sz w:val="16"/>
          <w:szCs w:val="16"/>
          <w:lang w:val="en-GB"/>
        </w:rPr>
      </w:pPr>
    </w:p>
    <w:p w14:paraId="34BC9F1C" w14:textId="77777777" w:rsidR="004F788B" w:rsidRPr="005826EF" w:rsidRDefault="004F788B" w:rsidP="00F54ACF">
      <w:pPr>
        <w:pStyle w:val="Casehead1"/>
        <w:rPr>
          <w:lang w:val="en-GB"/>
        </w:rPr>
      </w:pPr>
      <w:r w:rsidRPr="005826EF">
        <w:rPr>
          <w:lang w:val="en-GB"/>
        </w:rPr>
        <w:t>BUYERS</w:t>
      </w:r>
    </w:p>
    <w:p w14:paraId="4330C02D" w14:textId="77777777" w:rsidR="004F788B" w:rsidRPr="005826EF" w:rsidRDefault="004F788B" w:rsidP="00F54ACF">
      <w:pPr>
        <w:pStyle w:val="BodyTextMain"/>
        <w:rPr>
          <w:sz w:val="16"/>
          <w:szCs w:val="16"/>
          <w:lang w:val="en-GB"/>
        </w:rPr>
      </w:pPr>
    </w:p>
    <w:p w14:paraId="4049515E" w14:textId="13A40E06" w:rsidR="004F788B" w:rsidRDefault="004F788B" w:rsidP="00F54ACF">
      <w:pPr>
        <w:pStyle w:val="BodyTextMain"/>
        <w:rPr>
          <w:rFonts w:eastAsia="Calibri"/>
          <w:lang w:val="en-GB"/>
        </w:rPr>
      </w:pPr>
      <w:r w:rsidRPr="005826EF">
        <w:rPr>
          <w:rFonts w:eastAsia="Calibri"/>
          <w:lang w:val="en-GB"/>
        </w:rPr>
        <w:t>Storehouse Tea sold some products directly to consumers. However, sales to other businesses represented an important part of the company’s revenues. For example, coffee shops and restaurants purchased tea in bulk to serve in their venues. Retailers such as grocery stores or specialty gift shops, on the other hand, would purchase packaged teas that they could resell with a price markup. Storehouse Tea’s direct channels included the company storefront (open one day per week), farmers</w:t>
      </w:r>
      <w:r>
        <w:rPr>
          <w:rFonts w:eastAsia="Calibri"/>
          <w:lang w:val="en-GB"/>
        </w:rPr>
        <w:t>’</w:t>
      </w:r>
      <w:r w:rsidRPr="005826EF">
        <w:rPr>
          <w:rFonts w:eastAsia="Calibri"/>
          <w:lang w:val="en-GB"/>
        </w:rPr>
        <w:t xml:space="preserve"> markets, booths at special events, and the company website. Hershman had also accepted several private-label contracts, but wondered how to focus her efforts. She thought she could try to expand </w:t>
      </w:r>
      <w:r>
        <w:rPr>
          <w:rFonts w:eastAsia="Calibri"/>
          <w:lang w:val="en-GB"/>
        </w:rPr>
        <w:t xml:space="preserve">the </w:t>
      </w:r>
      <w:r w:rsidRPr="005826EF">
        <w:rPr>
          <w:rFonts w:eastAsia="Calibri"/>
          <w:lang w:val="en-GB"/>
        </w:rPr>
        <w:t xml:space="preserve">direct-to-consumer sales, where margins were higher. Alternatively, the business-to-business market could offer stronger potential for growth, she thought. However, she </w:t>
      </w:r>
      <w:r>
        <w:rPr>
          <w:rFonts w:eastAsia="Calibri"/>
          <w:lang w:val="en-GB"/>
        </w:rPr>
        <w:t>needed</w:t>
      </w:r>
      <w:r w:rsidRPr="005826EF">
        <w:rPr>
          <w:rFonts w:eastAsia="Calibri"/>
          <w:lang w:val="en-GB"/>
        </w:rPr>
        <w:t xml:space="preserve"> to decide whether to target the intermediaries who sold brewed teas or those who provided packaged tea leaves for consumers to prepare at home.</w:t>
      </w:r>
    </w:p>
    <w:p w14:paraId="7E4E9682" w14:textId="1895AE0D" w:rsidR="004F788B" w:rsidRPr="005826EF" w:rsidRDefault="004F788B" w:rsidP="00F54ACF">
      <w:pPr>
        <w:pStyle w:val="BodyTextMain"/>
        <w:rPr>
          <w:rFonts w:eastAsia="Calibri"/>
          <w:lang w:val="en-GB"/>
        </w:rPr>
      </w:pPr>
      <w:r w:rsidRPr="005826EF">
        <w:rPr>
          <w:rFonts w:eastAsia="Calibri"/>
          <w:lang w:val="en-GB"/>
        </w:rPr>
        <w:lastRenderedPageBreak/>
        <w:t xml:space="preserve">One option would be to target larger accounts, including hospitals, college campuses, </w:t>
      </w:r>
      <w:r>
        <w:rPr>
          <w:rFonts w:eastAsia="Calibri"/>
          <w:lang w:val="en-GB"/>
        </w:rPr>
        <w:t>and</w:t>
      </w:r>
      <w:r w:rsidRPr="005826EF">
        <w:rPr>
          <w:rFonts w:eastAsia="Calibri"/>
          <w:lang w:val="en-GB"/>
        </w:rPr>
        <w:t xml:space="preserve"> catering companies. Food service contracts tended to be lucrative and could help the company become more established by exposing many more consumers to the teas. However, loose-leaf tea was not well-suited </w:t>
      </w:r>
      <w:r>
        <w:rPr>
          <w:rFonts w:eastAsia="Calibri"/>
          <w:lang w:val="en-GB"/>
        </w:rPr>
        <w:t>to</w:t>
      </w:r>
      <w:r w:rsidRPr="005826EF">
        <w:rPr>
          <w:rFonts w:eastAsia="Calibri"/>
          <w:lang w:val="en-GB"/>
        </w:rPr>
        <w:t xml:space="preserve"> high-volume applications. </w:t>
      </w:r>
      <w:r>
        <w:rPr>
          <w:rFonts w:eastAsia="Calibri"/>
          <w:lang w:val="en-GB"/>
        </w:rPr>
        <w:t xml:space="preserve">To serve these customers, </w:t>
      </w:r>
      <w:r w:rsidRPr="005826EF">
        <w:rPr>
          <w:rFonts w:eastAsia="Calibri"/>
          <w:lang w:val="en-GB"/>
        </w:rPr>
        <w:t>Hershman would likely need to invest in a tea-bagging machine</w:t>
      </w:r>
      <w:r>
        <w:rPr>
          <w:rFonts w:eastAsia="Calibri"/>
          <w:lang w:val="en-GB"/>
        </w:rPr>
        <w:t>; however, doing so would mean</w:t>
      </w:r>
      <w:r w:rsidRPr="005826EF">
        <w:rPr>
          <w:rFonts w:eastAsia="Calibri"/>
          <w:lang w:val="en-GB"/>
        </w:rPr>
        <w:t xml:space="preserve"> a considerable investment that could require Hershman to seek a business loan or additional outside investment. She was not sure whether selling bagged teas represented a necessary next step to expand beyond her niche market, or whether this path led away from Storehouse Tea’s positioning as a high-quality brand.</w:t>
      </w:r>
    </w:p>
    <w:p w14:paraId="27F0F216" w14:textId="77777777" w:rsidR="004F788B" w:rsidRPr="004F788B" w:rsidRDefault="004F788B" w:rsidP="00F54ACF">
      <w:pPr>
        <w:pStyle w:val="BodyTextMain"/>
        <w:rPr>
          <w:rFonts w:eastAsia="Calibri"/>
          <w:sz w:val="18"/>
          <w:szCs w:val="18"/>
          <w:lang w:val="en-GB"/>
        </w:rPr>
      </w:pPr>
    </w:p>
    <w:p w14:paraId="61840F61" w14:textId="509F9DD0" w:rsidR="004F788B" w:rsidRPr="005826EF" w:rsidRDefault="004F788B" w:rsidP="00F54ACF">
      <w:pPr>
        <w:pStyle w:val="BodyTextMain"/>
        <w:rPr>
          <w:rFonts w:eastAsia="Calibri"/>
          <w:lang w:val="en-GB"/>
        </w:rPr>
      </w:pPr>
      <w:r w:rsidRPr="005826EF">
        <w:rPr>
          <w:rFonts w:eastAsia="Calibri"/>
          <w:lang w:val="en-GB"/>
        </w:rPr>
        <w:t>Geographic expansion represented another potential growth opportunity. Hershman hoped to eventually expand beyond Ohio. “The Mid-Atlantic is a good region for us—Cleveland is more East Coast than Midwest. For us, it’s more affordable to be a company producing out of Cleveland, Ohio; our margins are better here.” Ohio was starting to attract more interest in tea, but it lagged behind the Mid-Atlantic region, where people consumed 15 per cent more tea than the national average (see Exhibit 2).</w:t>
      </w:r>
      <w:r w:rsidRPr="005826EF">
        <w:rPr>
          <w:rFonts w:eastAsia="Calibri"/>
          <w:vertAlign w:val="superscript"/>
          <w:lang w:val="en-GB"/>
        </w:rPr>
        <w:footnoteReference w:id="13"/>
      </w:r>
      <w:r w:rsidRPr="005826EF">
        <w:rPr>
          <w:rFonts w:eastAsia="Calibri"/>
          <w:lang w:val="en-GB"/>
        </w:rPr>
        <w:t xml:space="preserve"> Storehouse Tea could find greater acceptance in the Mid-Atlantic, but it would also face greater competition. Distribution costs and logistical complications would also increase with distance from the company’s headquarters. </w:t>
      </w:r>
    </w:p>
    <w:p w14:paraId="224EF0D4" w14:textId="77777777" w:rsidR="004F788B" w:rsidRPr="004F788B" w:rsidRDefault="004F788B" w:rsidP="00F54ACF">
      <w:pPr>
        <w:pStyle w:val="BodyTextMain"/>
        <w:rPr>
          <w:rFonts w:eastAsia="Calibri"/>
          <w:sz w:val="18"/>
          <w:szCs w:val="18"/>
          <w:lang w:val="en-GB"/>
        </w:rPr>
      </w:pPr>
    </w:p>
    <w:p w14:paraId="4979C0C5" w14:textId="77777777" w:rsidR="004F788B" w:rsidRPr="004F788B" w:rsidRDefault="004F788B" w:rsidP="00F54ACF">
      <w:pPr>
        <w:pStyle w:val="BodyTextMain"/>
        <w:rPr>
          <w:rFonts w:eastAsia="Calibri"/>
          <w:sz w:val="18"/>
          <w:szCs w:val="18"/>
          <w:lang w:val="en-GB"/>
        </w:rPr>
      </w:pPr>
    </w:p>
    <w:p w14:paraId="5EE5118B" w14:textId="77777777" w:rsidR="004F788B" w:rsidRPr="005826EF" w:rsidRDefault="004F788B" w:rsidP="00F54ACF">
      <w:pPr>
        <w:pStyle w:val="Casehead1"/>
        <w:rPr>
          <w:lang w:val="en-GB"/>
        </w:rPr>
      </w:pPr>
      <w:r w:rsidRPr="005826EF">
        <w:rPr>
          <w:lang w:val="en-GB"/>
        </w:rPr>
        <w:t>MARKETING</w:t>
      </w:r>
    </w:p>
    <w:p w14:paraId="14DEE262" w14:textId="77777777" w:rsidR="004F788B" w:rsidRPr="004F788B" w:rsidRDefault="004F788B" w:rsidP="00F54ACF">
      <w:pPr>
        <w:pStyle w:val="BodyTextMain"/>
        <w:rPr>
          <w:sz w:val="18"/>
          <w:szCs w:val="18"/>
          <w:lang w:val="en-GB"/>
        </w:rPr>
      </w:pPr>
    </w:p>
    <w:p w14:paraId="459F77C2" w14:textId="4142EE68" w:rsidR="004F788B" w:rsidRPr="005826EF" w:rsidRDefault="004F788B" w:rsidP="00F54ACF">
      <w:pPr>
        <w:pStyle w:val="BodyTextMain"/>
        <w:rPr>
          <w:rFonts w:eastAsia="Calibri"/>
          <w:spacing w:val="-2"/>
          <w:kern w:val="22"/>
          <w:lang w:val="en-GB"/>
        </w:rPr>
      </w:pPr>
      <w:r w:rsidRPr="005826EF">
        <w:rPr>
          <w:rFonts w:eastAsia="Calibri"/>
          <w:spacing w:val="-2"/>
          <w:kern w:val="22"/>
          <w:lang w:val="en-GB"/>
        </w:rPr>
        <w:t>Storehouse Tea’s defining characteristics—the premium quality of its teas, its positive social impact, and its focus on organic sourcing—tended to resonate most with customer subsets such as tea connoisseurs, organic grocery shoppers, and millennials. In addition, surveys showed that those likely to prefer tea were women</w:t>
      </w:r>
      <w:r>
        <w:rPr>
          <w:rFonts w:eastAsia="Calibri"/>
          <w:spacing w:val="-2"/>
          <w:kern w:val="22"/>
          <w:lang w:val="en-GB"/>
        </w:rPr>
        <w:t>,</w:t>
      </w:r>
      <w:r w:rsidRPr="005826EF">
        <w:rPr>
          <w:rFonts w:eastAsia="Calibri"/>
          <w:spacing w:val="-2"/>
          <w:kern w:val="22"/>
          <w:lang w:val="en-GB"/>
        </w:rPr>
        <w:t xml:space="preserve"> and those between ages 25 and 44.</w:t>
      </w:r>
      <w:r w:rsidRPr="005826EF">
        <w:rPr>
          <w:rFonts w:eastAsia="Calibri"/>
          <w:spacing w:val="-2"/>
          <w:kern w:val="22"/>
          <w:vertAlign w:val="superscript"/>
          <w:lang w:val="en-GB"/>
        </w:rPr>
        <w:footnoteReference w:id="14"/>
      </w:r>
      <w:r w:rsidRPr="005826EF">
        <w:rPr>
          <w:rFonts w:eastAsia="Calibri"/>
          <w:spacing w:val="-2"/>
          <w:kern w:val="22"/>
          <w:lang w:val="en-GB"/>
        </w:rPr>
        <w:t xml:space="preserve"> Hershman wondered which of these segments (or others) offered the greatest potential. How might she target the customers who would find her products most appealing?</w:t>
      </w:r>
    </w:p>
    <w:p w14:paraId="11C2231F" w14:textId="77777777" w:rsidR="004F788B" w:rsidRPr="004F788B" w:rsidRDefault="004F788B" w:rsidP="00F54ACF">
      <w:pPr>
        <w:pStyle w:val="BodyTextMain"/>
        <w:rPr>
          <w:rFonts w:eastAsia="Calibri"/>
          <w:sz w:val="18"/>
          <w:szCs w:val="18"/>
          <w:lang w:val="en-GB"/>
        </w:rPr>
      </w:pPr>
    </w:p>
    <w:p w14:paraId="5FCA2757" w14:textId="3FC0E2C6" w:rsidR="004F788B" w:rsidRPr="005826EF" w:rsidRDefault="004F788B" w:rsidP="00F54ACF">
      <w:pPr>
        <w:pStyle w:val="BodyTextMain"/>
        <w:rPr>
          <w:rFonts w:eastAsia="Calibri"/>
          <w:lang w:val="en-GB"/>
        </w:rPr>
      </w:pPr>
      <w:r w:rsidRPr="005826EF">
        <w:rPr>
          <w:rFonts w:eastAsia="Calibri"/>
          <w:lang w:val="en-GB"/>
        </w:rPr>
        <w:t xml:space="preserve">One option was for Storehouse Tea to focus its marketing communications on conveying the unique benefits of its teas. For example, certain industries (such as fine chocolates </w:t>
      </w:r>
      <w:r>
        <w:rPr>
          <w:rFonts w:eastAsia="Calibri"/>
          <w:lang w:val="en-GB"/>
        </w:rPr>
        <w:t>and</w:t>
      </w:r>
      <w:r w:rsidRPr="005826EF">
        <w:rPr>
          <w:rFonts w:eastAsia="Calibri"/>
          <w:lang w:val="en-GB"/>
        </w:rPr>
        <w:t xml:space="preserve"> olive oils) had begun to emphasize the sources of their ingredients as part of their high-quality distinction. Similarly, Storehouse Tea could direct customer attention to the provenance of its teas. Steven Smith Teamaker, a tea company in Oregon, provided a code on each package of tea that customers could enter into the company’s website to look up the source of the ingredients in that particular batch.</w:t>
      </w:r>
      <w:r w:rsidRPr="005826EF">
        <w:rPr>
          <w:rFonts w:eastAsia="Calibri"/>
          <w:vertAlign w:val="superscript"/>
          <w:lang w:val="en-GB"/>
        </w:rPr>
        <w:footnoteReference w:id="15"/>
      </w:r>
      <w:r w:rsidRPr="005826EF">
        <w:rPr>
          <w:rFonts w:eastAsia="Calibri"/>
          <w:lang w:val="en-GB"/>
        </w:rPr>
        <w:t xml:space="preserve"> Storehouse Tea could similarly try to take advantage of increasing consumer interest in knowing the sources of products.</w:t>
      </w:r>
    </w:p>
    <w:p w14:paraId="69540E98" w14:textId="77777777" w:rsidR="004F788B" w:rsidRPr="004F788B" w:rsidRDefault="004F788B" w:rsidP="00F54ACF">
      <w:pPr>
        <w:pStyle w:val="BodyTextMain"/>
        <w:rPr>
          <w:rFonts w:eastAsia="Calibri"/>
          <w:sz w:val="18"/>
          <w:szCs w:val="18"/>
          <w:lang w:val="en-GB"/>
        </w:rPr>
      </w:pPr>
    </w:p>
    <w:p w14:paraId="58C0BCD3" w14:textId="77777777" w:rsidR="004F788B" w:rsidRPr="004F788B" w:rsidRDefault="004F788B" w:rsidP="00F54ACF">
      <w:pPr>
        <w:pStyle w:val="BodyTextMain"/>
        <w:rPr>
          <w:rFonts w:eastAsia="Calibri"/>
          <w:sz w:val="18"/>
          <w:szCs w:val="18"/>
          <w:lang w:val="en-GB"/>
        </w:rPr>
      </w:pPr>
    </w:p>
    <w:p w14:paraId="7518E229" w14:textId="1E5B139C" w:rsidR="004F788B" w:rsidRPr="005826EF" w:rsidRDefault="004F788B" w:rsidP="00FD664D">
      <w:pPr>
        <w:pStyle w:val="Casehead1"/>
        <w:keepNext/>
        <w:rPr>
          <w:lang w:val="en-GB"/>
        </w:rPr>
      </w:pPr>
      <w:r w:rsidRPr="005826EF">
        <w:rPr>
          <w:lang w:val="en-GB"/>
        </w:rPr>
        <w:t>OPERATIONS</w:t>
      </w:r>
    </w:p>
    <w:p w14:paraId="270C06C3" w14:textId="77777777" w:rsidR="004F788B" w:rsidRPr="004F788B" w:rsidRDefault="004F788B" w:rsidP="004F788B">
      <w:pPr>
        <w:pStyle w:val="BodyTextMain"/>
        <w:rPr>
          <w:sz w:val="18"/>
          <w:szCs w:val="18"/>
          <w:lang w:val="en-GB"/>
        </w:rPr>
      </w:pPr>
    </w:p>
    <w:p w14:paraId="56A9343B" w14:textId="61C287E6" w:rsidR="004F788B" w:rsidRPr="005826EF" w:rsidRDefault="004F788B" w:rsidP="00F54ACF">
      <w:pPr>
        <w:pStyle w:val="BodyTextMain"/>
        <w:rPr>
          <w:rFonts w:eastAsia="Calibri"/>
          <w:lang w:val="en-GB"/>
        </w:rPr>
      </w:pPr>
      <w:r w:rsidRPr="005826EF">
        <w:rPr>
          <w:rFonts w:eastAsia="Calibri"/>
          <w:lang w:val="en-GB"/>
        </w:rPr>
        <w:t>Hershman conducted all operations in-house, from blending and packaging through distribution, marketing, and client management. She worked full-time for the business and managed one or two employees who assisted in production.</w:t>
      </w:r>
    </w:p>
    <w:p w14:paraId="01AD4B76" w14:textId="77777777" w:rsidR="004F788B" w:rsidRPr="004F788B" w:rsidRDefault="004F788B" w:rsidP="00F54ACF">
      <w:pPr>
        <w:pStyle w:val="BodyTextMain"/>
        <w:rPr>
          <w:rFonts w:eastAsia="Calibri"/>
          <w:sz w:val="18"/>
          <w:szCs w:val="18"/>
          <w:lang w:val="en-GB"/>
        </w:rPr>
      </w:pPr>
    </w:p>
    <w:p w14:paraId="3445A6A8" w14:textId="0E30604E" w:rsidR="004F788B" w:rsidRPr="004F788B" w:rsidRDefault="004F788B" w:rsidP="00F54ACF">
      <w:pPr>
        <w:pStyle w:val="BodyTextMain"/>
        <w:rPr>
          <w:rFonts w:eastAsia="Calibri"/>
          <w:lang w:val="en-GB"/>
        </w:rPr>
      </w:pPr>
      <w:r w:rsidRPr="004F788B">
        <w:rPr>
          <w:rFonts w:eastAsia="Calibri"/>
          <w:lang w:val="en-GB"/>
        </w:rPr>
        <w:t>Hershman was hoping to add her husband, Dan Hershman, to the team starting in 2018. It was difficult to manag</w:t>
      </w:r>
      <w:r w:rsidR="00C76DFF">
        <w:rPr>
          <w:rFonts w:eastAsia="Calibri"/>
          <w:lang w:val="en-GB"/>
        </w:rPr>
        <w:t xml:space="preserve">e production, blending, and human resources </w:t>
      </w:r>
      <w:r w:rsidRPr="004F788B">
        <w:rPr>
          <w:rFonts w:eastAsia="Calibri"/>
          <w:lang w:val="en-GB"/>
        </w:rPr>
        <w:t xml:space="preserve">while also overseeing customer accounts. She constantly worried about ensuring that her customers were happy. As part of the team, Dan could focus on engaging with current customers and winning new accounts, giving Storehouse Tea a better opportunity to increase its customer base. However, at the company’s current level of operations, it would be difficult to replace his current salary. </w:t>
      </w:r>
    </w:p>
    <w:p w14:paraId="06028517" w14:textId="77777777" w:rsidR="004F788B" w:rsidRPr="005826EF" w:rsidRDefault="004F788B" w:rsidP="00F54ACF">
      <w:pPr>
        <w:pStyle w:val="Casehead1"/>
        <w:rPr>
          <w:lang w:val="en-GB"/>
        </w:rPr>
      </w:pPr>
      <w:r w:rsidRPr="005826EF">
        <w:rPr>
          <w:lang w:val="en-GB"/>
        </w:rPr>
        <w:lastRenderedPageBreak/>
        <w:t>SOURCING</w:t>
      </w:r>
    </w:p>
    <w:p w14:paraId="29B86467" w14:textId="77777777" w:rsidR="004F788B" w:rsidRPr="004F788B" w:rsidRDefault="004F788B" w:rsidP="00F54ACF">
      <w:pPr>
        <w:pStyle w:val="BodyTextMain"/>
        <w:rPr>
          <w:sz w:val="18"/>
          <w:szCs w:val="18"/>
          <w:lang w:val="en-GB"/>
        </w:rPr>
      </w:pPr>
    </w:p>
    <w:p w14:paraId="21F07ADE" w14:textId="3D755EC3" w:rsidR="004F788B" w:rsidRPr="004F788B" w:rsidRDefault="004F788B" w:rsidP="00F54ACF">
      <w:pPr>
        <w:pStyle w:val="BodyTextMain"/>
        <w:rPr>
          <w:rFonts w:eastAsia="Calibri"/>
          <w:spacing w:val="-2"/>
          <w:kern w:val="22"/>
          <w:lang w:val="en-GB"/>
        </w:rPr>
      </w:pPr>
      <w:r w:rsidRPr="004F788B">
        <w:rPr>
          <w:rFonts w:eastAsia="Calibri"/>
          <w:spacing w:val="-2"/>
          <w:kern w:val="22"/>
          <w:lang w:val="en-GB"/>
        </w:rPr>
        <w:t>Hershman purchased the raw ingredients for her teas directly from suppliers every one to two months. Certain types of tea tended to be produced in specific countries; for example, green, white, and black teas were typically grown in India and China; rooibos, in South Africa; and mate and guayusa, in South America. Storehouse Tea directly contracted small individual producers overseas. Some suppliers had begun to set up U.S. distributorships that focused on selling in bulk; however, Hershman was concerned that her turnover was not large enough to buy mass quantities without compromising on freshness. Hershman was exploring the prospect of purchasing certain ingredients locally, which would save on shipping costs and improve freshness. However, even among organic growers, it was difficult to find suppliers willing to invest the time and resources needed to acquire a processing licence. She was still searching for a local supplier for organic peppermint and spearmint. However, for certain ingredients, the best quality could only be found overseas. For example, Storehouse Tea purchased its lemongrass and hibiscus from Egypt.</w:t>
      </w:r>
    </w:p>
    <w:p w14:paraId="21A65A03" w14:textId="77777777" w:rsidR="004F788B" w:rsidRPr="004F788B" w:rsidRDefault="004F788B" w:rsidP="00F54ACF">
      <w:pPr>
        <w:pStyle w:val="BodyTextMain"/>
        <w:rPr>
          <w:rFonts w:eastAsia="Calibri"/>
          <w:sz w:val="18"/>
          <w:szCs w:val="18"/>
          <w:lang w:val="en-GB"/>
        </w:rPr>
      </w:pPr>
    </w:p>
    <w:p w14:paraId="05D7E3E2" w14:textId="2F72C142" w:rsidR="004F788B" w:rsidRPr="004F788B" w:rsidRDefault="004F788B" w:rsidP="00F54ACF">
      <w:pPr>
        <w:pStyle w:val="BodyTextMain"/>
        <w:rPr>
          <w:rFonts w:eastAsia="Calibri"/>
          <w:spacing w:val="-4"/>
          <w:kern w:val="22"/>
          <w:lang w:val="en-GB"/>
        </w:rPr>
      </w:pPr>
      <w:r w:rsidRPr="004F788B">
        <w:rPr>
          <w:rFonts w:eastAsia="Calibri"/>
          <w:spacing w:val="-4"/>
          <w:kern w:val="22"/>
          <w:lang w:val="en-GB"/>
        </w:rPr>
        <w:t>Sourcing ingredients from abroad involved higher transportation costs and greater volatility. Political turmoil, natural disasters, and fluctuating exchange rates could all influence the costs of supplies. In addition, consumers increasingly preferred local produce. One survey found that more than half of respondents considered buying local more important than buying organic.</w:t>
      </w:r>
      <w:r w:rsidRPr="004F788B">
        <w:rPr>
          <w:rFonts w:eastAsia="Calibri"/>
          <w:spacing w:val="-4"/>
          <w:kern w:val="22"/>
          <w:vertAlign w:val="superscript"/>
          <w:lang w:val="en-GB"/>
        </w:rPr>
        <w:footnoteReference w:id="16"/>
      </w:r>
      <w:r w:rsidRPr="004F788B">
        <w:rPr>
          <w:rFonts w:eastAsia="Calibri"/>
          <w:spacing w:val="-4"/>
          <w:kern w:val="22"/>
          <w:lang w:val="en-GB"/>
        </w:rPr>
        <w:t xml:space="preserve"> Customers often asked Hershman whether she grew all her own ingredients, and many felt strongly about the “harmony of growing nearby.” Therefore, Storehouse Tea could benefit from supporting the nascent local market for organic produce.</w:t>
      </w:r>
    </w:p>
    <w:p w14:paraId="464E10D2" w14:textId="77777777" w:rsidR="004F788B" w:rsidRPr="004F788B" w:rsidRDefault="004F788B" w:rsidP="00F54ACF">
      <w:pPr>
        <w:pStyle w:val="BodyTextMain"/>
        <w:rPr>
          <w:rFonts w:eastAsia="Calibri"/>
          <w:sz w:val="18"/>
          <w:szCs w:val="18"/>
          <w:lang w:val="en-GB"/>
        </w:rPr>
      </w:pPr>
    </w:p>
    <w:p w14:paraId="3BE81936" w14:textId="77777777" w:rsidR="004F788B" w:rsidRPr="004F788B" w:rsidRDefault="004F788B" w:rsidP="00F54ACF">
      <w:pPr>
        <w:pStyle w:val="BodyTextMain"/>
        <w:rPr>
          <w:rFonts w:eastAsia="Calibri"/>
          <w:b/>
          <w:sz w:val="18"/>
          <w:szCs w:val="18"/>
          <w:lang w:val="en-GB"/>
        </w:rPr>
      </w:pPr>
    </w:p>
    <w:p w14:paraId="521C0D0D" w14:textId="77777777" w:rsidR="004F788B" w:rsidRPr="005826EF" w:rsidRDefault="004F788B" w:rsidP="00F54ACF">
      <w:pPr>
        <w:pStyle w:val="Casehead1"/>
        <w:rPr>
          <w:lang w:val="en-GB"/>
        </w:rPr>
      </w:pPr>
      <w:r w:rsidRPr="005826EF">
        <w:rPr>
          <w:lang w:val="en-GB"/>
        </w:rPr>
        <w:t>INDUSTRY</w:t>
      </w:r>
    </w:p>
    <w:p w14:paraId="192D7CCC" w14:textId="77777777" w:rsidR="004F788B" w:rsidRPr="004F788B" w:rsidRDefault="004F788B" w:rsidP="00F54ACF">
      <w:pPr>
        <w:pStyle w:val="BodyTextMain"/>
        <w:rPr>
          <w:sz w:val="16"/>
          <w:szCs w:val="16"/>
          <w:lang w:val="en-GB"/>
        </w:rPr>
      </w:pPr>
    </w:p>
    <w:p w14:paraId="0119661F" w14:textId="27AB8260" w:rsidR="004F788B" w:rsidRPr="005826EF" w:rsidRDefault="004F788B" w:rsidP="00F54ACF">
      <w:pPr>
        <w:pStyle w:val="BodyTextMain"/>
        <w:rPr>
          <w:rFonts w:eastAsia="Calibri"/>
          <w:lang w:val="en-GB"/>
        </w:rPr>
      </w:pPr>
      <w:r w:rsidRPr="005826EF">
        <w:rPr>
          <w:rFonts w:eastAsia="Calibri"/>
          <w:lang w:val="en-GB"/>
        </w:rPr>
        <w:t>U.S. tea production in 2016 represented a $1.3 billion industry, with profit margins of around 5 per cent. Traditional production methods required little capital investment but were highly labour</w:t>
      </w:r>
      <w:r>
        <w:rPr>
          <w:rFonts w:eastAsia="Calibri"/>
          <w:lang w:val="en-GB"/>
        </w:rPr>
        <w:t>-</w:t>
      </w:r>
      <w:r w:rsidRPr="005826EF">
        <w:rPr>
          <w:rFonts w:eastAsia="Calibri"/>
          <w:lang w:val="en-GB"/>
        </w:rPr>
        <w:t xml:space="preserve">intensive. As a result, </w:t>
      </w:r>
      <w:r>
        <w:rPr>
          <w:rFonts w:eastAsia="Calibri"/>
          <w:lang w:val="en-GB"/>
        </w:rPr>
        <w:t xml:space="preserve">the industry had </w:t>
      </w:r>
      <w:r w:rsidRPr="005826EF">
        <w:rPr>
          <w:rFonts w:eastAsia="Calibri"/>
          <w:lang w:val="en-GB"/>
        </w:rPr>
        <w:t>few economies of scale, and larger firms were not necessarily more profitable than smaller firms.</w:t>
      </w:r>
      <w:r w:rsidRPr="005826EF">
        <w:rPr>
          <w:rFonts w:eastAsia="Calibri"/>
          <w:vertAlign w:val="superscript"/>
          <w:lang w:val="en-GB"/>
        </w:rPr>
        <w:footnoteReference w:id="17"/>
      </w:r>
    </w:p>
    <w:p w14:paraId="466F55BB" w14:textId="77777777" w:rsidR="004F788B" w:rsidRPr="004F788B" w:rsidRDefault="004F788B" w:rsidP="00F54ACF">
      <w:pPr>
        <w:pStyle w:val="BodyTextMain"/>
        <w:rPr>
          <w:rFonts w:eastAsia="Calibri"/>
          <w:sz w:val="16"/>
          <w:szCs w:val="16"/>
          <w:lang w:val="en-GB"/>
        </w:rPr>
      </w:pPr>
    </w:p>
    <w:p w14:paraId="3838AFB1" w14:textId="5A31B787" w:rsidR="004F788B" w:rsidRPr="005826EF" w:rsidRDefault="004F788B" w:rsidP="00F54ACF">
      <w:pPr>
        <w:pStyle w:val="BodyTextMain"/>
        <w:rPr>
          <w:rFonts w:eastAsia="Calibri"/>
          <w:lang w:val="en-GB"/>
        </w:rPr>
      </w:pPr>
      <w:r w:rsidRPr="005826EF">
        <w:rPr>
          <w:rFonts w:eastAsia="Calibri"/>
          <w:lang w:val="en-GB"/>
        </w:rPr>
        <w:t>The U.S. tea production industry was moderately concentrated. In 2016, the top four firms accounted for 54 per cent of total industry revenue. Starbucks Corporation was the largest player, with nearly 20 per cent of industry revenues. Other major companies included R.</w:t>
      </w:r>
      <w:r>
        <w:rPr>
          <w:rFonts w:eastAsia="Calibri"/>
          <w:lang w:val="en-GB"/>
        </w:rPr>
        <w:t xml:space="preserve"> </w:t>
      </w:r>
      <w:r w:rsidRPr="005826EF">
        <w:rPr>
          <w:rFonts w:eastAsia="Calibri"/>
          <w:lang w:val="en-GB"/>
        </w:rPr>
        <w:t>C. Bigelow Inc., Unilever, and Hain Celestial Group Inc. (see Exhibit 3).</w:t>
      </w:r>
      <w:r w:rsidRPr="005826EF">
        <w:rPr>
          <w:rFonts w:eastAsia="Calibri"/>
          <w:vertAlign w:val="superscript"/>
          <w:lang w:val="en-GB"/>
        </w:rPr>
        <w:footnoteReference w:id="18"/>
      </w:r>
    </w:p>
    <w:p w14:paraId="1AB6646E" w14:textId="77777777" w:rsidR="004F788B" w:rsidRPr="004F788B" w:rsidRDefault="004F788B" w:rsidP="00F54ACF">
      <w:pPr>
        <w:pStyle w:val="BodyTextMain"/>
        <w:rPr>
          <w:rFonts w:eastAsia="Calibri"/>
          <w:sz w:val="16"/>
          <w:szCs w:val="16"/>
          <w:lang w:val="en-GB"/>
        </w:rPr>
      </w:pPr>
    </w:p>
    <w:p w14:paraId="71B8E68D" w14:textId="40A0E746" w:rsidR="004F788B" w:rsidRPr="005826EF" w:rsidRDefault="004F788B" w:rsidP="00F54ACF">
      <w:pPr>
        <w:pStyle w:val="BodyTextMain"/>
        <w:rPr>
          <w:rFonts w:eastAsia="Calibri"/>
          <w:vertAlign w:val="superscript"/>
          <w:lang w:val="en-GB"/>
        </w:rPr>
      </w:pPr>
      <w:r w:rsidRPr="005826EF">
        <w:rPr>
          <w:rFonts w:eastAsia="Calibri"/>
          <w:lang w:val="en-GB"/>
        </w:rPr>
        <w:t>Globalization was a major force in the tea production industry. The major firms tended to sell in a wide range of markets and used ingredients from a range of different countries.</w:t>
      </w:r>
      <w:r w:rsidRPr="005826EF">
        <w:rPr>
          <w:rFonts w:eastAsia="Calibri"/>
          <w:vertAlign w:val="superscript"/>
          <w:lang w:val="en-GB"/>
        </w:rPr>
        <w:footnoteReference w:id="19"/>
      </w:r>
      <w:r w:rsidRPr="005826EF">
        <w:rPr>
          <w:rFonts w:eastAsia="Calibri"/>
          <w:lang w:val="en-GB"/>
        </w:rPr>
        <w:t xml:space="preserve"> In 2015, China was the world leader in tea production, producing 1.9 million ton</w:t>
      </w:r>
      <w:r>
        <w:rPr>
          <w:rFonts w:eastAsia="Calibri"/>
          <w:lang w:val="en-GB"/>
        </w:rPr>
        <w:t>ne</w:t>
      </w:r>
      <w:r w:rsidRPr="005826EF">
        <w:rPr>
          <w:rFonts w:eastAsia="Calibri"/>
          <w:lang w:val="en-GB"/>
        </w:rPr>
        <w:t>s of tea (</w:t>
      </w:r>
      <w:r>
        <w:rPr>
          <w:rFonts w:eastAsia="Calibri"/>
          <w:lang w:val="en-GB"/>
        </w:rPr>
        <w:t>more than</w:t>
      </w:r>
      <w:r w:rsidRPr="005826EF">
        <w:rPr>
          <w:rFonts w:eastAsia="Calibri"/>
          <w:lang w:val="en-GB"/>
        </w:rPr>
        <w:t xml:space="preserve"> 38 per cent of global production); India was the second-largest producer, at around 1.2 million ton</w:t>
      </w:r>
      <w:r>
        <w:rPr>
          <w:rFonts w:eastAsia="Calibri"/>
          <w:lang w:val="en-GB"/>
        </w:rPr>
        <w:t>ne</w:t>
      </w:r>
      <w:r w:rsidRPr="005826EF">
        <w:rPr>
          <w:rFonts w:eastAsia="Calibri"/>
          <w:lang w:val="en-GB"/>
        </w:rPr>
        <w:t>s of tea.</w:t>
      </w:r>
      <w:r w:rsidRPr="005826EF">
        <w:rPr>
          <w:rFonts w:eastAsia="Calibri"/>
          <w:vertAlign w:val="superscript"/>
          <w:lang w:val="en-GB"/>
        </w:rPr>
        <w:footnoteReference w:id="20"/>
      </w:r>
    </w:p>
    <w:p w14:paraId="5D71937A" w14:textId="77777777" w:rsidR="004F788B" w:rsidRPr="004F788B" w:rsidRDefault="004F788B" w:rsidP="00F54ACF">
      <w:pPr>
        <w:pStyle w:val="BodyTextMain"/>
        <w:rPr>
          <w:rFonts w:eastAsia="Calibri"/>
          <w:sz w:val="16"/>
          <w:szCs w:val="16"/>
          <w:lang w:val="en-GB"/>
        </w:rPr>
      </w:pPr>
    </w:p>
    <w:p w14:paraId="69338AA8" w14:textId="4F49EC70" w:rsidR="004F788B" w:rsidRDefault="004F788B" w:rsidP="00F54ACF">
      <w:pPr>
        <w:pStyle w:val="BodyTextMain"/>
        <w:rPr>
          <w:rFonts w:eastAsia="Calibri"/>
          <w:spacing w:val="-4"/>
          <w:kern w:val="22"/>
          <w:lang w:val="en-GB"/>
        </w:rPr>
      </w:pPr>
      <w:r>
        <w:rPr>
          <w:rFonts w:eastAsia="Calibri"/>
          <w:spacing w:val="-4"/>
          <w:kern w:val="22"/>
          <w:lang w:val="en-GB"/>
        </w:rPr>
        <w:t>The tea production industry was characterized by</w:t>
      </w:r>
      <w:r w:rsidRPr="005826EF">
        <w:rPr>
          <w:rFonts w:eastAsia="Calibri"/>
          <w:spacing w:val="-4"/>
          <w:kern w:val="22"/>
          <w:lang w:val="en-GB"/>
        </w:rPr>
        <w:t xml:space="preserve"> a high level of volatility, based on fluctuations in world tea prices</w:t>
      </w:r>
      <w:r>
        <w:rPr>
          <w:rFonts w:eastAsia="Calibri"/>
          <w:spacing w:val="-4"/>
          <w:kern w:val="22"/>
          <w:lang w:val="en-GB"/>
        </w:rPr>
        <w:t>;</w:t>
      </w:r>
      <w:r w:rsidRPr="005826EF">
        <w:rPr>
          <w:rFonts w:eastAsia="Calibri"/>
          <w:spacing w:val="-4"/>
          <w:kern w:val="22"/>
          <w:lang w:val="en-GB"/>
        </w:rPr>
        <w:t xml:space="preserve"> </w:t>
      </w:r>
      <w:r>
        <w:rPr>
          <w:rFonts w:eastAsia="Calibri"/>
          <w:spacing w:val="-4"/>
          <w:kern w:val="22"/>
          <w:lang w:val="en-GB"/>
        </w:rPr>
        <w:t xml:space="preserve">the effects of </w:t>
      </w:r>
      <w:r w:rsidRPr="005826EF">
        <w:rPr>
          <w:rFonts w:eastAsia="Calibri"/>
          <w:spacing w:val="-4"/>
          <w:kern w:val="22"/>
          <w:lang w:val="en-GB"/>
        </w:rPr>
        <w:t>weather</w:t>
      </w:r>
      <w:r>
        <w:rPr>
          <w:rFonts w:eastAsia="Calibri"/>
          <w:spacing w:val="-4"/>
          <w:kern w:val="22"/>
          <w:lang w:val="en-GB"/>
        </w:rPr>
        <w:t>;</w:t>
      </w:r>
      <w:r w:rsidRPr="005826EF">
        <w:rPr>
          <w:rFonts w:eastAsia="Calibri"/>
          <w:spacing w:val="-4"/>
          <w:kern w:val="22"/>
          <w:lang w:val="en-GB"/>
        </w:rPr>
        <w:t xml:space="preserve"> </w:t>
      </w:r>
      <w:r>
        <w:rPr>
          <w:rFonts w:eastAsia="Calibri"/>
          <w:spacing w:val="-4"/>
          <w:kern w:val="22"/>
          <w:lang w:val="en-GB"/>
        </w:rPr>
        <w:t xml:space="preserve">varying </w:t>
      </w:r>
      <w:r w:rsidRPr="005826EF">
        <w:rPr>
          <w:rFonts w:eastAsia="Calibri"/>
          <w:spacing w:val="-4"/>
          <w:kern w:val="22"/>
          <w:lang w:val="en-GB"/>
        </w:rPr>
        <w:t>exchange rates</w:t>
      </w:r>
      <w:r>
        <w:rPr>
          <w:rFonts w:eastAsia="Calibri"/>
          <w:spacing w:val="-4"/>
          <w:kern w:val="22"/>
          <w:lang w:val="en-GB"/>
        </w:rPr>
        <w:t>;</w:t>
      </w:r>
      <w:r w:rsidRPr="005826EF">
        <w:rPr>
          <w:rFonts w:eastAsia="Calibri"/>
          <w:spacing w:val="-4"/>
          <w:kern w:val="22"/>
          <w:lang w:val="en-GB"/>
        </w:rPr>
        <w:t xml:space="preserve"> and the incomes, ages, and demographics of consumers. Such factors could have a large impact on raw material prices. As a result, one key success factor for the </w:t>
      </w:r>
      <w:r w:rsidRPr="005826EF">
        <w:rPr>
          <w:rFonts w:eastAsia="Calibri"/>
          <w:spacing w:val="-4"/>
          <w:kern w:val="22"/>
          <w:lang w:val="en-GB"/>
        </w:rPr>
        <w:lastRenderedPageBreak/>
        <w:t xml:space="preserve">industry was the implementation of </w:t>
      </w:r>
      <w:r>
        <w:rPr>
          <w:rFonts w:eastAsia="Calibri"/>
          <w:spacing w:val="-4"/>
          <w:kern w:val="22"/>
          <w:lang w:val="en-GB"/>
        </w:rPr>
        <w:t xml:space="preserve">fixed-price </w:t>
      </w:r>
      <w:r w:rsidRPr="005826EF">
        <w:rPr>
          <w:rFonts w:eastAsia="Calibri"/>
          <w:spacing w:val="-4"/>
          <w:kern w:val="22"/>
          <w:lang w:val="en-GB"/>
        </w:rPr>
        <w:t>contracts with suppliers, which helped to keep costs lower and assisted in production planning.</w:t>
      </w:r>
      <w:r w:rsidRPr="005826EF">
        <w:rPr>
          <w:rFonts w:eastAsia="Calibri"/>
          <w:spacing w:val="-4"/>
          <w:kern w:val="22"/>
          <w:vertAlign w:val="superscript"/>
          <w:lang w:val="en-GB"/>
        </w:rPr>
        <w:footnoteReference w:id="21"/>
      </w:r>
    </w:p>
    <w:p w14:paraId="70EB563E" w14:textId="77777777" w:rsidR="00C76DFF" w:rsidRPr="005826EF" w:rsidRDefault="00C76DFF" w:rsidP="00F54ACF">
      <w:pPr>
        <w:pStyle w:val="BodyTextMain"/>
        <w:rPr>
          <w:rFonts w:eastAsia="Calibri"/>
          <w:spacing w:val="-4"/>
          <w:kern w:val="22"/>
          <w:lang w:val="en-GB"/>
        </w:rPr>
      </w:pPr>
    </w:p>
    <w:p w14:paraId="795B38FA" w14:textId="4148C8F6" w:rsidR="004F788B" w:rsidRPr="004F788B" w:rsidRDefault="004F788B" w:rsidP="00F54ACF">
      <w:pPr>
        <w:pStyle w:val="BodyTextMain"/>
        <w:rPr>
          <w:rFonts w:eastAsia="Calibri"/>
          <w:spacing w:val="-2"/>
          <w:kern w:val="22"/>
          <w:lang w:val="en-GB"/>
        </w:rPr>
      </w:pPr>
      <w:r w:rsidRPr="004F788B">
        <w:rPr>
          <w:rFonts w:eastAsia="Calibri"/>
          <w:spacing w:val="-2"/>
          <w:kern w:val="22"/>
          <w:lang w:val="en-GB"/>
        </w:rPr>
        <w:t>Rising levels of both health consciousness and disposable income were expected to increase demand for teas within the United States, particularly for specialty and “wellness” niche teas.</w:t>
      </w:r>
      <w:r w:rsidRPr="004F788B">
        <w:rPr>
          <w:rFonts w:eastAsia="Calibri"/>
          <w:spacing w:val="-2"/>
          <w:kern w:val="22"/>
          <w:vertAlign w:val="superscript"/>
          <w:lang w:val="en-GB"/>
        </w:rPr>
        <w:footnoteReference w:id="22"/>
      </w:r>
      <w:r w:rsidRPr="004F788B">
        <w:rPr>
          <w:rFonts w:eastAsia="Calibri"/>
          <w:spacing w:val="-2"/>
          <w:kern w:val="22"/>
          <w:lang w:val="en-GB"/>
        </w:rPr>
        <w:t xml:space="preserve"> Demand for these teas complemented the growing trend toward single-origin products. Most tea drinkers purchased tea bags; only 13 per cent preferred loose-leaf teas. Tea bags were seen as more convenient, quicker, and cheaper. However, loose-leaf tea offered superiority in freshness and flavour, whereas tea bags were generally filled with “fannings,” the lowest-quality dust left over after higher-grade tea leaves had been gathered.</w:t>
      </w:r>
      <w:r w:rsidRPr="004F788B">
        <w:rPr>
          <w:rFonts w:eastAsia="Calibri"/>
          <w:spacing w:val="-2"/>
          <w:kern w:val="22"/>
          <w:vertAlign w:val="superscript"/>
          <w:lang w:val="en-GB"/>
        </w:rPr>
        <w:footnoteReference w:id="23"/>
      </w:r>
      <w:r w:rsidRPr="004F788B">
        <w:rPr>
          <w:rFonts w:eastAsia="Calibri"/>
          <w:spacing w:val="-2"/>
          <w:kern w:val="22"/>
          <w:lang w:val="en-GB"/>
        </w:rPr>
        <w:t xml:space="preserve"> In addition, the same type of loose-leaf tea could vary in flavour profile, aroma, and appearance based on the season, year, and area of production, providing a more unique consumption experience. Consumers also had greater control over proportion with loose-leaf teas. The strength of the tea could be varied to create a custom blend. Some companies, such as Numi Organic Tea, were starting to use biodegradable tea bags,</w:t>
      </w:r>
      <w:r w:rsidRPr="004F788B">
        <w:rPr>
          <w:rFonts w:eastAsia="Calibri"/>
          <w:spacing w:val="-2"/>
          <w:kern w:val="22"/>
          <w:vertAlign w:val="superscript"/>
          <w:lang w:val="en-GB"/>
        </w:rPr>
        <w:footnoteReference w:id="24"/>
      </w:r>
      <w:r w:rsidRPr="004F788B">
        <w:rPr>
          <w:rFonts w:eastAsia="Calibri"/>
          <w:spacing w:val="-2"/>
          <w:kern w:val="22"/>
          <w:lang w:val="en-GB"/>
        </w:rPr>
        <w:t xml:space="preserve"> although loose-leaf teas naturally involved less packaging. Finally, while some viewed the process of brewing loose-leaf tea as an inconvenience, others found this ritual a relaxing and enjoyable experience.</w:t>
      </w:r>
    </w:p>
    <w:p w14:paraId="3BA5C8E1" w14:textId="77777777" w:rsidR="004F788B" w:rsidRPr="004F788B" w:rsidRDefault="004F788B" w:rsidP="00F54ACF">
      <w:pPr>
        <w:pStyle w:val="BodyTextMain"/>
        <w:rPr>
          <w:rFonts w:eastAsia="Calibri"/>
          <w:sz w:val="18"/>
          <w:szCs w:val="18"/>
          <w:lang w:val="en-GB"/>
        </w:rPr>
      </w:pPr>
    </w:p>
    <w:p w14:paraId="62183588" w14:textId="77777777" w:rsidR="004F788B" w:rsidRPr="004F788B" w:rsidRDefault="004F788B" w:rsidP="00F54ACF">
      <w:pPr>
        <w:pStyle w:val="BodyTextMain"/>
        <w:rPr>
          <w:rFonts w:eastAsia="Calibri"/>
          <w:sz w:val="18"/>
          <w:szCs w:val="18"/>
          <w:lang w:val="en-GB"/>
        </w:rPr>
      </w:pPr>
    </w:p>
    <w:p w14:paraId="55CA7B6C" w14:textId="77777777" w:rsidR="004F788B" w:rsidRPr="005826EF" w:rsidRDefault="004F788B" w:rsidP="00F54ACF">
      <w:pPr>
        <w:pStyle w:val="Casehead1"/>
        <w:rPr>
          <w:lang w:val="en-GB"/>
        </w:rPr>
      </w:pPr>
      <w:r w:rsidRPr="005826EF">
        <w:rPr>
          <w:lang w:val="en-GB"/>
        </w:rPr>
        <w:t>LOOKING AHEAD</w:t>
      </w:r>
    </w:p>
    <w:p w14:paraId="53EDAFFB" w14:textId="77777777" w:rsidR="004F788B" w:rsidRPr="004F788B" w:rsidRDefault="004F788B" w:rsidP="00F54ACF">
      <w:pPr>
        <w:pStyle w:val="BodyTextMain"/>
        <w:rPr>
          <w:sz w:val="18"/>
          <w:szCs w:val="18"/>
          <w:lang w:val="en-GB"/>
        </w:rPr>
      </w:pPr>
    </w:p>
    <w:p w14:paraId="6085108A" w14:textId="20524AAE" w:rsidR="004F788B" w:rsidRPr="005826EF" w:rsidRDefault="004F788B" w:rsidP="00F54ACF">
      <w:pPr>
        <w:pStyle w:val="BodyTextMain"/>
        <w:rPr>
          <w:rFonts w:eastAsia="Calibri"/>
          <w:lang w:val="en-GB"/>
        </w:rPr>
      </w:pPr>
      <w:r w:rsidRPr="005826EF">
        <w:rPr>
          <w:rFonts w:eastAsia="Calibri"/>
          <w:lang w:val="en-GB"/>
        </w:rPr>
        <w:t>Hershman was excited to finish unpacking and enjoy the benefits of the new office. She also knew that Storehouse Tea had a great deal of work ahead if it were to continue to grow and flourish. She thought about the many options she had for expanding the company’s reach. Introducing new product lines or moving into new territory was not without risk. Similarly, pursuing key accounts could greatly increase the company’s exposure, but would require considerable investment. Hershman wondered whether certain actions, such as moving to tea bags, would compromise her desire to provide the highest</w:t>
      </w:r>
      <w:r>
        <w:rPr>
          <w:rFonts w:eastAsia="Calibri"/>
          <w:lang w:val="en-GB"/>
        </w:rPr>
        <w:t>-</w:t>
      </w:r>
      <w:r w:rsidRPr="005826EF">
        <w:rPr>
          <w:rFonts w:eastAsia="Calibri"/>
          <w:lang w:val="en-GB"/>
        </w:rPr>
        <w:t xml:space="preserve">quality tea possible in a sustainable manner. In addition, hiring a customer accounts manager could help maintain customer satisfaction but might be too ambitious a step, given the company’s current level of operations. </w:t>
      </w:r>
    </w:p>
    <w:p w14:paraId="25765F9A" w14:textId="493E6625" w:rsidR="004F788B" w:rsidRPr="004F788B" w:rsidRDefault="004F788B" w:rsidP="00F54ACF">
      <w:pPr>
        <w:pStyle w:val="BodyTextMain"/>
        <w:rPr>
          <w:rFonts w:eastAsia="Calibri"/>
          <w:sz w:val="18"/>
          <w:szCs w:val="18"/>
          <w:lang w:val="en-GB"/>
        </w:rPr>
      </w:pPr>
    </w:p>
    <w:p w14:paraId="51097B9E" w14:textId="3E0FC393" w:rsidR="004F788B" w:rsidRPr="004F788B" w:rsidRDefault="004F788B" w:rsidP="004F788B">
      <w:pPr>
        <w:pStyle w:val="BodyTextMain"/>
        <w:rPr>
          <w:rFonts w:eastAsia="Calibri"/>
          <w:spacing w:val="-2"/>
          <w:kern w:val="22"/>
        </w:rPr>
      </w:pPr>
      <w:r w:rsidRPr="004F788B">
        <w:rPr>
          <w:rFonts w:eastAsia="Calibri"/>
          <w:spacing w:val="-2"/>
          <w:kern w:val="22"/>
        </w:rPr>
        <w:t>With some quick calculations, Hershman was able to estimate the costs for five potential options (see Exhibit 4). First, developing a new tea cookie could cost up to $5,000. This amount would cover hiring a nutritionist to develop a recipe, developing a contract with an outside vendor to produce the cookie mix, and developing packaging and marketing materials for the new product (in-house). Second, targeting large accounts—which would involve purchasing a tea-bagging machine—could cost $5,000–$25,000.</w:t>
      </w:r>
      <w:r w:rsidRPr="004F788B">
        <w:rPr>
          <w:rStyle w:val="FootnoteReference"/>
          <w:rFonts w:eastAsia="Calibri"/>
          <w:spacing w:val="-2"/>
          <w:kern w:val="22"/>
        </w:rPr>
        <w:footnoteReference w:id="25"/>
      </w:r>
      <w:r w:rsidRPr="004F788B">
        <w:rPr>
          <w:rFonts w:eastAsia="Calibri"/>
          <w:spacing w:val="-2"/>
          <w:kern w:val="22"/>
        </w:rPr>
        <w:t xml:space="preserve"> Third, expanding regionally could cost $10,000–$50,000, including time spent developing contacts, increased advertising spending, and higher shipping and distribution costs. Fourth, revising marketing materials could cost up to $3,000. This process would include determining the potential target audience (in-house) and developing a campaign to specifically target the new customers (e.g., an Instagram campaign targeting millennials). Fifth, hiring a customer accounts manager could cost $37,000–$71,000.</w:t>
      </w:r>
      <w:r w:rsidRPr="004F788B">
        <w:rPr>
          <w:rFonts w:eastAsia="Calibri"/>
          <w:spacing w:val="-2"/>
          <w:kern w:val="22"/>
          <w:vertAlign w:val="superscript"/>
        </w:rPr>
        <w:footnoteReference w:id="26"/>
      </w:r>
    </w:p>
    <w:p w14:paraId="35DD958F" w14:textId="77777777" w:rsidR="004F788B" w:rsidRPr="004F788B" w:rsidRDefault="004F788B" w:rsidP="004F788B">
      <w:pPr>
        <w:pStyle w:val="BodyTextMain"/>
        <w:rPr>
          <w:rFonts w:eastAsia="Calibri"/>
          <w:sz w:val="18"/>
          <w:szCs w:val="18"/>
        </w:rPr>
      </w:pPr>
    </w:p>
    <w:p w14:paraId="527C5F5B" w14:textId="3F1E1033" w:rsidR="00F54ACF" w:rsidRPr="005826EF" w:rsidRDefault="00ED57CB" w:rsidP="00594734">
      <w:pPr>
        <w:pStyle w:val="BodyTextMain"/>
        <w:rPr>
          <w:rFonts w:eastAsia="Calibri"/>
          <w:lang w:val="en-GB"/>
        </w:rPr>
      </w:pPr>
      <w:r w:rsidRPr="005826EF">
        <w:rPr>
          <w:rFonts w:eastAsia="Calibri"/>
          <w:lang w:val="en-GB"/>
        </w:rPr>
        <w:t>T</w:t>
      </w:r>
      <w:r w:rsidR="00F54ACF" w:rsidRPr="005826EF">
        <w:rPr>
          <w:rFonts w:eastAsia="Calibri"/>
          <w:lang w:val="en-GB"/>
        </w:rPr>
        <w:t xml:space="preserve">hinking through her options, Hershman wanted to keep </w:t>
      </w:r>
      <w:r w:rsidR="000E5BC0">
        <w:rPr>
          <w:rFonts w:eastAsia="Calibri"/>
          <w:lang w:val="en-GB"/>
        </w:rPr>
        <w:t xml:space="preserve">the mission of </w:t>
      </w:r>
      <w:r w:rsidR="00F54ACF" w:rsidRPr="005826EF">
        <w:rPr>
          <w:rFonts w:eastAsia="Calibri"/>
          <w:lang w:val="en-GB"/>
        </w:rPr>
        <w:t>Storehouse Tea’s central to any new step. She hoped that by growing the company, she would increase its potential positive impact through its sustainable sourcing and targeted employment opportunities.</w:t>
      </w:r>
      <w:r w:rsidR="00F54ACF" w:rsidRPr="005826EF">
        <w:rPr>
          <w:lang w:val="en-GB"/>
        </w:rPr>
        <w:br w:type="page"/>
      </w:r>
    </w:p>
    <w:p w14:paraId="150094EA" w14:textId="78B391E6" w:rsidR="00A5568C" w:rsidRPr="005826EF" w:rsidRDefault="00A5568C" w:rsidP="00A5568C">
      <w:pPr>
        <w:pStyle w:val="ExhibitHeading"/>
        <w:rPr>
          <w:rFonts w:eastAsia="Calibri"/>
          <w:lang w:val="en-GB"/>
        </w:rPr>
      </w:pPr>
      <w:r w:rsidRPr="005826EF">
        <w:rPr>
          <w:rFonts w:eastAsia="Calibri"/>
          <w:lang w:val="en-GB"/>
        </w:rPr>
        <w:lastRenderedPageBreak/>
        <w:t xml:space="preserve">Exhibit 1: </w:t>
      </w:r>
      <w:r w:rsidR="000E5BC0">
        <w:rPr>
          <w:rFonts w:eastAsia="Calibri"/>
          <w:lang w:val="en-GB"/>
        </w:rPr>
        <w:t xml:space="preserve">STOREHOUSE TEA’S </w:t>
      </w:r>
      <w:r w:rsidRPr="005826EF">
        <w:rPr>
          <w:rFonts w:eastAsia="Calibri"/>
          <w:lang w:val="en-GB"/>
        </w:rPr>
        <w:t>Financial Statements</w:t>
      </w:r>
      <w:r w:rsidR="000E5BC0">
        <w:rPr>
          <w:rFonts w:eastAsia="Calibri"/>
          <w:lang w:val="en-GB"/>
        </w:rPr>
        <w:t>, 2016</w:t>
      </w:r>
      <w:r w:rsidR="00522366" w:rsidRPr="005826EF">
        <w:rPr>
          <w:rFonts w:eastAsia="Calibri"/>
          <w:lang w:val="en-GB"/>
        </w:rPr>
        <w:t xml:space="preserve"> (in US$)</w:t>
      </w:r>
    </w:p>
    <w:p w14:paraId="618E51E7" w14:textId="2BE8F6E4" w:rsidR="00A5568C" w:rsidRPr="005826EF" w:rsidRDefault="00A5568C" w:rsidP="00A5568C">
      <w:pPr>
        <w:pStyle w:val="ExhibitHeading"/>
        <w:rPr>
          <w:rFonts w:eastAsia="Calibri"/>
          <w:lang w:val="en-GB"/>
        </w:rPr>
      </w:pPr>
    </w:p>
    <w:p w14:paraId="067718B2" w14:textId="7248873C" w:rsidR="00F0508E" w:rsidRDefault="00ED57CB" w:rsidP="00F0508E">
      <w:pPr>
        <w:pStyle w:val="ExhibitHeading"/>
        <w:rPr>
          <w:rFonts w:eastAsia="Calibri"/>
          <w:caps w:val="0"/>
          <w:lang w:val="en-GB"/>
        </w:rPr>
      </w:pPr>
      <w:r w:rsidRPr="005826EF">
        <w:rPr>
          <w:rFonts w:eastAsia="Calibri"/>
          <w:caps w:val="0"/>
          <w:lang w:val="en-GB"/>
        </w:rPr>
        <w:t>Storehouse Tea Income Statement (January–December 2016)</w:t>
      </w:r>
    </w:p>
    <w:p w14:paraId="31B6AA2A" w14:textId="77777777" w:rsidR="004F788B" w:rsidRPr="005826EF" w:rsidRDefault="004F788B" w:rsidP="00F0508E">
      <w:pPr>
        <w:pStyle w:val="ExhibitHeading"/>
        <w:rPr>
          <w:rFonts w:eastAsia="Calibri"/>
          <w:lang w:val="en-GB"/>
        </w:rPr>
      </w:pPr>
    </w:p>
    <w:tbl>
      <w:tblPr>
        <w:tblW w:w="5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4574"/>
        <w:gridCol w:w="1170"/>
      </w:tblGrid>
      <w:tr w:rsidR="004F788B" w:rsidRPr="005826EF" w14:paraId="7D4E27D1" w14:textId="77777777" w:rsidTr="00C76DFF">
        <w:trPr>
          <w:trHeight w:val="230"/>
          <w:jc w:val="center"/>
        </w:trPr>
        <w:tc>
          <w:tcPr>
            <w:tcW w:w="4574" w:type="dxa"/>
            <w:shd w:val="clear" w:color="auto" w:fill="auto"/>
            <w:noWrap/>
            <w:hideMark/>
          </w:tcPr>
          <w:p w14:paraId="0D223EFF" w14:textId="77777777" w:rsidR="004F788B" w:rsidRPr="005826EF" w:rsidRDefault="004F788B" w:rsidP="00CE4D34">
            <w:pPr>
              <w:rPr>
                <w:rFonts w:ascii="Arial" w:hAnsi="Arial" w:cs="Arial"/>
                <w:lang w:val="en-GB"/>
              </w:rPr>
            </w:pPr>
            <w:r w:rsidRPr="005826EF">
              <w:rPr>
                <w:rFonts w:ascii="Arial" w:hAnsi="Arial" w:cs="Arial"/>
                <w:lang w:val="en-GB"/>
              </w:rPr>
              <w:t>Income</w:t>
            </w:r>
          </w:p>
        </w:tc>
        <w:tc>
          <w:tcPr>
            <w:tcW w:w="1170" w:type="dxa"/>
            <w:shd w:val="clear" w:color="auto" w:fill="auto"/>
            <w:noWrap/>
            <w:hideMark/>
          </w:tcPr>
          <w:p w14:paraId="62CA132A" w14:textId="77777777" w:rsidR="004F788B" w:rsidRPr="005826EF" w:rsidRDefault="004F788B" w:rsidP="00CE4D34">
            <w:pPr>
              <w:rPr>
                <w:lang w:val="en-GB"/>
              </w:rPr>
            </w:pPr>
          </w:p>
        </w:tc>
      </w:tr>
      <w:tr w:rsidR="004F788B" w:rsidRPr="005826EF" w14:paraId="500184A3" w14:textId="77777777" w:rsidTr="00C76DFF">
        <w:trPr>
          <w:trHeight w:val="239"/>
          <w:jc w:val="center"/>
        </w:trPr>
        <w:tc>
          <w:tcPr>
            <w:tcW w:w="4574" w:type="dxa"/>
            <w:shd w:val="clear" w:color="auto" w:fill="auto"/>
            <w:noWrap/>
            <w:hideMark/>
          </w:tcPr>
          <w:p w14:paraId="3A5A7CE7"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Discounts</w:t>
            </w:r>
          </w:p>
        </w:tc>
        <w:tc>
          <w:tcPr>
            <w:tcW w:w="1170" w:type="dxa"/>
            <w:shd w:val="clear" w:color="auto" w:fill="auto"/>
            <w:noWrap/>
            <w:hideMark/>
          </w:tcPr>
          <w:p w14:paraId="2B0DEB1D" w14:textId="7A2DC52A"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w:t>
            </w:r>
            <w:r>
              <w:rPr>
                <w:rFonts w:ascii="Arial" w:hAnsi="Arial" w:cs="Arial"/>
                <w:color w:val="000000"/>
                <w:lang w:val="en-GB"/>
              </w:rPr>
              <w:t>$</w:t>
            </w:r>
            <w:r w:rsidRPr="005826EF">
              <w:rPr>
                <w:rFonts w:ascii="Arial" w:hAnsi="Arial" w:cs="Arial"/>
                <w:color w:val="000000"/>
                <w:lang w:val="en-GB"/>
              </w:rPr>
              <w:t>(69)</w:t>
            </w:r>
          </w:p>
        </w:tc>
      </w:tr>
      <w:tr w:rsidR="004F788B" w:rsidRPr="005826EF" w14:paraId="084A997F" w14:textId="77777777" w:rsidTr="00C76DFF">
        <w:trPr>
          <w:trHeight w:val="230"/>
          <w:jc w:val="center"/>
        </w:trPr>
        <w:tc>
          <w:tcPr>
            <w:tcW w:w="4574" w:type="dxa"/>
            <w:shd w:val="clear" w:color="auto" w:fill="auto"/>
            <w:noWrap/>
            <w:hideMark/>
          </w:tcPr>
          <w:p w14:paraId="654A3788"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Outside Sales</w:t>
            </w:r>
          </w:p>
        </w:tc>
        <w:tc>
          <w:tcPr>
            <w:tcW w:w="1170" w:type="dxa"/>
            <w:shd w:val="clear" w:color="auto" w:fill="auto"/>
            <w:noWrap/>
            <w:hideMark/>
          </w:tcPr>
          <w:p w14:paraId="413AD001"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698 </w:t>
            </w:r>
          </w:p>
        </w:tc>
      </w:tr>
      <w:tr w:rsidR="004F788B" w:rsidRPr="005826EF" w14:paraId="1BA146E9" w14:textId="77777777" w:rsidTr="00C76DFF">
        <w:trPr>
          <w:trHeight w:val="239"/>
          <w:jc w:val="center"/>
        </w:trPr>
        <w:tc>
          <w:tcPr>
            <w:tcW w:w="4574" w:type="dxa"/>
            <w:shd w:val="clear" w:color="auto" w:fill="auto"/>
            <w:noWrap/>
            <w:hideMark/>
          </w:tcPr>
          <w:p w14:paraId="30EF5C87"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Sales of Product Income</w:t>
            </w:r>
          </w:p>
        </w:tc>
        <w:tc>
          <w:tcPr>
            <w:tcW w:w="1170" w:type="dxa"/>
            <w:shd w:val="clear" w:color="auto" w:fill="auto"/>
            <w:noWrap/>
            <w:hideMark/>
          </w:tcPr>
          <w:p w14:paraId="241D85C3"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66,896 </w:t>
            </w:r>
          </w:p>
        </w:tc>
      </w:tr>
      <w:tr w:rsidR="004F788B" w:rsidRPr="005826EF" w14:paraId="49AEA40F" w14:textId="77777777" w:rsidTr="00C76DFF">
        <w:trPr>
          <w:trHeight w:val="239"/>
          <w:jc w:val="center"/>
        </w:trPr>
        <w:tc>
          <w:tcPr>
            <w:tcW w:w="4574" w:type="dxa"/>
            <w:shd w:val="clear" w:color="auto" w:fill="auto"/>
            <w:noWrap/>
            <w:hideMark/>
          </w:tcPr>
          <w:p w14:paraId="152A0D8C" w14:textId="6378F67D" w:rsidR="004F788B" w:rsidRPr="005826EF" w:rsidRDefault="004F788B" w:rsidP="00CE4D34">
            <w:pPr>
              <w:ind w:firstLineChars="100" w:firstLine="200"/>
              <w:rPr>
                <w:rFonts w:ascii="Arial" w:hAnsi="Arial" w:cs="Arial"/>
                <w:lang w:val="en-GB"/>
              </w:rPr>
            </w:pPr>
            <w:r w:rsidRPr="005826EF">
              <w:rPr>
                <w:rFonts w:ascii="Arial" w:hAnsi="Arial" w:cs="Arial"/>
                <w:lang w:val="en-GB"/>
              </w:rPr>
              <w:t>Shipping and Delivery Income</w:t>
            </w:r>
          </w:p>
        </w:tc>
        <w:tc>
          <w:tcPr>
            <w:tcW w:w="1170" w:type="dxa"/>
            <w:shd w:val="clear" w:color="auto" w:fill="auto"/>
            <w:noWrap/>
            <w:hideMark/>
          </w:tcPr>
          <w:p w14:paraId="5425D023"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107 </w:t>
            </w:r>
          </w:p>
        </w:tc>
      </w:tr>
      <w:tr w:rsidR="004F788B" w:rsidRPr="005826EF" w14:paraId="28CA927D" w14:textId="77777777" w:rsidTr="00C76DFF">
        <w:trPr>
          <w:trHeight w:val="230"/>
          <w:jc w:val="center"/>
        </w:trPr>
        <w:tc>
          <w:tcPr>
            <w:tcW w:w="4574" w:type="dxa"/>
            <w:shd w:val="clear" w:color="auto" w:fill="auto"/>
            <w:noWrap/>
            <w:hideMark/>
          </w:tcPr>
          <w:p w14:paraId="4BD8A904"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Website Sales</w:t>
            </w:r>
          </w:p>
        </w:tc>
        <w:tc>
          <w:tcPr>
            <w:tcW w:w="1170" w:type="dxa"/>
            <w:shd w:val="clear" w:color="auto" w:fill="auto"/>
            <w:noWrap/>
            <w:hideMark/>
          </w:tcPr>
          <w:p w14:paraId="096CAA36"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5,968 </w:t>
            </w:r>
          </w:p>
        </w:tc>
      </w:tr>
      <w:tr w:rsidR="004F788B" w:rsidRPr="005826EF" w14:paraId="38B599BB" w14:textId="77777777" w:rsidTr="00C76DFF">
        <w:trPr>
          <w:trHeight w:val="239"/>
          <w:jc w:val="center"/>
        </w:trPr>
        <w:tc>
          <w:tcPr>
            <w:tcW w:w="4574" w:type="dxa"/>
            <w:shd w:val="clear" w:color="auto" w:fill="auto"/>
            <w:noWrap/>
            <w:hideMark/>
          </w:tcPr>
          <w:p w14:paraId="7E629A13" w14:textId="77777777" w:rsidR="004F788B" w:rsidRPr="005826EF" w:rsidRDefault="004F788B" w:rsidP="00CE4D34">
            <w:pPr>
              <w:rPr>
                <w:rFonts w:ascii="Arial" w:hAnsi="Arial" w:cs="Arial"/>
                <w:b/>
                <w:bCs/>
                <w:lang w:val="en-GB"/>
              </w:rPr>
            </w:pPr>
            <w:r w:rsidRPr="005826EF">
              <w:rPr>
                <w:rFonts w:ascii="Arial" w:hAnsi="Arial" w:cs="Arial"/>
                <w:b/>
                <w:bCs/>
                <w:lang w:val="en-GB"/>
              </w:rPr>
              <w:t>Total Income</w:t>
            </w:r>
          </w:p>
        </w:tc>
        <w:tc>
          <w:tcPr>
            <w:tcW w:w="1170" w:type="dxa"/>
            <w:shd w:val="clear" w:color="auto" w:fill="auto"/>
            <w:noWrap/>
            <w:hideMark/>
          </w:tcPr>
          <w:p w14:paraId="389B4BBE" w14:textId="48F1C6E1" w:rsidR="004F788B" w:rsidRPr="005826EF" w:rsidRDefault="004F788B" w:rsidP="00CE4D34">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73,600 </w:t>
            </w:r>
          </w:p>
        </w:tc>
      </w:tr>
      <w:tr w:rsidR="004F788B" w:rsidRPr="005826EF" w14:paraId="423D392F" w14:textId="77777777" w:rsidTr="00C76DFF">
        <w:trPr>
          <w:trHeight w:val="230"/>
          <w:jc w:val="center"/>
        </w:trPr>
        <w:tc>
          <w:tcPr>
            <w:tcW w:w="4574" w:type="dxa"/>
            <w:shd w:val="clear" w:color="auto" w:fill="auto"/>
            <w:noWrap/>
            <w:hideMark/>
          </w:tcPr>
          <w:p w14:paraId="27B9BBC8" w14:textId="77777777" w:rsidR="004F788B" w:rsidRPr="005826EF" w:rsidRDefault="004F788B" w:rsidP="00CE4D34">
            <w:pPr>
              <w:rPr>
                <w:rFonts w:ascii="Arial" w:hAnsi="Arial" w:cs="Arial"/>
                <w:lang w:val="en-GB"/>
              </w:rPr>
            </w:pPr>
            <w:r w:rsidRPr="005826EF">
              <w:rPr>
                <w:rFonts w:ascii="Arial" w:hAnsi="Arial" w:cs="Arial"/>
                <w:lang w:val="en-GB"/>
              </w:rPr>
              <w:t>Cost of Goods Sold</w:t>
            </w:r>
          </w:p>
        </w:tc>
        <w:tc>
          <w:tcPr>
            <w:tcW w:w="1170" w:type="dxa"/>
            <w:shd w:val="clear" w:color="auto" w:fill="auto"/>
            <w:noWrap/>
            <w:hideMark/>
          </w:tcPr>
          <w:p w14:paraId="25C64476" w14:textId="77777777" w:rsidR="004F788B" w:rsidRPr="005826EF" w:rsidRDefault="004F788B" w:rsidP="00CE4D34">
            <w:pPr>
              <w:jc w:val="right"/>
              <w:rPr>
                <w:lang w:val="en-GB"/>
              </w:rPr>
            </w:pPr>
          </w:p>
        </w:tc>
      </w:tr>
      <w:tr w:rsidR="004F788B" w:rsidRPr="005826EF" w14:paraId="09582721" w14:textId="77777777" w:rsidTr="00C76DFF">
        <w:trPr>
          <w:trHeight w:val="240"/>
          <w:jc w:val="center"/>
        </w:trPr>
        <w:tc>
          <w:tcPr>
            <w:tcW w:w="4574" w:type="dxa"/>
            <w:shd w:val="clear" w:color="auto" w:fill="auto"/>
            <w:noWrap/>
            <w:hideMark/>
          </w:tcPr>
          <w:p w14:paraId="41C7A381" w14:textId="4539D797" w:rsidR="004F788B" w:rsidRPr="005826EF" w:rsidRDefault="004F788B" w:rsidP="00CE4D34">
            <w:pPr>
              <w:ind w:firstLineChars="100" w:firstLine="200"/>
              <w:rPr>
                <w:rFonts w:ascii="Arial" w:hAnsi="Arial" w:cs="Arial"/>
                <w:lang w:val="en-GB"/>
              </w:rPr>
            </w:pPr>
            <w:r w:rsidRPr="005826EF">
              <w:rPr>
                <w:rFonts w:ascii="Arial" w:hAnsi="Arial" w:cs="Arial"/>
                <w:lang w:val="en-GB"/>
              </w:rPr>
              <w:t>Cost of Goods Sold (</w:t>
            </w:r>
            <w:r w:rsidR="00C76DFF">
              <w:rPr>
                <w:rFonts w:ascii="Arial" w:hAnsi="Arial" w:cs="Arial"/>
                <w:lang w:val="en-GB"/>
              </w:rPr>
              <w:t xml:space="preserve">e.g. Labour, and </w:t>
            </w:r>
            <w:bookmarkStart w:id="0" w:name="_GoBack"/>
            <w:bookmarkEnd w:id="0"/>
            <w:r w:rsidR="00C76DFF">
              <w:rPr>
                <w:rFonts w:ascii="Arial" w:hAnsi="Arial" w:cs="Arial"/>
                <w:lang w:val="en-GB"/>
              </w:rPr>
              <w:t>Freight</w:t>
            </w:r>
            <w:r w:rsidRPr="005826EF">
              <w:rPr>
                <w:rFonts w:ascii="Arial" w:hAnsi="Arial" w:cs="Arial"/>
                <w:lang w:val="en-GB"/>
              </w:rPr>
              <w:t>)</w:t>
            </w:r>
          </w:p>
        </w:tc>
        <w:tc>
          <w:tcPr>
            <w:tcW w:w="1170" w:type="dxa"/>
            <w:shd w:val="clear" w:color="auto" w:fill="auto"/>
            <w:noWrap/>
            <w:hideMark/>
          </w:tcPr>
          <w:p w14:paraId="62F9199A" w14:textId="57FED7AF"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15,</w:t>
            </w:r>
            <w:r>
              <w:rPr>
                <w:rFonts w:ascii="Arial" w:hAnsi="Arial" w:cs="Arial"/>
                <w:color w:val="000000"/>
                <w:lang w:val="en-GB"/>
              </w:rPr>
              <w:t>662</w:t>
            </w:r>
            <w:r w:rsidRPr="005826EF">
              <w:rPr>
                <w:rFonts w:ascii="Arial" w:hAnsi="Arial" w:cs="Arial"/>
                <w:color w:val="000000"/>
                <w:lang w:val="en-GB"/>
              </w:rPr>
              <w:t xml:space="preserve"> </w:t>
            </w:r>
          </w:p>
        </w:tc>
      </w:tr>
      <w:tr w:rsidR="004F788B" w:rsidRPr="005826EF" w14:paraId="4EA579C2" w14:textId="77777777" w:rsidTr="00C76DFF">
        <w:trPr>
          <w:trHeight w:val="239"/>
          <w:jc w:val="center"/>
        </w:trPr>
        <w:tc>
          <w:tcPr>
            <w:tcW w:w="4574" w:type="dxa"/>
            <w:shd w:val="clear" w:color="auto" w:fill="auto"/>
            <w:noWrap/>
            <w:hideMark/>
          </w:tcPr>
          <w:p w14:paraId="15E1CBF9"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Packaging, Supplies &amp; Materials</w:t>
            </w:r>
          </w:p>
        </w:tc>
        <w:tc>
          <w:tcPr>
            <w:tcW w:w="1170" w:type="dxa"/>
            <w:shd w:val="clear" w:color="auto" w:fill="auto"/>
            <w:noWrap/>
            <w:hideMark/>
          </w:tcPr>
          <w:p w14:paraId="3E5143DE" w14:textId="66A54A49"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4,</w:t>
            </w:r>
            <w:r>
              <w:rPr>
                <w:rFonts w:ascii="Arial" w:hAnsi="Arial" w:cs="Arial"/>
                <w:color w:val="000000"/>
                <w:lang w:val="en-GB"/>
              </w:rPr>
              <w:t>052</w:t>
            </w:r>
            <w:r w:rsidRPr="005826EF">
              <w:rPr>
                <w:rFonts w:ascii="Arial" w:hAnsi="Arial" w:cs="Arial"/>
                <w:color w:val="000000"/>
                <w:lang w:val="en-GB"/>
              </w:rPr>
              <w:t xml:space="preserve"> </w:t>
            </w:r>
          </w:p>
        </w:tc>
      </w:tr>
      <w:tr w:rsidR="004F788B" w:rsidRPr="005826EF" w14:paraId="079E78C9" w14:textId="77777777" w:rsidTr="00C76DFF">
        <w:trPr>
          <w:trHeight w:val="230"/>
          <w:jc w:val="center"/>
        </w:trPr>
        <w:tc>
          <w:tcPr>
            <w:tcW w:w="4574" w:type="dxa"/>
            <w:shd w:val="clear" w:color="auto" w:fill="auto"/>
            <w:noWrap/>
            <w:hideMark/>
          </w:tcPr>
          <w:p w14:paraId="3D3CE6B6"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Tea Purchases</w:t>
            </w:r>
          </w:p>
        </w:tc>
        <w:tc>
          <w:tcPr>
            <w:tcW w:w="1170" w:type="dxa"/>
            <w:shd w:val="clear" w:color="auto" w:fill="auto"/>
            <w:noWrap/>
            <w:hideMark/>
          </w:tcPr>
          <w:p w14:paraId="11370A9A"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11,988 </w:t>
            </w:r>
          </w:p>
        </w:tc>
      </w:tr>
      <w:tr w:rsidR="004F788B" w:rsidRPr="005826EF" w14:paraId="675F4A83" w14:textId="77777777" w:rsidTr="00C76DFF">
        <w:trPr>
          <w:trHeight w:val="239"/>
          <w:jc w:val="center"/>
        </w:trPr>
        <w:tc>
          <w:tcPr>
            <w:tcW w:w="4574" w:type="dxa"/>
            <w:shd w:val="clear" w:color="auto" w:fill="auto"/>
            <w:noWrap/>
            <w:hideMark/>
          </w:tcPr>
          <w:p w14:paraId="658C6B64"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Tea Ware</w:t>
            </w:r>
          </w:p>
        </w:tc>
        <w:tc>
          <w:tcPr>
            <w:tcW w:w="1170" w:type="dxa"/>
            <w:shd w:val="clear" w:color="auto" w:fill="auto"/>
            <w:noWrap/>
            <w:hideMark/>
          </w:tcPr>
          <w:p w14:paraId="56C1E447"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3,910 </w:t>
            </w:r>
          </w:p>
        </w:tc>
      </w:tr>
      <w:tr w:rsidR="004F788B" w:rsidRPr="005826EF" w14:paraId="1E8E35E7" w14:textId="77777777" w:rsidTr="00C76DFF">
        <w:trPr>
          <w:trHeight w:val="230"/>
          <w:jc w:val="center"/>
        </w:trPr>
        <w:tc>
          <w:tcPr>
            <w:tcW w:w="4574" w:type="dxa"/>
            <w:shd w:val="clear" w:color="auto" w:fill="auto"/>
            <w:noWrap/>
            <w:hideMark/>
          </w:tcPr>
          <w:p w14:paraId="4DBA71CF" w14:textId="77777777" w:rsidR="004F788B" w:rsidRPr="005826EF" w:rsidRDefault="004F788B" w:rsidP="00CE4D34">
            <w:pPr>
              <w:rPr>
                <w:rFonts w:ascii="Arial" w:hAnsi="Arial" w:cs="Arial"/>
                <w:b/>
                <w:bCs/>
                <w:lang w:val="en-GB"/>
              </w:rPr>
            </w:pPr>
            <w:r w:rsidRPr="005826EF">
              <w:rPr>
                <w:rFonts w:ascii="Arial" w:hAnsi="Arial" w:cs="Arial"/>
                <w:b/>
                <w:bCs/>
                <w:lang w:val="en-GB"/>
              </w:rPr>
              <w:t>Total Cost of Goods Sold</w:t>
            </w:r>
          </w:p>
        </w:tc>
        <w:tc>
          <w:tcPr>
            <w:tcW w:w="1170" w:type="dxa"/>
            <w:shd w:val="clear" w:color="auto" w:fill="auto"/>
            <w:noWrap/>
            <w:hideMark/>
          </w:tcPr>
          <w:p w14:paraId="7A04A080" w14:textId="7E6791DB" w:rsidR="004F788B" w:rsidRPr="005826EF" w:rsidRDefault="004F788B" w:rsidP="00CE4D34">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35,612 </w:t>
            </w:r>
          </w:p>
        </w:tc>
      </w:tr>
      <w:tr w:rsidR="004F788B" w:rsidRPr="005826EF" w14:paraId="52B68483" w14:textId="77777777" w:rsidTr="00C76DFF">
        <w:trPr>
          <w:trHeight w:val="239"/>
          <w:jc w:val="center"/>
        </w:trPr>
        <w:tc>
          <w:tcPr>
            <w:tcW w:w="4574" w:type="dxa"/>
            <w:shd w:val="clear" w:color="auto" w:fill="auto"/>
            <w:noWrap/>
            <w:hideMark/>
          </w:tcPr>
          <w:p w14:paraId="50B6ABDE" w14:textId="77777777" w:rsidR="004F788B" w:rsidRPr="005826EF" w:rsidRDefault="004F788B" w:rsidP="00CE4D34">
            <w:pPr>
              <w:rPr>
                <w:rFonts w:ascii="Arial" w:hAnsi="Arial" w:cs="Arial"/>
                <w:b/>
                <w:bCs/>
                <w:color w:val="000000"/>
                <w:lang w:val="en-GB"/>
              </w:rPr>
            </w:pPr>
            <w:r w:rsidRPr="005826EF">
              <w:rPr>
                <w:rFonts w:ascii="Arial" w:hAnsi="Arial" w:cs="Arial"/>
                <w:b/>
                <w:bCs/>
                <w:color w:val="000000"/>
                <w:lang w:val="en-GB"/>
              </w:rPr>
              <w:t>GROSS PROFIT</w:t>
            </w:r>
          </w:p>
        </w:tc>
        <w:tc>
          <w:tcPr>
            <w:tcW w:w="1170" w:type="dxa"/>
            <w:shd w:val="clear" w:color="auto" w:fill="auto"/>
            <w:noWrap/>
            <w:hideMark/>
          </w:tcPr>
          <w:p w14:paraId="2721B200" w14:textId="665382E1" w:rsidR="004F788B" w:rsidRPr="005826EF" w:rsidRDefault="004F788B" w:rsidP="00CE4D34">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37,989 </w:t>
            </w:r>
          </w:p>
        </w:tc>
      </w:tr>
      <w:tr w:rsidR="004F788B" w:rsidRPr="005826EF" w14:paraId="32B50231" w14:textId="77777777" w:rsidTr="00C76DFF">
        <w:trPr>
          <w:trHeight w:val="239"/>
          <w:jc w:val="center"/>
        </w:trPr>
        <w:tc>
          <w:tcPr>
            <w:tcW w:w="4574" w:type="dxa"/>
            <w:shd w:val="clear" w:color="auto" w:fill="auto"/>
            <w:noWrap/>
            <w:hideMark/>
          </w:tcPr>
          <w:p w14:paraId="37E32114" w14:textId="77777777" w:rsidR="004F788B" w:rsidRPr="005826EF" w:rsidRDefault="004F788B" w:rsidP="00CE4D34">
            <w:pPr>
              <w:rPr>
                <w:rFonts w:ascii="Arial" w:hAnsi="Arial" w:cs="Arial"/>
                <w:lang w:val="en-GB"/>
              </w:rPr>
            </w:pPr>
            <w:r w:rsidRPr="005826EF">
              <w:rPr>
                <w:rFonts w:ascii="Arial" w:hAnsi="Arial" w:cs="Arial"/>
                <w:lang w:val="en-GB"/>
              </w:rPr>
              <w:t>Expenses</w:t>
            </w:r>
          </w:p>
        </w:tc>
        <w:tc>
          <w:tcPr>
            <w:tcW w:w="1170" w:type="dxa"/>
            <w:shd w:val="clear" w:color="auto" w:fill="auto"/>
            <w:noWrap/>
            <w:hideMark/>
          </w:tcPr>
          <w:p w14:paraId="76F1BB8D" w14:textId="77777777" w:rsidR="004F788B" w:rsidRPr="005826EF" w:rsidRDefault="004F788B" w:rsidP="00CE4D34">
            <w:pPr>
              <w:jc w:val="right"/>
              <w:rPr>
                <w:lang w:val="en-GB"/>
              </w:rPr>
            </w:pPr>
          </w:p>
        </w:tc>
      </w:tr>
      <w:tr w:rsidR="004F788B" w:rsidRPr="005826EF" w14:paraId="73CF0AC7" w14:textId="77777777" w:rsidTr="00C76DFF">
        <w:trPr>
          <w:trHeight w:val="230"/>
          <w:jc w:val="center"/>
        </w:trPr>
        <w:tc>
          <w:tcPr>
            <w:tcW w:w="4574" w:type="dxa"/>
            <w:shd w:val="clear" w:color="auto" w:fill="auto"/>
            <w:noWrap/>
            <w:hideMark/>
          </w:tcPr>
          <w:p w14:paraId="6521CFEA" w14:textId="3295169E" w:rsidR="004F788B" w:rsidRPr="005826EF" w:rsidRDefault="004F788B" w:rsidP="00CE4D34">
            <w:pPr>
              <w:ind w:firstLineChars="100" w:firstLine="200"/>
              <w:rPr>
                <w:rFonts w:ascii="Arial" w:hAnsi="Arial" w:cs="Arial"/>
                <w:lang w:val="en-GB"/>
              </w:rPr>
            </w:pPr>
            <w:r w:rsidRPr="005826EF">
              <w:rPr>
                <w:rFonts w:ascii="Arial" w:hAnsi="Arial" w:cs="Arial"/>
                <w:lang w:val="en-GB"/>
              </w:rPr>
              <w:t>Advertising and Promotions</w:t>
            </w:r>
          </w:p>
        </w:tc>
        <w:tc>
          <w:tcPr>
            <w:tcW w:w="1170" w:type="dxa"/>
            <w:shd w:val="clear" w:color="auto" w:fill="auto"/>
            <w:noWrap/>
            <w:hideMark/>
          </w:tcPr>
          <w:p w14:paraId="6A059918"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806 </w:t>
            </w:r>
          </w:p>
        </w:tc>
      </w:tr>
      <w:tr w:rsidR="004F788B" w:rsidRPr="005826EF" w14:paraId="250E9A34" w14:textId="77777777" w:rsidTr="00C76DFF">
        <w:trPr>
          <w:trHeight w:val="239"/>
          <w:jc w:val="center"/>
        </w:trPr>
        <w:tc>
          <w:tcPr>
            <w:tcW w:w="4574" w:type="dxa"/>
            <w:shd w:val="clear" w:color="auto" w:fill="auto"/>
            <w:noWrap/>
            <w:hideMark/>
          </w:tcPr>
          <w:p w14:paraId="68DD650F"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Equipment</w:t>
            </w:r>
          </w:p>
        </w:tc>
        <w:tc>
          <w:tcPr>
            <w:tcW w:w="1170" w:type="dxa"/>
            <w:shd w:val="clear" w:color="auto" w:fill="auto"/>
            <w:noWrap/>
            <w:hideMark/>
          </w:tcPr>
          <w:p w14:paraId="53D171FB"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699 </w:t>
            </w:r>
          </w:p>
        </w:tc>
      </w:tr>
      <w:tr w:rsidR="004F788B" w:rsidRPr="005826EF" w14:paraId="760586D1" w14:textId="77777777" w:rsidTr="00C76DFF">
        <w:trPr>
          <w:trHeight w:val="230"/>
          <w:jc w:val="center"/>
        </w:trPr>
        <w:tc>
          <w:tcPr>
            <w:tcW w:w="4574" w:type="dxa"/>
            <w:shd w:val="clear" w:color="auto" w:fill="auto"/>
            <w:noWrap/>
            <w:hideMark/>
          </w:tcPr>
          <w:p w14:paraId="3C3E8592"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Events</w:t>
            </w:r>
          </w:p>
        </w:tc>
        <w:tc>
          <w:tcPr>
            <w:tcW w:w="1170" w:type="dxa"/>
            <w:shd w:val="clear" w:color="auto" w:fill="auto"/>
            <w:noWrap/>
            <w:hideMark/>
          </w:tcPr>
          <w:p w14:paraId="4FC93BBC"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2,062 </w:t>
            </w:r>
          </w:p>
        </w:tc>
      </w:tr>
      <w:tr w:rsidR="004F788B" w:rsidRPr="005826EF" w14:paraId="239D6423" w14:textId="77777777" w:rsidTr="00C76DFF">
        <w:trPr>
          <w:trHeight w:val="239"/>
          <w:jc w:val="center"/>
        </w:trPr>
        <w:tc>
          <w:tcPr>
            <w:tcW w:w="4574" w:type="dxa"/>
            <w:shd w:val="clear" w:color="auto" w:fill="auto"/>
            <w:noWrap/>
            <w:hideMark/>
          </w:tcPr>
          <w:p w14:paraId="4D11F2DE"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Market Vendor Fee</w:t>
            </w:r>
          </w:p>
        </w:tc>
        <w:tc>
          <w:tcPr>
            <w:tcW w:w="1170" w:type="dxa"/>
            <w:shd w:val="clear" w:color="auto" w:fill="auto"/>
            <w:noWrap/>
            <w:hideMark/>
          </w:tcPr>
          <w:p w14:paraId="22048CE1"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837 </w:t>
            </w:r>
          </w:p>
        </w:tc>
      </w:tr>
      <w:tr w:rsidR="004F788B" w:rsidRPr="005826EF" w14:paraId="24475009" w14:textId="77777777" w:rsidTr="00C76DFF">
        <w:trPr>
          <w:trHeight w:val="239"/>
          <w:jc w:val="center"/>
        </w:trPr>
        <w:tc>
          <w:tcPr>
            <w:tcW w:w="4574" w:type="dxa"/>
            <w:shd w:val="clear" w:color="auto" w:fill="auto"/>
            <w:noWrap/>
            <w:hideMark/>
          </w:tcPr>
          <w:p w14:paraId="681768BB" w14:textId="1C9172E2" w:rsidR="004F788B" w:rsidRPr="005826EF" w:rsidRDefault="004F788B" w:rsidP="00CE4D34">
            <w:pPr>
              <w:ind w:firstLineChars="100" w:firstLine="200"/>
              <w:rPr>
                <w:rFonts w:ascii="Arial" w:hAnsi="Arial" w:cs="Arial"/>
                <w:lang w:val="en-GB"/>
              </w:rPr>
            </w:pPr>
            <w:r w:rsidRPr="005826EF">
              <w:rPr>
                <w:rFonts w:ascii="Arial" w:hAnsi="Arial" w:cs="Arial"/>
                <w:lang w:val="en-GB"/>
              </w:rPr>
              <w:t>Office and Supplies</w:t>
            </w:r>
          </w:p>
        </w:tc>
        <w:tc>
          <w:tcPr>
            <w:tcW w:w="1170" w:type="dxa"/>
            <w:shd w:val="clear" w:color="auto" w:fill="auto"/>
            <w:noWrap/>
            <w:hideMark/>
          </w:tcPr>
          <w:p w14:paraId="274885F2"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409 </w:t>
            </w:r>
          </w:p>
        </w:tc>
      </w:tr>
      <w:tr w:rsidR="004F788B" w:rsidRPr="005826EF" w14:paraId="2F3C73FA" w14:textId="77777777" w:rsidTr="00C76DFF">
        <w:trPr>
          <w:trHeight w:val="230"/>
          <w:jc w:val="center"/>
        </w:trPr>
        <w:tc>
          <w:tcPr>
            <w:tcW w:w="4574" w:type="dxa"/>
            <w:shd w:val="clear" w:color="auto" w:fill="auto"/>
            <w:hideMark/>
          </w:tcPr>
          <w:p w14:paraId="5ED628CF"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Rent or Lease</w:t>
            </w:r>
          </w:p>
        </w:tc>
        <w:tc>
          <w:tcPr>
            <w:tcW w:w="1170" w:type="dxa"/>
            <w:shd w:val="clear" w:color="auto" w:fill="auto"/>
            <w:hideMark/>
          </w:tcPr>
          <w:p w14:paraId="66F3BA3C"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7,200 </w:t>
            </w:r>
          </w:p>
        </w:tc>
      </w:tr>
      <w:tr w:rsidR="004F788B" w:rsidRPr="005826EF" w14:paraId="5FBB3AD7" w14:textId="77777777" w:rsidTr="00C76DFF">
        <w:trPr>
          <w:trHeight w:val="239"/>
          <w:jc w:val="center"/>
        </w:trPr>
        <w:tc>
          <w:tcPr>
            <w:tcW w:w="4574" w:type="dxa"/>
            <w:shd w:val="clear" w:color="auto" w:fill="auto"/>
            <w:hideMark/>
          </w:tcPr>
          <w:p w14:paraId="3D3A120A" w14:textId="12F10685" w:rsidR="004F788B" w:rsidRPr="005826EF" w:rsidRDefault="004F788B" w:rsidP="00CE4D34">
            <w:pPr>
              <w:ind w:firstLineChars="100" w:firstLine="200"/>
              <w:rPr>
                <w:rFonts w:ascii="Arial" w:hAnsi="Arial" w:cs="Arial"/>
                <w:lang w:val="en-GB"/>
              </w:rPr>
            </w:pPr>
            <w:r w:rsidRPr="005826EF">
              <w:rPr>
                <w:rFonts w:ascii="Arial" w:hAnsi="Arial" w:cs="Arial"/>
                <w:lang w:val="en-GB"/>
              </w:rPr>
              <w:t>Sales and Marketing</w:t>
            </w:r>
          </w:p>
        </w:tc>
        <w:tc>
          <w:tcPr>
            <w:tcW w:w="1170" w:type="dxa"/>
            <w:shd w:val="clear" w:color="auto" w:fill="auto"/>
            <w:noWrap/>
            <w:hideMark/>
          </w:tcPr>
          <w:p w14:paraId="715EDFC3"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0</w:t>
            </w:r>
          </w:p>
        </w:tc>
      </w:tr>
      <w:tr w:rsidR="004F788B" w:rsidRPr="005826EF" w14:paraId="45779AFA" w14:textId="77777777" w:rsidTr="00C76DFF">
        <w:trPr>
          <w:trHeight w:val="230"/>
          <w:jc w:val="center"/>
        </w:trPr>
        <w:tc>
          <w:tcPr>
            <w:tcW w:w="4574" w:type="dxa"/>
            <w:shd w:val="clear" w:color="auto" w:fill="auto"/>
            <w:hideMark/>
          </w:tcPr>
          <w:p w14:paraId="2CCD45D0" w14:textId="4393DB8E" w:rsidR="004F788B" w:rsidRPr="005826EF" w:rsidRDefault="004F788B" w:rsidP="00CE4D34">
            <w:pPr>
              <w:ind w:firstLineChars="100" w:firstLine="200"/>
              <w:rPr>
                <w:rFonts w:ascii="Arial" w:hAnsi="Arial" w:cs="Arial"/>
                <w:lang w:val="en-GB"/>
              </w:rPr>
            </w:pPr>
            <w:r w:rsidRPr="005826EF">
              <w:rPr>
                <w:rFonts w:ascii="Arial" w:hAnsi="Arial" w:cs="Arial"/>
                <w:lang w:val="en-GB"/>
              </w:rPr>
              <w:t>Shipping and Delivery</w:t>
            </w:r>
          </w:p>
        </w:tc>
        <w:tc>
          <w:tcPr>
            <w:tcW w:w="1170" w:type="dxa"/>
            <w:shd w:val="clear" w:color="auto" w:fill="auto"/>
            <w:hideMark/>
          </w:tcPr>
          <w:p w14:paraId="36506676"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1,531 </w:t>
            </w:r>
          </w:p>
        </w:tc>
      </w:tr>
      <w:tr w:rsidR="004F788B" w:rsidRPr="005826EF" w14:paraId="17891F81" w14:textId="77777777" w:rsidTr="00C76DFF">
        <w:trPr>
          <w:trHeight w:val="239"/>
          <w:jc w:val="center"/>
        </w:trPr>
        <w:tc>
          <w:tcPr>
            <w:tcW w:w="4574" w:type="dxa"/>
            <w:shd w:val="clear" w:color="auto" w:fill="auto"/>
            <w:hideMark/>
          </w:tcPr>
          <w:p w14:paraId="1881480F" w14:textId="77777777" w:rsidR="004F788B" w:rsidRPr="005826EF" w:rsidRDefault="004F788B" w:rsidP="00CE4D34">
            <w:pPr>
              <w:ind w:firstLineChars="100" w:firstLine="200"/>
              <w:rPr>
                <w:rFonts w:ascii="Arial" w:hAnsi="Arial" w:cs="Arial"/>
                <w:lang w:val="en-GB"/>
              </w:rPr>
            </w:pPr>
            <w:r w:rsidRPr="005826EF">
              <w:rPr>
                <w:rFonts w:ascii="Arial" w:hAnsi="Arial" w:cs="Arial"/>
                <w:lang w:val="en-GB"/>
              </w:rPr>
              <w:t>Other Expenses</w:t>
            </w:r>
          </w:p>
        </w:tc>
        <w:tc>
          <w:tcPr>
            <w:tcW w:w="1170" w:type="dxa"/>
            <w:shd w:val="clear" w:color="auto" w:fill="auto"/>
            <w:hideMark/>
          </w:tcPr>
          <w:p w14:paraId="0E6D70B2" w14:textId="77777777" w:rsidR="004F788B" w:rsidRPr="005826EF" w:rsidRDefault="004F788B" w:rsidP="00CE4D34">
            <w:pPr>
              <w:jc w:val="right"/>
              <w:rPr>
                <w:rFonts w:ascii="Arial" w:hAnsi="Arial" w:cs="Arial"/>
                <w:color w:val="000000"/>
                <w:lang w:val="en-GB"/>
              </w:rPr>
            </w:pPr>
            <w:r w:rsidRPr="005826EF">
              <w:rPr>
                <w:rFonts w:ascii="Arial" w:hAnsi="Arial" w:cs="Arial"/>
                <w:color w:val="000000"/>
                <w:lang w:val="en-GB"/>
              </w:rPr>
              <w:t xml:space="preserve"> 11,940 </w:t>
            </w:r>
          </w:p>
        </w:tc>
      </w:tr>
      <w:tr w:rsidR="004F788B" w:rsidRPr="005826EF" w14:paraId="420585BC" w14:textId="77777777" w:rsidTr="00C76DFF">
        <w:trPr>
          <w:trHeight w:val="239"/>
          <w:jc w:val="center"/>
        </w:trPr>
        <w:tc>
          <w:tcPr>
            <w:tcW w:w="4574" w:type="dxa"/>
            <w:shd w:val="clear" w:color="auto" w:fill="auto"/>
            <w:hideMark/>
          </w:tcPr>
          <w:p w14:paraId="028A4C3E" w14:textId="77777777" w:rsidR="004F788B" w:rsidRPr="005826EF" w:rsidRDefault="004F788B" w:rsidP="00CE4D34">
            <w:pPr>
              <w:rPr>
                <w:rFonts w:ascii="Arial" w:hAnsi="Arial" w:cs="Arial"/>
                <w:b/>
                <w:bCs/>
                <w:lang w:val="en-GB"/>
              </w:rPr>
            </w:pPr>
            <w:r w:rsidRPr="005826EF">
              <w:rPr>
                <w:rFonts w:ascii="Arial" w:hAnsi="Arial" w:cs="Arial"/>
                <w:b/>
                <w:bCs/>
                <w:lang w:val="en-GB"/>
              </w:rPr>
              <w:t>Total Expenses</w:t>
            </w:r>
          </w:p>
        </w:tc>
        <w:tc>
          <w:tcPr>
            <w:tcW w:w="1170" w:type="dxa"/>
            <w:shd w:val="clear" w:color="auto" w:fill="auto"/>
            <w:hideMark/>
          </w:tcPr>
          <w:p w14:paraId="023EE5E0" w14:textId="2CD0E98D" w:rsidR="004F788B" w:rsidRPr="005826EF" w:rsidRDefault="004F788B" w:rsidP="00CE4D34">
            <w:pPr>
              <w:jc w:val="right"/>
              <w:rPr>
                <w:rFonts w:ascii="Arial" w:hAnsi="Arial" w:cs="Arial"/>
                <w:b/>
                <w:bCs/>
                <w:color w:val="000000"/>
                <w:lang w:val="en-GB"/>
              </w:rPr>
            </w:pPr>
            <w:r>
              <w:rPr>
                <w:rFonts w:ascii="Arial" w:hAnsi="Arial" w:cs="Arial"/>
                <w:b/>
                <w:bCs/>
                <w:color w:val="000000"/>
                <w:lang w:val="en-GB"/>
              </w:rPr>
              <w:t>$</w:t>
            </w:r>
            <w:r w:rsidRPr="005826EF">
              <w:rPr>
                <w:rFonts w:ascii="Arial" w:hAnsi="Arial" w:cs="Arial"/>
                <w:b/>
                <w:bCs/>
                <w:color w:val="000000"/>
                <w:lang w:val="en-GB"/>
              </w:rPr>
              <w:t xml:space="preserve">25,485 </w:t>
            </w:r>
          </w:p>
        </w:tc>
      </w:tr>
      <w:tr w:rsidR="004F788B" w:rsidRPr="005826EF" w14:paraId="0D179257" w14:textId="77777777" w:rsidTr="00C76DFF">
        <w:trPr>
          <w:trHeight w:val="239"/>
          <w:jc w:val="center"/>
        </w:trPr>
        <w:tc>
          <w:tcPr>
            <w:tcW w:w="4574" w:type="dxa"/>
            <w:shd w:val="clear" w:color="auto" w:fill="auto"/>
            <w:hideMark/>
          </w:tcPr>
          <w:p w14:paraId="68E86273" w14:textId="77777777" w:rsidR="004F788B" w:rsidRPr="005826EF" w:rsidRDefault="004F788B" w:rsidP="00CE4D34">
            <w:pPr>
              <w:rPr>
                <w:rFonts w:ascii="Arial" w:hAnsi="Arial" w:cs="Arial"/>
                <w:b/>
                <w:bCs/>
                <w:lang w:val="en-GB"/>
              </w:rPr>
            </w:pPr>
            <w:r w:rsidRPr="005826EF">
              <w:rPr>
                <w:rFonts w:ascii="Arial" w:hAnsi="Arial" w:cs="Arial"/>
                <w:b/>
                <w:bCs/>
                <w:lang w:val="en-GB"/>
              </w:rPr>
              <w:t>NET OPERATING INCOME</w:t>
            </w:r>
          </w:p>
        </w:tc>
        <w:tc>
          <w:tcPr>
            <w:tcW w:w="1170" w:type="dxa"/>
            <w:shd w:val="clear" w:color="auto" w:fill="auto"/>
            <w:hideMark/>
          </w:tcPr>
          <w:p w14:paraId="7DADBC23" w14:textId="659C8AB5" w:rsidR="004F788B" w:rsidRPr="005826EF" w:rsidRDefault="004F788B" w:rsidP="00CE4D34">
            <w:pPr>
              <w:tabs>
                <w:tab w:val="left" w:pos="631"/>
                <w:tab w:val="decimal" w:pos="1531"/>
              </w:tabs>
              <w:jc w:val="right"/>
              <w:rPr>
                <w:rFonts w:ascii="Arial" w:hAnsi="Arial" w:cs="Arial"/>
                <w:b/>
                <w:bCs/>
                <w:color w:val="000000"/>
                <w:lang w:val="en-GB"/>
              </w:rPr>
            </w:pPr>
            <w:r>
              <w:rPr>
                <w:rFonts w:ascii="Arial" w:hAnsi="Arial" w:cs="Arial"/>
                <w:b/>
                <w:bCs/>
                <w:color w:val="000000"/>
                <w:lang w:val="en-GB"/>
              </w:rPr>
              <w:t>$</w:t>
            </w:r>
            <w:r w:rsidRPr="005826EF">
              <w:rPr>
                <w:rFonts w:ascii="Arial" w:hAnsi="Arial" w:cs="Arial"/>
                <w:b/>
                <w:bCs/>
                <w:color w:val="000000"/>
                <w:lang w:val="en-GB"/>
              </w:rPr>
              <w:t>12,504</w:t>
            </w:r>
          </w:p>
        </w:tc>
      </w:tr>
    </w:tbl>
    <w:p w14:paraId="5C55BE63" w14:textId="77777777" w:rsidR="00F0508E" w:rsidRPr="005826EF" w:rsidRDefault="00F0508E" w:rsidP="00F0508E">
      <w:pPr>
        <w:pStyle w:val="ExhibitHeading"/>
        <w:rPr>
          <w:rFonts w:eastAsia="Calibri"/>
          <w:lang w:val="en-GB"/>
        </w:rPr>
      </w:pPr>
    </w:p>
    <w:p w14:paraId="22EB620C" w14:textId="77777777" w:rsidR="00F0508E" w:rsidRPr="005826EF" w:rsidRDefault="00F0508E" w:rsidP="00F0508E">
      <w:pPr>
        <w:pStyle w:val="ExhibitHeading"/>
        <w:rPr>
          <w:rFonts w:eastAsia="Calibri"/>
          <w:lang w:val="en-GB"/>
        </w:rPr>
      </w:pPr>
    </w:p>
    <w:p w14:paraId="3B1D2F7D" w14:textId="77777777" w:rsidR="00F0508E" w:rsidRPr="005826EF" w:rsidRDefault="00F0508E" w:rsidP="00F0508E">
      <w:pPr>
        <w:spacing w:after="200" w:line="276" w:lineRule="auto"/>
        <w:rPr>
          <w:rFonts w:ascii="Arial" w:eastAsia="Calibri" w:hAnsi="Arial" w:cs="Arial"/>
          <w:b/>
          <w:caps/>
          <w:lang w:val="en-GB"/>
        </w:rPr>
      </w:pPr>
      <w:r w:rsidRPr="005826EF">
        <w:rPr>
          <w:rFonts w:eastAsia="Calibri"/>
          <w:lang w:val="en-GB"/>
        </w:rPr>
        <w:br w:type="page"/>
      </w:r>
    </w:p>
    <w:p w14:paraId="56BE0C1C" w14:textId="57871C56" w:rsidR="00594734" w:rsidRPr="005826EF" w:rsidRDefault="00594734" w:rsidP="007C7E98">
      <w:pPr>
        <w:pStyle w:val="ExhibitHeading"/>
        <w:rPr>
          <w:rFonts w:eastAsia="Calibri"/>
          <w:caps w:val="0"/>
          <w:lang w:val="en-GB"/>
        </w:rPr>
      </w:pPr>
      <w:r w:rsidRPr="005826EF">
        <w:rPr>
          <w:rFonts w:eastAsia="Calibri"/>
          <w:caps w:val="0"/>
          <w:lang w:val="en-GB"/>
        </w:rPr>
        <w:lastRenderedPageBreak/>
        <w:t>EXHIBIT 1 CONTINUED</w:t>
      </w:r>
    </w:p>
    <w:p w14:paraId="53E37187" w14:textId="77777777" w:rsidR="00594734" w:rsidRPr="005826EF" w:rsidRDefault="00594734" w:rsidP="007C7E98">
      <w:pPr>
        <w:pStyle w:val="ExhibitHeading"/>
        <w:rPr>
          <w:rFonts w:eastAsia="Calibri"/>
          <w:caps w:val="0"/>
          <w:lang w:val="en-GB"/>
        </w:rPr>
      </w:pPr>
    </w:p>
    <w:p w14:paraId="285F3831" w14:textId="3C1FB55C" w:rsidR="00A5568C" w:rsidRPr="005826EF" w:rsidRDefault="00ED57CB" w:rsidP="007C7E98">
      <w:pPr>
        <w:pStyle w:val="ExhibitHeading"/>
        <w:rPr>
          <w:rFonts w:eastAsia="Calibri"/>
          <w:lang w:val="en-GB"/>
        </w:rPr>
      </w:pPr>
      <w:r w:rsidRPr="005826EF">
        <w:rPr>
          <w:rFonts w:eastAsia="Calibri"/>
          <w:caps w:val="0"/>
          <w:lang w:val="en-GB"/>
        </w:rPr>
        <w:t>Storehouse Tea Balance Sheet (as of December 31, 2016)</w:t>
      </w:r>
    </w:p>
    <w:p w14:paraId="2952644F" w14:textId="77777777" w:rsidR="00E21BA2" w:rsidRPr="005826EF" w:rsidRDefault="00E21BA2" w:rsidP="00CF7491">
      <w:pPr>
        <w:pStyle w:val="ExhibitNumber"/>
        <w:rPr>
          <w:rFonts w:eastAsia="Calibri"/>
          <w:lang w:val="en-GB"/>
        </w:rPr>
      </w:pPr>
    </w:p>
    <w:tbl>
      <w:tblPr>
        <w:tblW w:w="4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3548"/>
        <w:gridCol w:w="1170"/>
      </w:tblGrid>
      <w:tr w:rsidR="004F788B" w:rsidRPr="005826EF" w14:paraId="066C8922" w14:textId="77777777" w:rsidTr="004F788B">
        <w:trPr>
          <w:trHeight w:val="241"/>
          <w:jc w:val="center"/>
        </w:trPr>
        <w:tc>
          <w:tcPr>
            <w:tcW w:w="3548" w:type="dxa"/>
            <w:shd w:val="clear" w:color="auto" w:fill="auto"/>
            <w:noWrap/>
            <w:vAlign w:val="center"/>
            <w:hideMark/>
          </w:tcPr>
          <w:p w14:paraId="59982BC4" w14:textId="77777777" w:rsidR="004F788B" w:rsidRPr="005826EF" w:rsidRDefault="004F788B">
            <w:pPr>
              <w:rPr>
                <w:rFonts w:ascii="Arial" w:hAnsi="Arial" w:cs="Arial"/>
                <w:lang w:val="en-GB"/>
              </w:rPr>
            </w:pPr>
            <w:r w:rsidRPr="005826EF">
              <w:rPr>
                <w:rFonts w:ascii="Arial" w:hAnsi="Arial" w:cs="Arial"/>
                <w:lang w:val="en-GB"/>
              </w:rPr>
              <w:t>ASSETS</w:t>
            </w:r>
          </w:p>
        </w:tc>
        <w:tc>
          <w:tcPr>
            <w:tcW w:w="1170" w:type="dxa"/>
            <w:shd w:val="clear" w:color="auto" w:fill="auto"/>
            <w:noWrap/>
            <w:vAlign w:val="center"/>
            <w:hideMark/>
          </w:tcPr>
          <w:p w14:paraId="3DD3EE5F" w14:textId="280D748C" w:rsidR="004F788B" w:rsidRPr="005826EF" w:rsidRDefault="004F788B" w:rsidP="00CF7491">
            <w:pPr>
              <w:jc w:val="right"/>
              <w:rPr>
                <w:rFonts w:ascii="Arial" w:hAnsi="Arial" w:cs="Arial"/>
                <w:lang w:val="en-GB"/>
              </w:rPr>
            </w:pPr>
          </w:p>
        </w:tc>
      </w:tr>
      <w:tr w:rsidR="004F788B" w:rsidRPr="005826EF" w14:paraId="1C4ED0A4" w14:textId="77777777" w:rsidTr="004F788B">
        <w:trPr>
          <w:trHeight w:val="232"/>
          <w:jc w:val="center"/>
        </w:trPr>
        <w:tc>
          <w:tcPr>
            <w:tcW w:w="3548" w:type="dxa"/>
            <w:shd w:val="clear" w:color="auto" w:fill="auto"/>
            <w:noWrap/>
            <w:vAlign w:val="center"/>
            <w:hideMark/>
          </w:tcPr>
          <w:p w14:paraId="0CD58FEE" w14:textId="77777777" w:rsidR="004F788B" w:rsidRPr="005826EF" w:rsidRDefault="004F788B" w:rsidP="00846310">
            <w:pPr>
              <w:ind w:firstLineChars="100" w:firstLine="200"/>
              <w:rPr>
                <w:rFonts w:ascii="Arial" w:hAnsi="Arial" w:cs="Arial"/>
                <w:lang w:val="en-GB"/>
              </w:rPr>
            </w:pPr>
            <w:r w:rsidRPr="005826EF">
              <w:rPr>
                <w:rFonts w:ascii="Arial" w:hAnsi="Arial" w:cs="Arial"/>
                <w:lang w:val="en-GB"/>
              </w:rPr>
              <w:t xml:space="preserve">Current Assets </w:t>
            </w:r>
          </w:p>
        </w:tc>
        <w:tc>
          <w:tcPr>
            <w:tcW w:w="1170" w:type="dxa"/>
            <w:shd w:val="clear" w:color="auto" w:fill="auto"/>
            <w:noWrap/>
            <w:vAlign w:val="center"/>
            <w:hideMark/>
          </w:tcPr>
          <w:p w14:paraId="77FF683C" w14:textId="67716FF7" w:rsidR="004F788B" w:rsidRPr="005826EF" w:rsidRDefault="004F788B" w:rsidP="00CF7491">
            <w:pPr>
              <w:ind w:firstLineChars="100" w:firstLine="200"/>
              <w:jc w:val="right"/>
              <w:rPr>
                <w:rFonts w:ascii="Arial" w:hAnsi="Arial" w:cs="Arial"/>
                <w:lang w:val="en-GB"/>
              </w:rPr>
            </w:pPr>
          </w:p>
        </w:tc>
      </w:tr>
      <w:tr w:rsidR="004F788B" w:rsidRPr="005826EF" w14:paraId="63020048" w14:textId="77777777" w:rsidTr="004F788B">
        <w:trPr>
          <w:trHeight w:val="241"/>
          <w:jc w:val="center"/>
        </w:trPr>
        <w:tc>
          <w:tcPr>
            <w:tcW w:w="3548" w:type="dxa"/>
            <w:shd w:val="clear" w:color="auto" w:fill="auto"/>
            <w:noWrap/>
            <w:vAlign w:val="center"/>
            <w:hideMark/>
          </w:tcPr>
          <w:p w14:paraId="16A6ED63"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Bank Accounts</w:t>
            </w:r>
          </w:p>
        </w:tc>
        <w:tc>
          <w:tcPr>
            <w:tcW w:w="1170" w:type="dxa"/>
            <w:shd w:val="clear" w:color="auto" w:fill="auto"/>
            <w:noWrap/>
            <w:vAlign w:val="center"/>
            <w:hideMark/>
          </w:tcPr>
          <w:p w14:paraId="1CED9F39" w14:textId="2404087C" w:rsidR="004F788B" w:rsidRPr="005826EF" w:rsidRDefault="004F788B" w:rsidP="00CF7491">
            <w:pPr>
              <w:jc w:val="right"/>
              <w:rPr>
                <w:rFonts w:ascii="Arial" w:hAnsi="Arial" w:cs="Arial"/>
                <w:color w:val="000000"/>
                <w:lang w:val="en-GB"/>
              </w:rPr>
            </w:pPr>
            <w:r>
              <w:rPr>
                <w:rFonts w:ascii="Arial" w:hAnsi="Arial" w:cs="Arial"/>
                <w:color w:val="000000"/>
                <w:lang w:val="en-GB"/>
              </w:rPr>
              <w:t>$</w:t>
            </w:r>
            <w:r w:rsidRPr="005826EF">
              <w:rPr>
                <w:rFonts w:ascii="Arial" w:hAnsi="Arial" w:cs="Arial"/>
                <w:color w:val="000000"/>
                <w:lang w:val="en-GB"/>
              </w:rPr>
              <w:t xml:space="preserve">5,300 </w:t>
            </w:r>
          </w:p>
        </w:tc>
      </w:tr>
      <w:tr w:rsidR="004F788B" w:rsidRPr="005826EF" w14:paraId="5C4D3715" w14:textId="77777777" w:rsidTr="004F788B">
        <w:trPr>
          <w:trHeight w:val="232"/>
          <w:jc w:val="center"/>
        </w:trPr>
        <w:tc>
          <w:tcPr>
            <w:tcW w:w="3548" w:type="dxa"/>
            <w:shd w:val="clear" w:color="auto" w:fill="auto"/>
            <w:noWrap/>
            <w:vAlign w:val="center"/>
            <w:hideMark/>
          </w:tcPr>
          <w:p w14:paraId="5ED1BB4C"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Inventory</w:t>
            </w:r>
          </w:p>
        </w:tc>
        <w:tc>
          <w:tcPr>
            <w:tcW w:w="1170" w:type="dxa"/>
            <w:shd w:val="clear" w:color="auto" w:fill="auto"/>
            <w:noWrap/>
            <w:vAlign w:val="center"/>
            <w:hideMark/>
          </w:tcPr>
          <w:p w14:paraId="2F0B3717" w14:textId="5096B5A9" w:rsidR="004F788B" w:rsidRPr="005826EF" w:rsidRDefault="004F788B" w:rsidP="00CF7491">
            <w:pPr>
              <w:jc w:val="right"/>
              <w:rPr>
                <w:rFonts w:ascii="Arial" w:hAnsi="Arial" w:cs="Arial"/>
                <w:color w:val="000000"/>
                <w:lang w:val="en-GB"/>
              </w:rPr>
            </w:pPr>
            <w:r w:rsidRPr="005826EF">
              <w:rPr>
                <w:rFonts w:ascii="Arial" w:hAnsi="Arial" w:cs="Arial"/>
                <w:color w:val="000000"/>
                <w:lang w:val="en-GB"/>
              </w:rPr>
              <w:t xml:space="preserve">9,816 </w:t>
            </w:r>
          </w:p>
        </w:tc>
      </w:tr>
      <w:tr w:rsidR="004F788B" w:rsidRPr="005826EF" w14:paraId="446D53FB" w14:textId="77777777" w:rsidTr="004F788B">
        <w:trPr>
          <w:trHeight w:val="241"/>
          <w:jc w:val="center"/>
        </w:trPr>
        <w:tc>
          <w:tcPr>
            <w:tcW w:w="3548" w:type="dxa"/>
            <w:shd w:val="clear" w:color="auto" w:fill="auto"/>
            <w:noWrap/>
            <w:vAlign w:val="center"/>
            <w:hideMark/>
          </w:tcPr>
          <w:p w14:paraId="194716A5" w14:textId="77777777" w:rsidR="004F788B" w:rsidRPr="005826EF" w:rsidRDefault="004F788B" w:rsidP="002B3D06">
            <w:pPr>
              <w:ind w:firstLineChars="100" w:firstLine="201"/>
              <w:rPr>
                <w:rFonts w:ascii="Arial" w:hAnsi="Arial" w:cs="Arial"/>
                <w:b/>
                <w:bCs/>
                <w:lang w:val="en-GB"/>
              </w:rPr>
            </w:pPr>
            <w:r w:rsidRPr="005826EF">
              <w:rPr>
                <w:rFonts w:ascii="Arial" w:hAnsi="Arial" w:cs="Arial"/>
                <w:b/>
                <w:bCs/>
                <w:lang w:val="en-GB"/>
              </w:rPr>
              <w:t>Total Current Assets</w:t>
            </w:r>
          </w:p>
        </w:tc>
        <w:tc>
          <w:tcPr>
            <w:tcW w:w="1170" w:type="dxa"/>
            <w:shd w:val="clear" w:color="auto" w:fill="auto"/>
            <w:noWrap/>
            <w:vAlign w:val="center"/>
            <w:hideMark/>
          </w:tcPr>
          <w:p w14:paraId="573C6EA3" w14:textId="49C64846" w:rsidR="004F788B" w:rsidRPr="005826EF" w:rsidRDefault="004F788B" w:rsidP="00CF7491">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15,116 </w:t>
            </w:r>
          </w:p>
        </w:tc>
      </w:tr>
      <w:tr w:rsidR="004F788B" w:rsidRPr="005826EF" w14:paraId="6FC43AEB" w14:textId="77777777" w:rsidTr="004F788B">
        <w:trPr>
          <w:trHeight w:val="241"/>
          <w:jc w:val="center"/>
        </w:trPr>
        <w:tc>
          <w:tcPr>
            <w:tcW w:w="3548" w:type="dxa"/>
            <w:shd w:val="clear" w:color="auto" w:fill="auto"/>
            <w:noWrap/>
            <w:vAlign w:val="center"/>
            <w:hideMark/>
          </w:tcPr>
          <w:p w14:paraId="313BAC2F" w14:textId="77777777" w:rsidR="004F788B" w:rsidRPr="005826EF" w:rsidRDefault="004F788B" w:rsidP="00846310">
            <w:pPr>
              <w:ind w:firstLineChars="100" w:firstLine="200"/>
              <w:rPr>
                <w:rFonts w:ascii="Arial" w:hAnsi="Arial" w:cs="Arial"/>
                <w:lang w:val="en-GB"/>
              </w:rPr>
            </w:pPr>
            <w:r w:rsidRPr="005826EF">
              <w:rPr>
                <w:rFonts w:ascii="Arial" w:hAnsi="Arial" w:cs="Arial"/>
                <w:lang w:val="en-GB"/>
              </w:rPr>
              <w:t>Fixed Assets</w:t>
            </w:r>
          </w:p>
        </w:tc>
        <w:tc>
          <w:tcPr>
            <w:tcW w:w="1170" w:type="dxa"/>
            <w:shd w:val="clear" w:color="auto" w:fill="auto"/>
            <w:noWrap/>
            <w:vAlign w:val="center"/>
            <w:hideMark/>
          </w:tcPr>
          <w:p w14:paraId="59496568" w14:textId="3C91093E" w:rsidR="004F788B" w:rsidRPr="005826EF" w:rsidRDefault="004F788B" w:rsidP="00CF7491">
            <w:pPr>
              <w:jc w:val="right"/>
              <w:rPr>
                <w:rFonts w:ascii="Arial" w:hAnsi="Arial" w:cs="Arial"/>
                <w:color w:val="000000"/>
                <w:lang w:val="en-GB"/>
              </w:rPr>
            </w:pPr>
            <w:r w:rsidRPr="005826EF">
              <w:rPr>
                <w:rFonts w:ascii="Arial" w:hAnsi="Arial" w:cs="Arial"/>
                <w:color w:val="000000"/>
                <w:lang w:val="en-GB"/>
              </w:rPr>
              <w:t xml:space="preserve"> 17,840 </w:t>
            </w:r>
          </w:p>
        </w:tc>
      </w:tr>
      <w:tr w:rsidR="004F788B" w:rsidRPr="005826EF" w14:paraId="1B2FEDC0" w14:textId="77777777" w:rsidTr="004F788B">
        <w:trPr>
          <w:trHeight w:val="232"/>
          <w:jc w:val="center"/>
        </w:trPr>
        <w:tc>
          <w:tcPr>
            <w:tcW w:w="3548" w:type="dxa"/>
            <w:shd w:val="clear" w:color="auto" w:fill="auto"/>
            <w:noWrap/>
            <w:vAlign w:val="center"/>
            <w:hideMark/>
          </w:tcPr>
          <w:p w14:paraId="5615380A" w14:textId="77777777" w:rsidR="004F788B" w:rsidRPr="005826EF" w:rsidRDefault="004F788B" w:rsidP="00846310">
            <w:pPr>
              <w:rPr>
                <w:rFonts w:ascii="Arial" w:hAnsi="Arial" w:cs="Arial"/>
                <w:b/>
                <w:bCs/>
                <w:lang w:val="en-GB"/>
              </w:rPr>
            </w:pPr>
            <w:r w:rsidRPr="005826EF">
              <w:rPr>
                <w:rFonts w:ascii="Arial" w:hAnsi="Arial" w:cs="Arial"/>
                <w:b/>
                <w:bCs/>
                <w:lang w:val="en-GB"/>
              </w:rPr>
              <w:t>TOTAL ASSETS</w:t>
            </w:r>
          </w:p>
        </w:tc>
        <w:tc>
          <w:tcPr>
            <w:tcW w:w="1170" w:type="dxa"/>
            <w:shd w:val="clear" w:color="auto" w:fill="auto"/>
            <w:noWrap/>
            <w:vAlign w:val="center"/>
            <w:hideMark/>
          </w:tcPr>
          <w:p w14:paraId="0713BC6A" w14:textId="56CF8D5B" w:rsidR="004F788B" w:rsidRPr="005826EF" w:rsidRDefault="004F788B" w:rsidP="00CF7491">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32,956 </w:t>
            </w:r>
          </w:p>
        </w:tc>
      </w:tr>
      <w:tr w:rsidR="004F788B" w:rsidRPr="005826EF" w14:paraId="5F2AB55B" w14:textId="77777777" w:rsidTr="004F788B">
        <w:trPr>
          <w:trHeight w:val="241"/>
          <w:jc w:val="center"/>
        </w:trPr>
        <w:tc>
          <w:tcPr>
            <w:tcW w:w="3548" w:type="dxa"/>
            <w:shd w:val="clear" w:color="auto" w:fill="auto"/>
            <w:noWrap/>
            <w:vAlign w:val="center"/>
            <w:hideMark/>
          </w:tcPr>
          <w:p w14:paraId="18C09DEB" w14:textId="77777777" w:rsidR="004F788B" w:rsidRPr="005826EF" w:rsidRDefault="004F788B" w:rsidP="00846310">
            <w:pPr>
              <w:rPr>
                <w:rFonts w:ascii="Arial" w:hAnsi="Arial" w:cs="Arial"/>
                <w:lang w:val="en-GB"/>
              </w:rPr>
            </w:pPr>
            <w:r w:rsidRPr="005826EF">
              <w:rPr>
                <w:rFonts w:ascii="Arial" w:hAnsi="Arial" w:cs="Arial"/>
                <w:lang w:val="en-GB"/>
              </w:rPr>
              <w:t>LIABILITIES AND EQUITY</w:t>
            </w:r>
          </w:p>
        </w:tc>
        <w:tc>
          <w:tcPr>
            <w:tcW w:w="1170" w:type="dxa"/>
            <w:shd w:val="clear" w:color="auto" w:fill="auto"/>
            <w:noWrap/>
            <w:vAlign w:val="center"/>
            <w:hideMark/>
          </w:tcPr>
          <w:p w14:paraId="3076F892" w14:textId="51177960" w:rsidR="004F788B" w:rsidRPr="005826EF" w:rsidRDefault="004F788B" w:rsidP="00CF7491">
            <w:pPr>
              <w:jc w:val="right"/>
              <w:rPr>
                <w:rFonts w:ascii="Arial" w:hAnsi="Arial" w:cs="Arial"/>
                <w:color w:val="000000"/>
                <w:lang w:val="en-GB"/>
              </w:rPr>
            </w:pPr>
            <w:r w:rsidRPr="005826EF">
              <w:rPr>
                <w:rFonts w:ascii="Arial" w:hAnsi="Arial" w:cs="Arial"/>
                <w:color w:val="000000"/>
                <w:lang w:val="en-GB"/>
              </w:rPr>
              <w:t> </w:t>
            </w:r>
          </w:p>
        </w:tc>
      </w:tr>
      <w:tr w:rsidR="004F788B" w:rsidRPr="005826EF" w14:paraId="6EC2B21A" w14:textId="77777777" w:rsidTr="004F788B">
        <w:trPr>
          <w:trHeight w:val="241"/>
          <w:jc w:val="center"/>
        </w:trPr>
        <w:tc>
          <w:tcPr>
            <w:tcW w:w="3548" w:type="dxa"/>
            <w:shd w:val="clear" w:color="auto" w:fill="auto"/>
            <w:noWrap/>
            <w:vAlign w:val="center"/>
            <w:hideMark/>
          </w:tcPr>
          <w:p w14:paraId="047C465E" w14:textId="77777777" w:rsidR="004F788B" w:rsidRPr="005826EF" w:rsidRDefault="004F788B" w:rsidP="00846310">
            <w:pPr>
              <w:ind w:firstLineChars="100" w:firstLine="200"/>
              <w:rPr>
                <w:rFonts w:ascii="Arial" w:hAnsi="Arial" w:cs="Arial"/>
                <w:lang w:val="en-GB"/>
              </w:rPr>
            </w:pPr>
            <w:r w:rsidRPr="005826EF">
              <w:rPr>
                <w:rFonts w:ascii="Arial" w:hAnsi="Arial" w:cs="Arial"/>
                <w:lang w:val="en-GB"/>
              </w:rPr>
              <w:t>Liabilities</w:t>
            </w:r>
          </w:p>
        </w:tc>
        <w:tc>
          <w:tcPr>
            <w:tcW w:w="1170" w:type="dxa"/>
            <w:shd w:val="clear" w:color="auto" w:fill="auto"/>
            <w:noWrap/>
            <w:vAlign w:val="center"/>
            <w:hideMark/>
          </w:tcPr>
          <w:p w14:paraId="2EA4439D" w14:textId="465903E9" w:rsidR="004F788B" w:rsidRPr="005826EF" w:rsidRDefault="004F788B" w:rsidP="00CF7491">
            <w:pPr>
              <w:ind w:firstLineChars="100" w:firstLine="200"/>
              <w:jc w:val="right"/>
              <w:rPr>
                <w:rFonts w:ascii="Arial" w:hAnsi="Arial" w:cs="Arial"/>
                <w:lang w:val="en-GB"/>
              </w:rPr>
            </w:pPr>
          </w:p>
        </w:tc>
      </w:tr>
      <w:tr w:rsidR="004F788B" w:rsidRPr="005826EF" w14:paraId="2F50933C" w14:textId="77777777" w:rsidTr="004F788B">
        <w:trPr>
          <w:trHeight w:val="232"/>
          <w:jc w:val="center"/>
        </w:trPr>
        <w:tc>
          <w:tcPr>
            <w:tcW w:w="3548" w:type="dxa"/>
            <w:shd w:val="clear" w:color="auto" w:fill="auto"/>
            <w:noWrap/>
            <w:vAlign w:val="center"/>
            <w:hideMark/>
          </w:tcPr>
          <w:p w14:paraId="3E378801"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Current Liabilities</w:t>
            </w:r>
          </w:p>
        </w:tc>
        <w:tc>
          <w:tcPr>
            <w:tcW w:w="1170" w:type="dxa"/>
            <w:shd w:val="clear" w:color="auto" w:fill="auto"/>
            <w:noWrap/>
            <w:vAlign w:val="center"/>
            <w:hideMark/>
          </w:tcPr>
          <w:p w14:paraId="7369723D" w14:textId="4283B788" w:rsidR="004F788B" w:rsidRPr="005826EF" w:rsidRDefault="004F788B" w:rsidP="00CF7491">
            <w:pPr>
              <w:ind w:firstLineChars="200" w:firstLine="400"/>
              <w:jc w:val="right"/>
              <w:rPr>
                <w:rFonts w:ascii="Arial" w:hAnsi="Arial" w:cs="Arial"/>
                <w:lang w:val="en-GB"/>
              </w:rPr>
            </w:pPr>
          </w:p>
        </w:tc>
      </w:tr>
      <w:tr w:rsidR="004F788B" w:rsidRPr="005826EF" w14:paraId="3B000899" w14:textId="77777777" w:rsidTr="004F788B">
        <w:trPr>
          <w:trHeight w:val="241"/>
          <w:jc w:val="center"/>
        </w:trPr>
        <w:tc>
          <w:tcPr>
            <w:tcW w:w="3548" w:type="dxa"/>
            <w:shd w:val="clear" w:color="auto" w:fill="auto"/>
            <w:vAlign w:val="center"/>
            <w:hideMark/>
          </w:tcPr>
          <w:p w14:paraId="412D2F0D" w14:textId="77777777" w:rsidR="004F788B" w:rsidRPr="005826EF" w:rsidRDefault="004F788B" w:rsidP="00846310">
            <w:pPr>
              <w:ind w:firstLineChars="300" w:firstLine="600"/>
              <w:rPr>
                <w:rFonts w:ascii="Arial" w:hAnsi="Arial" w:cs="Arial"/>
                <w:lang w:val="en-GB"/>
              </w:rPr>
            </w:pPr>
            <w:r w:rsidRPr="005826EF">
              <w:rPr>
                <w:rFonts w:ascii="Arial" w:hAnsi="Arial" w:cs="Arial"/>
                <w:lang w:val="en-GB"/>
              </w:rPr>
              <w:t>Accounts Payable</w:t>
            </w:r>
          </w:p>
        </w:tc>
        <w:tc>
          <w:tcPr>
            <w:tcW w:w="1170" w:type="dxa"/>
            <w:shd w:val="clear" w:color="auto" w:fill="auto"/>
            <w:vAlign w:val="center"/>
            <w:hideMark/>
          </w:tcPr>
          <w:p w14:paraId="7D72DFC8" w14:textId="6285022E"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 2,000 </w:t>
            </w:r>
          </w:p>
        </w:tc>
      </w:tr>
      <w:tr w:rsidR="004F788B" w:rsidRPr="005826EF" w14:paraId="7F38B341" w14:textId="77777777" w:rsidTr="004F788B">
        <w:trPr>
          <w:trHeight w:val="241"/>
          <w:jc w:val="center"/>
        </w:trPr>
        <w:tc>
          <w:tcPr>
            <w:tcW w:w="3548" w:type="dxa"/>
            <w:shd w:val="clear" w:color="auto" w:fill="auto"/>
            <w:vAlign w:val="center"/>
            <w:hideMark/>
          </w:tcPr>
          <w:p w14:paraId="0B56A2B0" w14:textId="77777777" w:rsidR="004F788B" w:rsidRPr="005826EF" w:rsidRDefault="004F788B" w:rsidP="00846310">
            <w:pPr>
              <w:ind w:firstLineChars="300" w:firstLine="600"/>
              <w:rPr>
                <w:rFonts w:ascii="Arial" w:hAnsi="Arial" w:cs="Arial"/>
                <w:lang w:val="en-GB"/>
              </w:rPr>
            </w:pPr>
            <w:r w:rsidRPr="005826EF">
              <w:rPr>
                <w:rFonts w:ascii="Arial" w:hAnsi="Arial" w:cs="Arial"/>
                <w:lang w:val="en-GB"/>
              </w:rPr>
              <w:t>Loan Payable</w:t>
            </w:r>
          </w:p>
        </w:tc>
        <w:tc>
          <w:tcPr>
            <w:tcW w:w="1170" w:type="dxa"/>
            <w:shd w:val="clear" w:color="auto" w:fill="auto"/>
            <w:vAlign w:val="center"/>
            <w:hideMark/>
          </w:tcPr>
          <w:p w14:paraId="15ABE9E5" w14:textId="6FB18E1C"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7,420 </w:t>
            </w:r>
          </w:p>
        </w:tc>
      </w:tr>
      <w:tr w:rsidR="004F788B" w:rsidRPr="005826EF" w14:paraId="18F4FDA3" w14:textId="77777777" w:rsidTr="004F788B">
        <w:trPr>
          <w:trHeight w:val="232"/>
          <w:jc w:val="center"/>
        </w:trPr>
        <w:tc>
          <w:tcPr>
            <w:tcW w:w="3548" w:type="dxa"/>
            <w:shd w:val="clear" w:color="auto" w:fill="auto"/>
            <w:vAlign w:val="center"/>
            <w:hideMark/>
          </w:tcPr>
          <w:p w14:paraId="3D41C63D" w14:textId="77777777" w:rsidR="004F788B" w:rsidRPr="005826EF" w:rsidRDefault="004F788B" w:rsidP="002B3D06">
            <w:pPr>
              <w:ind w:firstLineChars="200" w:firstLine="402"/>
              <w:rPr>
                <w:rFonts w:ascii="Arial" w:hAnsi="Arial" w:cs="Arial"/>
                <w:b/>
                <w:bCs/>
                <w:lang w:val="en-GB"/>
              </w:rPr>
            </w:pPr>
            <w:r w:rsidRPr="005826EF">
              <w:rPr>
                <w:rFonts w:ascii="Arial" w:hAnsi="Arial" w:cs="Arial"/>
                <w:b/>
                <w:bCs/>
                <w:lang w:val="en-GB"/>
              </w:rPr>
              <w:t>Total Current Liabilities</w:t>
            </w:r>
          </w:p>
        </w:tc>
        <w:tc>
          <w:tcPr>
            <w:tcW w:w="1170" w:type="dxa"/>
            <w:shd w:val="clear" w:color="auto" w:fill="auto"/>
            <w:vAlign w:val="center"/>
            <w:hideMark/>
          </w:tcPr>
          <w:p w14:paraId="1F5EF54B" w14:textId="736EB36C" w:rsidR="004F788B" w:rsidRPr="005826EF" w:rsidRDefault="004F788B" w:rsidP="00846310">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9,420 </w:t>
            </w:r>
          </w:p>
        </w:tc>
      </w:tr>
      <w:tr w:rsidR="004F788B" w:rsidRPr="005826EF" w14:paraId="23AF4C75" w14:textId="77777777" w:rsidTr="004F788B">
        <w:trPr>
          <w:trHeight w:val="241"/>
          <w:jc w:val="center"/>
        </w:trPr>
        <w:tc>
          <w:tcPr>
            <w:tcW w:w="3548" w:type="dxa"/>
            <w:shd w:val="clear" w:color="auto" w:fill="auto"/>
            <w:vAlign w:val="center"/>
            <w:hideMark/>
          </w:tcPr>
          <w:p w14:paraId="09B32352"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Long-Term Liabilities</w:t>
            </w:r>
          </w:p>
        </w:tc>
        <w:tc>
          <w:tcPr>
            <w:tcW w:w="1170" w:type="dxa"/>
            <w:shd w:val="clear" w:color="auto" w:fill="auto"/>
            <w:vAlign w:val="center"/>
            <w:hideMark/>
          </w:tcPr>
          <w:p w14:paraId="385EB0BE" w14:textId="540B5B75"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15,737 </w:t>
            </w:r>
          </w:p>
        </w:tc>
      </w:tr>
      <w:tr w:rsidR="004F788B" w:rsidRPr="005826EF" w14:paraId="13254BE0" w14:textId="77777777" w:rsidTr="004F788B">
        <w:trPr>
          <w:trHeight w:val="241"/>
          <w:jc w:val="center"/>
        </w:trPr>
        <w:tc>
          <w:tcPr>
            <w:tcW w:w="3548" w:type="dxa"/>
            <w:shd w:val="clear" w:color="auto" w:fill="auto"/>
            <w:vAlign w:val="center"/>
            <w:hideMark/>
          </w:tcPr>
          <w:p w14:paraId="1714D968" w14:textId="77777777" w:rsidR="004F788B" w:rsidRPr="005826EF" w:rsidRDefault="004F788B" w:rsidP="002B3D06">
            <w:pPr>
              <w:ind w:firstLineChars="100" w:firstLine="201"/>
              <w:rPr>
                <w:rFonts w:ascii="Arial" w:hAnsi="Arial" w:cs="Arial"/>
                <w:b/>
                <w:bCs/>
                <w:lang w:val="en-GB"/>
              </w:rPr>
            </w:pPr>
            <w:r w:rsidRPr="005826EF">
              <w:rPr>
                <w:rFonts w:ascii="Arial" w:hAnsi="Arial" w:cs="Arial"/>
                <w:b/>
                <w:bCs/>
                <w:lang w:val="en-GB"/>
              </w:rPr>
              <w:t>Total Liabilities</w:t>
            </w:r>
          </w:p>
        </w:tc>
        <w:tc>
          <w:tcPr>
            <w:tcW w:w="1170" w:type="dxa"/>
            <w:shd w:val="clear" w:color="auto" w:fill="auto"/>
            <w:vAlign w:val="center"/>
            <w:hideMark/>
          </w:tcPr>
          <w:p w14:paraId="15E52767" w14:textId="78E62E7E" w:rsidR="004F788B" w:rsidRPr="005826EF" w:rsidRDefault="004F788B" w:rsidP="00846310">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25,157 </w:t>
            </w:r>
          </w:p>
        </w:tc>
      </w:tr>
      <w:tr w:rsidR="004F788B" w:rsidRPr="005826EF" w14:paraId="71753398" w14:textId="77777777" w:rsidTr="004F788B">
        <w:trPr>
          <w:trHeight w:val="232"/>
          <w:jc w:val="center"/>
        </w:trPr>
        <w:tc>
          <w:tcPr>
            <w:tcW w:w="3548" w:type="dxa"/>
            <w:shd w:val="clear" w:color="auto" w:fill="auto"/>
            <w:vAlign w:val="center"/>
            <w:hideMark/>
          </w:tcPr>
          <w:p w14:paraId="18DC7F5C" w14:textId="77777777" w:rsidR="004F788B" w:rsidRPr="005826EF" w:rsidRDefault="004F788B" w:rsidP="00846310">
            <w:pPr>
              <w:ind w:firstLineChars="100" w:firstLine="200"/>
              <w:rPr>
                <w:rFonts w:ascii="Arial" w:hAnsi="Arial" w:cs="Arial"/>
                <w:lang w:val="en-GB"/>
              </w:rPr>
            </w:pPr>
            <w:r w:rsidRPr="005826EF">
              <w:rPr>
                <w:rFonts w:ascii="Arial" w:hAnsi="Arial" w:cs="Arial"/>
                <w:lang w:val="en-GB"/>
              </w:rPr>
              <w:t>Equity</w:t>
            </w:r>
          </w:p>
        </w:tc>
        <w:tc>
          <w:tcPr>
            <w:tcW w:w="1170" w:type="dxa"/>
            <w:shd w:val="clear" w:color="auto" w:fill="auto"/>
            <w:noWrap/>
            <w:vAlign w:val="center"/>
            <w:hideMark/>
          </w:tcPr>
          <w:p w14:paraId="5E0E9BA0" w14:textId="48C7111F" w:rsidR="004F788B" w:rsidRPr="005826EF" w:rsidRDefault="004F788B" w:rsidP="00CF7491">
            <w:pPr>
              <w:ind w:firstLineChars="100" w:firstLine="200"/>
              <w:jc w:val="right"/>
              <w:rPr>
                <w:rFonts w:ascii="Arial" w:hAnsi="Arial" w:cs="Arial"/>
                <w:lang w:val="en-GB"/>
              </w:rPr>
            </w:pPr>
          </w:p>
        </w:tc>
      </w:tr>
      <w:tr w:rsidR="004F788B" w:rsidRPr="005826EF" w14:paraId="528A6F70" w14:textId="77777777" w:rsidTr="004F788B">
        <w:trPr>
          <w:trHeight w:val="241"/>
          <w:jc w:val="center"/>
        </w:trPr>
        <w:tc>
          <w:tcPr>
            <w:tcW w:w="3548" w:type="dxa"/>
            <w:shd w:val="clear" w:color="auto" w:fill="auto"/>
            <w:vAlign w:val="center"/>
            <w:hideMark/>
          </w:tcPr>
          <w:p w14:paraId="384952B1"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Opening Balance Equity</w:t>
            </w:r>
          </w:p>
        </w:tc>
        <w:tc>
          <w:tcPr>
            <w:tcW w:w="1170" w:type="dxa"/>
            <w:shd w:val="clear" w:color="auto" w:fill="auto"/>
            <w:vAlign w:val="center"/>
            <w:hideMark/>
          </w:tcPr>
          <w:p w14:paraId="6FF62F88" w14:textId="53BA97A5"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 6 </w:t>
            </w:r>
          </w:p>
        </w:tc>
      </w:tr>
      <w:tr w:rsidR="004F788B" w:rsidRPr="005826EF" w14:paraId="038A9871" w14:textId="77777777" w:rsidTr="004F788B">
        <w:trPr>
          <w:trHeight w:val="232"/>
          <w:jc w:val="center"/>
        </w:trPr>
        <w:tc>
          <w:tcPr>
            <w:tcW w:w="3548" w:type="dxa"/>
            <w:shd w:val="clear" w:color="auto" w:fill="auto"/>
            <w:vAlign w:val="center"/>
            <w:hideMark/>
          </w:tcPr>
          <w:p w14:paraId="23E1FF6B" w14:textId="277D7040" w:rsidR="004F788B" w:rsidRPr="005826EF" w:rsidRDefault="004F788B" w:rsidP="00846310">
            <w:pPr>
              <w:ind w:firstLineChars="200" w:firstLine="400"/>
              <w:rPr>
                <w:rFonts w:ascii="Arial" w:hAnsi="Arial" w:cs="Arial"/>
                <w:lang w:val="en-GB"/>
              </w:rPr>
            </w:pPr>
            <w:r w:rsidRPr="005826EF">
              <w:rPr>
                <w:rFonts w:ascii="Arial" w:hAnsi="Arial" w:cs="Arial"/>
                <w:lang w:val="en-GB"/>
              </w:rPr>
              <w:t>Owner’s Contribution</w:t>
            </w:r>
          </w:p>
        </w:tc>
        <w:tc>
          <w:tcPr>
            <w:tcW w:w="1170" w:type="dxa"/>
            <w:shd w:val="clear" w:color="auto" w:fill="auto"/>
            <w:vAlign w:val="center"/>
            <w:hideMark/>
          </w:tcPr>
          <w:p w14:paraId="30107CA5" w14:textId="322BF103"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 2,216 </w:t>
            </w:r>
          </w:p>
        </w:tc>
      </w:tr>
      <w:tr w:rsidR="004F788B" w:rsidRPr="005826EF" w14:paraId="0357E6B7" w14:textId="77777777" w:rsidTr="004F788B">
        <w:trPr>
          <w:trHeight w:val="241"/>
          <w:jc w:val="center"/>
        </w:trPr>
        <w:tc>
          <w:tcPr>
            <w:tcW w:w="3548" w:type="dxa"/>
            <w:shd w:val="clear" w:color="auto" w:fill="auto"/>
            <w:vAlign w:val="center"/>
            <w:hideMark/>
          </w:tcPr>
          <w:p w14:paraId="7706DA00" w14:textId="12481B53" w:rsidR="004F788B" w:rsidRPr="005826EF" w:rsidRDefault="004F788B" w:rsidP="00846310">
            <w:pPr>
              <w:ind w:firstLineChars="200" w:firstLine="400"/>
              <w:rPr>
                <w:rFonts w:ascii="Arial" w:hAnsi="Arial" w:cs="Arial"/>
                <w:lang w:val="en-GB"/>
              </w:rPr>
            </w:pPr>
            <w:r w:rsidRPr="005826EF">
              <w:rPr>
                <w:rFonts w:ascii="Arial" w:hAnsi="Arial" w:cs="Arial"/>
                <w:lang w:val="en-GB"/>
              </w:rPr>
              <w:t>Owner’s Drawings</w:t>
            </w:r>
          </w:p>
        </w:tc>
        <w:tc>
          <w:tcPr>
            <w:tcW w:w="1170" w:type="dxa"/>
            <w:shd w:val="clear" w:color="auto" w:fill="auto"/>
            <w:vAlign w:val="center"/>
            <w:hideMark/>
          </w:tcPr>
          <w:p w14:paraId="5CE61F9E" w14:textId="0BD73B5A"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(18,985)</w:t>
            </w:r>
          </w:p>
        </w:tc>
      </w:tr>
      <w:tr w:rsidR="004F788B" w:rsidRPr="005826EF" w14:paraId="6E71E3D7" w14:textId="77777777" w:rsidTr="004F788B">
        <w:trPr>
          <w:trHeight w:val="241"/>
          <w:jc w:val="center"/>
        </w:trPr>
        <w:tc>
          <w:tcPr>
            <w:tcW w:w="3548" w:type="dxa"/>
            <w:shd w:val="clear" w:color="auto" w:fill="auto"/>
            <w:vAlign w:val="center"/>
            <w:hideMark/>
          </w:tcPr>
          <w:p w14:paraId="5E3AA6B0"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Retained Earnings</w:t>
            </w:r>
          </w:p>
        </w:tc>
        <w:tc>
          <w:tcPr>
            <w:tcW w:w="1170" w:type="dxa"/>
            <w:shd w:val="clear" w:color="auto" w:fill="auto"/>
            <w:vAlign w:val="center"/>
            <w:hideMark/>
          </w:tcPr>
          <w:p w14:paraId="0B198E39" w14:textId="10FDAD3C"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 15,163 </w:t>
            </w:r>
          </w:p>
        </w:tc>
      </w:tr>
      <w:tr w:rsidR="004F788B" w:rsidRPr="005826EF" w14:paraId="343872C5" w14:textId="77777777" w:rsidTr="004F788B">
        <w:trPr>
          <w:trHeight w:val="232"/>
          <w:jc w:val="center"/>
        </w:trPr>
        <w:tc>
          <w:tcPr>
            <w:tcW w:w="3548" w:type="dxa"/>
            <w:shd w:val="clear" w:color="auto" w:fill="auto"/>
            <w:vAlign w:val="center"/>
            <w:hideMark/>
          </w:tcPr>
          <w:p w14:paraId="223EA5B8" w14:textId="77777777" w:rsidR="004F788B" w:rsidRPr="005826EF" w:rsidRDefault="004F788B" w:rsidP="00846310">
            <w:pPr>
              <w:ind w:firstLineChars="200" w:firstLine="400"/>
              <w:rPr>
                <w:rFonts w:ascii="Arial" w:hAnsi="Arial" w:cs="Arial"/>
                <w:lang w:val="en-GB"/>
              </w:rPr>
            </w:pPr>
            <w:r w:rsidRPr="005826EF">
              <w:rPr>
                <w:rFonts w:ascii="Arial" w:hAnsi="Arial" w:cs="Arial"/>
                <w:lang w:val="en-GB"/>
              </w:rPr>
              <w:t>Net Income</w:t>
            </w:r>
          </w:p>
        </w:tc>
        <w:tc>
          <w:tcPr>
            <w:tcW w:w="1170" w:type="dxa"/>
            <w:shd w:val="clear" w:color="auto" w:fill="auto"/>
            <w:vAlign w:val="center"/>
            <w:hideMark/>
          </w:tcPr>
          <w:p w14:paraId="58684C00" w14:textId="5C7AD8BB" w:rsidR="004F788B" w:rsidRPr="005826EF" w:rsidRDefault="004F788B" w:rsidP="00846310">
            <w:pPr>
              <w:jc w:val="right"/>
              <w:rPr>
                <w:rFonts w:ascii="Arial" w:hAnsi="Arial" w:cs="Arial"/>
                <w:color w:val="000000"/>
                <w:lang w:val="en-GB"/>
              </w:rPr>
            </w:pPr>
            <w:r w:rsidRPr="005826EF">
              <w:rPr>
                <w:rFonts w:ascii="Arial" w:hAnsi="Arial" w:cs="Arial"/>
                <w:color w:val="000000"/>
                <w:lang w:val="en-GB"/>
              </w:rPr>
              <w:t xml:space="preserve"> 9,398 </w:t>
            </w:r>
          </w:p>
        </w:tc>
      </w:tr>
      <w:tr w:rsidR="004F788B" w:rsidRPr="005826EF" w14:paraId="2453A87D" w14:textId="77777777" w:rsidTr="004F788B">
        <w:trPr>
          <w:trHeight w:val="241"/>
          <w:jc w:val="center"/>
        </w:trPr>
        <w:tc>
          <w:tcPr>
            <w:tcW w:w="3548" w:type="dxa"/>
            <w:shd w:val="clear" w:color="auto" w:fill="auto"/>
            <w:vAlign w:val="center"/>
            <w:hideMark/>
          </w:tcPr>
          <w:p w14:paraId="7497B014" w14:textId="77777777" w:rsidR="004F788B" w:rsidRPr="005826EF" w:rsidRDefault="004F788B" w:rsidP="002B3D06">
            <w:pPr>
              <w:ind w:firstLineChars="100" w:firstLine="201"/>
              <w:rPr>
                <w:rFonts w:ascii="Arial" w:hAnsi="Arial" w:cs="Arial"/>
                <w:b/>
                <w:bCs/>
                <w:lang w:val="en-GB"/>
              </w:rPr>
            </w:pPr>
            <w:r w:rsidRPr="005826EF">
              <w:rPr>
                <w:rFonts w:ascii="Arial" w:hAnsi="Arial" w:cs="Arial"/>
                <w:b/>
                <w:bCs/>
                <w:lang w:val="en-GB"/>
              </w:rPr>
              <w:t>Total Equity</w:t>
            </w:r>
          </w:p>
        </w:tc>
        <w:tc>
          <w:tcPr>
            <w:tcW w:w="1170" w:type="dxa"/>
            <w:shd w:val="clear" w:color="auto" w:fill="auto"/>
            <w:vAlign w:val="center"/>
            <w:hideMark/>
          </w:tcPr>
          <w:p w14:paraId="7A4AD829" w14:textId="31928625" w:rsidR="004F788B" w:rsidRPr="005826EF" w:rsidRDefault="004F788B" w:rsidP="00846310">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7,798 </w:t>
            </w:r>
          </w:p>
        </w:tc>
      </w:tr>
      <w:tr w:rsidR="004F788B" w:rsidRPr="005826EF" w14:paraId="69BBDDCC" w14:textId="77777777" w:rsidTr="004F788B">
        <w:trPr>
          <w:trHeight w:val="241"/>
          <w:jc w:val="center"/>
        </w:trPr>
        <w:tc>
          <w:tcPr>
            <w:tcW w:w="3548" w:type="dxa"/>
            <w:shd w:val="clear" w:color="auto" w:fill="auto"/>
            <w:vAlign w:val="center"/>
            <w:hideMark/>
          </w:tcPr>
          <w:p w14:paraId="3873862C" w14:textId="77777777" w:rsidR="004F788B" w:rsidRPr="005826EF" w:rsidRDefault="004F788B" w:rsidP="00846310">
            <w:pPr>
              <w:rPr>
                <w:rFonts w:ascii="Arial" w:hAnsi="Arial" w:cs="Arial"/>
                <w:b/>
                <w:bCs/>
                <w:lang w:val="en-GB"/>
              </w:rPr>
            </w:pPr>
            <w:r w:rsidRPr="005826EF">
              <w:rPr>
                <w:rFonts w:ascii="Arial" w:hAnsi="Arial" w:cs="Arial"/>
                <w:b/>
                <w:bCs/>
                <w:lang w:val="en-GB"/>
              </w:rPr>
              <w:t>TOTAL LIABILITIES AND EQUITY</w:t>
            </w:r>
          </w:p>
        </w:tc>
        <w:tc>
          <w:tcPr>
            <w:tcW w:w="1170" w:type="dxa"/>
            <w:shd w:val="clear" w:color="auto" w:fill="auto"/>
            <w:vAlign w:val="center"/>
            <w:hideMark/>
          </w:tcPr>
          <w:p w14:paraId="42EF19C1" w14:textId="5D310258" w:rsidR="004F788B" w:rsidRPr="005826EF" w:rsidRDefault="004F788B" w:rsidP="00846310">
            <w:pPr>
              <w:jc w:val="right"/>
              <w:rPr>
                <w:rFonts w:ascii="Arial" w:hAnsi="Arial" w:cs="Arial"/>
                <w:b/>
                <w:bCs/>
                <w:color w:val="000000"/>
                <w:lang w:val="en-GB"/>
              </w:rPr>
            </w:pPr>
            <w:r w:rsidRPr="005826EF">
              <w:rPr>
                <w:rFonts w:ascii="Arial" w:hAnsi="Arial" w:cs="Arial"/>
                <w:b/>
                <w:bCs/>
                <w:color w:val="000000"/>
                <w:lang w:val="en-GB"/>
              </w:rPr>
              <w:t xml:space="preserve"> </w:t>
            </w:r>
            <w:r>
              <w:rPr>
                <w:rFonts w:ascii="Arial" w:hAnsi="Arial" w:cs="Arial"/>
                <w:b/>
                <w:bCs/>
                <w:color w:val="000000"/>
                <w:lang w:val="en-GB"/>
              </w:rPr>
              <w:t>$</w:t>
            </w:r>
            <w:r w:rsidRPr="005826EF">
              <w:rPr>
                <w:rFonts w:ascii="Arial" w:hAnsi="Arial" w:cs="Arial"/>
                <w:b/>
                <w:bCs/>
                <w:color w:val="000000"/>
                <w:lang w:val="en-GB"/>
              </w:rPr>
              <w:t xml:space="preserve">32,956 </w:t>
            </w:r>
          </w:p>
        </w:tc>
      </w:tr>
    </w:tbl>
    <w:p w14:paraId="39C8351D" w14:textId="7BAB5924" w:rsidR="00A5568C" w:rsidRPr="005826EF" w:rsidRDefault="00A5568C" w:rsidP="00A5568C">
      <w:pPr>
        <w:pStyle w:val="ExhibitHeading"/>
        <w:rPr>
          <w:rFonts w:eastAsia="Calibri"/>
          <w:lang w:val="en-GB"/>
        </w:rPr>
      </w:pPr>
    </w:p>
    <w:p w14:paraId="650DC0B2" w14:textId="18A55DCF" w:rsidR="00A34441" w:rsidRPr="005826EF" w:rsidRDefault="00A34441" w:rsidP="00A34441">
      <w:pPr>
        <w:pStyle w:val="Footnote"/>
        <w:spacing w:before="240"/>
        <w:rPr>
          <w:rFonts w:eastAsia="Calibri"/>
          <w:lang w:val="en-GB"/>
        </w:rPr>
      </w:pPr>
      <w:r w:rsidRPr="005826EF">
        <w:rPr>
          <w:rFonts w:eastAsia="Calibri"/>
          <w:lang w:val="en-GB"/>
        </w:rPr>
        <w:t>Source: Company information.</w:t>
      </w:r>
    </w:p>
    <w:p w14:paraId="5AE4A64E" w14:textId="77777777" w:rsidR="00A5568C" w:rsidRPr="005826EF" w:rsidRDefault="00A5568C" w:rsidP="00F54ACF">
      <w:pPr>
        <w:pStyle w:val="ExhibitHeading"/>
        <w:rPr>
          <w:rFonts w:eastAsia="Calibri"/>
          <w:lang w:val="en-GB"/>
        </w:rPr>
      </w:pPr>
    </w:p>
    <w:p w14:paraId="7C492E5B" w14:textId="77777777" w:rsidR="00B37E71" w:rsidRPr="005826EF" w:rsidRDefault="00B37E71">
      <w:pPr>
        <w:spacing w:after="200" w:line="276" w:lineRule="auto"/>
        <w:rPr>
          <w:rFonts w:ascii="Arial" w:eastAsia="Calibri" w:hAnsi="Arial" w:cs="Arial"/>
          <w:b/>
          <w:caps/>
          <w:lang w:val="en-GB"/>
        </w:rPr>
      </w:pPr>
      <w:r w:rsidRPr="005826EF">
        <w:rPr>
          <w:rFonts w:eastAsia="Calibri"/>
          <w:lang w:val="en-GB"/>
        </w:rPr>
        <w:br w:type="page"/>
      </w:r>
    </w:p>
    <w:p w14:paraId="086318B4" w14:textId="11DE2D82" w:rsidR="00F54ACF" w:rsidRPr="005826EF" w:rsidRDefault="00F54ACF" w:rsidP="00F54ACF">
      <w:pPr>
        <w:pStyle w:val="ExhibitHeading"/>
        <w:rPr>
          <w:rFonts w:eastAsia="Calibri"/>
          <w:lang w:val="en-GB"/>
        </w:rPr>
      </w:pPr>
      <w:r w:rsidRPr="005826EF">
        <w:rPr>
          <w:rFonts w:eastAsia="Calibri"/>
          <w:lang w:val="en-GB"/>
        </w:rPr>
        <w:lastRenderedPageBreak/>
        <w:t xml:space="preserve">Exhibit </w:t>
      </w:r>
      <w:r w:rsidR="00EE4EC0" w:rsidRPr="005826EF">
        <w:rPr>
          <w:rFonts w:eastAsia="Calibri"/>
          <w:lang w:val="en-GB"/>
        </w:rPr>
        <w:t>2</w:t>
      </w:r>
      <w:r w:rsidRPr="005826EF">
        <w:rPr>
          <w:rFonts w:eastAsia="Calibri"/>
          <w:lang w:val="en-GB"/>
        </w:rPr>
        <w:t>: SPECIALTY TEA CONSUMPTION BY</w:t>
      </w:r>
      <w:r w:rsidR="001D2A2B" w:rsidRPr="005826EF">
        <w:rPr>
          <w:rFonts w:eastAsia="Calibri"/>
          <w:lang w:val="en-GB"/>
        </w:rPr>
        <w:t xml:space="preserve"> U.S.</w:t>
      </w:r>
      <w:r w:rsidRPr="005826EF">
        <w:rPr>
          <w:rFonts w:eastAsia="Calibri"/>
          <w:lang w:val="en-GB"/>
        </w:rPr>
        <w:t xml:space="preserve"> REGION</w:t>
      </w:r>
    </w:p>
    <w:p w14:paraId="5CB7616B" w14:textId="77777777" w:rsidR="00F54ACF" w:rsidRPr="005826EF" w:rsidRDefault="00F54ACF" w:rsidP="00C81D26">
      <w:pPr>
        <w:pStyle w:val="ExhibitHeading"/>
        <w:rPr>
          <w:rFonts w:eastAsia="Calibri"/>
          <w:lang w:val="en-GB"/>
        </w:rPr>
      </w:pPr>
    </w:p>
    <w:p w14:paraId="02213046" w14:textId="77777777" w:rsidR="00F54ACF" w:rsidRPr="005826EF" w:rsidRDefault="00F54ACF" w:rsidP="00C81D26">
      <w:pPr>
        <w:jc w:val="center"/>
        <w:rPr>
          <w:rFonts w:eastAsia="Calibri"/>
          <w:sz w:val="22"/>
          <w:szCs w:val="22"/>
          <w:lang w:val="en-GB"/>
        </w:rPr>
      </w:pPr>
      <w:r w:rsidRPr="005826EF">
        <w:rPr>
          <w:rFonts w:eastAsia="Calibri"/>
          <w:noProof/>
          <w:sz w:val="22"/>
          <w:szCs w:val="22"/>
        </w:rPr>
        <w:drawing>
          <wp:inline distT="0" distB="0" distL="0" distR="0" wp14:anchorId="1D12EC08" wp14:editId="52817296">
            <wp:extent cx="4572000" cy="2743200"/>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D5A17F5-2FB3-446E-959B-011F56F4B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459E35" w14:textId="342A2D07" w:rsidR="00F54ACF" w:rsidRPr="005826EF" w:rsidRDefault="00F54ACF" w:rsidP="00F54ACF">
      <w:pPr>
        <w:pStyle w:val="ExhibitText"/>
        <w:rPr>
          <w:rFonts w:eastAsia="Calibri"/>
          <w:lang w:val="en-GB"/>
        </w:rPr>
      </w:pPr>
    </w:p>
    <w:p w14:paraId="5FD33A9C" w14:textId="68DFA959" w:rsidR="00F54ACF" w:rsidRPr="005826EF" w:rsidRDefault="00F54ACF" w:rsidP="00F54ACF">
      <w:pPr>
        <w:pStyle w:val="Footnote"/>
        <w:rPr>
          <w:rFonts w:eastAsia="Calibri"/>
          <w:lang w:val="en-GB"/>
        </w:rPr>
      </w:pPr>
      <w:r w:rsidRPr="005826EF">
        <w:rPr>
          <w:rFonts w:eastAsia="Calibri"/>
          <w:lang w:val="en-GB"/>
        </w:rPr>
        <w:t xml:space="preserve">Source: </w:t>
      </w:r>
      <w:r w:rsidR="006E644F" w:rsidRPr="005826EF">
        <w:rPr>
          <w:rFonts w:eastAsia="Calibri"/>
          <w:lang w:val="en-GB"/>
        </w:rPr>
        <w:t xml:space="preserve">Created by </w:t>
      </w:r>
      <w:r w:rsidR="00A34441" w:rsidRPr="005826EF">
        <w:rPr>
          <w:rFonts w:eastAsia="Calibri"/>
          <w:lang w:val="en-GB"/>
        </w:rPr>
        <w:t xml:space="preserve">the case </w:t>
      </w:r>
      <w:r w:rsidR="006E644F" w:rsidRPr="005826EF">
        <w:rPr>
          <w:rFonts w:eastAsia="Calibri"/>
          <w:lang w:val="en-GB"/>
        </w:rPr>
        <w:t xml:space="preserve">authors </w:t>
      </w:r>
      <w:r w:rsidR="00A34441" w:rsidRPr="005826EF">
        <w:rPr>
          <w:rFonts w:eastAsia="Calibri"/>
          <w:lang w:val="en-GB"/>
        </w:rPr>
        <w:t>with information from</w:t>
      </w:r>
      <w:r w:rsidR="006E644F" w:rsidRPr="005826EF">
        <w:rPr>
          <w:rFonts w:eastAsia="Calibri"/>
          <w:lang w:val="en-GB"/>
        </w:rPr>
        <w:t xml:space="preserve"> </w:t>
      </w:r>
      <w:r w:rsidRPr="005826EF">
        <w:rPr>
          <w:rFonts w:eastAsia="Calibri"/>
          <w:lang w:val="en-GB"/>
        </w:rPr>
        <w:t xml:space="preserve">Specialty Tea Institute, </w:t>
      </w:r>
      <w:r w:rsidRPr="005826EF">
        <w:rPr>
          <w:rFonts w:eastAsia="Calibri"/>
          <w:i/>
          <w:lang w:val="en-GB"/>
        </w:rPr>
        <w:t xml:space="preserve">Demographic Summary, </w:t>
      </w:r>
      <w:r w:rsidRPr="005826EF">
        <w:rPr>
          <w:rFonts w:eastAsia="Calibri"/>
          <w:lang w:val="en-GB"/>
        </w:rPr>
        <w:t>2012, accessed January 24, 2018, www.teausa.org/teausa/images/2012/02/ppdemo1.pdf.</w:t>
      </w:r>
    </w:p>
    <w:p w14:paraId="457C5DF8" w14:textId="77777777" w:rsidR="00F54ACF" w:rsidRPr="005826EF" w:rsidRDefault="00F54ACF" w:rsidP="00F54ACF">
      <w:pPr>
        <w:pStyle w:val="ExhibitText"/>
        <w:rPr>
          <w:rFonts w:eastAsia="Calibri"/>
          <w:lang w:val="en-GB"/>
        </w:rPr>
      </w:pPr>
    </w:p>
    <w:p w14:paraId="68B0FB9C" w14:textId="77777777" w:rsidR="00C0031C" w:rsidRPr="005826EF" w:rsidRDefault="00C0031C" w:rsidP="00F54ACF">
      <w:pPr>
        <w:pStyle w:val="ExhibitText"/>
        <w:rPr>
          <w:rFonts w:eastAsia="Calibri"/>
          <w:lang w:val="en-GB"/>
        </w:rPr>
      </w:pPr>
    </w:p>
    <w:p w14:paraId="2BBCB741" w14:textId="13847DAA" w:rsidR="00F54ACF" w:rsidRPr="005826EF" w:rsidRDefault="00F54ACF" w:rsidP="00B73BD8">
      <w:pPr>
        <w:pStyle w:val="ExhibitHeading"/>
        <w:rPr>
          <w:rFonts w:eastAsia="Calibri"/>
          <w:lang w:val="en-GB"/>
        </w:rPr>
      </w:pPr>
      <w:r w:rsidRPr="005826EF">
        <w:rPr>
          <w:rFonts w:eastAsia="Calibri"/>
          <w:lang w:val="en-GB"/>
        </w:rPr>
        <w:t xml:space="preserve">Exhibit </w:t>
      </w:r>
      <w:r w:rsidR="00EE4EC0" w:rsidRPr="005826EF">
        <w:rPr>
          <w:rFonts w:eastAsia="Calibri"/>
          <w:lang w:val="en-GB"/>
        </w:rPr>
        <w:t>3</w:t>
      </w:r>
      <w:r w:rsidRPr="005826EF">
        <w:rPr>
          <w:rFonts w:eastAsia="Calibri"/>
          <w:lang w:val="en-GB"/>
        </w:rPr>
        <w:t>: MARKET SHARE OF MAJOR FIRMS</w:t>
      </w:r>
    </w:p>
    <w:p w14:paraId="0ACBF023" w14:textId="77777777" w:rsidR="00B73BD8" w:rsidRPr="005826EF" w:rsidRDefault="00B73BD8" w:rsidP="00F54ACF">
      <w:pPr>
        <w:pStyle w:val="ExhibitHeading"/>
        <w:rPr>
          <w:rFonts w:eastAsia="Calibri"/>
          <w:lang w:val="en-GB"/>
        </w:rPr>
      </w:pPr>
    </w:p>
    <w:tbl>
      <w:tblPr>
        <w:tblStyle w:val="TableGrid"/>
        <w:tblW w:w="0" w:type="auto"/>
        <w:jc w:val="center"/>
        <w:tblLook w:val="04A0" w:firstRow="1" w:lastRow="0" w:firstColumn="1" w:lastColumn="0" w:noHBand="0" w:noVBand="1"/>
      </w:tblPr>
      <w:tblGrid>
        <w:gridCol w:w="5305"/>
        <w:gridCol w:w="1350"/>
      </w:tblGrid>
      <w:tr w:rsidR="00B73BD8" w:rsidRPr="005826EF" w14:paraId="35407521" w14:textId="77777777" w:rsidTr="00C81D26">
        <w:trPr>
          <w:jc w:val="center"/>
        </w:trPr>
        <w:tc>
          <w:tcPr>
            <w:tcW w:w="5305" w:type="dxa"/>
            <w:hideMark/>
          </w:tcPr>
          <w:p w14:paraId="5D6F3126" w14:textId="77777777" w:rsidR="00B73BD8" w:rsidRPr="005826EF" w:rsidRDefault="00B73BD8" w:rsidP="00CE4D34">
            <w:pPr>
              <w:rPr>
                <w:rFonts w:ascii="Arial" w:hAnsi="Arial" w:cs="Arial"/>
                <w:lang w:val="en-GB"/>
              </w:rPr>
            </w:pPr>
            <w:r w:rsidRPr="005826EF">
              <w:rPr>
                <w:rFonts w:ascii="Arial" w:hAnsi="Arial" w:cs="Arial"/>
                <w:lang w:val="en-GB"/>
              </w:rPr>
              <w:t>Starbucks Corporation (Tazo, Teavana)</w:t>
            </w:r>
          </w:p>
        </w:tc>
        <w:tc>
          <w:tcPr>
            <w:tcW w:w="1350" w:type="dxa"/>
            <w:noWrap/>
            <w:hideMark/>
          </w:tcPr>
          <w:p w14:paraId="0DBD610A" w14:textId="77777777" w:rsidR="00B73BD8" w:rsidRPr="005826EF" w:rsidRDefault="00B73BD8" w:rsidP="00CE4D34">
            <w:pPr>
              <w:jc w:val="right"/>
              <w:rPr>
                <w:rFonts w:ascii="Arial" w:hAnsi="Arial" w:cs="Arial"/>
                <w:lang w:val="en-GB"/>
              </w:rPr>
            </w:pPr>
            <w:r w:rsidRPr="005826EF">
              <w:rPr>
                <w:rFonts w:ascii="Arial" w:hAnsi="Arial" w:cs="Arial"/>
                <w:lang w:val="en-GB"/>
              </w:rPr>
              <w:t>18.8%</w:t>
            </w:r>
          </w:p>
        </w:tc>
      </w:tr>
      <w:tr w:rsidR="00B73BD8" w:rsidRPr="005826EF" w14:paraId="4C1249BB" w14:textId="77777777" w:rsidTr="00C81D26">
        <w:trPr>
          <w:jc w:val="center"/>
        </w:trPr>
        <w:tc>
          <w:tcPr>
            <w:tcW w:w="5305" w:type="dxa"/>
            <w:noWrap/>
            <w:hideMark/>
          </w:tcPr>
          <w:p w14:paraId="04DA4B2F" w14:textId="405A9E0B" w:rsidR="00B73BD8" w:rsidRPr="005826EF" w:rsidRDefault="00B73BD8" w:rsidP="00CE4D34">
            <w:pPr>
              <w:rPr>
                <w:rFonts w:ascii="Arial" w:hAnsi="Arial" w:cs="Arial"/>
                <w:lang w:val="en-GB"/>
              </w:rPr>
            </w:pPr>
            <w:r w:rsidRPr="005826EF">
              <w:rPr>
                <w:rFonts w:ascii="Arial" w:hAnsi="Arial" w:cs="Arial"/>
                <w:lang w:val="en-GB"/>
              </w:rPr>
              <w:t>R.</w:t>
            </w:r>
            <w:r w:rsidR="0016182B">
              <w:rPr>
                <w:rFonts w:ascii="Arial" w:hAnsi="Arial" w:cs="Arial"/>
                <w:lang w:val="en-GB"/>
              </w:rPr>
              <w:t xml:space="preserve"> </w:t>
            </w:r>
            <w:r w:rsidRPr="005826EF">
              <w:rPr>
                <w:rFonts w:ascii="Arial" w:hAnsi="Arial" w:cs="Arial"/>
                <w:lang w:val="en-GB"/>
              </w:rPr>
              <w:t>C. Bigelow Inc. (Bigelow)</w:t>
            </w:r>
          </w:p>
        </w:tc>
        <w:tc>
          <w:tcPr>
            <w:tcW w:w="1350" w:type="dxa"/>
            <w:noWrap/>
            <w:hideMark/>
          </w:tcPr>
          <w:p w14:paraId="4582F588" w14:textId="77777777" w:rsidR="00B73BD8" w:rsidRPr="005826EF" w:rsidRDefault="00B73BD8" w:rsidP="00CE4D34">
            <w:pPr>
              <w:jc w:val="right"/>
              <w:rPr>
                <w:rFonts w:ascii="Arial" w:hAnsi="Arial" w:cs="Arial"/>
                <w:lang w:val="en-GB"/>
              </w:rPr>
            </w:pPr>
            <w:r w:rsidRPr="005826EF">
              <w:rPr>
                <w:rFonts w:ascii="Arial" w:hAnsi="Arial" w:cs="Arial"/>
                <w:lang w:val="en-GB"/>
              </w:rPr>
              <w:t>13.6%</w:t>
            </w:r>
          </w:p>
        </w:tc>
      </w:tr>
      <w:tr w:rsidR="00B73BD8" w:rsidRPr="005826EF" w14:paraId="7F2F0566" w14:textId="77777777" w:rsidTr="00C81D26">
        <w:trPr>
          <w:jc w:val="center"/>
        </w:trPr>
        <w:tc>
          <w:tcPr>
            <w:tcW w:w="5305" w:type="dxa"/>
            <w:hideMark/>
          </w:tcPr>
          <w:p w14:paraId="74A37747" w14:textId="77777777" w:rsidR="00B73BD8" w:rsidRPr="005826EF" w:rsidRDefault="00B73BD8" w:rsidP="00CE4D34">
            <w:pPr>
              <w:rPr>
                <w:rFonts w:ascii="Arial" w:hAnsi="Arial" w:cs="Arial"/>
                <w:lang w:val="en-GB"/>
              </w:rPr>
            </w:pPr>
            <w:r w:rsidRPr="005826EF">
              <w:rPr>
                <w:rFonts w:ascii="Arial" w:hAnsi="Arial" w:cs="Arial"/>
                <w:lang w:val="en-GB"/>
              </w:rPr>
              <w:t>Unilever (Lipton)</w:t>
            </w:r>
          </w:p>
        </w:tc>
        <w:tc>
          <w:tcPr>
            <w:tcW w:w="1350" w:type="dxa"/>
            <w:noWrap/>
            <w:hideMark/>
          </w:tcPr>
          <w:p w14:paraId="3E23D1A9" w14:textId="77777777" w:rsidR="00B73BD8" w:rsidRPr="005826EF" w:rsidRDefault="00B73BD8" w:rsidP="00CE4D34">
            <w:pPr>
              <w:jc w:val="right"/>
              <w:rPr>
                <w:rFonts w:ascii="Arial" w:hAnsi="Arial" w:cs="Arial"/>
                <w:lang w:val="en-GB"/>
              </w:rPr>
            </w:pPr>
            <w:r w:rsidRPr="005826EF">
              <w:rPr>
                <w:rFonts w:ascii="Arial" w:hAnsi="Arial" w:cs="Arial"/>
                <w:lang w:val="en-GB"/>
              </w:rPr>
              <w:t>11.9%</w:t>
            </w:r>
          </w:p>
        </w:tc>
      </w:tr>
      <w:tr w:rsidR="00B73BD8" w:rsidRPr="005826EF" w14:paraId="792C8666" w14:textId="77777777" w:rsidTr="00C81D26">
        <w:trPr>
          <w:jc w:val="center"/>
        </w:trPr>
        <w:tc>
          <w:tcPr>
            <w:tcW w:w="5305" w:type="dxa"/>
            <w:noWrap/>
            <w:hideMark/>
          </w:tcPr>
          <w:p w14:paraId="49EF256C" w14:textId="77777777" w:rsidR="00B73BD8" w:rsidRPr="005826EF" w:rsidRDefault="00B73BD8" w:rsidP="00CE4D34">
            <w:pPr>
              <w:rPr>
                <w:rFonts w:ascii="Arial" w:hAnsi="Arial" w:cs="Arial"/>
                <w:lang w:val="en-GB"/>
              </w:rPr>
            </w:pPr>
            <w:r w:rsidRPr="005826EF">
              <w:rPr>
                <w:rFonts w:ascii="Arial" w:hAnsi="Arial" w:cs="Arial"/>
                <w:lang w:val="en-GB"/>
              </w:rPr>
              <w:t>Hain Celestial Group Inc. (Celestial Seasonings)</w:t>
            </w:r>
          </w:p>
        </w:tc>
        <w:tc>
          <w:tcPr>
            <w:tcW w:w="1350" w:type="dxa"/>
            <w:noWrap/>
            <w:hideMark/>
          </w:tcPr>
          <w:p w14:paraId="767B7460" w14:textId="77777777" w:rsidR="00B73BD8" w:rsidRPr="005826EF" w:rsidRDefault="00B73BD8" w:rsidP="00CE4D34">
            <w:pPr>
              <w:jc w:val="right"/>
              <w:rPr>
                <w:rFonts w:ascii="Arial" w:hAnsi="Arial" w:cs="Arial"/>
                <w:lang w:val="en-GB"/>
              </w:rPr>
            </w:pPr>
            <w:r w:rsidRPr="005826EF">
              <w:rPr>
                <w:rFonts w:ascii="Arial" w:hAnsi="Arial" w:cs="Arial"/>
                <w:lang w:val="en-GB"/>
              </w:rPr>
              <w:t>9.8%</w:t>
            </w:r>
          </w:p>
        </w:tc>
      </w:tr>
      <w:tr w:rsidR="00B73BD8" w:rsidRPr="005826EF" w14:paraId="01F060D2" w14:textId="77777777" w:rsidTr="00C81D26">
        <w:trPr>
          <w:jc w:val="center"/>
        </w:trPr>
        <w:tc>
          <w:tcPr>
            <w:tcW w:w="5305" w:type="dxa"/>
            <w:noWrap/>
            <w:hideMark/>
          </w:tcPr>
          <w:p w14:paraId="3C2CFD40" w14:textId="77777777" w:rsidR="00B73BD8" w:rsidRPr="005826EF" w:rsidRDefault="00B73BD8" w:rsidP="00CE4D34">
            <w:pPr>
              <w:rPr>
                <w:rFonts w:ascii="Arial" w:hAnsi="Arial" w:cs="Arial"/>
                <w:lang w:val="en-GB"/>
              </w:rPr>
            </w:pPr>
            <w:r w:rsidRPr="005826EF">
              <w:rPr>
                <w:rFonts w:ascii="Arial" w:hAnsi="Arial" w:cs="Arial"/>
                <w:lang w:val="en-GB"/>
              </w:rPr>
              <w:t>Other</w:t>
            </w:r>
          </w:p>
        </w:tc>
        <w:tc>
          <w:tcPr>
            <w:tcW w:w="1350" w:type="dxa"/>
            <w:noWrap/>
            <w:hideMark/>
          </w:tcPr>
          <w:p w14:paraId="24FC6661" w14:textId="77777777" w:rsidR="00B73BD8" w:rsidRPr="005826EF" w:rsidRDefault="00B73BD8" w:rsidP="00CE4D34">
            <w:pPr>
              <w:jc w:val="right"/>
              <w:rPr>
                <w:rFonts w:ascii="Arial" w:hAnsi="Arial" w:cs="Arial"/>
                <w:lang w:val="en-GB"/>
              </w:rPr>
            </w:pPr>
            <w:r w:rsidRPr="005826EF">
              <w:rPr>
                <w:rFonts w:ascii="Arial" w:hAnsi="Arial" w:cs="Arial"/>
                <w:lang w:val="en-GB"/>
              </w:rPr>
              <w:t>45.9%</w:t>
            </w:r>
          </w:p>
        </w:tc>
      </w:tr>
    </w:tbl>
    <w:p w14:paraId="7FDB7F9F" w14:textId="510E260E" w:rsidR="00F54ACF" w:rsidRPr="005826EF" w:rsidRDefault="00F54ACF" w:rsidP="004F788B">
      <w:pPr>
        <w:pStyle w:val="ExhibitText"/>
        <w:rPr>
          <w:rFonts w:eastAsia="Calibri"/>
          <w:lang w:val="en-GB"/>
        </w:rPr>
      </w:pPr>
    </w:p>
    <w:p w14:paraId="22BBE37D" w14:textId="6A86CC0F" w:rsidR="00A648FE" w:rsidRPr="005826EF" w:rsidRDefault="00F54ACF" w:rsidP="006500AB">
      <w:pPr>
        <w:pStyle w:val="Footnote"/>
        <w:spacing w:before="240"/>
        <w:rPr>
          <w:rFonts w:eastAsia="Calibri"/>
          <w:lang w:val="en-GB"/>
        </w:rPr>
      </w:pPr>
      <w:r w:rsidRPr="005826EF">
        <w:rPr>
          <w:rFonts w:eastAsia="Calibri"/>
          <w:lang w:val="en-GB"/>
        </w:rPr>
        <w:t xml:space="preserve">Source: </w:t>
      </w:r>
      <w:r w:rsidR="006E644F" w:rsidRPr="005826EF">
        <w:rPr>
          <w:rFonts w:eastAsia="Calibri"/>
          <w:lang w:val="en-GB"/>
        </w:rPr>
        <w:t xml:space="preserve">Created by </w:t>
      </w:r>
      <w:r w:rsidR="00A34441" w:rsidRPr="005826EF">
        <w:rPr>
          <w:rFonts w:eastAsia="Calibri"/>
          <w:lang w:val="en-GB"/>
        </w:rPr>
        <w:t xml:space="preserve">the case </w:t>
      </w:r>
      <w:r w:rsidR="006E644F" w:rsidRPr="005826EF">
        <w:rPr>
          <w:rFonts w:eastAsia="Calibri"/>
          <w:lang w:val="en-GB"/>
        </w:rPr>
        <w:t xml:space="preserve">authors </w:t>
      </w:r>
      <w:r w:rsidR="00A34441" w:rsidRPr="005826EF">
        <w:rPr>
          <w:rFonts w:eastAsia="Calibri"/>
          <w:lang w:val="en-GB"/>
        </w:rPr>
        <w:t>with information from</w:t>
      </w:r>
      <w:r w:rsidR="006E644F" w:rsidRPr="005826EF">
        <w:rPr>
          <w:rFonts w:eastAsia="Calibri"/>
          <w:lang w:val="en-GB"/>
        </w:rPr>
        <w:t xml:space="preserve"> </w:t>
      </w:r>
      <w:r w:rsidRPr="005826EF">
        <w:rPr>
          <w:rFonts w:eastAsia="Calibri"/>
          <w:lang w:val="en-GB"/>
        </w:rPr>
        <w:t>Anya Cohen,</w:t>
      </w:r>
      <w:r w:rsidRPr="005826EF">
        <w:rPr>
          <w:rFonts w:eastAsia="Calibri"/>
          <w:i/>
          <w:lang w:val="en-GB"/>
        </w:rPr>
        <w:t xml:space="preserve"> Industry Report 31192b: Tea Production in the US, </w:t>
      </w:r>
      <w:r w:rsidR="00A34441" w:rsidRPr="005826EF">
        <w:rPr>
          <w:lang w:val="en-GB"/>
        </w:rPr>
        <w:t xml:space="preserve">IBISWorld, </w:t>
      </w:r>
      <w:r w:rsidRPr="005826EF">
        <w:rPr>
          <w:rFonts w:eastAsia="Calibri"/>
          <w:lang w:val="en-GB"/>
        </w:rPr>
        <w:t>July 2016, accessed November 7, 2017, http://clients1.ibisworld.com/reports/us/industry/default.aspx?entid=273.</w:t>
      </w:r>
    </w:p>
    <w:p w14:paraId="567116F9" w14:textId="77777777" w:rsidR="00A648FE" w:rsidRPr="005826EF" w:rsidRDefault="00A648FE" w:rsidP="00C81D26">
      <w:pPr>
        <w:rPr>
          <w:rFonts w:eastAsia="Calibri"/>
          <w:lang w:val="en-GB"/>
        </w:rPr>
      </w:pPr>
    </w:p>
    <w:p w14:paraId="2F67050E" w14:textId="77777777" w:rsidR="00A648FE" w:rsidRPr="005826EF" w:rsidRDefault="00A648FE" w:rsidP="00C81D26">
      <w:pPr>
        <w:rPr>
          <w:rFonts w:eastAsia="Calibri"/>
          <w:lang w:val="en-GB"/>
        </w:rPr>
      </w:pPr>
    </w:p>
    <w:p w14:paraId="25415942" w14:textId="77777777" w:rsidR="00A648FE" w:rsidRPr="005826EF" w:rsidRDefault="00A648FE" w:rsidP="00C81D26">
      <w:pPr>
        <w:rPr>
          <w:rFonts w:eastAsia="Calibri"/>
          <w:lang w:val="en-GB"/>
        </w:rPr>
      </w:pPr>
    </w:p>
    <w:p w14:paraId="431C1D6C" w14:textId="413F2A06" w:rsidR="00A648FE" w:rsidRPr="005826EF" w:rsidRDefault="00A648FE" w:rsidP="00A648FE">
      <w:pPr>
        <w:rPr>
          <w:rFonts w:eastAsia="Calibri"/>
          <w:lang w:val="en-GB"/>
        </w:rPr>
      </w:pPr>
    </w:p>
    <w:p w14:paraId="2F3BF3DC" w14:textId="7A4CE1A3" w:rsidR="00465348" w:rsidRPr="005826EF" w:rsidRDefault="00A648FE" w:rsidP="004F788B">
      <w:pPr>
        <w:keepNext/>
        <w:jc w:val="center"/>
        <w:rPr>
          <w:rFonts w:ascii="Arial" w:eastAsia="Calibri" w:hAnsi="Arial" w:cs="Arial"/>
          <w:b/>
          <w:caps/>
          <w:lang w:val="en-GB"/>
        </w:rPr>
      </w:pPr>
      <w:r w:rsidRPr="005826EF">
        <w:rPr>
          <w:rFonts w:ascii="Arial" w:eastAsia="Calibri" w:hAnsi="Arial" w:cs="Arial"/>
          <w:b/>
          <w:caps/>
          <w:lang w:val="en-GB"/>
        </w:rPr>
        <w:lastRenderedPageBreak/>
        <w:t xml:space="preserve">Exhibit </w:t>
      </w:r>
      <w:r w:rsidR="00EE4EC0" w:rsidRPr="005826EF">
        <w:rPr>
          <w:rFonts w:ascii="Arial" w:eastAsia="Calibri" w:hAnsi="Arial" w:cs="Arial"/>
          <w:b/>
          <w:caps/>
          <w:lang w:val="en-GB"/>
        </w:rPr>
        <w:t>4</w:t>
      </w:r>
      <w:r w:rsidRPr="005826EF">
        <w:rPr>
          <w:rFonts w:ascii="Arial" w:eastAsia="Calibri" w:hAnsi="Arial" w:cs="Arial"/>
          <w:b/>
          <w:caps/>
          <w:lang w:val="en-GB"/>
        </w:rPr>
        <w:t xml:space="preserve">: </w:t>
      </w:r>
      <w:r w:rsidR="00C0031C" w:rsidRPr="005826EF">
        <w:rPr>
          <w:rFonts w:ascii="Arial" w:eastAsia="Calibri" w:hAnsi="Arial" w:cs="Arial"/>
          <w:b/>
          <w:caps/>
          <w:lang w:val="en-GB"/>
        </w:rPr>
        <w:t xml:space="preserve">Estimated </w:t>
      </w:r>
      <w:r w:rsidRPr="005826EF">
        <w:rPr>
          <w:rFonts w:ascii="Arial" w:eastAsia="Calibri" w:hAnsi="Arial" w:cs="Arial"/>
          <w:b/>
          <w:caps/>
          <w:lang w:val="en-GB"/>
        </w:rPr>
        <w:t>Growth Potential and Cost</w:t>
      </w:r>
      <w:r w:rsidR="00C0031C" w:rsidRPr="005826EF">
        <w:rPr>
          <w:rFonts w:ascii="Arial" w:eastAsia="Calibri" w:hAnsi="Arial" w:cs="Arial"/>
          <w:b/>
          <w:caps/>
          <w:lang w:val="en-GB"/>
        </w:rPr>
        <w:t>s</w:t>
      </w:r>
      <w:r w:rsidRPr="005826EF">
        <w:rPr>
          <w:rFonts w:ascii="Arial" w:eastAsia="Calibri" w:hAnsi="Arial" w:cs="Arial"/>
          <w:b/>
          <w:caps/>
          <w:lang w:val="en-GB"/>
        </w:rPr>
        <w:t xml:space="preserve"> of Potential Options</w:t>
      </w:r>
    </w:p>
    <w:p w14:paraId="2E548515" w14:textId="52321F6D" w:rsidR="00A648FE" w:rsidRPr="005826EF" w:rsidRDefault="00A648FE" w:rsidP="004F788B">
      <w:pPr>
        <w:pStyle w:val="ExhibitText"/>
        <w:keepNext/>
        <w:rPr>
          <w:lang w:val="en-GB"/>
        </w:rPr>
      </w:pPr>
    </w:p>
    <w:p w14:paraId="5A001AFD" w14:textId="77777777" w:rsidR="00DB0048" w:rsidRDefault="00DB0048" w:rsidP="004F788B">
      <w:pPr>
        <w:pStyle w:val="Footnote"/>
        <w:keepNext/>
        <w:tabs>
          <w:tab w:val="left" w:pos="2977"/>
        </w:tabs>
        <w:spacing w:before="240"/>
        <w:jc w:val="center"/>
        <w:rPr>
          <w:rFonts w:eastAsia="Calibri"/>
          <w:lang w:val="en-GB"/>
        </w:rPr>
      </w:pPr>
      <w:r>
        <w:rPr>
          <w:rFonts w:eastAsia="Calibri"/>
          <w:noProof/>
        </w:rPr>
        <w:drawing>
          <wp:inline distT="0" distB="0" distL="0" distR="0" wp14:anchorId="086DAB49" wp14:editId="7388BE99">
            <wp:extent cx="5029835" cy="4871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029835" cy="4871085"/>
                    </a:xfrm>
                    <a:prstGeom prst="rect">
                      <a:avLst/>
                    </a:prstGeom>
                    <a:noFill/>
                  </pic:spPr>
                </pic:pic>
              </a:graphicData>
            </a:graphic>
          </wp:inline>
        </w:drawing>
      </w:r>
    </w:p>
    <w:p w14:paraId="342230D3" w14:textId="1E025192" w:rsidR="000E5BC0" w:rsidRDefault="00A34441" w:rsidP="004F788B">
      <w:pPr>
        <w:pStyle w:val="Footnote"/>
        <w:keepNext/>
        <w:tabs>
          <w:tab w:val="left" w:pos="2977"/>
        </w:tabs>
        <w:spacing w:before="240"/>
        <w:rPr>
          <w:rFonts w:eastAsia="Calibri"/>
          <w:lang w:val="en-GB"/>
        </w:rPr>
      </w:pPr>
      <w:r w:rsidRPr="005826EF">
        <w:rPr>
          <w:rFonts w:eastAsia="Calibri"/>
          <w:lang w:val="en-GB"/>
        </w:rPr>
        <w:t>Source: Created by the case authors</w:t>
      </w:r>
      <w:r w:rsidR="007C7E98" w:rsidRPr="005826EF">
        <w:rPr>
          <w:rFonts w:eastAsia="Calibri"/>
          <w:lang w:val="en-GB"/>
        </w:rPr>
        <w:t xml:space="preserve"> based on company information</w:t>
      </w:r>
      <w:r w:rsidRPr="005826EF">
        <w:rPr>
          <w:rFonts w:eastAsia="Calibri"/>
          <w:lang w:val="en-GB"/>
        </w:rPr>
        <w:t>.</w:t>
      </w:r>
    </w:p>
    <w:p w14:paraId="39829490" w14:textId="073EB29A" w:rsidR="00A34441" w:rsidRPr="00325D82" w:rsidRDefault="00A34441" w:rsidP="00325D82">
      <w:pPr>
        <w:tabs>
          <w:tab w:val="left" w:pos="2977"/>
        </w:tabs>
        <w:spacing w:after="200" w:line="276" w:lineRule="auto"/>
        <w:rPr>
          <w:rFonts w:ascii="Arial" w:eastAsia="Calibri" w:hAnsi="Arial" w:cs="Arial"/>
          <w:sz w:val="17"/>
          <w:szCs w:val="17"/>
          <w:lang w:val="en-GB"/>
        </w:rPr>
      </w:pPr>
    </w:p>
    <w:sectPr w:rsidR="00A34441" w:rsidRPr="00325D82"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1B598" w16cid:durableId="1FC3D7DF"/>
  <w16cid:commentId w16cid:paraId="63744AB5" w16cid:durableId="1FC3DC3B"/>
  <w16cid:commentId w16cid:paraId="74F93848" w16cid:durableId="1FC3D7E0"/>
  <w16cid:commentId w16cid:paraId="693832E2" w16cid:durableId="1FC3DE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C974C" w14:textId="77777777" w:rsidR="00026830" w:rsidRDefault="00026830" w:rsidP="00D75295">
      <w:r>
        <w:separator/>
      </w:r>
    </w:p>
  </w:endnote>
  <w:endnote w:type="continuationSeparator" w:id="0">
    <w:p w14:paraId="18838FBA" w14:textId="77777777" w:rsidR="00026830" w:rsidRDefault="0002683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9B317" w14:textId="77777777" w:rsidR="00026830" w:rsidRDefault="00026830" w:rsidP="00D75295">
      <w:r>
        <w:separator/>
      </w:r>
    </w:p>
  </w:footnote>
  <w:footnote w:type="continuationSeparator" w:id="0">
    <w:p w14:paraId="589D03C4" w14:textId="77777777" w:rsidR="00026830" w:rsidRDefault="00026830" w:rsidP="00D75295">
      <w:r>
        <w:continuationSeparator/>
      </w:r>
    </w:p>
  </w:footnote>
  <w:footnote w:id="1">
    <w:p w14:paraId="466758FE" w14:textId="39A42B40" w:rsidR="004F788B" w:rsidRPr="00F54ACF" w:rsidRDefault="004F788B" w:rsidP="00F54ACF">
      <w:pPr>
        <w:pStyle w:val="Footnote"/>
      </w:pPr>
      <w:r w:rsidRPr="00987591">
        <w:rPr>
          <w:rStyle w:val="FootnoteReference"/>
          <w:rFonts w:cs="Times New Roman"/>
        </w:rPr>
        <w:footnoteRef/>
      </w:r>
      <w:r>
        <w:t xml:space="preserve"> </w:t>
      </w:r>
      <w:r w:rsidRPr="000D0FE7">
        <w:t xml:space="preserve">“Who We Are,” </w:t>
      </w:r>
      <w:r>
        <w:t xml:space="preserve">Aviatra Accelerators, accessed February 15, </w:t>
      </w:r>
      <w:r w:rsidRPr="00F54ACF">
        <w:t xml:space="preserve">2018, </w:t>
      </w:r>
      <w:r w:rsidRPr="00F54ACF">
        <w:rPr>
          <w:rStyle w:val="Hyperlink"/>
          <w:color w:val="auto"/>
          <w:u w:val="none"/>
        </w:rPr>
        <w:t>http://aviatraaccelerators.org</w:t>
      </w:r>
      <w:r w:rsidRPr="00F54ACF">
        <w:t>.</w:t>
      </w:r>
    </w:p>
  </w:footnote>
  <w:footnote w:id="2">
    <w:p w14:paraId="1AB5BAB7" w14:textId="77777777" w:rsidR="004F788B" w:rsidRPr="00D37740" w:rsidRDefault="004F788B" w:rsidP="009216B3">
      <w:pPr>
        <w:pStyle w:val="FootnoteText"/>
        <w:rPr>
          <w:rFonts w:ascii="Arial" w:hAnsi="Arial" w:cs="Arial"/>
          <w:sz w:val="17"/>
          <w:szCs w:val="17"/>
          <w:lang w:val="en-CA"/>
        </w:rPr>
      </w:pPr>
      <w:r w:rsidRPr="00D37740">
        <w:rPr>
          <w:rStyle w:val="FootnoteReference"/>
          <w:rFonts w:ascii="Arial" w:hAnsi="Arial" w:cs="Arial"/>
          <w:sz w:val="17"/>
          <w:szCs w:val="17"/>
        </w:rPr>
        <w:footnoteRef/>
      </w:r>
      <w:r w:rsidRPr="00D37740">
        <w:rPr>
          <w:rFonts w:ascii="Arial" w:hAnsi="Arial" w:cs="Arial"/>
          <w:sz w:val="17"/>
          <w:szCs w:val="17"/>
        </w:rPr>
        <w:t xml:space="preserve"> </w:t>
      </w:r>
      <w:r w:rsidRPr="00D37740">
        <w:rPr>
          <w:rFonts w:ascii="Arial" w:hAnsi="Arial" w:cs="Arial"/>
          <w:sz w:val="17"/>
          <w:szCs w:val="17"/>
          <w:lang w:val="en-CA"/>
        </w:rPr>
        <w:t>All currency amounts are in US$ unless otherwise specified.</w:t>
      </w:r>
    </w:p>
  </w:footnote>
  <w:footnote w:id="3">
    <w:p w14:paraId="05CDF0E1" w14:textId="1374E393" w:rsidR="004F788B" w:rsidRPr="00F54ACF" w:rsidRDefault="004F788B" w:rsidP="00F54ACF">
      <w:pPr>
        <w:pStyle w:val="Footnote"/>
      </w:pPr>
      <w:r w:rsidRPr="00232D48">
        <w:rPr>
          <w:rStyle w:val="FootnoteReference"/>
        </w:rPr>
        <w:footnoteRef/>
      </w:r>
      <w:r w:rsidRPr="00F54ACF">
        <w:t xml:space="preserve"> </w:t>
      </w:r>
      <w:r>
        <w:t>“About Us</w:t>
      </w:r>
      <w:r w:rsidRPr="00F54ACF">
        <w:t xml:space="preserve">,” Slow Money Institute, accessed February 15, 2018, </w:t>
      </w:r>
      <w:hyperlink r:id="rId1" w:history="1">
        <w:r w:rsidRPr="00F54ACF">
          <w:rPr>
            <w:rStyle w:val="Hyperlink"/>
            <w:color w:val="auto"/>
            <w:u w:val="none"/>
          </w:rPr>
          <w:t>https://slowmoney.org/about</w:t>
        </w:r>
      </w:hyperlink>
      <w:r w:rsidRPr="00F54ACF">
        <w:t>.</w:t>
      </w:r>
    </w:p>
  </w:footnote>
  <w:footnote w:id="4">
    <w:p w14:paraId="489E8ABB" w14:textId="48D41BFC" w:rsidR="004F788B" w:rsidRPr="00F54ACF" w:rsidRDefault="004F788B" w:rsidP="00F54ACF">
      <w:pPr>
        <w:pStyle w:val="Footnote"/>
      </w:pPr>
      <w:r w:rsidRPr="00987591">
        <w:rPr>
          <w:rStyle w:val="FootnoteReference"/>
          <w:rFonts w:cs="Times New Roman"/>
        </w:rPr>
        <w:footnoteRef/>
      </w:r>
      <w:r>
        <w:t> </w:t>
      </w:r>
      <w:r w:rsidRPr="00B64228">
        <w:t xml:space="preserve">“Organic Agriculture FAQ,” </w:t>
      </w:r>
      <w:r>
        <w:t xml:space="preserve">Food and Agriculture Organization of the United Nations, </w:t>
      </w:r>
      <w:r w:rsidRPr="00B64228">
        <w:t xml:space="preserve">accessed May 25, </w:t>
      </w:r>
      <w:r w:rsidRPr="00F54ACF">
        <w:t xml:space="preserve">2017, </w:t>
      </w:r>
      <w:r w:rsidRPr="00765B5A">
        <w:t>www.fao.org/organicag/oa-faq/oa-faq6/en</w:t>
      </w:r>
      <w:r w:rsidRPr="00F54ACF">
        <w:t>.</w:t>
      </w:r>
    </w:p>
  </w:footnote>
  <w:footnote w:id="5">
    <w:p w14:paraId="053CFB1C" w14:textId="14B5B076" w:rsidR="004F788B" w:rsidRPr="00F54ACF" w:rsidRDefault="004F788B" w:rsidP="00F54ACF">
      <w:pPr>
        <w:pStyle w:val="Footnote"/>
      </w:pPr>
      <w:r w:rsidRPr="00B64228">
        <w:rPr>
          <w:rStyle w:val="FootnoteReference"/>
          <w:rFonts w:cs="Times New Roman"/>
        </w:rPr>
        <w:footnoteRef/>
      </w:r>
      <w:r w:rsidRPr="00B64228">
        <w:t xml:space="preserve"> “OEFFA Certification,”</w:t>
      </w:r>
      <w:r>
        <w:t xml:space="preserve"> </w:t>
      </w:r>
      <w:r w:rsidRPr="00B64228">
        <w:t>Ohio Ecological Food and Farm Association</w:t>
      </w:r>
      <w:r>
        <w:t>,</w:t>
      </w:r>
      <w:r w:rsidRPr="00987591">
        <w:t xml:space="preserve"> </w:t>
      </w:r>
      <w:r>
        <w:t>accessed</w:t>
      </w:r>
      <w:r w:rsidRPr="00987591">
        <w:t xml:space="preserve"> May 23, </w:t>
      </w:r>
      <w:r w:rsidRPr="00F54ACF">
        <w:t>2017, http://certification.oeffa.org.</w:t>
      </w:r>
    </w:p>
  </w:footnote>
  <w:footnote w:id="6">
    <w:p w14:paraId="0F7A061D" w14:textId="7DC99CF2" w:rsidR="004F788B" w:rsidRPr="004F788B" w:rsidRDefault="004F788B" w:rsidP="00F54ACF">
      <w:pPr>
        <w:pStyle w:val="Footnote"/>
        <w:rPr>
          <w:spacing w:val="-2"/>
          <w:kern w:val="17"/>
        </w:rPr>
      </w:pPr>
      <w:r w:rsidRPr="004F788B">
        <w:rPr>
          <w:rStyle w:val="FootnoteReference"/>
          <w:rFonts w:cs="Times New Roman"/>
          <w:spacing w:val="-2"/>
          <w:kern w:val="17"/>
        </w:rPr>
        <w:footnoteRef/>
      </w:r>
      <w:r w:rsidRPr="004F788B">
        <w:rPr>
          <w:spacing w:val="-2"/>
          <w:kern w:val="17"/>
        </w:rPr>
        <w:t xml:space="preserve"> Wen-Yan Han, Dong-Hui Wang, Shang-Wen Fu, and Selena Ahmed, “Tea from Organic Production Has Higher Functional Quality Characteristics Compared with Tea from Conventional Management Systems in China,” </w:t>
      </w:r>
      <w:r w:rsidRPr="004F788B">
        <w:rPr>
          <w:i/>
          <w:spacing w:val="-2"/>
          <w:kern w:val="17"/>
        </w:rPr>
        <w:t>Biological Agriculture &amp; Horticulture, </w:t>
      </w:r>
      <w:r w:rsidRPr="004F788B">
        <w:rPr>
          <w:spacing w:val="-2"/>
          <w:kern w:val="17"/>
        </w:rPr>
        <w:t>October 30, 2017, accessed February 15, 2018, www.tandfonline.com/doi/full/10.1080/01448765.2017.1396497.</w:t>
      </w:r>
    </w:p>
  </w:footnote>
  <w:footnote w:id="7">
    <w:p w14:paraId="57494F11" w14:textId="6C057AF8" w:rsidR="004F788B" w:rsidRPr="00F54ACF" w:rsidRDefault="004F788B" w:rsidP="00F54ACF">
      <w:pPr>
        <w:pStyle w:val="Footnote"/>
      </w:pPr>
      <w:r w:rsidRPr="00987591">
        <w:rPr>
          <w:rStyle w:val="FootnoteReference"/>
          <w:rFonts w:cs="Times New Roman"/>
        </w:rPr>
        <w:footnoteRef/>
      </w:r>
      <w:r>
        <w:t xml:space="preserve"> “Tea Farmers and </w:t>
      </w:r>
      <w:r w:rsidRPr="00F54ACF">
        <w:t>Workers,” Fairtrade Foundation, accessed February 15, 2018, www.fairtrade.org.uk/Farmers-and-Workers/Tea.</w:t>
      </w:r>
    </w:p>
  </w:footnote>
  <w:footnote w:id="8">
    <w:p w14:paraId="326B126C" w14:textId="179DF166" w:rsidR="004F788B" w:rsidRPr="00F54ACF" w:rsidRDefault="004F788B" w:rsidP="00F54ACF">
      <w:pPr>
        <w:pStyle w:val="Footnote"/>
      </w:pPr>
      <w:r w:rsidRPr="00987591">
        <w:rPr>
          <w:rStyle w:val="FootnoteReference"/>
          <w:rFonts w:cs="Times New Roman"/>
        </w:rPr>
        <w:footnoteRef/>
      </w:r>
      <w:r w:rsidRPr="00987591">
        <w:rPr>
          <w:rFonts w:cs="Times New Roman"/>
        </w:rPr>
        <w:t xml:space="preserve"> </w:t>
      </w:r>
      <w:r w:rsidRPr="002E37C5">
        <w:rPr>
          <w:rFonts w:cs="Times New Roman"/>
        </w:rPr>
        <w:t>“What Is Fair Trade?,”</w:t>
      </w:r>
      <w:r>
        <w:rPr>
          <w:rFonts w:cs="Times New Roman"/>
        </w:rPr>
        <w:t xml:space="preserve"> Fair Trade USA,</w:t>
      </w:r>
      <w:r w:rsidRPr="00987591">
        <w:rPr>
          <w:rFonts w:cs="Times New Roman"/>
        </w:rPr>
        <w:t xml:space="preserve"> </w:t>
      </w:r>
      <w:r>
        <w:rPr>
          <w:rFonts w:cs="Times New Roman"/>
        </w:rPr>
        <w:t>a</w:t>
      </w:r>
      <w:r w:rsidRPr="00987591">
        <w:rPr>
          <w:rFonts w:cs="Times New Roman"/>
        </w:rPr>
        <w:t>ccessed May 23</w:t>
      </w:r>
      <w:r w:rsidRPr="00F54ACF">
        <w:t>, 2017, http://fairtradeusa.org/what-is-fair-trade.</w:t>
      </w:r>
    </w:p>
  </w:footnote>
  <w:footnote w:id="9">
    <w:p w14:paraId="50AE8B81" w14:textId="36615FAE" w:rsidR="004F788B" w:rsidRPr="00F54ACF" w:rsidRDefault="004F788B" w:rsidP="00F54ACF">
      <w:pPr>
        <w:pStyle w:val="Footnote"/>
      </w:pPr>
      <w:r w:rsidRPr="004F788B">
        <w:rPr>
          <w:rStyle w:val="FootnoteReference"/>
          <w:rFonts w:cs="Times New Roman"/>
          <w:spacing w:val="-2"/>
          <w:kern w:val="17"/>
        </w:rPr>
        <w:footnoteRef/>
      </w:r>
      <w:r w:rsidRPr="004F788B">
        <w:rPr>
          <w:spacing w:val="-2"/>
          <w:kern w:val="17"/>
        </w:rPr>
        <w:t xml:space="preserve"> Lee McKinstry, “Lakewood Panel Highlights Key Roles Northeast Ohio Plays in Refugee Resettlement,” Cleveland.com,</w:t>
      </w:r>
      <w:r w:rsidRPr="004F788B">
        <w:rPr>
          <w:i/>
          <w:spacing w:val="-2"/>
          <w:kern w:val="17"/>
        </w:rPr>
        <w:t xml:space="preserve"> </w:t>
      </w:r>
      <w:r w:rsidRPr="004F788B">
        <w:rPr>
          <w:spacing w:val="-2"/>
          <w:kern w:val="17"/>
        </w:rPr>
        <w:t>May 12, 2017, accessed May 25, 2017, www.cleveland.com/lakewood/index.ssf/2017/05/lakewood_panel_highlights_key.html</w:t>
      </w:r>
      <w:r w:rsidRPr="00F54ACF">
        <w:t xml:space="preserve">. </w:t>
      </w:r>
    </w:p>
  </w:footnote>
  <w:footnote w:id="10">
    <w:p w14:paraId="532ABEA3" w14:textId="01064740" w:rsidR="004F788B" w:rsidRPr="00F54ACF" w:rsidRDefault="004F788B" w:rsidP="00F54ACF">
      <w:pPr>
        <w:pStyle w:val="Footnote"/>
      </w:pPr>
      <w:r w:rsidRPr="00987591">
        <w:rPr>
          <w:rStyle w:val="FootnoteReference"/>
          <w:rFonts w:cs="Times New Roman"/>
        </w:rPr>
        <w:footnoteRef/>
      </w:r>
      <w:r w:rsidRPr="00987591">
        <w:t xml:space="preserve"> </w:t>
      </w:r>
      <w:r>
        <w:t xml:space="preserve">“Who We Are,” </w:t>
      </w:r>
      <w:r w:rsidRPr="00987591">
        <w:t>US Together</w:t>
      </w:r>
      <w:r>
        <w:t xml:space="preserve">, accessed May 23, </w:t>
      </w:r>
      <w:r w:rsidRPr="00F54ACF">
        <w:t xml:space="preserve">2017, </w:t>
      </w:r>
      <w:hyperlink r:id="rId2" w:history="1">
        <w:r w:rsidRPr="00F54ACF">
          <w:t>http://ustogether.us/who-we-are</w:t>
        </w:r>
      </w:hyperlink>
      <w:r w:rsidRPr="00F54ACF">
        <w:t>.</w:t>
      </w:r>
    </w:p>
  </w:footnote>
  <w:footnote w:id="11">
    <w:p w14:paraId="29E046D6" w14:textId="3EE1406A" w:rsidR="004F788B" w:rsidRPr="00F54ACF" w:rsidRDefault="004F788B" w:rsidP="00F54ACF">
      <w:pPr>
        <w:pStyle w:val="Footnote"/>
      </w:pPr>
      <w:r w:rsidRPr="00987591">
        <w:rPr>
          <w:rStyle w:val="FootnoteReference"/>
          <w:rFonts w:cs="Times New Roman"/>
        </w:rPr>
        <w:footnoteRef/>
      </w:r>
      <w:r w:rsidRPr="00987591">
        <w:t xml:space="preserve"> </w:t>
      </w:r>
      <w:r>
        <w:t xml:space="preserve">“About </w:t>
      </w:r>
      <w:r w:rsidRPr="00F54ACF">
        <w:t>BTJ,” Back to Jerusalem, 2018, accessed February 15, 2018, https://backtojerusalem.com/home/about.</w:t>
      </w:r>
    </w:p>
  </w:footnote>
  <w:footnote w:id="12">
    <w:p w14:paraId="1C0A4E7F" w14:textId="1FBABFA7" w:rsidR="004F788B" w:rsidRPr="00F54ACF" w:rsidRDefault="004F788B" w:rsidP="00F54ACF">
      <w:pPr>
        <w:pStyle w:val="Footnote"/>
      </w:pPr>
      <w:r w:rsidRPr="00987591">
        <w:rPr>
          <w:rStyle w:val="FootnoteReference"/>
          <w:rFonts w:cs="Times New Roman"/>
        </w:rPr>
        <w:footnoteRef/>
      </w:r>
      <w:r w:rsidRPr="00987591">
        <w:t xml:space="preserve"> </w:t>
      </w:r>
      <w:r>
        <w:t>“All Teas,” Storehouse Tea,</w:t>
      </w:r>
      <w:r w:rsidRPr="00987591">
        <w:t xml:space="preserve"> </w:t>
      </w:r>
      <w:r>
        <w:t>accessed February 15, 2018</w:t>
      </w:r>
      <w:r w:rsidRPr="00F54ACF">
        <w:t>, https://storehousetea.com</w:t>
      </w:r>
      <w:r w:rsidRPr="00B4654D">
        <w:t>/collections/all-teas</w:t>
      </w:r>
      <w:r w:rsidRPr="00F54ACF">
        <w:t>.</w:t>
      </w:r>
    </w:p>
  </w:footnote>
  <w:footnote w:id="13">
    <w:p w14:paraId="52720DF1" w14:textId="42EF7313" w:rsidR="004F788B" w:rsidRPr="000E17EF" w:rsidRDefault="004F788B" w:rsidP="00F54ACF">
      <w:pPr>
        <w:pStyle w:val="Footnote"/>
        <w:rPr>
          <w:spacing w:val="-6"/>
          <w:kern w:val="17"/>
        </w:rPr>
      </w:pPr>
      <w:r w:rsidRPr="000E17EF">
        <w:rPr>
          <w:rStyle w:val="FootnoteReference"/>
          <w:rFonts w:cs="Times New Roman"/>
          <w:spacing w:val="-6"/>
          <w:kern w:val="17"/>
        </w:rPr>
        <w:footnoteRef/>
      </w:r>
      <w:r w:rsidRPr="000E17EF">
        <w:rPr>
          <w:rFonts w:cs="Times New Roman"/>
          <w:spacing w:val="-6"/>
          <w:kern w:val="17"/>
        </w:rPr>
        <w:t> Specialty Tea Institute, </w:t>
      </w:r>
      <w:r w:rsidRPr="000E17EF">
        <w:rPr>
          <w:rFonts w:cs="Times New Roman"/>
          <w:i/>
          <w:spacing w:val="-6"/>
          <w:kern w:val="17"/>
        </w:rPr>
        <w:t>Demographic Summary</w:t>
      </w:r>
      <w:r w:rsidRPr="000E17EF">
        <w:rPr>
          <w:rFonts w:cs="Times New Roman"/>
          <w:spacing w:val="-6"/>
          <w:kern w:val="17"/>
        </w:rPr>
        <w:t>,</w:t>
      </w:r>
      <w:r w:rsidRPr="000E17EF">
        <w:rPr>
          <w:rFonts w:cs="Times New Roman"/>
          <w:i/>
          <w:spacing w:val="-6"/>
          <w:kern w:val="17"/>
        </w:rPr>
        <w:t> </w:t>
      </w:r>
      <w:r w:rsidRPr="000E17EF">
        <w:rPr>
          <w:rFonts w:cs="Times New Roman"/>
          <w:spacing w:val="-6"/>
          <w:kern w:val="17"/>
        </w:rPr>
        <w:t>accessed January 24, 2018, </w:t>
      </w:r>
      <w:r w:rsidRPr="000E17EF">
        <w:rPr>
          <w:spacing w:val="-6"/>
          <w:kern w:val="17"/>
        </w:rPr>
        <w:t xml:space="preserve">www.teausa.org/teausa/images/2012/02/ppdemo1.pdf. </w:t>
      </w:r>
    </w:p>
  </w:footnote>
  <w:footnote w:id="14">
    <w:p w14:paraId="7C8DAC0A" w14:textId="64869ED5" w:rsidR="004F788B" w:rsidRPr="000E17EF" w:rsidRDefault="004F788B" w:rsidP="00F54ACF">
      <w:pPr>
        <w:pStyle w:val="Footnote"/>
        <w:rPr>
          <w:rFonts w:cs="Times New Roman"/>
          <w:spacing w:val="-6"/>
          <w:kern w:val="17"/>
        </w:rPr>
      </w:pPr>
      <w:r w:rsidRPr="000E17EF">
        <w:rPr>
          <w:rStyle w:val="FootnoteReference"/>
          <w:rFonts w:cs="Times New Roman"/>
          <w:spacing w:val="-6"/>
          <w:kern w:val="17"/>
        </w:rPr>
        <w:footnoteRef/>
      </w:r>
      <w:r w:rsidRPr="000E17EF">
        <w:rPr>
          <w:rFonts w:cs="Times New Roman"/>
          <w:spacing w:val="-6"/>
          <w:kern w:val="17"/>
        </w:rPr>
        <w:t> Mintel Academic, </w:t>
      </w:r>
      <w:r w:rsidRPr="000E17EF">
        <w:rPr>
          <w:rFonts w:cs="Times New Roman"/>
          <w:i/>
          <w:spacing w:val="-6"/>
          <w:kern w:val="17"/>
        </w:rPr>
        <w:t>Tea and RTD Tea—US—August 2017</w:t>
      </w:r>
      <w:r w:rsidRPr="000E17EF">
        <w:rPr>
          <w:rFonts w:cs="Times New Roman"/>
          <w:spacing w:val="-6"/>
          <w:kern w:val="17"/>
        </w:rPr>
        <w:t>, accessed October 28, 2018, http://academic.mintel.com/display/85020</w:t>
      </w:r>
      <w:r>
        <w:rPr>
          <w:rFonts w:cs="Times New Roman"/>
          <w:spacing w:val="-6"/>
          <w:kern w:val="17"/>
        </w:rPr>
        <w:t>9.</w:t>
      </w:r>
    </w:p>
  </w:footnote>
  <w:footnote w:id="15">
    <w:p w14:paraId="620E0580" w14:textId="65E520C4" w:rsidR="004F788B" w:rsidRPr="000E17EF" w:rsidRDefault="004F788B" w:rsidP="00F54ACF">
      <w:pPr>
        <w:pStyle w:val="Footnote"/>
        <w:rPr>
          <w:spacing w:val="-4"/>
          <w:kern w:val="17"/>
        </w:rPr>
      </w:pPr>
      <w:r w:rsidRPr="000E17EF">
        <w:rPr>
          <w:rStyle w:val="FootnoteReference"/>
          <w:rFonts w:cs="Times New Roman"/>
          <w:spacing w:val="-4"/>
          <w:kern w:val="17"/>
        </w:rPr>
        <w:footnoteRef/>
      </w:r>
      <w:r w:rsidRPr="000E17EF">
        <w:rPr>
          <w:rFonts w:cs="Times New Roman"/>
          <w:spacing w:val="-4"/>
          <w:kern w:val="17"/>
        </w:rPr>
        <w:t xml:space="preserve"> “Where Did My Tea Come from?,” Steven Smith Teamaker, accessed February 15, 2018, </w:t>
      </w:r>
      <w:r w:rsidRPr="000E17EF">
        <w:rPr>
          <w:spacing w:val="-4"/>
          <w:kern w:val="17"/>
        </w:rPr>
        <w:t>www.smithtea.com/pages/batch-lookup.</w:t>
      </w:r>
    </w:p>
  </w:footnote>
  <w:footnote w:id="16">
    <w:p w14:paraId="4EF5E1BB" w14:textId="3F2BA814" w:rsidR="004F788B" w:rsidRPr="000E17EF" w:rsidRDefault="004F788B" w:rsidP="00F54ACF">
      <w:pPr>
        <w:pStyle w:val="Footnote"/>
        <w:rPr>
          <w:spacing w:val="-4"/>
          <w:kern w:val="17"/>
        </w:rPr>
      </w:pPr>
      <w:r w:rsidRPr="000E17EF">
        <w:rPr>
          <w:rStyle w:val="FootnoteReference"/>
          <w:rFonts w:cs="Times New Roman"/>
          <w:spacing w:val="-4"/>
          <w:kern w:val="17"/>
        </w:rPr>
        <w:footnoteRef/>
      </w:r>
      <w:r w:rsidRPr="000E17EF">
        <w:rPr>
          <w:spacing w:val="-4"/>
          <w:kern w:val="17"/>
        </w:rPr>
        <w:t xml:space="preserve"> “Local Produce Edging </w:t>
      </w:r>
      <w:r>
        <w:rPr>
          <w:spacing w:val="-4"/>
          <w:kern w:val="17"/>
        </w:rPr>
        <w:t>O</w:t>
      </w:r>
      <w:r w:rsidRPr="000E17EF">
        <w:rPr>
          <w:spacing w:val="-4"/>
          <w:kern w:val="17"/>
        </w:rPr>
        <w:t>ut Organic in Importance among Consumers,” Mintel, press release, March 21, 2012, accessed May 24, 2017, www.mintel.com/press-centre/food-and-drink/local-produce-edging-out-organic-in-importance-among-consumers</w:t>
      </w:r>
      <w:r>
        <w:rPr>
          <w:spacing w:val="-4"/>
          <w:kern w:val="17"/>
        </w:rPr>
        <w:t>.</w:t>
      </w:r>
    </w:p>
  </w:footnote>
  <w:footnote w:id="17">
    <w:p w14:paraId="49E1A1CB" w14:textId="49391587" w:rsidR="004F788B" w:rsidRPr="00F54ACF" w:rsidRDefault="004F788B" w:rsidP="00F54ACF">
      <w:pPr>
        <w:pStyle w:val="Footnote"/>
      </w:pPr>
      <w:r w:rsidRPr="00987591">
        <w:rPr>
          <w:rStyle w:val="FootnoteReference"/>
          <w:rFonts w:cs="Times New Roman"/>
        </w:rPr>
        <w:footnoteRef/>
      </w:r>
      <w:r w:rsidRPr="00987591">
        <w:rPr>
          <w:i/>
        </w:rPr>
        <w:t xml:space="preserve"> </w:t>
      </w:r>
      <w:r w:rsidRPr="00987591">
        <w:t>Anya Cohen</w:t>
      </w:r>
      <w:r>
        <w:t>,</w:t>
      </w:r>
      <w:r w:rsidRPr="00987591">
        <w:t xml:space="preserve"> </w:t>
      </w:r>
      <w:r w:rsidRPr="007C7E98">
        <w:rPr>
          <w:i/>
        </w:rPr>
        <w:t>Industry Report 31192b: Tea Production in the US</w:t>
      </w:r>
      <w:r w:rsidRPr="00F54ACF">
        <w:t xml:space="preserve">, </w:t>
      </w:r>
      <w:r w:rsidRPr="00E030E5">
        <w:t>IBISWorld</w:t>
      </w:r>
      <w:r w:rsidRPr="007C7E98">
        <w:t xml:space="preserve">, </w:t>
      </w:r>
      <w:r w:rsidRPr="00F54ACF">
        <w:t>July 2016, accessed November 7, 2017, http://clients1.ibisworld.com/reports/us/industry/default.aspx?entid=273.</w:t>
      </w:r>
    </w:p>
  </w:footnote>
  <w:footnote w:id="18">
    <w:p w14:paraId="7008C0EF" w14:textId="120B29CD" w:rsidR="004F788B" w:rsidRPr="00987591" w:rsidRDefault="004F788B" w:rsidP="00F54ACF">
      <w:pPr>
        <w:pStyle w:val="Footnote"/>
      </w:pPr>
      <w:r w:rsidRPr="00987591">
        <w:rPr>
          <w:rStyle w:val="FootnoteReference"/>
          <w:rFonts w:cs="Times New Roman"/>
        </w:rPr>
        <w:footnoteRef/>
      </w:r>
      <w:r w:rsidRPr="00987591">
        <w:rPr>
          <w:i/>
        </w:rPr>
        <w:t xml:space="preserve"> </w:t>
      </w:r>
      <w:r w:rsidRPr="007C7E98">
        <w:t>Ibid</w:t>
      </w:r>
      <w:r>
        <w:t>.</w:t>
      </w:r>
    </w:p>
  </w:footnote>
  <w:footnote w:id="19">
    <w:p w14:paraId="1ADE8903" w14:textId="054AB13B" w:rsidR="004F788B" w:rsidRPr="00987591" w:rsidRDefault="004F788B" w:rsidP="00F54ACF">
      <w:pPr>
        <w:pStyle w:val="Footnote"/>
      </w:pPr>
      <w:r w:rsidRPr="00987591">
        <w:rPr>
          <w:rStyle w:val="FootnoteReference"/>
          <w:rFonts w:cs="Times New Roman"/>
        </w:rPr>
        <w:footnoteRef/>
      </w:r>
      <w:r w:rsidRPr="00987591">
        <w:rPr>
          <w:i/>
        </w:rPr>
        <w:t xml:space="preserve"> </w:t>
      </w:r>
      <w:r>
        <w:t>Ibid.</w:t>
      </w:r>
    </w:p>
  </w:footnote>
  <w:footnote w:id="20">
    <w:p w14:paraId="663AF90D" w14:textId="2BC74618" w:rsidR="004F788B" w:rsidRPr="00F54ACF" w:rsidRDefault="004F788B" w:rsidP="00F54ACF">
      <w:pPr>
        <w:pStyle w:val="Footnote"/>
      </w:pPr>
      <w:r w:rsidRPr="00987591">
        <w:rPr>
          <w:rStyle w:val="FootnoteReference"/>
          <w:rFonts w:cs="Times New Roman"/>
        </w:rPr>
        <w:footnoteRef/>
      </w:r>
      <w:r w:rsidRPr="00987591">
        <w:t xml:space="preserve"> Kaison Chang</w:t>
      </w:r>
      <w:r>
        <w:t>,</w:t>
      </w:r>
      <w:r w:rsidRPr="00987591">
        <w:t xml:space="preserve"> </w:t>
      </w:r>
      <w:r w:rsidRPr="00987591">
        <w:rPr>
          <w:i/>
        </w:rPr>
        <w:t>World Tea Production and Trade: Current and Future Development</w:t>
      </w:r>
      <w:r>
        <w:rPr>
          <w:i/>
        </w:rPr>
        <w:t>,</w:t>
      </w:r>
      <w:r w:rsidRPr="00987591">
        <w:rPr>
          <w:i/>
        </w:rPr>
        <w:t xml:space="preserve"> </w:t>
      </w:r>
      <w:r>
        <w:t xml:space="preserve">3, </w:t>
      </w:r>
      <w:r w:rsidRPr="00987591">
        <w:t>Food and Agriculture Organization of the United Nations</w:t>
      </w:r>
      <w:r>
        <w:t>,</w:t>
      </w:r>
      <w:r w:rsidRPr="00987591">
        <w:t xml:space="preserve"> Rome, 2015</w:t>
      </w:r>
      <w:r>
        <w:t>,</w:t>
      </w:r>
      <w:r w:rsidRPr="00987591">
        <w:t xml:space="preserve"> </w:t>
      </w:r>
      <w:r>
        <w:t xml:space="preserve">accessed February 15, </w:t>
      </w:r>
      <w:r w:rsidRPr="00F54ACF">
        <w:t>2018, www.fao.org/3/a-i4480e.pdf.</w:t>
      </w:r>
    </w:p>
  </w:footnote>
  <w:footnote w:id="21">
    <w:p w14:paraId="7F715411" w14:textId="08DBD8DE" w:rsidR="004F788B" w:rsidRPr="00F54ACF" w:rsidRDefault="004F788B" w:rsidP="00F54ACF">
      <w:pPr>
        <w:pStyle w:val="Footnote"/>
      </w:pPr>
      <w:r w:rsidRPr="00987591">
        <w:rPr>
          <w:rStyle w:val="FootnoteReference"/>
          <w:rFonts w:cs="Times New Roman"/>
        </w:rPr>
        <w:footnoteRef/>
      </w:r>
      <w:r w:rsidRPr="00987591">
        <w:rPr>
          <w:i/>
        </w:rPr>
        <w:t xml:space="preserve"> </w:t>
      </w:r>
      <w:r w:rsidRPr="00987591">
        <w:t>Cohen</w:t>
      </w:r>
      <w:r>
        <w:t>, op. cit.</w:t>
      </w:r>
    </w:p>
  </w:footnote>
  <w:footnote w:id="22">
    <w:p w14:paraId="39B3030B" w14:textId="76DAB31D" w:rsidR="004F788B" w:rsidRPr="00987591" w:rsidRDefault="004F788B" w:rsidP="00F54ACF">
      <w:pPr>
        <w:pStyle w:val="Footnote"/>
      </w:pPr>
      <w:r w:rsidRPr="00987591">
        <w:rPr>
          <w:rStyle w:val="FootnoteReference"/>
          <w:rFonts w:cs="Times New Roman"/>
        </w:rPr>
        <w:footnoteRef/>
      </w:r>
      <w:r w:rsidRPr="00987591">
        <w:rPr>
          <w:i/>
        </w:rPr>
        <w:t xml:space="preserve"> </w:t>
      </w:r>
      <w:r>
        <w:t>Ibid.</w:t>
      </w:r>
    </w:p>
  </w:footnote>
  <w:footnote w:id="23">
    <w:p w14:paraId="23888202" w14:textId="78F86136" w:rsidR="004F788B" w:rsidRPr="00F54ACF" w:rsidRDefault="004F788B" w:rsidP="00F54ACF">
      <w:pPr>
        <w:pStyle w:val="Footnote"/>
      </w:pPr>
      <w:r w:rsidRPr="00987591">
        <w:rPr>
          <w:rStyle w:val="FootnoteReference"/>
          <w:rFonts w:cs="Times New Roman"/>
        </w:rPr>
        <w:footnoteRef/>
      </w:r>
      <w:r w:rsidRPr="00987591">
        <w:t xml:space="preserve"> </w:t>
      </w:r>
      <w:r>
        <w:t xml:space="preserve">Geraldine Campbell, “Is Loose-Leaf Tea </w:t>
      </w:r>
      <w:r w:rsidRPr="00F54ACF">
        <w:t xml:space="preserve">Really Better </w:t>
      </w:r>
      <w:r>
        <w:t>t</w:t>
      </w:r>
      <w:r w:rsidRPr="00F54ACF">
        <w:t xml:space="preserve">han Tea Bags?,” </w:t>
      </w:r>
      <w:r>
        <w:t xml:space="preserve">Kitchn, </w:t>
      </w:r>
      <w:r w:rsidRPr="00F54ACF">
        <w:t>May 23, 2016, accessed February 15, 2018, www.thekitchn.com/is-loose-leaf-tea-really-better-231335.</w:t>
      </w:r>
    </w:p>
  </w:footnote>
  <w:footnote w:id="24">
    <w:p w14:paraId="46F0455E" w14:textId="024C61BE" w:rsidR="004F788B" w:rsidRPr="00987591" w:rsidRDefault="004F788B" w:rsidP="00F54ACF">
      <w:pPr>
        <w:pStyle w:val="Footnote"/>
      </w:pPr>
      <w:r w:rsidRPr="00987591">
        <w:rPr>
          <w:rStyle w:val="FootnoteReference"/>
          <w:rFonts w:cs="Times New Roman"/>
        </w:rPr>
        <w:footnoteRef/>
      </w:r>
      <w:r w:rsidRPr="00987591">
        <w:t xml:space="preserve"> </w:t>
      </w:r>
      <w:r w:rsidRPr="00B51247">
        <w:t xml:space="preserve">“Eco-Responsibility,” </w:t>
      </w:r>
      <w:r>
        <w:t>Numi Organic Tea,</w:t>
      </w:r>
      <w:r w:rsidRPr="00987591">
        <w:rPr>
          <w:i/>
        </w:rPr>
        <w:t xml:space="preserve"> </w:t>
      </w:r>
      <w:r>
        <w:t xml:space="preserve">accessed February 15, </w:t>
      </w:r>
      <w:r w:rsidRPr="00F54ACF">
        <w:t>2018, https://numitea.com/eco-responsibility.</w:t>
      </w:r>
    </w:p>
  </w:footnote>
  <w:footnote w:id="25">
    <w:p w14:paraId="380E64E6" w14:textId="6724B183" w:rsidR="004F788B" w:rsidRPr="002D6CDE" w:rsidRDefault="004F788B" w:rsidP="00CF7491">
      <w:pPr>
        <w:pStyle w:val="Footnote"/>
      </w:pPr>
      <w:r w:rsidRPr="002D6CDE">
        <w:rPr>
          <w:rStyle w:val="FootnoteReference"/>
        </w:rPr>
        <w:footnoteRef/>
      </w:r>
      <w:r w:rsidRPr="002D6CDE">
        <w:t xml:space="preserve"> “Tea Bag Packing Machine,” </w:t>
      </w:r>
      <w:r w:rsidRPr="007C7E98">
        <w:t>Global</w:t>
      </w:r>
      <w:r>
        <w:t xml:space="preserve"> </w:t>
      </w:r>
      <w:r w:rsidRPr="007C7E98">
        <w:t>Sources</w:t>
      </w:r>
      <w:r w:rsidRPr="002D6CDE">
        <w:t>, accessed July 13, 2018, www.globalsources.com/manufacturers/Tea-Bag-Packing-Machine.html</w:t>
      </w:r>
      <w:r>
        <w:t>.</w:t>
      </w:r>
    </w:p>
  </w:footnote>
  <w:footnote w:id="26">
    <w:p w14:paraId="1BEE10CA" w14:textId="583B6937" w:rsidR="004F788B" w:rsidRPr="002D6CDE" w:rsidRDefault="004F788B" w:rsidP="00CF7491">
      <w:pPr>
        <w:pStyle w:val="Footnote"/>
      </w:pPr>
      <w:r w:rsidRPr="002D6CDE">
        <w:rPr>
          <w:rStyle w:val="FootnoteReference"/>
        </w:rPr>
        <w:footnoteRef/>
      </w:r>
      <w:r>
        <w:t> </w:t>
      </w:r>
      <w:r w:rsidRPr="002D6CDE">
        <w:t xml:space="preserve">“Customer Relations Manager Salaries in Cleveland, OH Area,” </w:t>
      </w:r>
      <w:r w:rsidRPr="007C7E98">
        <w:t>Glassdoor</w:t>
      </w:r>
      <w:r>
        <w:t xml:space="preserve"> Inc.</w:t>
      </w:r>
      <w:r w:rsidRPr="002D6CDE">
        <w:t xml:space="preserve">, accessed June 25, 2018, </w:t>
      </w:r>
      <w:r w:rsidRPr="00CF7491">
        <w:t>www.glassdoor.com/Salaries/cleveland-customer-relations-manager-salary-SRCH_IL.0,9_IC1145778_KO10,36.htm</w:t>
      </w:r>
      <w:r>
        <w:t>.</w:t>
      </w:r>
      <w:r w:rsidRPr="002D6CDE">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1BAA" w14:textId="40D39B1C" w:rsidR="00A3002E" w:rsidRPr="00C92CC4" w:rsidRDefault="00A3002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76DFF">
      <w:rPr>
        <w:rFonts w:ascii="Arial" w:hAnsi="Arial"/>
        <w:b/>
        <w:noProof/>
      </w:rPr>
      <w:t>3</w:t>
    </w:r>
    <w:r>
      <w:rPr>
        <w:rFonts w:ascii="Arial" w:hAnsi="Arial"/>
        <w:b/>
      </w:rPr>
      <w:fldChar w:fldCharType="end"/>
    </w:r>
    <w:r w:rsidR="00845670">
      <w:rPr>
        <w:rFonts w:ascii="Arial" w:hAnsi="Arial"/>
        <w:b/>
      </w:rPr>
      <w:tab/>
      <w:t>9B18M202</w:t>
    </w:r>
  </w:p>
  <w:p w14:paraId="7E5F3BFE" w14:textId="77777777" w:rsidR="00A3002E" w:rsidRDefault="00A3002E" w:rsidP="00D13667">
    <w:pPr>
      <w:pStyle w:val="Header"/>
      <w:tabs>
        <w:tab w:val="clear" w:pos="4680"/>
      </w:tabs>
      <w:rPr>
        <w:sz w:val="18"/>
        <w:szCs w:val="18"/>
      </w:rPr>
    </w:pPr>
  </w:p>
  <w:p w14:paraId="268D8D90" w14:textId="77777777" w:rsidR="00A3002E" w:rsidRPr="00C92CC4" w:rsidRDefault="00A3002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4247D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34D0A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BC9E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20BF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2ACE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5AE040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4CE3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DB0BE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4B88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892A6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DC89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9F0E1B"/>
    <w:multiLevelType w:val="hybridMultilevel"/>
    <w:tmpl w:val="B6905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15CF1"/>
    <w:multiLevelType w:val="hybridMultilevel"/>
    <w:tmpl w:val="C9BE3A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9366F"/>
    <w:multiLevelType w:val="hybridMultilevel"/>
    <w:tmpl w:val="F2400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CD667B"/>
    <w:multiLevelType w:val="hybridMultilevel"/>
    <w:tmpl w:val="A1B63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AA773F"/>
    <w:multiLevelType w:val="hybridMultilevel"/>
    <w:tmpl w:val="E64A6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2"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733321"/>
    <w:multiLevelType w:val="hybridMultilevel"/>
    <w:tmpl w:val="4B348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AD4768"/>
    <w:multiLevelType w:val="hybridMultilevel"/>
    <w:tmpl w:val="628E7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A3262F"/>
    <w:multiLevelType w:val="hybridMultilevel"/>
    <w:tmpl w:val="3AEAA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686955"/>
    <w:multiLevelType w:val="hybridMultilevel"/>
    <w:tmpl w:val="7E200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F5DE5"/>
    <w:multiLevelType w:val="hybridMultilevel"/>
    <w:tmpl w:val="D6B09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3"/>
  </w:num>
  <w:num w:numId="3">
    <w:abstractNumId w:val="41"/>
  </w:num>
  <w:num w:numId="4">
    <w:abstractNumId w:val="18"/>
  </w:num>
  <w:num w:numId="5">
    <w:abstractNumId w:val="31"/>
  </w:num>
  <w:num w:numId="6">
    <w:abstractNumId w:val="39"/>
  </w:num>
  <w:num w:numId="7">
    <w:abstractNumId w:val="28"/>
  </w:num>
  <w:num w:numId="8">
    <w:abstractNumId w:val="40"/>
  </w:num>
  <w:num w:numId="9">
    <w:abstractNumId w:val="13"/>
  </w:num>
  <w:num w:numId="10">
    <w:abstractNumId w:val="22"/>
  </w:num>
  <w:num w:numId="11">
    <w:abstractNumId w:val="15"/>
  </w:num>
  <w:num w:numId="12">
    <w:abstractNumId w:val="45"/>
  </w:num>
  <w:num w:numId="13">
    <w:abstractNumId w:val="19"/>
  </w:num>
  <w:num w:numId="14">
    <w:abstractNumId w:val="37"/>
  </w:num>
  <w:num w:numId="15">
    <w:abstractNumId w:val="46"/>
  </w:num>
  <w:num w:numId="16">
    <w:abstractNumId w:val="21"/>
  </w:num>
  <w:num w:numId="17">
    <w:abstractNumId w:val="30"/>
  </w:num>
  <w:num w:numId="18">
    <w:abstractNumId w:val="20"/>
  </w:num>
  <w:num w:numId="19">
    <w:abstractNumId w:val="26"/>
  </w:num>
  <w:num w:numId="20">
    <w:abstractNumId w:val="44"/>
  </w:num>
  <w:num w:numId="21">
    <w:abstractNumId w:val="32"/>
  </w:num>
  <w:num w:numId="22">
    <w:abstractNumId w:val="33"/>
  </w:num>
  <w:num w:numId="23">
    <w:abstractNumId w:val="11"/>
  </w:num>
  <w:num w:numId="24">
    <w:abstractNumId w:val="17"/>
  </w:num>
  <w:num w:numId="25">
    <w:abstractNumId w:val="47"/>
  </w:num>
  <w:num w:numId="26">
    <w:abstractNumId w:val="48"/>
  </w:num>
  <w:num w:numId="27">
    <w:abstractNumId w:val="24"/>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42"/>
  </w:num>
  <w:num w:numId="39">
    <w:abstractNumId w:val="29"/>
  </w:num>
  <w:num w:numId="40">
    <w:abstractNumId w:val="36"/>
  </w:num>
  <w:num w:numId="41">
    <w:abstractNumId w:val="25"/>
  </w:num>
  <w:num w:numId="42">
    <w:abstractNumId w:val="38"/>
  </w:num>
  <w:num w:numId="43">
    <w:abstractNumId w:val="35"/>
  </w:num>
  <w:num w:numId="44">
    <w:abstractNumId w:val="34"/>
  </w:num>
  <w:num w:numId="45">
    <w:abstractNumId w:val="23"/>
  </w:num>
  <w:num w:numId="46">
    <w:abstractNumId w:val="49"/>
  </w:num>
  <w:num w:numId="47">
    <w:abstractNumId w:val="16"/>
  </w:num>
  <w:num w:numId="48">
    <w:abstractNumId w:val="14"/>
  </w:num>
  <w:num w:numId="49">
    <w:abstractNumId w:val="12"/>
  </w:num>
  <w:num w:numId="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296D"/>
    <w:rsid w:val="00024ED4"/>
    <w:rsid w:val="00025DC7"/>
    <w:rsid w:val="00026830"/>
    <w:rsid w:val="00035F09"/>
    <w:rsid w:val="00041576"/>
    <w:rsid w:val="00044ECC"/>
    <w:rsid w:val="000531D3"/>
    <w:rsid w:val="0005646B"/>
    <w:rsid w:val="00063342"/>
    <w:rsid w:val="0008102D"/>
    <w:rsid w:val="000919F1"/>
    <w:rsid w:val="00094C0E"/>
    <w:rsid w:val="000A54DC"/>
    <w:rsid w:val="000D3813"/>
    <w:rsid w:val="000D7091"/>
    <w:rsid w:val="000E17EF"/>
    <w:rsid w:val="000E5BC0"/>
    <w:rsid w:val="000F0C22"/>
    <w:rsid w:val="000F6B09"/>
    <w:rsid w:val="000F6FDC"/>
    <w:rsid w:val="00104567"/>
    <w:rsid w:val="00104916"/>
    <w:rsid w:val="00104AA7"/>
    <w:rsid w:val="00125F3E"/>
    <w:rsid w:val="00126589"/>
    <w:rsid w:val="0012732D"/>
    <w:rsid w:val="0013786E"/>
    <w:rsid w:val="00143F25"/>
    <w:rsid w:val="00152682"/>
    <w:rsid w:val="00154FC9"/>
    <w:rsid w:val="00155F88"/>
    <w:rsid w:val="0016182B"/>
    <w:rsid w:val="001763E1"/>
    <w:rsid w:val="0019241A"/>
    <w:rsid w:val="00195B71"/>
    <w:rsid w:val="00197C91"/>
    <w:rsid w:val="001A22D1"/>
    <w:rsid w:val="001A752D"/>
    <w:rsid w:val="001A757E"/>
    <w:rsid w:val="001B5032"/>
    <w:rsid w:val="001C7777"/>
    <w:rsid w:val="001D2A2B"/>
    <w:rsid w:val="001E364F"/>
    <w:rsid w:val="001E5E61"/>
    <w:rsid w:val="001F1A86"/>
    <w:rsid w:val="001F4222"/>
    <w:rsid w:val="00203AA1"/>
    <w:rsid w:val="00213E98"/>
    <w:rsid w:val="0023081A"/>
    <w:rsid w:val="00232D48"/>
    <w:rsid w:val="00280734"/>
    <w:rsid w:val="002B0333"/>
    <w:rsid w:val="002B0B17"/>
    <w:rsid w:val="002B3D06"/>
    <w:rsid w:val="002B498C"/>
    <w:rsid w:val="002D10F6"/>
    <w:rsid w:val="002D2E0D"/>
    <w:rsid w:val="002F460C"/>
    <w:rsid w:val="002F48D6"/>
    <w:rsid w:val="00317391"/>
    <w:rsid w:val="0032293B"/>
    <w:rsid w:val="00325D82"/>
    <w:rsid w:val="00326216"/>
    <w:rsid w:val="00336580"/>
    <w:rsid w:val="00347FA3"/>
    <w:rsid w:val="00354899"/>
    <w:rsid w:val="00355FD6"/>
    <w:rsid w:val="00364A5C"/>
    <w:rsid w:val="00371AEE"/>
    <w:rsid w:val="00373FB1"/>
    <w:rsid w:val="00391F2B"/>
    <w:rsid w:val="00396C76"/>
    <w:rsid w:val="003B0549"/>
    <w:rsid w:val="003B30D8"/>
    <w:rsid w:val="003B7EF2"/>
    <w:rsid w:val="003C3FA4"/>
    <w:rsid w:val="003D0BA1"/>
    <w:rsid w:val="003D6DAA"/>
    <w:rsid w:val="003E2E20"/>
    <w:rsid w:val="003F2B0C"/>
    <w:rsid w:val="004105B2"/>
    <w:rsid w:val="00412900"/>
    <w:rsid w:val="00414110"/>
    <w:rsid w:val="004221E4"/>
    <w:rsid w:val="00424C2B"/>
    <w:rsid w:val="004273F8"/>
    <w:rsid w:val="00432307"/>
    <w:rsid w:val="004355A3"/>
    <w:rsid w:val="00446546"/>
    <w:rsid w:val="00450A81"/>
    <w:rsid w:val="00452769"/>
    <w:rsid w:val="004535B0"/>
    <w:rsid w:val="00465348"/>
    <w:rsid w:val="00471B4A"/>
    <w:rsid w:val="00487CB7"/>
    <w:rsid w:val="004A01EA"/>
    <w:rsid w:val="004A527F"/>
    <w:rsid w:val="004B1CCB"/>
    <w:rsid w:val="004B632F"/>
    <w:rsid w:val="004B7846"/>
    <w:rsid w:val="004D3FB1"/>
    <w:rsid w:val="004D6F21"/>
    <w:rsid w:val="004D73A5"/>
    <w:rsid w:val="004F788B"/>
    <w:rsid w:val="00510393"/>
    <w:rsid w:val="005160F1"/>
    <w:rsid w:val="00522366"/>
    <w:rsid w:val="00524F2F"/>
    <w:rsid w:val="00527E5C"/>
    <w:rsid w:val="00532CF5"/>
    <w:rsid w:val="005528CB"/>
    <w:rsid w:val="005653EA"/>
    <w:rsid w:val="00566771"/>
    <w:rsid w:val="00581E2E"/>
    <w:rsid w:val="005826EF"/>
    <w:rsid w:val="00584F15"/>
    <w:rsid w:val="00594734"/>
    <w:rsid w:val="0059514B"/>
    <w:rsid w:val="005A1B0F"/>
    <w:rsid w:val="005A76B8"/>
    <w:rsid w:val="005C1FF3"/>
    <w:rsid w:val="005E43A1"/>
    <w:rsid w:val="005F1CF4"/>
    <w:rsid w:val="00611D1F"/>
    <w:rsid w:val="006163F7"/>
    <w:rsid w:val="00617B96"/>
    <w:rsid w:val="00627C63"/>
    <w:rsid w:val="0063350B"/>
    <w:rsid w:val="006500AB"/>
    <w:rsid w:val="00652606"/>
    <w:rsid w:val="00680225"/>
    <w:rsid w:val="0068229A"/>
    <w:rsid w:val="006946EE"/>
    <w:rsid w:val="006A58A9"/>
    <w:rsid w:val="006A606D"/>
    <w:rsid w:val="006C0371"/>
    <w:rsid w:val="006C08B6"/>
    <w:rsid w:val="006C0B1A"/>
    <w:rsid w:val="006C338C"/>
    <w:rsid w:val="006C4D98"/>
    <w:rsid w:val="006C6065"/>
    <w:rsid w:val="006C7F9F"/>
    <w:rsid w:val="006E2F6D"/>
    <w:rsid w:val="006E58F6"/>
    <w:rsid w:val="006E644F"/>
    <w:rsid w:val="006E77E1"/>
    <w:rsid w:val="006F131D"/>
    <w:rsid w:val="00711642"/>
    <w:rsid w:val="00727BAD"/>
    <w:rsid w:val="007507C6"/>
    <w:rsid w:val="00751E0B"/>
    <w:rsid w:val="00752BCD"/>
    <w:rsid w:val="00765774"/>
    <w:rsid w:val="00765B5A"/>
    <w:rsid w:val="00766DA1"/>
    <w:rsid w:val="00780D94"/>
    <w:rsid w:val="007866A6"/>
    <w:rsid w:val="00795D38"/>
    <w:rsid w:val="007A130D"/>
    <w:rsid w:val="007B205C"/>
    <w:rsid w:val="007B359B"/>
    <w:rsid w:val="007B5738"/>
    <w:rsid w:val="007C7E98"/>
    <w:rsid w:val="007D1A2D"/>
    <w:rsid w:val="007D4102"/>
    <w:rsid w:val="007D6B20"/>
    <w:rsid w:val="007F43B7"/>
    <w:rsid w:val="00821FFC"/>
    <w:rsid w:val="008271CA"/>
    <w:rsid w:val="00833585"/>
    <w:rsid w:val="00845670"/>
    <w:rsid w:val="00846310"/>
    <w:rsid w:val="008467D5"/>
    <w:rsid w:val="00852EBD"/>
    <w:rsid w:val="00856526"/>
    <w:rsid w:val="008636FF"/>
    <w:rsid w:val="008A4DC4"/>
    <w:rsid w:val="008A5E07"/>
    <w:rsid w:val="008B438C"/>
    <w:rsid w:val="008D06CA"/>
    <w:rsid w:val="008D3A46"/>
    <w:rsid w:val="008E6C86"/>
    <w:rsid w:val="009067A4"/>
    <w:rsid w:val="009216B3"/>
    <w:rsid w:val="00922904"/>
    <w:rsid w:val="00926875"/>
    <w:rsid w:val="00930885"/>
    <w:rsid w:val="00932377"/>
    <w:rsid w:val="00933D68"/>
    <w:rsid w:val="009340DB"/>
    <w:rsid w:val="00943B6E"/>
    <w:rsid w:val="0094618C"/>
    <w:rsid w:val="00953652"/>
    <w:rsid w:val="0095684B"/>
    <w:rsid w:val="00972498"/>
    <w:rsid w:val="0097481F"/>
    <w:rsid w:val="00974BAA"/>
    <w:rsid w:val="00974CC6"/>
    <w:rsid w:val="00976AD4"/>
    <w:rsid w:val="00995547"/>
    <w:rsid w:val="009A312F"/>
    <w:rsid w:val="009A5348"/>
    <w:rsid w:val="009A6935"/>
    <w:rsid w:val="009B0AB7"/>
    <w:rsid w:val="009B0B11"/>
    <w:rsid w:val="009C76D5"/>
    <w:rsid w:val="009F7AA4"/>
    <w:rsid w:val="00A03AC7"/>
    <w:rsid w:val="00A10AD7"/>
    <w:rsid w:val="00A3002E"/>
    <w:rsid w:val="00A34441"/>
    <w:rsid w:val="00A5568C"/>
    <w:rsid w:val="00A559DB"/>
    <w:rsid w:val="00A569EA"/>
    <w:rsid w:val="00A648FE"/>
    <w:rsid w:val="00AE1EF5"/>
    <w:rsid w:val="00AF35FC"/>
    <w:rsid w:val="00AF5556"/>
    <w:rsid w:val="00B03639"/>
    <w:rsid w:val="00B0652A"/>
    <w:rsid w:val="00B2478D"/>
    <w:rsid w:val="00B37E71"/>
    <w:rsid w:val="00B40937"/>
    <w:rsid w:val="00B423EF"/>
    <w:rsid w:val="00B453DE"/>
    <w:rsid w:val="00B4654D"/>
    <w:rsid w:val="00B47330"/>
    <w:rsid w:val="00B50ECB"/>
    <w:rsid w:val="00B52151"/>
    <w:rsid w:val="00B5460A"/>
    <w:rsid w:val="00B718CB"/>
    <w:rsid w:val="00B72597"/>
    <w:rsid w:val="00B73BD8"/>
    <w:rsid w:val="00B901F9"/>
    <w:rsid w:val="00BC3398"/>
    <w:rsid w:val="00BD6EFB"/>
    <w:rsid w:val="00C0031C"/>
    <w:rsid w:val="00C1584D"/>
    <w:rsid w:val="00C15BE2"/>
    <w:rsid w:val="00C3447F"/>
    <w:rsid w:val="00C61028"/>
    <w:rsid w:val="00C67102"/>
    <w:rsid w:val="00C67E2C"/>
    <w:rsid w:val="00C7663D"/>
    <w:rsid w:val="00C76DFF"/>
    <w:rsid w:val="00C810B1"/>
    <w:rsid w:val="00C81491"/>
    <w:rsid w:val="00C81676"/>
    <w:rsid w:val="00C81D26"/>
    <w:rsid w:val="00C85C5D"/>
    <w:rsid w:val="00C904CE"/>
    <w:rsid w:val="00C92CC4"/>
    <w:rsid w:val="00CA0AFB"/>
    <w:rsid w:val="00CA2CE1"/>
    <w:rsid w:val="00CA3976"/>
    <w:rsid w:val="00CA50E3"/>
    <w:rsid w:val="00CA757B"/>
    <w:rsid w:val="00CB4DC2"/>
    <w:rsid w:val="00CB5B88"/>
    <w:rsid w:val="00CC1787"/>
    <w:rsid w:val="00CC182C"/>
    <w:rsid w:val="00CC7843"/>
    <w:rsid w:val="00CD0824"/>
    <w:rsid w:val="00CD2908"/>
    <w:rsid w:val="00CE4D34"/>
    <w:rsid w:val="00CF7491"/>
    <w:rsid w:val="00D01915"/>
    <w:rsid w:val="00D03A82"/>
    <w:rsid w:val="00D06FF4"/>
    <w:rsid w:val="00D117A9"/>
    <w:rsid w:val="00D1364D"/>
    <w:rsid w:val="00D13667"/>
    <w:rsid w:val="00D15344"/>
    <w:rsid w:val="00D16093"/>
    <w:rsid w:val="00D23F57"/>
    <w:rsid w:val="00D31BEC"/>
    <w:rsid w:val="00D37740"/>
    <w:rsid w:val="00D54C1D"/>
    <w:rsid w:val="00D63150"/>
    <w:rsid w:val="00D636BA"/>
    <w:rsid w:val="00D64A32"/>
    <w:rsid w:val="00D64EFC"/>
    <w:rsid w:val="00D75295"/>
    <w:rsid w:val="00D76CE9"/>
    <w:rsid w:val="00D94691"/>
    <w:rsid w:val="00D9596E"/>
    <w:rsid w:val="00D9777D"/>
    <w:rsid w:val="00D97F12"/>
    <w:rsid w:val="00DA003B"/>
    <w:rsid w:val="00DA3A9B"/>
    <w:rsid w:val="00DA6095"/>
    <w:rsid w:val="00DB0048"/>
    <w:rsid w:val="00DB42E7"/>
    <w:rsid w:val="00DD64E6"/>
    <w:rsid w:val="00DE01A6"/>
    <w:rsid w:val="00DE7A98"/>
    <w:rsid w:val="00DF32C2"/>
    <w:rsid w:val="00E0730F"/>
    <w:rsid w:val="00E0789E"/>
    <w:rsid w:val="00E15ED6"/>
    <w:rsid w:val="00E21BA2"/>
    <w:rsid w:val="00E46B99"/>
    <w:rsid w:val="00E471A7"/>
    <w:rsid w:val="00E635CF"/>
    <w:rsid w:val="00E75BD0"/>
    <w:rsid w:val="00E7644A"/>
    <w:rsid w:val="00E919D3"/>
    <w:rsid w:val="00E942E4"/>
    <w:rsid w:val="00EC267A"/>
    <w:rsid w:val="00EC6E0A"/>
    <w:rsid w:val="00ED4E18"/>
    <w:rsid w:val="00ED57CB"/>
    <w:rsid w:val="00EE1ABD"/>
    <w:rsid w:val="00EE1F37"/>
    <w:rsid w:val="00EE4EC0"/>
    <w:rsid w:val="00F0159C"/>
    <w:rsid w:val="00F0508E"/>
    <w:rsid w:val="00F105B7"/>
    <w:rsid w:val="00F13220"/>
    <w:rsid w:val="00F17A21"/>
    <w:rsid w:val="00F242D8"/>
    <w:rsid w:val="00F37B27"/>
    <w:rsid w:val="00F46556"/>
    <w:rsid w:val="00F50E91"/>
    <w:rsid w:val="00F54ACF"/>
    <w:rsid w:val="00F56359"/>
    <w:rsid w:val="00F57D29"/>
    <w:rsid w:val="00F66C33"/>
    <w:rsid w:val="00F80CA1"/>
    <w:rsid w:val="00F96201"/>
    <w:rsid w:val="00FC7F03"/>
    <w:rsid w:val="00FD0B18"/>
    <w:rsid w:val="00FD2FAD"/>
    <w:rsid w:val="00FD664D"/>
    <w:rsid w:val="00FE3022"/>
    <w:rsid w:val="00FE714F"/>
    <w:rsid w:val="00FF2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A9DACD4"/>
  <w15:docId w15:val="{974F396E-5532-4688-A8FF-D9CC83F5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765B5A"/>
    <w:rPr>
      <w:color w:val="605E5C"/>
      <w:shd w:val="clear" w:color="auto" w:fill="E1DFDD"/>
    </w:rPr>
  </w:style>
  <w:style w:type="paragraph" w:styleId="EnvelopeReturn">
    <w:name w:val="envelope return"/>
    <w:basedOn w:val="Normal"/>
    <w:uiPriority w:val="99"/>
    <w:unhideWhenUsed/>
    <w:rsid w:val="000E5BC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4711">
      <w:bodyDiv w:val="1"/>
      <w:marLeft w:val="0"/>
      <w:marRight w:val="0"/>
      <w:marTop w:val="0"/>
      <w:marBottom w:val="0"/>
      <w:divBdr>
        <w:top w:val="none" w:sz="0" w:space="0" w:color="auto"/>
        <w:left w:val="none" w:sz="0" w:space="0" w:color="auto"/>
        <w:bottom w:val="none" w:sz="0" w:space="0" w:color="auto"/>
        <w:right w:val="none" w:sz="0" w:space="0" w:color="auto"/>
      </w:divBdr>
    </w:div>
    <w:div w:id="569274247">
      <w:bodyDiv w:val="1"/>
      <w:marLeft w:val="0"/>
      <w:marRight w:val="0"/>
      <w:marTop w:val="0"/>
      <w:marBottom w:val="0"/>
      <w:divBdr>
        <w:top w:val="none" w:sz="0" w:space="0" w:color="auto"/>
        <w:left w:val="none" w:sz="0" w:space="0" w:color="auto"/>
        <w:bottom w:val="none" w:sz="0" w:space="0" w:color="auto"/>
        <w:right w:val="none" w:sz="0" w:space="0" w:color="auto"/>
      </w:divBdr>
    </w:div>
    <w:div w:id="967975717">
      <w:bodyDiv w:val="1"/>
      <w:marLeft w:val="0"/>
      <w:marRight w:val="0"/>
      <w:marTop w:val="0"/>
      <w:marBottom w:val="0"/>
      <w:divBdr>
        <w:top w:val="none" w:sz="0" w:space="0" w:color="auto"/>
        <w:left w:val="none" w:sz="0" w:space="0" w:color="auto"/>
        <w:bottom w:val="none" w:sz="0" w:space="0" w:color="auto"/>
        <w:right w:val="none" w:sz="0" w:space="0" w:color="auto"/>
      </w:divBdr>
    </w:div>
    <w:div w:id="983124214">
      <w:bodyDiv w:val="1"/>
      <w:marLeft w:val="0"/>
      <w:marRight w:val="0"/>
      <w:marTop w:val="0"/>
      <w:marBottom w:val="0"/>
      <w:divBdr>
        <w:top w:val="none" w:sz="0" w:space="0" w:color="auto"/>
        <w:left w:val="none" w:sz="0" w:space="0" w:color="auto"/>
        <w:bottom w:val="none" w:sz="0" w:space="0" w:color="auto"/>
        <w:right w:val="none" w:sz="0" w:space="0" w:color="auto"/>
      </w:divBdr>
    </w:div>
    <w:div w:id="1233008187">
      <w:bodyDiv w:val="1"/>
      <w:marLeft w:val="0"/>
      <w:marRight w:val="0"/>
      <w:marTop w:val="0"/>
      <w:marBottom w:val="0"/>
      <w:divBdr>
        <w:top w:val="none" w:sz="0" w:space="0" w:color="auto"/>
        <w:left w:val="none" w:sz="0" w:space="0" w:color="auto"/>
        <w:bottom w:val="none" w:sz="0" w:space="0" w:color="auto"/>
        <w:right w:val="none" w:sz="0" w:space="0" w:color="auto"/>
      </w:divBdr>
    </w:div>
    <w:div w:id="132423517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dwlc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veypubs.my.salesforce.com/003A0000024iBR5"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2" Type="http://schemas.openxmlformats.org/officeDocument/2006/relationships/hyperlink" Target="http://ustogether.us/who-we-are/" TargetMode="External"/><Relationship Id="rId1" Type="http://schemas.openxmlformats.org/officeDocument/2006/relationships/hyperlink" Target="https://slowmoney.org/about/our-work/what-we-do/"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teph\OneDrive\Documents\Second%20year%20MBA\Fowler%20Center\Storehouse\Storehouse%20Tea%20-%20Potential%20Exhibits.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'Mid-Atlantic'!$B$2</c:f>
              <c:strCache>
                <c:ptCount val="1"/>
                <c:pt idx="0">
                  <c:v>National average</c:v>
                </c:pt>
              </c:strCache>
            </c:strRef>
          </c:tx>
          <c:spPr>
            <a:solidFill>
              <a:schemeClr val="bg1">
                <a:lumMod val="65000"/>
              </a:schemeClr>
            </a:solidFill>
            <a:ln>
              <a:noFill/>
            </a:ln>
            <a:effectLst/>
          </c:spPr>
          <c:invertIfNegative val="0"/>
          <c:cat>
            <c:strRef>
              <c:f>'Mid-Atlantic'!$A$3:$A$11</c:f>
              <c:strCache>
                <c:ptCount val="9"/>
                <c:pt idx="0">
                  <c:v>New England</c:v>
                </c:pt>
                <c:pt idx="1">
                  <c:v>Mid-Atlantic</c:v>
                </c:pt>
                <c:pt idx="2">
                  <c:v>South Atlantic</c:v>
                </c:pt>
                <c:pt idx="3">
                  <c:v>East South Central</c:v>
                </c:pt>
                <c:pt idx="4">
                  <c:v>West South Central</c:v>
                </c:pt>
                <c:pt idx="5">
                  <c:v>East North Central</c:v>
                </c:pt>
                <c:pt idx="6">
                  <c:v>West North Central</c:v>
                </c:pt>
                <c:pt idx="7">
                  <c:v>Mountain</c:v>
                </c:pt>
                <c:pt idx="8">
                  <c:v>Pacific</c:v>
                </c:pt>
              </c:strCache>
            </c:strRef>
          </c:cat>
          <c:val>
            <c:numRef>
              <c:f>'Mid-Atlantic'!$B$3:$B$11</c:f>
              <c:numCache>
                <c:formatCode>0%</c:formatCode>
                <c:ptCount val="9"/>
                <c:pt idx="0">
                  <c:v>5.5E-2</c:v>
                </c:pt>
                <c:pt idx="1">
                  <c:v>0.14000000000000001</c:v>
                </c:pt>
                <c:pt idx="2" formatCode="0.00%">
                  <c:v>0.17499999999999999</c:v>
                </c:pt>
                <c:pt idx="3">
                  <c:v>0.06</c:v>
                </c:pt>
                <c:pt idx="4">
                  <c:v>0.11</c:v>
                </c:pt>
                <c:pt idx="5">
                  <c:v>0.16</c:v>
                </c:pt>
                <c:pt idx="6">
                  <c:v>7.0000000000000007E-2</c:v>
                </c:pt>
                <c:pt idx="7">
                  <c:v>0.06</c:v>
                </c:pt>
                <c:pt idx="8" formatCode="0.00%">
                  <c:v>0.153</c:v>
                </c:pt>
              </c:numCache>
            </c:numRef>
          </c:val>
          <c:extLst xmlns:c16r2="http://schemas.microsoft.com/office/drawing/2015/06/chart">
            <c:ext xmlns:c16="http://schemas.microsoft.com/office/drawing/2014/chart" uri="{C3380CC4-5D6E-409C-BE32-E72D297353CC}">
              <c16:uniqueId val="{00000000-D972-47A0-A092-E7C9D367291A}"/>
            </c:ext>
          </c:extLst>
        </c:ser>
        <c:ser>
          <c:idx val="1"/>
          <c:order val="1"/>
          <c:tx>
            <c:strRef>
              <c:f>'Mid-Atlantic'!$C$2</c:f>
              <c:strCache>
                <c:ptCount val="1"/>
                <c:pt idx="0">
                  <c:v>Specialty tea buyers</c:v>
                </c:pt>
              </c:strCache>
            </c:strRef>
          </c:tx>
          <c:spPr>
            <a:solidFill>
              <a:schemeClr val="tx1"/>
            </a:solidFill>
            <a:ln>
              <a:noFill/>
            </a:ln>
            <a:effectLst/>
          </c:spPr>
          <c:invertIfNegative val="0"/>
          <c:cat>
            <c:strRef>
              <c:f>'Mid-Atlantic'!$A$3:$A$11</c:f>
              <c:strCache>
                <c:ptCount val="9"/>
                <c:pt idx="0">
                  <c:v>New England</c:v>
                </c:pt>
                <c:pt idx="1">
                  <c:v>Mid-Atlantic</c:v>
                </c:pt>
                <c:pt idx="2">
                  <c:v>South Atlantic</c:v>
                </c:pt>
                <c:pt idx="3">
                  <c:v>East South Central</c:v>
                </c:pt>
                <c:pt idx="4">
                  <c:v>West South Central</c:v>
                </c:pt>
                <c:pt idx="5">
                  <c:v>East North Central</c:v>
                </c:pt>
                <c:pt idx="6">
                  <c:v>West North Central</c:v>
                </c:pt>
                <c:pt idx="7">
                  <c:v>Mountain</c:v>
                </c:pt>
                <c:pt idx="8">
                  <c:v>Pacific</c:v>
                </c:pt>
              </c:strCache>
            </c:strRef>
          </c:cat>
          <c:val>
            <c:numRef>
              <c:f>'Mid-Atlantic'!$C$3:$C$11</c:f>
              <c:numCache>
                <c:formatCode>0%</c:formatCode>
                <c:ptCount val="9"/>
                <c:pt idx="0" formatCode="0.00%">
                  <c:v>7.4999999999999997E-2</c:v>
                </c:pt>
                <c:pt idx="1">
                  <c:v>0.16</c:v>
                </c:pt>
                <c:pt idx="2" formatCode="0.00%">
                  <c:v>0.155</c:v>
                </c:pt>
                <c:pt idx="3">
                  <c:v>0.03</c:v>
                </c:pt>
                <c:pt idx="4" formatCode="0.00%">
                  <c:v>7.4999999999999997E-2</c:v>
                </c:pt>
                <c:pt idx="5">
                  <c:v>0.14000000000000001</c:v>
                </c:pt>
                <c:pt idx="6">
                  <c:v>0.05</c:v>
                </c:pt>
                <c:pt idx="7" formatCode="0.00%">
                  <c:v>0.105</c:v>
                </c:pt>
                <c:pt idx="8" formatCode="0.00%">
                  <c:v>0.22500000000000001</c:v>
                </c:pt>
              </c:numCache>
            </c:numRef>
          </c:val>
          <c:extLst xmlns:c16r2="http://schemas.microsoft.com/office/drawing/2015/06/chart">
            <c:ext xmlns:c16="http://schemas.microsoft.com/office/drawing/2014/chart" uri="{C3380CC4-5D6E-409C-BE32-E72D297353CC}">
              <c16:uniqueId val="{00000001-D972-47A0-A092-E7C9D367291A}"/>
            </c:ext>
          </c:extLst>
        </c:ser>
        <c:dLbls>
          <c:showLegendKey val="0"/>
          <c:showVal val="0"/>
          <c:showCatName val="0"/>
          <c:showSerName val="0"/>
          <c:showPercent val="0"/>
          <c:showBubbleSize val="0"/>
        </c:dLbls>
        <c:gapWidth val="247"/>
        <c:axId val="152804344"/>
        <c:axId val="411508136"/>
      </c:barChart>
      <c:catAx>
        <c:axId val="15280434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crossAx val="411508136"/>
        <c:crosses val="autoZero"/>
        <c:auto val="1"/>
        <c:lblAlgn val="ctr"/>
        <c:lblOffset val="100"/>
        <c:noMultiLvlLbl val="0"/>
      </c:catAx>
      <c:valAx>
        <c:axId val="411508136"/>
        <c:scaling>
          <c:orientation val="minMax"/>
        </c:scaling>
        <c:delete val="0"/>
        <c:axPos val="b"/>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crossAx val="152804344"/>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63281-E165-481A-98E0-FC5E6FC3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2015-03-04T20:34:00Z</cp:lastPrinted>
  <dcterms:created xsi:type="dcterms:W3CDTF">2018-12-19T18:55:00Z</dcterms:created>
  <dcterms:modified xsi:type="dcterms:W3CDTF">2019-01-11T15:11:00Z</dcterms:modified>
</cp:coreProperties>
</file>