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1D899" w14:textId="52046222" w:rsidR="00FF6C9F" w:rsidRPr="005341B8" w:rsidRDefault="0087508F" w:rsidP="00C02410">
      <w:pPr>
        <w:pBdr>
          <w:bottom w:val="single" w:sz="18" w:space="1" w:color="auto"/>
        </w:pBdr>
        <w:tabs>
          <w:tab w:val="left" w:pos="-1440"/>
          <w:tab w:val="left" w:pos="-720"/>
          <w:tab w:val="left" w:pos="1"/>
        </w:tabs>
        <w:jc w:val="both"/>
        <w:rPr>
          <w:rFonts w:ascii="Arial" w:hAnsi="Arial"/>
          <w:b/>
          <w:sz w:val="24"/>
        </w:rPr>
      </w:pPr>
      <w:r w:rsidRPr="005341B8">
        <w:rPr>
          <w:rFonts w:ascii="Arial" w:hAnsi="Arial"/>
          <w:b/>
          <w:noProof/>
          <w:sz w:val="24"/>
          <w:lang w:val="en-US"/>
        </w:rPr>
        <w:drawing>
          <wp:inline distT="0" distB="0" distL="0" distR="0" wp14:anchorId="244BDF8A" wp14:editId="0DCB799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4F6EAF9" w:rsidR="00C02410" w:rsidRPr="005341B8" w:rsidRDefault="005C6BA3" w:rsidP="00C02410">
      <w:pPr>
        <w:pStyle w:val="ProductNumber"/>
      </w:pPr>
      <w:r>
        <w:t>9B18M203</w:t>
      </w:r>
    </w:p>
    <w:p w14:paraId="4E057522" w14:textId="77777777" w:rsidR="00D75295" w:rsidRPr="005341B8" w:rsidRDefault="00D75295" w:rsidP="00D75295">
      <w:pPr>
        <w:jc w:val="right"/>
        <w:rPr>
          <w:rFonts w:ascii="Arial" w:hAnsi="Arial"/>
          <w:b/>
          <w:sz w:val="28"/>
          <w:szCs w:val="28"/>
        </w:rPr>
      </w:pPr>
    </w:p>
    <w:p w14:paraId="426B7211" w14:textId="77777777" w:rsidR="00013360" w:rsidRPr="005341B8" w:rsidRDefault="00013360" w:rsidP="00D75295">
      <w:pPr>
        <w:jc w:val="right"/>
        <w:rPr>
          <w:rFonts w:ascii="Arial" w:hAnsi="Arial"/>
          <w:b/>
          <w:sz w:val="28"/>
          <w:szCs w:val="28"/>
        </w:rPr>
      </w:pPr>
    </w:p>
    <w:p w14:paraId="40ABF6FD" w14:textId="4C3DC4C9" w:rsidR="00CA3976" w:rsidRPr="005341B8" w:rsidRDefault="00FF6C9F" w:rsidP="00013360">
      <w:pPr>
        <w:pStyle w:val="CaseTitle"/>
        <w:spacing w:after="0" w:line="240" w:lineRule="auto"/>
        <w:rPr>
          <w:sz w:val="20"/>
          <w:szCs w:val="20"/>
        </w:rPr>
      </w:pPr>
      <w:r w:rsidRPr="005341B8">
        <w:rPr>
          <w:rFonts w:eastAsia="Arial"/>
        </w:rPr>
        <w:t xml:space="preserve">AMC Networks Inc.: </w:t>
      </w:r>
      <w:r w:rsidRPr="005223FE">
        <w:rPr>
          <w:rFonts w:eastAsia="Arial"/>
          <w:i/>
        </w:rPr>
        <w:t>The Walking Dead</w:t>
      </w:r>
      <w:r w:rsidRPr="005341B8">
        <w:rPr>
          <w:rFonts w:eastAsia="Arial"/>
        </w:rPr>
        <w:t xml:space="preserve"> Problem</w:t>
      </w:r>
      <w:r w:rsidR="00965CF6">
        <w:rPr>
          <w:rStyle w:val="FootnoteReference"/>
          <w:rFonts w:eastAsia="Arial"/>
        </w:rPr>
        <w:footnoteReference w:id="1"/>
      </w:r>
    </w:p>
    <w:p w14:paraId="202F1085" w14:textId="77777777" w:rsidR="00013360" w:rsidRPr="005341B8" w:rsidRDefault="00013360" w:rsidP="00013360">
      <w:pPr>
        <w:pStyle w:val="CaseTitle"/>
        <w:spacing w:after="0" w:line="240" w:lineRule="auto"/>
        <w:rPr>
          <w:sz w:val="20"/>
          <w:szCs w:val="20"/>
        </w:rPr>
      </w:pPr>
    </w:p>
    <w:p w14:paraId="18312FB9" w14:textId="77777777" w:rsidR="00FF6C9F" w:rsidRPr="005341B8" w:rsidRDefault="00FF6C9F" w:rsidP="00013360">
      <w:pPr>
        <w:pStyle w:val="CaseTitle"/>
        <w:spacing w:after="0" w:line="240" w:lineRule="auto"/>
        <w:rPr>
          <w:sz w:val="20"/>
          <w:szCs w:val="20"/>
        </w:rPr>
      </w:pPr>
    </w:p>
    <w:p w14:paraId="58B0C73F" w14:textId="10DB4DB1" w:rsidR="00086B26" w:rsidRPr="005341B8" w:rsidRDefault="00965CF6" w:rsidP="00086B26">
      <w:pPr>
        <w:pStyle w:val="StyleCopyrightStatementAfter0ptBottomSinglesolidline1"/>
      </w:pPr>
      <w:hyperlink r:id="rId9" w:history="1">
        <w:r w:rsidR="0087508F" w:rsidRPr="005341B8">
          <w:rPr>
            <w:rStyle w:val="Hyperlink"/>
            <w:rFonts w:cs="Arial"/>
            <w:color w:val="auto"/>
            <w:szCs w:val="16"/>
            <w:u w:val="none"/>
          </w:rPr>
          <w:t>Ram Subramanian</w:t>
        </w:r>
      </w:hyperlink>
      <w:r w:rsidR="00ED7922" w:rsidRPr="005341B8">
        <w:rPr>
          <w:rFonts w:cs="Arial"/>
          <w:color w:val="auto"/>
          <w:szCs w:val="16"/>
        </w:rPr>
        <w:t xml:space="preserve"> </w:t>
      </w:r>
      <w:r w:rsidR="00086B26" w:rsidRPr="005341B8">
        <w:rPr>
          <w:color w:val="auto"/>
        </w:rPr>
        <w:t>wrote this case sol</w:t>
      </w:r>
      <w:r w:rsidR="00086B26" w:rsidRPr="005341B8">
        <w:t>ely to provide material f</w:t>
      </w:r>
      <w:r w:rsidR="007E6C8A" w:rsidRPr="005341B8">
        <w:t>or class discussion. The author</w:t>
      </w:r>
      <w:r w:rsidR="00086B26" w:rsidRPr="005341B8">
        <w:t xml:space="preserve"> do</w:t>
      </w:r>
      <w:r w:rsidR="007E6C8A" w:rsidRPr="005341B8">
        <w:t>es</w:t>
      </w:r>
      <w:r w:rsidR="00086B26" w:rsidRPr="005341B8">
        <w:t xml:space="preserve"> not intend to illustrate either effective or ineffective handling of a m</w:t>
      </w:r>
      <w:r w:rsidR="007E6C8A" w:rsidRPr="005341B8">
        <w:t>anagerial situation. The author</w:t>
      </w:r>
      <w:r w:rsidR="00086B26" w:rsidRPr="005341B8">
        <w:t xml:space="preserve"> may have disguised certain names and other identifying information to protect confidentiality.</w:t>
      </w:r>
    </w:p>
    <w:p w14:paraId="10D89D5F" w14:textId="77777777" w:rsidR="00086B26" w:rsidRPr="005341B8" w:rsidRDefault="00086B26" w:rsidP="00086B26">
      <w:pPr>
        <w:pStyle w:val="StyleCopyrightStatementAfter0ptBottomSinglesolidline1"/>
      </w:pPr>
    </w:p>
    <w:p w14:paraId="749FA981" w14:textId="77777777" w:rsidR="0087508F" w:rsidRPr="005341B8" w:rsidRDefault="0087508F"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5341B8">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5341B8">
          <w:rPr>
            <w:rFonts w:ascii="Arial" w:hAnsi="Arial"/>
            <w:i/>
            <w:iCs/>
            <w:color w:val="000000"/>
            <w:sz w:val="16"/>
          </w:rPr>
          <w:t>cases@ivey.ca</w:t>
        </w:r>
      </w:hyperlink>
      <w:r w:rsidRPr="005341B8">
        <w:rPr>
          <w:rFonts w:ascii="Arial" w:hAnsi="Arial"/>
          <w:i/>
          <w:iCs/>
          <w:color w:val="000000"/>
          <w:sz w:val="16"/>
        </w:rPr>
        <w:t xml:space="preserve">; </w:t>
      </w:r>
      <w:hyperlink r:id="rId11" w:history="1">
        <w:r w:rsidRPr="005341B8">
          <w:rPr>
            <w:rFonts w:ascii="Arial" w:hAnsi="Arial"/>
            <w:i/>
            <w:iCs/>
            <w:color w:val="000000"/>
            <w:sz w:val="16"/>
          </w:rPr>
          <w:t>www.iveycases.com</w:t>
        </w:r>
      </w:hyperlink>
      <w:r w:rsidRPr="005341B8">
        <w:rPr>
          <w:rFonts w:ascii="Arial" w:hAnsi="Arial"/>
          <w:i/>
          <w:iCs/>
          <w:color w:val="000000"/>
          <w:sz w:val="16"/>
        </w:rPr>
        <w:t>.</w:t>
      </w:r>
    </w:p>
    <w:p w14:paraId="5973FFA2" w14:textId="58614D54" w:rsidR="00FF6C9F" w:rsidRPr="005341B8" w:rsidRDefault="00FF6C9F" w:rsidP="00C02410">
      <w:pPr>
        <w:pStyle w:val="StyleStyleCopyrightStatementAfter0ptBottomSinglesolid"/>
        <w:rPr>
          <w:rFonts w:cs="Arial"/>
          <w:iCs w:val="0"/>
          <w:color w:val="auto"/>
          <w:szCs w:val="16"/>
        </w:rPr>
      </w:pPr>
    </w:p>
    <w:p w14:paraId="3922E14F" w14:textId="5B4A4B76" w:rsidR="00751E0B" w:rsidRPr="005341B8" w:rsidRDefault="0087508F" w:rsidP="00C02410">
      <w:pPr>
        <w:pStyle w:val="StyleStyleCopyrightStatementAfter0ptBottomSinglesolid"/>
        <w:rPr>
          <w:rFonts w:cs="Arial"/>
          <w:szCs w:val="16"/>
        </w:rPr>
      </w:pPr>
      <w:r w:rsidRPr="005341B8">
        <w:rPr>
          <w:rFonts w:cs="Arial"/>
          <w:szCs w:val="16"/>
        </w:rPr>
        <w:t>Copyright © 2018, Ivey Business School Foundation</w:t>
      </w:r>
      <w:r w:rsidR="00C02410" w:rsidRPr="005341B8">
        <w:rPr>
          <w:rFonts w:cs="Arial"/>
          <w:iCs w:val="0"/>
          <w:color w:val="auto"/>
          <w:szCs w:val="16"/>
        </w:rPr>
        <w:tab/>
      </w:r>
      <w:r w:rsidR="00965CF6">
        <w:rPr>
          <w:rFonts w:cs="Arial"/>
          <w:iCs w:val="0"/>
          <w:color w:val="auto"/>
          <w:szCs w:val="16"/>
        </w:rPr>
        <w:t>Version: 2019-01</w:t>
      </w:r>
      <w:r w:rsidR="00DB1E7D" w:rsidRPr="005341B8">
        <w:rPr>
          <w:rFonts w:cs="Arial"/>
          <w:iCs w:val="0"/>
          <w:color w:val="auto"/>
          <w:szCs w:val="16"/>
        </w:rPr>
        <w:t>-</w:t>
      </w:r>
      <w:r w:rsidR="00965CF6">
        <w:rPr>
          <w:rFonts w:cs="Arial"/>
          <w:iCs w:val="0"/>
          <w:color w:val="auto"/>
          <w:szCs w:val="16"/>
        </w:rPr>
        <w:t>25</w:t>
      </w:r>
    </w:p>
    <w:p w14:paraId="0A2A54E4" w14:textId="77777777" w:rsidR="00751E0B" w:rsidRPr="005341B8" w:rsidRDefault="00751E0B" w:rsidP="00751E0B">
      <w:pPr>
        <w:pStyle w:val="StyleCopyrightStatementAfter0ptBottomSinglesolidline1"/>
        <w:rPr>
          <w:rFonts w:ascii="Times New Roman" w:hAnsi="Times New Roman"/>
          <w:sz w:val="20"/>
        </w:rPr>
      </w:pPr>
    </w:p>
    <w:p w14:paraId="2C183161" w14:textId="77777777" w:rsidR="00B87DC0" w:rsidRPr="005341B8" w:rsidRDefault="00B87DC0" w:rsidP="004B632F">
      <w:pPr>
        <w:pStyle w:val="StyleCopyrightStatementAfter0ptBottomSinglesolidline1"/>
        <w:rPr>
          <w:rFonts w:ascii="Times New Roman" w:hAnsi="Times New Roman"/>
          <w:sz w:val="20"/>
        </w:rPr>
      </w:pPr>
    </w:p>
    <w:p w14:paraId="237C8CCA" w14:textId="18376F6A" w:rsidR="005C6BA3" w:rsidRPr="005341B8" w:rsidRDefault="00965CF6" w:rsidP="00840307">
      <w:pPr>
        <w:pStyle w:val="BodyTextMain"/>
        <w:rPr>
          <w:rFonts w:eastAsia="Calibri"/>
        </w:rPr>
      </w:pPr>
      <w:r>
        <w:rPr>
          <w:rFonts w:eastAsia="Calibri"/>
        </w:rPr>
        <w:t xml:space="preserve">On </w:t>
      </w:r>
      <w:r w:rsidR="00840307" w:rsidRPr="005341B8">
        <w:rPr>
          <w:rFonts w:eastAsia="Calibri"/>
        </w:rPr>
        <w:t>August 14, 2017</w:t>
      </w:r>
      <w:r w:rsidR="00053989" w:rsidRPr="005341B8">
        <w:rPr>
          <w:rFonts w:eastAsia="Calibri"/>
        </w:rPr>
        <w:t>,</w:t>
      </w:r>
      <w:r w:rsidR="00840307" w:rsidRPr="005341B8">
        <w:rPr>
          <w:rFonts w:eastAsia="Calibri"/>
        </w:rPr>
        <w:t xml:space="preserve"> Joshua W. </w:t>
      </w:r>
      <w:proofErr w:type="spellStart"/>
      <w:r w:rsidR="00840307" w:rsidRPr="005341B8">
        <w:rPr>
          <w:rFonts w:eastAsia="Calibri"/>
        </w:rPr>
        <w:t>Sapan</w:t>
      </w:r>
      <w:proofErr w:type="spellEnd"/>
      <w:r w:rsidR="00053989" w:rsidRPr="005341B8">
        <w:rPr>
          <w:rFonts w:eastAsia="Calibri"/>
        </w:rPr>
        <w:t xml:space="preserve"> received the full copy of a lawsuit</w:t>
      </w:r>
      <w:r w:rsidR="00DE2FD8" w:rsidRPr="005341B8">
        <w:rPr>
          <w:rFonts w:eastAsia="Calibri"/>
        </w:rPr>
        <w:t xml:space="preserve"> filed against his company</w:t>
      </w:r>
      <w:r w:rsidR="00053989" w:rsidRPr="005341B8">
        <w:rPr>
          <w:rFonts w:eastAsia="Calibri"/>
        </w:rPr>
        <w:t xml:space="preserve">. </w:t>
      </w:r>
      <w:proofErr w:type="spellStart"/>
      <w:r w:rsidR="00053989" w:rsidRPr="005341B8">
        <w:rPr>
          <w:rFonts w:eastAsia="Calibri"/>
        </w:rPr>
        <w:t>Sapan</w:t>
      </w:r>
      <w:proofErr w:type="spellEnd"/>
      <w:r w:rsidR="00053989" w:rsidRPr="005341B8">
        <w:rPr>
          <w:rFonts w:eastAsia="Calibri"/>
        </w:rPr>
        <w:t xml:space="preserve"> was</w:t>
      </w:r>
      <w:r w:rsidR="00840307" w:rsidRPr="005341B8">
        <w:rPr>
          <w:rFonts w:eastAsia="Calibri"/>
        </w:rPr>
        <w:t xml:space="preserve"> the </w:t>
      </w:r>
      <w:r w:rsidR="00053989" w:rsidRPr="005341B8">
        <w:rPr>
          <w:rFonts w:eastAsia="Calibri"/>
        </w:rPr>
        <w:t>p</w:t>
      </w:r>
      <w:r w:rsidR="00840307" w:rsidRPr="005341B8">
        <w:rPr>
          <w:rFonts w:eastAsia="Calibri"/>
        </w:rPr>
        <w:t xml:space="preserve">resident and chief executive officer of the </w:t>
      </w:r>
      <w:r w:rsidR="00E94783">
        <w:rPr>
          <w:rFonts w:eastAsia="Calibri"/>
        </w:rPr>
        <w:t>New York City</w:t>
      </w:r>
      <w:r w:rsidR="00B312BD">
        <w:rPr>
          <w:rFonts w:eastAsia="Calibri"/>
        </w:rPr>
        <w:t>–based</w:t>
      </w:r>
      <w:r w:rsidR="00840307" w:rsidRPr="005341B8">
        <w:rPr>
          <w:rFonts w:eastAsia="Calibri"/>
        </w:rPr>
        <w:t xml:space="preserve"> cable television provider </w:t>
      </w:r>
      <w:bookmarkStart w:id="0" w:name="_Hlk532801706"/>
      <w:r w:rsidR="00840307" w:rsidRPr="005341B8">
        <w:rPr>
          <w:rFonts w:eastAsia="Calibri"/>
        </w:rPr>
        <w:t>AMC Networks Inc. (AMCN)</w:t>
      </w:r>
      <w:r w:rsidR="00053989" w:rsidRPr="005341B8">
        <w:rPr>
          <w:rFonts w:eastAsia="Calibri"/>
        </w:rPr>
        <w:t xml:space="preserve">. </w:t>
      </w:r>
      <w:bookmarkEnd w:id="0"/>
      <w:r w:rsidR="00053989" w:rsidRPr="005341B8">
        <w:rPr>
          <w:rFonts w:eastAsia="Calibri"/>
        </w:rPr>
        <w:t>T</w:t>
      </w:r>
      <w:r w:rsidR="00840307" w:rsidRPr="005341B8">
        <w:rPr>
          <w:rFonts w:eastAsia="Calibri"/>
        </w:rPr>
        <w:t xml:space="preserve">he lawsuit </w:t>
      </w:r>
      <w:r w:rsidR="00053989" w:rsidRPr="005341B8">
        <w:rPr>
          <w:rFonts w:eastAsia="Calibri"/>
        </w:rPr>
        <w:t xml:space="preserve">was </w:t>
      </w:r>
      <w:r w:rsidR="00840307" w:rsidRPr="005341B8">
        <w:rPr>
          <w:rFonts w:eastAsia="Calibri"/>
        </w:rPr>
        <w:t xml:space="preserve">filed by </w:t>
      </w:r>
      <w:r w:rsidR="00DB57FE" w:rsidRPr="005341B8">
        <w:rPr>
          <w:rFonts w:eastAsia="Calibri"/>
        </w:rPr>
        <w:t xml:space="preserve">the </w:t>
      </w:r>
      <w:bookmarkStart w:id="1" w:name="_Hlk532801890"/>
      <w:r w:rsidR="00DB57FE" w:rsidRPr="005341B8">
        <w:rPr>
          <w:rFonts w:eastAsia="Calibri"/>
        </w:rPr>
        <w:t xml:space="preserve">comic book </w:t>
      </w:r>
      <w:bookmarkEnd w:id="1"/>
      <w:r w:rsidR="00DB57FE" w:rsidRPr="005341B8">
        <w:rPr>
          <w:rFonts w:eastAsia="Calibri"/>
        </w:rPr>
        <w:t xml:space="preserve">author </w:t>
      </w:r>
      <w:r w:rsidR="00840307" w:rsidRPr="005341B8">
        <w:rPr>
          <w:rFonts w:eastAsia="Calibri"/>
        </w:rPr>
        <w:t xml:space="preserve">Robert </w:t>
      </w:r>
      <w:proofErr w:type="spellStart"/>
      <w:r w:rsidR="00840307" w:rsidRPr="005341B8">
        <w:rPr>
          <w:rFonts w:eastAsia="Calibri"/>
        </w:rPr>
        <w:t>Kirkman</w:t>
      </w:r>
      <w:proofErr w:type="spellEnd"/>
      <w:r w:rsidR="00053989" w:rsidRPr="005341B8">
        <w:rPr>
          <w:rFonts w:eastAsia="Calibri"/>
        </w:rPr>
        <w:t>,</w:t>
      </w:r>
      <w:r w:rsidR="00840307" w:rsidRPr="005341B8">
        <w:rPr>
          <w:rFonts w:eastAsia="Calibri"/>
        </w:rPr>
        <w:t xml:space="preserve"> a</w:t>
      </w:r>
      <w:r w:rsidR="00053989" w:rsidRPr="005341B8">
        <w:rPr>
          <w:rFonts w:eastAsia="Calibri"/>
        </w:rPr>
        <w:t>long with</w:t>
      </w:r>
      <w:r w:rsidR="00840307" w:rsidRPr="005341B8">
        <w:rPr>
          <w:rFonts w:eastAsia="Calibri"/>
        </w:rPr>
        <w:t xml:space="preserve"> a group of other</w:t>
      </w:r>
      <w:r w:rsidR="00D7155F" w:rsidRPr="005341B8">
        <w:rPr>
          <w:rFonts w:eastAsia="Calibri"/>
        </w:rPr>
        <w:t xml:space="preserve"> partie</w:t>
      </w:r>
      <w:r w:rsidR="00840307" w:rsidRPr="005341B8">
        <w:rPr>
          <w:rFonts w:eastAsia="Calibri"/>
        </w:rPr>
        <w:t>s</w:t>
      </w:r>
      <w:r w:rsidR="00053989" w:rsidRPr="005341B8">
        <w:rPr>
          <w:rFonts w:eastAsia="Calibri"/>
        </w:rPr>
        <w:t>,</w:t>
      </w:r>
      <w:r w:rsidR="00840307" w:rsidRPr="005341B8">
        <w:rPr>
          <w:rFonts w:eastAsia="Calibri"/>
        </w:rPr>
        <w:t xml:space="preserve"> over </w:t>
      </w:r>
      <w:bookmarkStart w:id="2" w:name="_Hlk532803183"/>
      <w:r w:rsidR="00FD611B">
        <w:rPr>
          <w:rFonts w:eastAsia="Calibri"/>
        </w:rPr>
        <w:t>profit-sharing</w:t>
      </w:r>
      <w:r w:rsidR="00840307" w:rsidRPr="005341B8">
        <w:rPr>
          <w:rFonts w:eastAsia="Calibri"/>
        </w:rPr>
        <w:t xml:space="preserve"> </w:t>
      </w:r>
      <w:bookmarkEnd w:id="2"/>
      <w:r w:rsidR="00840307" w:rsidRPr="005341B8">
        <w:rPr>
          <w:rFonts w:eastAsia="Calibri"/>
        </w:rPr>
        <w:t xml:space="preserve">from the network’s hit show </w:t>
      </w:r>
      <w:r w:rsidR="00840307" w:rsidRPr="005341B8">
        <w:rPr>
          <w:rFonts w:eastAsia="Calibri"/>
          <w:i/>
        </w:rPr>
        <w:t xml:space="preserve">The Walking Dead </w:t>
      </w:r>
      <w:r w:rsidR="00840307" w:rsidRPr="005341B8">
        <w:rPr>
          <w:rFonts w:eastAsia="Calibri"/>
        </w:rPr>
        <w:t>(</w:t>
      </w:r>
      <w:r w:rsidR="00840307" w:rsidRPr="005341B8">
        <w:rPr>
          <w:rFonts w:eastAsia="Calibri"/>
          <w:i/>
        </w:rPr>
        <w:t>TWD</w:t>
      </w:r>
      <w:r w:rsidR="00840307" w:rsidRPr="005341B8">
        <w:rPr>
          <w:rFonts w:eastAsia="Calibri"/>
        </w:rPr>
        <w:t>)</w:t>
      </w:r>
      <w:r w:rsidR="00053989" w:rsidRPr="005341B8">
        <w:rPr>
          <w:rFonts w:eastAsia="Calibri"/>
        </w:rPr>
        <w:t>.</w:t>
      </w:r>
      <w:r w:rsidR="005C6BA3" w:rsidRPr="005341B8">
        <w:rPr>
          <w:rFonts w:eastAsia="Calibri"/>
          <w:vertAlign w:val="superscript"/>
        </w:rPr>
        <w:footnoteReference w:id="2"/>
      </w:r>
      <w:r w:rsidR="005C6BA3" w:rsidRPr="005341B8">
        <w:rPr>
          <w:rFonts w:eastAsia="Calibri"/>
        </w:rPr>
        <w:t xml:space="preserve"> The group sought damages</w:t>
      </w:r>
      <w:r w:rsidR="005C6BA3">
        <w:rPr>
          <w:rFonts w:eastAsia="Calibri"/>
        </w:rPr>
        <w:t>,</w:t>
      </w:r>
      <w:r w:rsidR="005C6BA3" w:rsidRPr="005341B8">
        <w:rPr>
          <w:rFonts w:eastAsia="Calibri"/>
        </w:rPr>
        <w:t xml:space="preserve"> contending that AMCN’s vertical integration business plan enabled it to undersell the show to itself, thereby denying significant profits to the creative talent that produced the show. The lawsuit came immediately after </w:t>
      </w:r>
      <w:proofErr w:type="spellStart"/>
      <w:r w:rsidR="005C6BA3" w:rsidRPr="005341B8">
        <w:rPr>
          <w:rFonts w:eastAsia="Calibri"/>
        </w:rPr>
        <w:t>Kirkman</w:t>
      </w:r>
      <w:proofErr w:type="spellEnd"/>
      <w:r w:rsidR="005C6BA3" w:rsidRPr="005341B8">
        <w:rPr>
          <w:rFonts w:eastAsia="Calibri"/>
        </w:rPr>
        <w:t xml:space="preserve"> and the creative talent behind </w:t>
      </w:r>
      <w:r w:rsidR="005C6BA3" w:rsidRPr="005341B8">
        <w:rPr>
          <w:rFonts w:eastAsia="Calibri"/>
          <w:i/>
        </w:rPr>
        <w:t>TWD</w:t>
      </w:r>
      <w:r w:rsidR="005C6BA3" w:rsidRPr="005341B8">
        <w:rPr>
          <w:rFonts w:eastAsia="Calibri"/>
        </w:rPr>
        <w:t xml:space="preserve"> signed an exclusive long-term contract with Amazon Prime to create future shows.</w:t>
      </w:r>
      <w:r w:rsidR="005C6BA3" w:rsidRPr="005341B8">
        <w:rPr>
          <w:rFonts w:eastAsia="Calibri"/>
          <w:vertAlign w:val="superscript"/>
        </w:rPr>
        <w:footnoteReference w:id="3"/>
      </w:r>
      <w:r w:rsidR="005C6BA3" w:rsidRPr="005341B8">
        <w:rPr>
          <w:rFonts w:eastAsia="Calibri"/>
        </w:rPr>
        <w:t xml:space="preserve"> </w:t>
      </w:r>
    </w:p>
    <w:p w14:paraId="2188AD86" w14:textId="77777777" w:rsidR="005C6BA3" w:rsidRPr="005341B8" w:rsidRDefault="005C6BA3" w:rsidP="00840307">
      <w:pPr>
        <w:pStyle w:val="BodyTextMain"/>
        <w:rPr>
          <w:rFonts w:eastAsia="Calibri"/>
        </w:rPr>
      </w:pPr>
    </w:p>
    <w:p w14:paraId="76BDA772" w14:textId="3D058B84" w:rsidR="005C6BA3" w:rsidRPr="005341B8" w:rsidRDefault="005C6BA3" w:rsidP="00840307">
      <w:pPr>
        <w:pStyle w:val="BodyTextMain"/>
        <w:rPr>
          <w:rFonts w:eastAsia="Calibri"/>
        </w:rPr>
      </w:pPr>
      <w:r w:rsidRPr="005341B8">
        <w:rPr>
          <w:rFonts w:eastAsia="Calibri"/>
        </w:rPr>
        <w:t>However, the lawsuit had implications beyond the courtroom. In a vastly changing television landscape, the war for original content was increasing. Netflix Inc. (Netflix), the dominant streaming content provider, had announced that it was planning to double its budget for original content to US$8 billion.</w:t>
      </w:r>
      <w:r w:rsidRPr="005341B8">
        <w:rPr>
          <w:rFonts w:eastAsia="Calibri"/>
          <w:vertAlign w:val="superscript"/>
        </w:rPr>
        <w:footnoteReference w:id="4"/>
      </w:r>
      <w:r w:rsidRPr="005341B8">
        <w:rPr>
          <w:rFonts w:eastAsia="Calibri"/>
        </w:rPr>
        <w:t xml:space="preserve"> Apple Inc., a new entrant to the field, planned to spend $1 billion for original content. These announcements were made </w:t>
      </w:r>
      <w:proofErr w:type="gramStart"/>
      <w:r w:rsidRPr="005341B8">
        <w:rPr>
          <w:rFonts w:eastAsia="Calibri"/>
        </w:rPr>
        <w:t>in</w:t>
      </w:r>
      <w:proofErr w:type="gramEnd"/>
      <w:r w:rsidRPr="005341B8">
        <w:rPr>
          <w:rFonts w:eastAsia="Calibri"/>
        </w:rPr>
        <w:t xml:space="preserve"> addition to similar comments by Facebook Inc.</w:t>
      </w:r>
      <w:r>
        <w:rPr>
          <w:rFonts w:eastAsia="Calibri"/>
        </w:rPr>
        <w:t>,</w:t>
      </w:r>
      <w:r w:rsidRPr="005341B8">
        <w:rPr>
          <w:rFonts w:eastAsia="Calibri"/>
        </w:rPr>
        <w:t xml:space="preserve"> Hulu, and Amazon.com Inc.</w:t>
      </w:r>
      <w:r>
        <w:rPr>
          <w:rFonts w:eastAsia="Calibri"/>
        </w:rPr>
        <w:t xml:space="preserve"> (Amazon)</w:t>
      </w:r>
      <w:r w:rsidRPr="005341B8">
        <w:rPr>
          <w:rFonts w:eastAsia="Calibri"/>
        </w:rPr>
        <w:t>.</w:t>
      </w:r>
      <w:r w:rsidRPr="005341B8">
        <w:rPr>
          <w:rFonts w:eastAsia="Calibri"/>
          <w:vertAlign w:val="superscript"/>
        </w:rPr>
        <w:footnoteReference w:id="5"/>
      </w:r>
      <w:r w:rsidRPr="005341B8">
        <w:rPr>
          <w:rFonts w:eastAsia="Calibri"/>
        </w:rPr>
        <w:t xml:space="preserve"> The choices available to creative and technical talent in the entertainment industry were increasing considerably in this changed landscape. Given that Hollywood worked primarily on relationship and reputation, </w:t>
      </w:r>
      <w:proofErr w:type="spellStart"/>
      <w:r w:rsidRPr="005341B8">
        <w:rPr>
          <w:rFonts w:eastAsia="Calibri"/>
        </w:rPr>
        <w:t>Sapan</w:t>
      </w:r>
      <w:proofErr w:type="spellEnd"/>
      <w:r w:rsidRPr="005341B8">
        <w:rPr>
          <w:rFonts w:eastAsia="Calibri"/>
        </w:rPr>
        <w:t xml:space="preserve"> and his top management team at AMCN had to respond to the </w:t>
      </w:r>
      <w:proofErr w:type="spellStart"/>
      <w:r w:rsidRPr="005341B8">
        <w:rPr>
          <w:rFonts w:eastAsia="Calibri"/>
        </w:rPr>
        <w:t>Kirkman</w:t>
      </w:r>
      <w:proofErr w:type="spellEnd"/>
      <w:r w:rsidRPr="005341B8">
        <w:rPr>
          <w:rFonts w:eastAsia="Calibri"/>
        </w:rPr>
        <w:t xml:space="preserve"> lawsuit—both in court and in public.</w:t>
      </w:r>
      <w:r>
        <w:rPr>
          <w:rFonts w:eastAsia="Calibri"/>
        </w:rPr>
        <w:t xml:space="preserve"> </w:t>
      </w:r>
      <w:r w:rsidRPr="005341B8">
        <w:rPr>
          <w:rFonts w:eastAsia="Calibri"/>
        </w:rPr>
        <w:t xml:space="preserve"> </w:t>
      </w:r>
    </w:p>
    <w:p w14:paraId="64CDBEAB" w14:textId="77777777" w:rsidR="005C6BA3" w:rsidRPr="005341B8" w:rsidRDefault="005C6BA3" w:rsidP="00840307">
      <w:pPr>
        <w:rPr>
          <w:rFonts w:eastAsia="Calibri"/>
          <w:sz w:val="22"/>
          <w:szCs w:val="22"/>
        </w:rPr>
      </w:pPr>
    </w:p>
    <w:p w14:paraId="44188282" w14:textId="77777777" w:rsidR="005C6BA3" w:rsidRPr="005341B8" w:rsidRDefault="005C6BA3" w:rsidP="00840307">
      <w:pPr>
        <w:rPr>
          <w:rFonts w:eastAsia="Calibri"/>
          <w:sz w:val="22"/>
          <w:szCs w:val="22"/>
        </w:rPr>
      </w:pPr>
    </w:p>
    <w:p w14:paraId="7B538DA3" w14:textId="77777777" w:rsidR="005C6BA3" w:rsidRPr="005341B8" w:rsidRDefault="005C6BA3" w:rsidP="00840307">
      <w:pPr>
        <w:pStyle w:val="Casehead1"/>
        <w:rPr>
          <w:rFonts w:eastAsia="Calibri"/>
        </w:rPr>
      </w:pPr>
      <w:r w:rsidRPr="005341B8">
        <w:rPr>
          <w:rFonts w:eastAsia="Calibri"/>
        </w:rPr>
        <w:t>Industry Background</w:t>
      </w:r>
    </w:p>
    <w:p w14:paraId="4F6DB34E" w14:textId="77777777" w:rsidR="005C6BA3" w:rsidRPr="005341B8" w:rsidRDefault="005C6BA3" w:rsidP="00840307">
      <w:pPr>
        <w:rPr>
          <w:rFonts w:eastAsia="Calibri"/>
          <w:b/>
          <w:sz w:val="22"/>
          <w:szCs w:val="22"/>
          <w:u w:val="single"/>
        </w:rPr>
      </w:pPr>
    </w:p>
    <w:p w14:paraId="3E849260" w14:textId="7FBA89C0" w:rsidR="005C6BA3" w:rsidRDefault="005C6BA3" w:rsidP="00840307">
      <w:pPr>
        <w:pStyle w:val="BodyTextMain"/>
        <w:rPr>
          <w:rFonts w:eastAsia="Calibri"/>
        </w:rPr>
      </w:pPr>
      <w:r w:rsidRPr="005C6BA3">
        <w:rPr>
          <w:rFonts w:eastAsia="Calibri"/>
        </w:rPr>
        <w:t xml:space="preserve">In 1970, to break up the monopoly of broadcast television by the big three networks—the American Broadcasting Company (ABC), the National Broadcasting Company (NBC), and the Columbia </w:t>
      </w:r>
      <w:r w:rsidRPr="005C6BA3">
        <w:rPr>
          <w:rFonts w:eastAsia="Calibri"/>
        </w:rPr>
        <w:lastRenderedPageBreak/>
        <w:t xml:space="preserve">Broadcasting System (CBS)—the Federal Communications Commission introduced the </w:t>
      </w:r>
      <w:bookmarkStart w:id="4" w:name="_Hlk530061585"/>
      <w:r w:rsidRPr="005C6BA3">
        <w:rPr>
          <w:rFonts w:eastAsia="Calibri"/>
        </w:rPr>
        <w:t>Financial Interest and Syndication Rules</w:t>
      </w:r>
      <w:bookmarkEnd w:id="4"/>
      <w:r w:rsidRPr="005C6BA3">
        <w:rPr>
          <w:rFonts w:eastAsia="Calibri"/>
        </w:rPr>
        <w:t>, widely known as the “fin-</w:t>
      </w:r>
      <w:proofErr w:type="spellStart"/>
      <w:r w:rsidRPr="005C6BA3">
        <w:rPr>
          <w:rFonts w:eastAsia="Calibri"/>
        </w:rPr>
        <w:t>syn</w:t>
      </w:r>
      <w:proofErr w:type="spellEnd"/>
      <w:r w:rsidRPr="005C6BA3">
        <w:rPr>
          <w:rFonts w:eastAsia="Calibri"/>
        </w:rPr>
        <w:t xml:space="preserve"> rules.” The rules forbade a television network from owning any program it aired. As a result, content creation was separated from content delivery, and networks had to buy programming via arm’s-length negotiations. With the advent of a fourth network—Fox Broadcasting Company—and the influx of cable-enabled content providers, the fin-</w:t>
      </w:r>
      <w:proofErr w:type="spellStart"/>
      <w:r w:rsidRPr="005C6BA3">
        <w:rPr>
          <w:rFonts w:eastAsia="Calibri"/>
        </w:rPr>
        <w:t>syn</w:t>
      </w:r>
      <w:proofErr w:type="spellEnd"/>
      <w:r w:rsidRPr="005C6BA3">
        <w:rPr>
          <w:rFonts w:eastAsia="Calibri"/>
        </w:rPr>
        <w:t xml:space="preserve"> rules were abolished in 1993. The immediate aftermath of the abolition was an increase in vertical integration in the industry. For example, during the 1987–88 television season, none of the 66 shows broadcast during prime time were owned by the broadcaster, whereas in the 2000–01 season, nearly 20 per cent of the prime-time shows were owned by the broadcaster.</w:t>
      </w:r>
      <w:r w:rsidRPr="005C6BA3">
        <w:rPr>
          <w:rFonts w:eastAsia="Calibri"/>
          <w:vertAlign w:val="superscript"/>
        </w:rPr>
        <w:footnoteReference w:id="6"/>
      </w:r>
      <w:r w:rsidRPr="005C6BA3">
        <w:rPr>
          <w:rFonts w:eastAsia="Calibri"/>
        </w:rPr>
        <w:t xml:space="preserve"> </w:t>
      </w:r>
    </w:p>
    <w:p w14:paraId="7C4BB595" w14:textId="77777777" w:rsidR="005C6BA3" w:rsidRPr="005C6BA3" w:rsidRDefault="005C6BA3" w:rsidP="00840307">
      <w:pPr>
        <w:pStyle w:val="BodyTextMain"/>
        <w:rPr>
          <w:rFonts w:eastAsia="Calibri"/>
        </w:rPr>
      </w:pPr>
    </w:p>
    <w:p w14:paraId="61126074" w14:textId="65E276EA" w:rsidR="005C6BA3" w:rsidRPr="005341B8" w:rsidRDefault="005C6BA3" w:rsidP="00840307">
      <w:pPr>
        <w:pStyle w:val="BodyTextMain"/>
        <w:rPr>
          <w:rFonts w:eastAsia="Calibri"/>
          <w:spacing w:val="-2"/>
          <w:kern w:val="22"/>
        </w:rPr>
      </w:pPr>
      <w:r w:rsidRPr="005341B8">
        <w:rPr>
          <w:rFonts w:eastAsia="Calibri"/>
          <w:spacing w:val="-2"/>
          <w:kern w:val="22"/>
        </w:rPr>
        <w:t xml:space="preserve">The central feature of the financial model of content creation was </w:t>
      </w:r>
      <w:bookmarkStart w:id="5" w:name="_Hlk532815580"/>
      <w:r>
        <w:rPr>
          <w:rFonts w:eastAsia="Calibri"/>
          <w:spacing w:val="-2"/>
          <w:kern w:val="22"/>
        </w:rPr>
        <w:t>deficit financing</w:t>
      </w:r>
      <w:bookmarkEnd w:id="5"/>
      <w:r w:rsidRPr="005341B8">
        <w:rPr>
          <w:rFonts w:eastAsia="Calibri"/>
          <w:spacing w:val="-2"/>
          <w:kern w:val="22"/>
        </w:rPr>
        <w:t xml:space="preserve">. Content distributors paid a licence fee for each episode of programming that they bought. The licence fee did not cover the entire cost of creating the episode. The content creator bore the deficit in the hope of making it up by participating in the profits when the program was renewed for multiple seasons and was later sold for syndication. For example, </w:t>
      </w:r>
      <w:r>
        <w:rPr>
          <w:rFonts w:eastAsia="Calibri"/>
          <w:spacing w:val="-2"/>
          <w:kern w:val="22"/>
        </w:rPr>
        <w:t>Sony Pictures Television Inc.</w:t>
      </w:r>
      <w:r w:rsidRPr="005341B8">
        <w:rPr>
          <w:rFonts w:eastAsia="Calibri"/>
          <w:spacing w:val="-2"/>
          <w:kern w:val="22"/>
        </w:rPr>
        <w:t xml:space="preserve"> </w:t>
      </w:r>
      <w:r>
        <w:rPr>
          <w:rFonts w:eastAsia="Calibri"/>
          <w:spacing w:val="-2"/>
          <w:kern w:val="22"/>
        </w:rPr>
        <w:t xml:space="preserve">(Sony Television) </w:t>
      </w:r>
      <w:r w:rsidRPr="005341B8">
        <w:rPr>
          <w:rFonts w:eastAsia="Calibri"/>
          <w:spacing w:val="-2"/>
          <w:kern w:val="22"/>
        </w:rPr>
        <w:t xml:space="preserve">created and </w:t>
      </w:r>
      <w:r>
        <w:rPr>
          <w:rFonts w:eastAsia="Calibri"/>
          <w:spacing w:val="-2"/>
          <w:kern w:val="22"/>
        </w:rPr>
        <w:t>deficit financed</w:t>
      </w:r>
      <w:r w:rsidRPr="005341B8">
        <w:rPr>
          <w:rFonts w:eastAsia="Calibri"/>
          <w:spacing w:val="-2"/>
          <w:kern w:val="22"/>
        </w:rPr>
        <w:t xml:space="preserve"> the television program </w:t>
      </w:r>
      <w:r w:rsidRPr="005341B8">
        <w:rPr>
          <w:rFonts w:eastAsia="Calibri"/>
          <w:i/>
          <w:spacing w:val="-2"/>
          <w:kern w:val="22"/>
        </w:rPr>
        <w:t>Seinfeld</w:t>
      </w:r>
      <w:r w:rsidRPr="005341B8">
        <w:rPr>
          <w:rFonts w:eastAsia="Calibri"/>
          <w:spacing w:val="-2"/>
          <w:kern w:val="22"/>
        </w:rPr>
        <w:t xml:space="preserve"> during its first four seasons, just covered its costs from season 5 onward, and made profits only when the show was sold in syndication for $2 billion. During the fin-</w:t>
      </w:r>
      <w:proofErr w:type="spellStart"/>
      <w:r w:rsidRPr="005341B8">
        <w:rPr>
          <w:rFonts w:eastAsia="Calibri"/>
          <w:spacing w:val="-2"/>
          <w:kern w:val="22"/>
        </w:rPr>
        <w:t>syn</w:t>
      </w:r>
      <w:proofErr w:type="spellEnd"/>
      <w:r w:rsidRPr="005341B8">
        <w:rPr>
          <w:rFonts w:eastAsia="Calibri"/>
          <w:spacing w:val="-2"/>
          <w:kern w:val="22"/>
        </w:rPr>
        <w:t xml:space="preserve"> years, independent content creators bore the risk of </w:t>
      </w:r>
      <w:r>
        <w:rPr>
          <w:rFonts w:eastAsia="Calibri"/>
          <w:spacing w:val="-2"/>
          <w:kern w:val="22"/>
        </w:rPr>
        <w:t>deficit financing</w:t>
      </w:r>
      <w:r w:rsidRPr="005341B8">
        <w:rPr>
          <w:rFonts w:eastAsia="Calibri"/>
          <w:spacing w:val="-2"/>
          <w:kern w:val="22"/>
        </w:rPr>
        <w:t>. When vertical integration followed the repeal of the fin-</w:t>
      </w:r>
      <w:proofErr w:type="spellStart"/>
      <w:r w:rsidRPr="005341B8">
        <w:rPr>
          <w:rFonts w:eastAsia="Calibri"/>
          <w:spacing w:val="-2"/>
          <w:kern w:val="22"/>
        </w:rPr>
        <w:t>syn</w:t>
      </w:r>
      <w:proofErr w:type="spellEnd"/>
      <w:r w:rsidRPr="005341B8">
        <w:rPr>
          <w:rFonts w:eastAsia="Calibri"/>
          <w:spacing w:val="-2"/>
          <w:kern w:val="22"/>
        </w:rPr>
        <w:t xml:space="preserve"> rules (see Exhibit 1), large media conglomerates used </w:t>
      </w:r>
      <w:r>
        <w:rPr>
          <w:rFonts w:eastAsia="Calibri"/>
          <w:spacing w:val="-2"/>
          <w:kern w:val="22"/>
        </w:rPr>
        <w:t>transfer-pricing</w:t>
      </w:r>
      <w:r w:rsidRPr="005341B8">
        <w:rPr>
          <w:rFonts w:eastAsia="Calibri"/>
          <w:spacing w:val="-2"/>
          <w:kern w:val="22"/>
        </w:rPr>
        <w:t xml:space="preserve"> to account for the cost of content creation and content distribution.</w:t>
      </w:r>
      <w:r w:rsidRPr="005341B8">
        <w:rPr>
          <w:rFonts w:eastAsia="Calibri"/>
          <w:spacing w:val="-2"/>
          <w:kern w:val="22"/>
          <w:vertAlign w:val="superscript"/>
        </w:rPr>
        <w:footnoteReference w:id="7"/>
      </w:r>
      <w:r>
        <w:rPr>
          <w:rFonts w:eastAsia="Calibri"/>
          <w:spacing w:val="-2"/>
          <w:kern w:val="22"/>
        </w:rPr>
        <w:t xml:space="preserve"> </w:t>
      </w:r>
    </w:p>
    <w:p w14:paraId="190B3CCD" w14:textId="77777777" w:rsidR="005C6BA3" w:rsidRPr="005341B8" w:rsidRDefault="005C6BA3" w:rsidP="00840307">
      <w:pPr>
        <w:rPr>
          <w:rFonts w:eastAsia="Calibri"/>
          <w:sz w:val="22"/>
          <w:szCs w:val="22"/>
        </w:rPr>
      </w:pPr>
    </w:p>
    <w:p w14:paraId="5F284536" w14:textId="77777777" w:rsidR="005C6BA3" w:rsidRPr="005341B8" w:rsidRDefault="005C6BA3" w:rsidP="00840307">
      <w:pPr>
        <w:rPr>
          <w:rFonts w:eastAsia="Calibri"/>
          <w:sz w:val="22"/>
          <w:szCs w:val="22"/>
        </w:rPr>
      </w:pPr>
    </w:p>
    <w:p w14:paraId="26F4000F" w14:textId="3BF8CDA5" w:rsidR="005C6BA3" w:rsidRPr="005341B8" w:rsidRDefault="005C6BA3" w:rsidP="00840307">
      <w:pPr>
        <w:pStyle w:val="Casehead1"/>
        <w:rPr>
          <w:rFonts w:eastAsia="Calibri"/>
        </w:rPr>
      </w:pPr>
      <w:r w:rsidRPr="005341B8">
        <w:rPr>
          <w:rFonts w:eastAsia="Calibri"/>
        </w:rPr>
        <w:t>Brief Profile of AMC Networks Inc.</w:t>
      </w:r>
    </w:p>
    <w:p w14:paraId="79B31850" w14:textId="77777777" w:rsidR="005C6BA3" w:rsidRPr="005341B8" w:rsidRDefault="005C6BA3" w:rsidP="00840307">
      <w:pPr>
        <w:rPr>
          <w:rFonts w:eastAsia="Calibri"/>
          <w:b/>
          <w:sz w:val="22"/>
          <w:szCs w:val="22"/>
          <w:u w:val="single"/>
        </w:rPr>
      </w:pPr>
    </w:p>
    <w:p w14:paraId="66B89F3C" w14:textId="42ABB978" w:rsidR="005C6BA3" w:rsidRPr="005341B8" w:rsidRDefault="005C6BA3" w:rsidP="00840307">
      <w:pPr>
        <w:pStyle w:val="BodyTextMain"/>
        <w:rPr>
          <w:rFonts w:eastAsia="Calibri"/>
        </w:rPr>
      </w:pPr>
      <w:r w:rsidRPr="005341B8">
        <w:rPr>
          <w:rFonts w:eastAsia="Calibri"/>
        </w:rPr>
        <w:t xml:space="preserve">In June 2011, </w:t>
      </w:r>
      <w:r w:rsidRPr="00A871D2">
        <w:rPr>
          <w:rFonts w:eastAsia="Calibri"/>
        </w:rPr>
        <w:t>Cablevision Systems Corporation</w:t>
      </w:r>
      <w:r w:rsidRPr="005341B8">
        <w:rPr>
          <w:rFonts w:eastAsia="Calibri"/>
        </w:rPr>
        <w:t xml:space="preserve">, a major cable service provider, spun off its cable programming channels—first under the name of Rainbow Media Holdings and then as AMCN via an initial public offering. AMCN originally owned other cable channels, including AMC, </w:t>
      </w:r>
      <w:r>
        <w:rPr>
          <w:rFonts w:eastAsia="Calibri"/>
        </w:rPr>
        <w:t>We</w:t>
      </w:r>
      <w:r w:rsidRPr="005341B8">
        <w:rPr>
          <w:rFonts w:eastAsia="Calibri"/>
        </w:rPr>
        <w:t xml:space="preserve"> TV, IFC, and Sundance TV, and focused on reruns of popular programs. However, the company gradually shifted to original scripted content to increase revenues from affiliate fees, which were provided by cable providers. Affiliate fees were part of the monthly subscription fees that cable providers billed their subscribers. This shift toward original content transformed the company’s flagship AMC channel from a minor cable channel to one that was sought after by viewers.</w:t>
      </w:r>
      <w:r w:rsidRPr="005341B8">
        <w:rPr>
          <w:rFonts w:eastAsia="Calibri"/>
          <w:vertAlign w:val="superscript"/>
        </w:rPr>
        <w:footnoteReference w:id="8"/>
      </w:r>
      <w:r>
        <w:rPr>
          <w:rFonts w:eastAsia="Calibri"/>
        </w:rPr>
        <w:t xml:space="preserve"> </w:t>
      </w:r>
    </w:p>
    <w:p w14:paraId="53C1A979" w14:textId="77777777" w:rsidR="005C6BA3" w:rsidRPr="005341B8" w:rsidRDefault="005C6BA3" w:rsidP="00840307">
      <w:pPr>
        <w:pStyle w:val="BodyTextMain"/>
        <w:rPr>
          <w:rFonts w:eastAsia="Calibri"/>
        </w:rPr>
      </w:pPr>
    </w:p>
    <w:p w14:paraId="478F5748" w14:textId="5ED41C51" w:rsidR="005C6BA3" w:rsidRPr="005341B8" w:rsidRDefault="005C6BA3" w:rsidP="00840307">
      <w:pPr>
        <w:pStyle w:val="BodyTextMain"/>
        <w:rPr>
          <w:rFonts w:eastAsia="Calibri"/>
        </w:rPr>
      </w:pPr>
      <w:r w:rsidRPr="005341B8">
        <w:rPr>
          <w:rFonts w:eastAsia="Calibri"/>
        </w:rPr>
        <w:t xml:space="preserve">The cable network model generated revenues from two sources: affiliate fees and advertising revenues. With a reach of 90.5 million </w:t>
      </w:r>
      <w:r w:rsidR="00965CF6">
        <w:rPr>
          <w:rFonts w:eastAsia="Calibri"/>
        </w:rPr>
        <w:t>US</w:t>
      </w:r>
      <w:r w:rsidRPr="005341B8">
        <w:rPr>
          <w:rFonts w:eastAsia="Calibri"/>
        </w:rPr>
        <w:t xml:space="preserve"> households in 2017 for its AMC channel, 86 million for </w:t>
      </w:r>
      <w:r>
        <w:rPr>
          <w:rFonts w:eastAsia="Calibri"/>
        </w:rPr>
        <w:t>We</w:t>
      </w:r>
      <w:r w:rsidRPr="005341B8">
        <w:rPr>
          <w:rFonts w:eastAsia="Calibri"/>
        </w:rPr>
        <w:t xml:space="preserve"> TV, and 74 million for IFC, AMCN obtained 63 per cent of its revenues from affiliate fees and 37 per cent from advertising. The key to increasing affiliate revenues was to maintain its bargaining power with cable service providers by providing programming that was highly desired by viewers.</w:t>
      </w:r>
      <w:r w:rsidRPr="005341B8">
        <w:rPr>
          <w:rFonts w:eastAsia="Calibri"/>
          <w:vertAlign w:val="superscript"/>
        </w:rPr>
        <w:footnoteReference w:id="9"/>
      </w:r>
    </w:p>
    <w:p w14:paraId="61143434" w14:textId="77777777" w:rsidR="005C6BA3" w:rsidRPr="005341B8" w:rsidRDefault="005C6BA3" w:rsidP="00840307">
      <w:pPr>
        <w:pStyle w:val="BodyTextMain"/>
        <w:rPr>
          <w:rFonts w:eastAsia="Calibri"/>
        </w:rPr>
      </w:pPr>
    </w:p>
    <w:p w14:paraId="5F23A0EE" w14:textId="425CB35E" w:rsidR="005C6BA3" w:rsidRDefault="005C6BA3" w:rsidP="00840307">
      <w:pPr>
        <w:pStyle w:val="BodyTextMain"/>
        <w:rPr>
          <w:rFonts w:eastAsia="Calibri"/>
        </w:rPr>
      </w:pPr>
      <w:r w:rsidRPr="005341B8">
        <w:rPr>
          <w:rFonts w:eastAsia="Calibri"/>
        </w:rPr>
        <w:t xml:space="preserve">AMCN was a vertically integrated company, </w:t>
      </w:r>
      <w:r>
        <w:rPr>
          <w:rFonts w:eastAsia="Calibri"/>
        </w:rPr>
        <w:t>and its</w:t>
      </w:r>
      <w:r w:rsidRPr="005341B8">
        <w:rPr>
          <w:rFonts w:eastAsia="Calibri"/>
        </w:rPr>
        <w:t xml:space="preserve"> AMC Studios division created some of the programming for the company’s channels. In fiscal 2017, AMCN’s revenue was $2.806 billion, up from $2.756 billion in 2016. Its net income in 2017 was $471 million, up from $271 million in 2016. However, the company had seen a steep drop in net income for 2016 ($271 million, compared to $371 million in </w:t>
      </w:r>
      <w:r w:rsidRPr="005341B8">
        <w:rPr>
          <w:rFonts w:eastAsia="Calibri"/>
        </w:rPr>
        <w:lastRenderedPageBreak/>
        <w:t xml:space="preserve">2015). The sudden drop in income was due to a prolonged dispute </w:t>
      </w:r>
      <w:r>
        <w:rPr>
          <w:rFonts w:eastAsia="Calibri"/>
        </w:rPr>
        <w:t xml:space="preserve">that had started in late 2015 </w:t>
      </w:r>
      <w:r w:rsidRPr="005341B8">
        <w:rPr>
          <w:rFonts w:eastAsia="Calibri"/>
        </w:rPr>
        <w:t>with several cable service providers over affiliate fees</w:t>
      </w:r>
      <w:r>
        <w:rPr>
          <w:rFonts w:eastAsia="Calibri"/>
        </w:rPr>
        <w:t xml:space="preserve"> </w:t>
      </w:r>
      <w:r w:rsidRPr="005341B8">
        <w:rPr>
          <w:rFonts w:eastAsia="Calibri"/>
        </w:rPr>
        <w:t>and was not resolved until almost a year later.</w:t>
      </w:r>
      <w:r w:rsidRPr="005341B8">
        <w:rPr>
          <w:rFonts w:eastAsia="Calibri"/>
          <w:vertAlign w:val="superscript"/>
        </w:rPr>
        <w:footnoteReference w:id="10"/>
      </w:r>
    </w:p>
    <w:p w14:paraId="09DF4FB8" w14:textId="77777777" w:rsidR="00965CF6" w:rsidRPr="005341B8" w:rsidRDefault="00965CF6" w:rsidP="00840307">
      <w:pPr>
        <w:pStyle w:val="BodyTextMain"/>
        <w:rPr>
          <w:rFonts w:eastAsia="Calibri"/>
        </w:rPr>
      </w:pPr>
    </w:p>
    <w:p w14:paraId="12099163" w14:textId="7959FC01" w:rsidR="005C6BA3" w:rsidRPr="005341B8" w:rsidRDefault="005C6BA3" w:rsidP="00840307">
      <w:pPr>
        <w:pStyle w:val="BodyTextMain"/>
        <w:rPr>
          <w:rFonts w:eastAsia="Calibri"/>
          <w:spacing w:val="-2"/>
          <w:kern w:val="22"/>
        </w:rPr>
      </w:pPr>
      <w:r w:rsidRPr="005341B8">
        <w:rPr>
          <w:rFonts w:eastAsia="Calibri"/>
          <w:spacing w:val="-2"/>
          <w:kern w:val="22"/>
        </w:rPr>
        <w:t xml:space="preserve">AMCN’s business strategy was based on two main pillars. The first pillar involved a major emphasis on original programming to increase brand value and attract a larger audience. The second pillar was a focus on controlling original content via ownership. Therefore, AMC Studios was identified as vital to the company’s second pillar. AMC Studios came into existence as a wholly owned subsidiary of AMCN in 2010. </w:t>
      </w:r>
      <w:r w:rsidRPr="005341B8">
        <w:rPr>
          <w:rFonts w:eastAsia="Calibri"/>
          <w:i/>
          <w:spacing w:val="-2"/>
          <w:kern w:val="22"/>
        </w:rPr>
        <w:t xml:space="preserve">TWD </w:t>
      </w:r>
      <w:r w:rsidRPr="005341B8">
        <w:rPr>
          <w:rFonts w:eastAsia="Calibri"/>
          <w:spacing w:val="-2"/>
          <w:kern w:val="22"/>
        </w:rPr>
        <w:t xml:space="preserve">was the first show it produced, followed by several shows for AMC Channel, including </w:t>
      </w:r>
      <w:r w:rsidRPr="005341B8">
        <w:rPr>
          <w:rFonts w:eastAsia="Calibri"/>
          <w:i/>
          <w:spacing w:val="-2"/>
          <w:kern w:val="22"/>
        </w:rPr>
        <w:t>Halt and Catch Fire</w:t>
      </w:r>
      <w:r w:rsidRPr="005341B8">
        <w:rPr>
          <w:rFonts w:eastAsia="Calibri"/>
          <w:spacing w:val="-2"/>
          <w:kern w:val="22"/>
        </w:rPr>
        <w:t xml:space="preserve"> and </w:t>
      </w:r>
      <w:r>
        <w:rPr>
          <w:rFonts w:eastAsia="Calibri"/>
          <w:i/>
          <w:spacing w:val="-2"/>
          <w:kern w:val="22"/>
        </w:rPr>
        <w:t>Turn</w:t>
      </w:r>
      <w:r w:rsidRPr="005341B8">
        <w:rPr>
          <w:rFonts w:eastAsia="Calibri"/>
          <w:i/>
          <w:spacing w:val="-2"/>
          <w:kern w:val="22"/>
        </w:rPr>
        <w:t>: Washington Spies</w:t>
      </w:r>
      <w:r w:rsidRPr="005341B8">
        <w:rPr>
          <w:rFonts w:eastAsia="Calibri"/>
          <w:spacing w:val="-2"/>
          <w:kern w:val="22"/>
        </w:rPr>
        <w:t xml:space="preserve">. AMC Studios also produced </w:t>
      </w:r>
      <w:r w:rsidRPr="005341B8">
        <w:rPr>
          <w:rFonts w:eastAsia="Calibri"/>
          <w:i/>
          <w:spacing w:val="-2"/>
          <w:kern w:val="22"/>
        </w:rPr>
        <w:t>Dirk Gently</w:t>
      </w:r>
      <w:r w:rsidRPr="005341B8">
        <w:rPr>
          <w:rFonts w:eastAsia="Calibri"/>
          <w:spacing w:val="-2"/>
          <w:kern w:val="22"/>
        </w:rPr>
        <w:t xml:space="preserve"> for BBC America and various shows for Sundance TV, including </w:t>
      </w:r>
      <w:r w:rsidRPr="005341B8">
        <w:rPr>
          <w:rFonts w:eastAsia="Calibri"/>
          <w:i/>
          <w:spacing w:val="-2"/>
          <w:kern w:val="22"/>
        </w:rPr>
        <w:t>Rectify</w:t>
      </w:r>
      <w:r w:rsidRPr="004366B5">
        <w:rPr>
          <w:rFonts w:eastAsia="Calibri"/>
          <w:spacing w:val="-2"/>
          <w:kern w:val="22"/>
        </w:rPr>
        <w:t>,</w:t>
      </w:r>
      <w:r w:rsidRPr="005341B8">
        <w:rPr>
          <w:rFonts w:eastAsia="Calibri"/>
          <w:spacing w:val="-2"/>
          <w:kern w:val="22"/>
        </w:rPr>
        <w:t xml:space="preserve"> </w:t>
      </w:r>
      <w:r w:rsidRPr="005341B8">
        <w:rPr>
          <w:rFonts w:eastAsia="Calibri"/>
          <w:i/>
          <w:spacing w:val="-2"/>
          <w:kern w:val="22"/>
        </w:rPr>
        <w:t>Hap and Leonard</w:t>
      </w:r>
      <w:r w:rsidRPr="005341B8">
        <w:rPr>
          <w:rFonts w:eastAsia="Calibri"/>
          <w:spacing w:val="-2"/>
          <w:kern w:val="22"/>
        </w:rPr>
        <w:t xml:space="preserve">, and </w:t>
      </w:r>
      <w:r w:rsidRPr="005341B8">
        <w:rPr>
          <w:rFonts w:eastAsia="Calibri"/>
          <w:i/>
          <w:spacing w:val="-2"/>
          <w:kern w:val="22"/>
        </w:rPr>
        <w:t>Cold Blooded: The Clutter Family Murders</w:t>
      </w:r>
      <w:r w:rsidRPr="005341B8">
        <w:rPr>
          <w:rFonts w:eastAsia="Calibri"/>
          <w:spacing w:val="-2"/>
          <w:kern w:val="22"/>
        </w:rPr>
        <w:t>.</w:t>
      </w:r>
      <w:r w:rsidRPr="005341B8">
        <w:rPr>
          <w:rFonts w:eastAsia="Calibri"/>
          <w:spacing w:val="-2"/>
          <w:kern w:val="22"/>
          <w:vertAlign w:val="superscript"/>
        </w:rPr>
        <w:footnoteReference w:id="11"/>
      </w:r>
      <w:r w:rsidRPr="005341B8">
        <w:rPr>
          <w:rFonts w:eastAsia="Calibri"/>
          <w:spacing w:val="-2"/>
          <w:kern w:val="22"/>
        </w:rPr>
        <w:t xml:space="preserve"> </w:t>
      </w:r>
    </w:p>
    <w:p w14:paraId="141B30C0" w14:textId="77777777" w:rsidR="005C6BA3" w:rsidRPr="005C6BA3" w:rsidRDefault="005C6BA3" w:rsidP="00840307">
      <w:pPr>
        <w:rPr>
          <w:rFonts w:eastAsia="Calibri"/>
          <w:b/>
          <w:sz w:val="14"/>
          <w:szCs w:val="14"/>
          <w:u w:val="single"/>
        </w:rPr>
      </w:pPr>
    </w:p>
    <w:p w14:paraId="7229E88C" w14:textId="77777777" w:rsidR="005C6BA3" w:rsidRPr="005C6BA3" w:rsidRDefault="005C6BA3" w:rsidP="00840307">
      <w:pPr>
        <w:rPr>
          <w:rFonts w:eastAsia="Calibri"/>
          <w:b/>
          <w:sz w:val="14"/>
          <w:szCs w:val="14"/>
          <w:u w:val="single"/>
        </w:rPr>
      </w:pPr>
    </w:p>
    <w:p w14:paraId="4CCB48E8" w14:textId="77777777" w:rsidR="005C6BA3" w:rsidRPr="005341B8" w:rsidRDefault="005C6BA3" w:rsidP="00840307">
      <w:pPr>
        <w:pStyle w:val="Casehead1"/>
        <w:rPr>
          <w:rFonts w:eastAsia="Calibri"/>
        </w:rPr>
      </w:pPr>
      <w:r w:rsidRPr="005341B8">
        <w:rPr>
          <w:rFonts w:eastAsia="Calibri"/>
        </w:rPr>
        <w:t>The Lawsuit</w:t>
      </w:r>
    </w:p>
    <w:p w14:paraId="2DB8C479" w14:textId="77777777" w:rsidR="005C6BA3" w:rsidRPr="005C6BA3" w:rsidRDefault="005C6BA3" w:rsidP="00840307">
      <w:pPr>
        <w:rPr>
          <w:rFonts w:eastAsia="Calibri"/>
          <w:b/>
          <w:sz w:val="14"/>
          <w:szCs w:val="14"/>
          <w:u w:val="single"/>
        </w:rPr>
      </w:pPr>
    </w:p>
    <w:p w14:paraId="245627C8" w14:textId="48C9D8AC" w:rsidR="005C6BA3" w:rsidRPr="005C6BA3" w:rsidRDefault="005C6BA3" w:rsidP="00840307">
      <w:pPr>
        <w:pStyle w:val="BodyTextMain"/>
        <w:rPr>
          <w:rFonts w:eastAsia="Calibri"/>
          <w:spacing w:val="-4"/>
          <w:kern w:val="22"/>
        </w:rPr>
      </w:pPr>
      <w:proofErr w:type="spellStart"/>
      <w:r w:rsidRPr="005C6BA3">
        <w:rPr>
          <w:rFonts w:eastAsia="Calibri"/>
          <w:spacing w:val="-4"/>
          <w:kern w:val="22"/>
        </w:rPr>
        <w:t>Kirkman</w:t>
      </w:r>
      <w:proofErr w:type="spellEnd"/>
      <w:r w:rsidRPr="005C6BA3">
        <w:rPr>
          <w:rFonts w:eastAsia="Calibri"/>
          <w:spacing w:val="-4"/>
          <w:kern w:val="22"/>
        </w:rPr>
        <w:t xml:space="preserve">, the comic book writer and author of the book version of </w:t>
      </w:r>
      <w:r w:rsidRPr="005C6BA3">
        <w:rPr>
          <w:rFonts w:eastAsia="Calibri"/>
          <w:i/>
          <w:spacing w:val="-4"/>
          <w:kern w:val="22"/>
        </w:rPr>
        <w:t>TWD</w:t>
      </w:r>
      <w:r w:rsidRPr="005C6BA3">
        <w:rPr>
          <w:rFonts w:eastAsia="Calibri"/>
          <w:spacing w:val="-4"/>
          <w:kern w:val="22"/>
        </w:rPr>
        <w:t xml:space="preserve">, sold the rights to AMCN. He was then named an executive producer of the show with profit participation. The agreement was struck when the network decided that the show would be a part of its new drive toward original content, on the heels of well-received shows such as </w:t>
      </w:r>
      <w:r w:rsidRPr="005C6BA3">
        <w:rPr>
          <w:rFonts w:eastAsia="Calibri"/>
          <w:i/>
          <w:spacing w:val="-4"/>
          <w:kern w:val="22"/>
        </w:rPr>
        <w:t>Mad Men</w:t>
      </w:r>
      <w:r w:rsidRPr="005C6BA3">
        <w:rPr>
          <w:rFonts w:eastAsia="Calibri"/>
          <w:spacing w:val="-4"/>
          <w:kern w:val="22"/>
        </w:rPr>
        <w:t xml:space="preserve"> and </w:t>
      </w:r>
      <w:r w:rsidRPr="005C6BA3">
        <w:rPr>
          <w:rFonts w:eastAsia="Calibri"/>
          <w:i/>
          <w:spacing w:val="-4"/>
          <w:kern w:val="22"/>
        </w:rPr>
        <w:t>Breaking Bad</w:t>
      </w:r>
      <w:r w:rsidRPr="005C6BA3">
        <w:rPr>
          <w:rFonts w:eastAsia="Calibri"/>
          <w:spacing w:val="-4"/>
          <w:kern w:val="22"/>
        </w:rPr>
        <w:t xml:space="preserve">. </w:t>
      </w:r>
      <w:r w:rsidRPr="005C6BA3">
        <w:rPr>
          <w:rFonts w:eastAsia="Calibri"/>
          <w:i/>
          <w:spacing w:val="-4"/>
          <w:kern w:val="22"/>
        </w:rPr>
        <w:t>TWD</w:t>
      </w:r>
      <w:r w:rsidRPr="005C6BA3">
        <w:rPr>
          <w:rFonts w:eastAsia="Calibri"/>
          <w:spacing w:val="-4"/>
          <w:kern w:val="22"/>
        </w:rPr>
        <w:t xml:space="preserve"> premiered on October 31, 2010, and was an immediate success, particularly in the much coveted 18–49 age group, which was important for selling advertising time at a high rate. In its third season, the show had the highest total viewership of any series on cable television, challenging </w:t>
      </w:r>
      <w:r w:rsidRPr="005C6BA3">
        <w:rPr>
          <w:rFonts w:eastAsia="Calibri"/>
          <w:i/>
          <w:spacing w:val="-4"/>
          <w:kern w:val="22"/>
        </w:rPr>
        <w:t>NBC Sunday Night Football</w:t>
      </w:r>
      <w:r w:rsidRPr="005C6BA3">
        <w:rPr>
          <w:rFonts w:eastAsia="Calibri"/>
          <w:spacing w:val="-4"/>
          <w:kern w:val="22"/>
        </w:rPr>
        <w:t xml:space="preserve"> for the top prime time program (both on broadcast and cable television) in the 18–49 age demographic. The success of the show enabled AMCN to strengthen its original programming </w:t>
      </w:r>
      <w:proofErr w:type="spellStart"/>
      <w:r w:rsidRPr="005C6BA3">
        <w:rPr>
          <w:rFonts w:eastAsia="Calibri"/>
          <w:spacing w:val="-4"/>
          <w:kern w:val="22"/>
        </w:rPr>
        <w:t>lineup</w:t>
      </w:r>
      <w:proofErr w:type="spellEnd"/>
      <w:r w:rsidRPr="005C6BA3">
        <w:rPr>
          <w:rFonts w:eastAsia="Calibri"/>
          <w:spacing w:val="-4"/>
          <w:kern w:val="22"/>
        </w:rPr>
        <w:t xml:space="preserve"> via derivative shows such as </w:t>
      </w:r>
      <w:r w:rsidRPr="005C6BA3">
        <w:rPr>
          <w:rFonts w:eastAsia="Calibri"/>
          <w:i/>
          <w:spacing w:val="-4"/>
          <w:kern w:val="22"/>
        </w:rPr>
        <w:t>Fear the Walking Dead</w:t>
      </w:r>
      <w:r w:rsidRPr="005C6BA3">
        <w:rPr>
          <w:rFonts w:eastAsia="Calibri"/>
          <w:spacing w:val="-4"/>
          <w:kern w:val="22"/>
        </w:rPr>
        <w:t xml:space="preserve"> and </w:t>
      </w:r>
      <w:r w:rsidRPr="005C6BA3">
        <w:rPr>
          <w:rFonts w:eastAsia="Calibri"/>
          <w:i/>
          <w:spacing w:val="-4"/>
          <w:kern w:val="22"/>
        </w:rPr>
        <w:t>Talking Dead,</w:t>
      </w:r>
      <w:r w:rsidRPr="005C6BA3">
        <w:rPr>
          <w:rFonts w:eastAsia="Calibri"/>
          <w:spacing w:val="-4"/>
          <w:kern w:val="22"/>
        </w:rPr>
        <w:t xml:space="preserve"> as well as offer several Web-based series revolving around the show. In its 2013 annual report, AMCN attributed higher advertising revenues for the year (compared to the previous year), largely headed by the success of </w:t>
      </w:r>
      <w:r w:rsidRPr="005C6BA3">
        <w:rPr>
          <w:rFonts w:eastAsia="Calibri"/>
          <w:i/>
          <w:spacing w:val="-4"/>
          <w:kern w:val="22"/>
        </w:rPr>
        <w:t>TWD.</w:t>
      </w:r>
      <w:r w:rsidRPr="005C6BA3">
        <w:rPr>
          <w:rFonts w:eastAsia="Calibri"/>
          <w:i/>
          <w:spacing w:val="-4"/>
          <w:kern w:val="22"/>
          <w:vertAlign w:val="superscript"/>
        </w:rPr>
        <w:footnoteReference w:id="12"/>
      </w:r>
      <w:r w:rsidRPr="005C6BA3">
        <w:rPr>
          <w:rFonts w:eastAsia="Calibri"/>
          <w:spacing w:val="-4"/>
          <w:kern w:val="22"/>
        </w:rPr>
        <w:t xml:space="preserve"> </w:t>
      </w:r>
    </w:p>
    <w:p w14:paraId="1840E49F" w14:textId="77777777" w:rsidR="005C6BA3" w:rsidRPr="005C6BA3" w:rsidRDefault="005C6BA3" w:rsidP="00840307">
      <w:pPr>
        <w:pStyle w:val="BodyTextMain"/>
        <w:rPr>
          <w:rFonts w:eastAsia="Calibri"/>
          <w:sz w:val="14"/>
          <w:szCs w:val="14"/>
        </w:rPr>
      </w:pPr>
    </w:p>
    <w:p w14:paraId="757204E3" w14:textId="36E756FD" w:rsidR="005C6BA3" w:rsidRPr="005C6BA3" w:rsidRDefault="005C6BA3" w:rsidP="00417F51">
      <w:pPr>
        <w:pStyle w:val="BodyTextMain"/>
        <w:rPr>
          <w:rFonts w:eastAsia="Calibri"/>
        </w:rPr>
      </w:pPr>
      <w:proofErr w:type="spellStart"/>
      <w:r w:rsidRPr="005C6BA3">
        <w:rPr>
          <w:rFonts w:eastAsia="Calibri"/>
        </w:rPr>
        <w:t>Kirkman</w:t>
      </w:r>
      <w:proofErr w:type="spellEnd"/>
      <w:r w:rsidRPr="005C6BA3">
        <w:rPr>
          <w:rFonts w:eastAsia="Calibri"/>
        </w:rPr>
        <w:t xml:space="preserve"> and four other parties (who acted as producers and executive producers of the show) entered into a profit-sharing agreement with AMC Studios. The profit share ranged from 1.5 per cent to 7.5 per cent of modified adjusted gross receipts, which was the standard per episode licence fee paid by the network to its producing arm. The </w:t>
      </w:r>
      <w:proofErr w:type="spellStart"/>
      <w:r w:rsidRPr="005C6BA3">
        <w:rPr>
          <w:rFonts w:eastAsia="Calibri"/>
        </w:rPr>
        <w:t>Kirkman</w:t>
      </w:r>
      <w:proofErr w:type="spellEnd"/>
      <w:r w:rsidRPr="005C6BA3">
        <w:rPr>
          <w:rFonts w:eastAsia="Calibri"/>
        </w:rPr>
        <w:t xml:space="preserve"> lawsuit alleged that AMC Studios agreed to a licence fee that was equivalent to only 68 per cent reimbursement for the cost of producing the show. That percentage was lower than comparable agreements of 77 per cent for </w:t>
      </w:r>
      <w:r w:rsidRPr="005C6BA3">
        <w:rPr>
          <w:rFonts w:eastAsia="Calibri"/>
          <w:i/>
        </w:rPr>
        <w:t>Breaking Bad</w:t>
      </w:r>
      <w:r w:rsidRPr="005C6BA3">
        <w:rPr>
          <w:rFonts w:eastAsia="Calibri"/>
        </w:rPr>
        <w:t xml:space="preserve"> (produced by Sony Pictures Television), 85 per cent for </w:t>
      </w:r>
      <w:r w:rsidRPr="005C6BA3">
        <w:rPr>
          <w:rFonts w:eastAsia="Calibri"/>
          <w:i/>
        </w:rPr>
        <w:t>Mad Men</w:t>
      </w:r>
      <w:r w:rsidRPr="005C6BA3">
        <w:rPr>
          <w:rFonts w:eastAsia="Calibri"/>
        </w:rPr>
        <w:t xml:space="preserve"> (produced by Lions Gate Entertainment Corp.), and 83 per cent for </w:t>
      </w:r>
      <w:r w:rsidRPr="005C6BA3">
        <w:rPr>
          <w:rFonts w:eastAsia="Calibri"/>
          <w:i/>
        </w:rPr>
        <w:t>Better Call Saul</w:t>
      </w:r>
      <w:r w:rsidRPr="005C6BA3">
        <w:rPr>
          <w:rFonts w:eastAsia="Calibri"/>
        </w:rPr>
        <w:t xml:space="preserve"> (produced by Lions Gate Entertainment Corp.).  All three of these shows had multiple season runs on AMCN. In addition, the lawsuit alleged that the 68 per cent reimbursement was fixed for the entire duration of </w:t>
      </w:r>
      <w:r w:rsidRPr="005C6BA3">
        <w:rPr>
          <w:rFonts w:eastAsia="Calibri"/>
          <w:i/>
        </w:rPr>
        <w:t>TWD</w:t>
      </w:r>
      <w:r w:rsidRPr="005C6BA3">
        <w:rPr>
          <w:rFonts w:eastAsia="Calibri"/>
        </w:rPr>
        <w:t xml:space="preserve">, whereas shows produced by outside studios were given 100 per cent reimbursement starting with season 5, and greater than 100 per cent starting in season 6. The suit contended that because AMCN was vertically integrated, it gave up profits at the studio level (which lowered the profit participation amounts paid to the creative talent) so that it could report abnormal profits at the network level. To reiterate its main thesis, the lawsuit quoted </w:t>
      </w:r>
      <w:proofErr w:type="spellStart"/>
      <w:r w:rsidRPr="005C6BA3">
        <w:rPr>
          <w:rFonts w:eastAsia="Calibri"/>
        </w:rPr>
        <w:t>Sapan’s</w:t>
      </w:r>
      <w:proofErr w:type="spellEnd"/>
      <w:r w:rsidRPr="005C6BA3">
        <w:rPr>
          <w:rFonts w:eastAsia="Calibri"/>
        </w:rPr>
        <w:t xml:space="preserve"> own words:</w:t>
      </w:r>
      <w:r w:rsidRPr="005C6BA3">
        <w:rPr>
          <w:rStyle w:val="FootnoteReference"/>
          <w:rFonts w:eastAsia="Calibri"/>
        </w:rPr>
        <w:footnoteReference w:id="13"/>
      </w:r>
    </w:p>
    <w:p w14:paraId="03CF6871" w14:textId="77777777" w:rsidR="005C6BA3" w:rsidRPr="005C6BA3" w:rsidRDefault="005C6BA3" w:rsidP="00840307">
      <w:pPr>
        <w:pStyle w:val="BodyTextMain"/>
        <w:rPr>
          <w:rFonts w:eastAsia="Calibri"/>
          <w:sz w:val="14"/>
          <w:szCs w:val="14"/>
        </w:rPr>
      </w:pPr>
    </w:p>
    <w:p w14:paraId="2034C65F" w14:textId="620D735B" w:rsidR="005C6BA3" w:rsidRPr="005341B8" w:rsidRDefault="005C6BA3" w:rsidP="00840307">
      <w:pPr>
        <w:pStyle w:val="BodyTextMain"/>
        <w:ind w:left="720"/>
        <w:rPr>
          <w:spacing w:val="-2"/>
          <w:kern w:val="22"/>
        </w:rPr>
      </w:pPr>
      <w:r w:rsidRPr="005341B8">
        <w:rPr>
          <w:spacing w:val="-2"/>
          <w:kern w:val="22"/>
        </w:rPr>
        <w:t>The standard rule in TV is if the show is successful, the network will pay more. If you are the studio, then you’re paying yourself in many cases. So, it’s why we have such a strong bias toward owning content. So, if you own, your costs will go up, but you’re not going to negotiate with yourself.</w:t>
      </w:r>
      <w:r w:rsidRPr="005341B8">
        <w:rPr>
          <w:spacing w:val="-2"/>
          <w:kern w:val="22"/>
          <w:vertAlign w:val="superscript"/>
        </w:rPr>
        <w:footnoteReference w:id="14"/>
      </w:r>
    </w:p>
    <w:p w14:paraId="23AAE75B" w14:textId="77777777" w:rsidR="005C6BA3" w:rsidRPr="005C6BA3" w:rsidRDefault="005C6BA3" w:rsidP="00840307">
      <w:pPr>
        <w:ind w:firstLine="720"/>
        <w:rPr>
          <w:rFonts w:eastAsia="Calibri"/>
          <w:i/>
          <w:sz w:val="14"/>
          <w:szCs w:val="14"/>
        </w:rPr>
      </w:pPr>
    </w:p>
    <w:p w14:paraId="6E7A546A" w14:textId="77777777" w:rsidR="005C6BA3" w:rsidRDefault="005C6BA3" w:rsidP="00840307">
      <w:pPr>
        <w:ind w:firstLine="720"/>
        <w:rPr>
          <w:rFonts w:eastAsia="Calibri"/>
          <w:i/>
          <w:sz w:val="14"/>
          <w:szCs w:val="14"/>
        </w:rPr>
      </w:pPr>
    </w:p>
    <w:p w14:paraId="5701FC64" w14:textId="77777777" w:rsidR="00965CF6" w:rsidRDefault="00965CF6" w:rsidP="00840307">
      <w:pPr>
        <w:ind w:firstLine="720"/>
        <w:rPr>
          <w:rFonts w:eastAsia="Calibri"/>
          <w:i/>
          <w:sz w:val="14"/>
          <w:szCs w:val="14"/>
        </w:rPr>
      </w:pPr>
    </w:p>
    <w:p w14:paraId="023C6B2A" w14:textId="77777777" w:rsidR="00965CF6" w:rsidRPr="005C6BA3" w:rsidRDefault="00965CF6" w:rsidP="00840307">
      <w:pPr>
        <w:ind w:firstLine="720"/>
        <w:rPr>
          <w:rFonts w:eastAsia="Calibri"/>
          <w:i/>
          <w:sz w:val="14"/>
          <w:szCs w:val="14"/>
        </w:rPr>
      </w:pPr>
      <w:bookmarkStart w:id="6" w:name="_GoBack"/>
      <w:bookmarkEnd w:id="6"/>
    </w:p>
    <w:p w14:paraId="660555D9" w14:textId="640107CF" w:rsidR="005C6BA3" w:rsidRPr="005341B8" w:rsidRDefault="005C6BA3" w:rsidP="00840307">
      <w:pPr>
        <w:pStyle w:val="Casehead1"/>
        <w:rPr>
          <w:rFonts w:eastAsia="Calibri"/>
        </w:rPr>
      </w:pPr>
      <w:r w:rsidRPr="005341B8">
        <w:rPr>
          <w:rFonts w:eastAsia="Calibri"/>
        </w:rPr>
        <w:lastRenderedPageBreak/>
        <w:t xml:space="preserve">The Changing </w:t>
      </w:r>
      <w:r>
        <w:rPr>
          <w:rFonts w:eastAsia="Calibri"/>
        </w:rPr>
        <w:t>content-viewing</w:t>
      </w:r>
      <w:r w:rsidRPr="005341B8">
        <w:rPr>
          <w:rFonts w:eastAsia="Calibri"/>
        </w:rPr>
        <w:t xml:space="preserve"> Landscape</w:t>
      </w:r>
    </w:p>
    <w:p w14:paraId="75BB6309" w14:textId="77777777" w:rsidR="005C6BA3" w:rsidRPr="005C6BA3" w:rsidRDefault="005C6BA3" w:rsidP="00840307">
      <w:pPr>
        <w:rPr>
          <w:rFonts w:eastAsia="Calibri"/>
          <w:b/>
          <w:sz w:val="14"/>
          <w:szCs w:val="14"/>
          <w:u w:val="single"/>
        </w:rPr>
      </w:pPr>
    </w:p>
    <w:p w14:paraId="30D33E1E" w14:textId="3CE885EC" w:rsidR="005C6BA3" w:rsidRPr="005341B8" w:rsidRDefault="005C6BA3" w:rsidP="00840307">
      <w:pPr>
        <w:pStyle w:val="BodyTextMain"/>
        <w:rPr>
          <w:rFonts w:eastAsia="Calibri"/>
        </w:rPr>
      </w:pPr>
      <w:r w:rsidRPr="005341B8">
        <w:rPr>
          <w:rFonts w:eastAsia="Calibri"/>
        </w:rPr>
        <w:t>In 2017, both television broadcasters and cable network operators faced a new competitive landscape.</w:t>
      </w:r>
      <w:r w:rsidRPr="005341B8">
        <w:rPr>
          <w:rFonts w:eastAsia="Calibri"/>
          <w:vertAlign w:val="superscript"/>
        </w:rPr>
        <w:footnoteReference w:id="15"/>
      </w:r>
      <w:r w:rsidRPr="005341B8">
        <w:rPr>
          <w:rFonts w:eastAsia="Calibri"/>
        </w:rPr>
        <w:t xml:space="preserve"> Broadcast television first saw a changing environment in the 1980s with audience erosion caused by a proliferation of cable networks. Previously, television viewers had a choice of viewing programs from the big three networks (ABC, CBS, and NBC) or from the Public Broadcasting Service (commonly known as PBS). By 2017, cable subscription viewers had an average of 150 channels to choose from, depending on their particular subscription. A Morgan Stanley report noted that broadcast television ratings had declined by 50 per cent from 2002 to 2013.</w:t>
      </w:r>
      <w:r w:rsidRPr="005341B8">
        <w:rPr>
          <w:rFonts w:eastAsia="Calibri"/>
          <w:vertAlign w:val="superscript"/>
        </w:rPr>
        <w:footnoteReference w:id="16"/>
      </w:r>
      <w:r w:rsidRPr="005341B8">
        <w:rPr>
          <w:rFonts w:eastAsia="Calibri"/>
        </w:rPr>
        <w:t xml:space="preserve"> Cable networks were adversely affected by an increasing preference for </w:t>
      </w:r>
      <w:r>
        <w:rPr>
          <w:rFonts w:eastAsia="Calibri"/>
        </w:rPr>
        <w:t>cord cutting</w:t>
      </w:r>
      <w:r w:rsidRPr="005341B8">
        <w:rPr>
          <w:rFonts w:eastAsia="Calibri"/>
        </w:rPr>
        <w:t xml:space="preserve">, </w:t>
      </w:r>
      <w:r>
        <w:rPr>
          <w:rFonts w:eastAsia="Calibri"/>
        </w:rPr>
        <w:t>wherein</w:t>
      </w:r>
      <w:r w:rsidRPr="005341B8">
        <w:rPr>
          <w:rFonts w:eastAsia="Calibri"/>
        </w:rPr>
        <w:t xml:space="preserve"> subscribers </w:t>
      </w:r>
      <w:r>
        <w:rPr>
          <w:rFonts w:eastAsia="Calibri"/>
        </w:rPr>
        <w:t xml:space="preserve">who </w:t>
      </w:r>
      <w:r w:rsidRPr="005341B8">
        <w:rPr>
          <w:rFonts w:eastAsia="Calibri"/>
        </w:rPr>
        <w:t xml:space="preserve">were reluctant to pay for a bundle of cable channels from their service provider </w:t>
      </w:r>
      <w:r>
        <w:rPr>
          <w:rFonts w:eastAsia="Calibri"/>
        </w:rPr>
        <w:t>chose</w:t>
      </w:r>
      <w:r w:rsidRPr="005341B8">
        <w:rPr>
          <w:rFonts w:eastAsia="Calibri"/>
        </w:rPr>
        <w:t xml:space="preserve"> instead to subscribe directly to individual channels via an online streaming service. Another report captured the shift in audience preference as follows:</w:t>
      </w:r>
    </w:p>
    <w:p w14:paraId="3302C377" w14:textId="77777777" w:rsidR="005C6BA3" w:rsidRPr="005341B8" w:rsidRDefault="005C6BA3" w:rsidP="00840307">
      <w:pPr>
        <w:rPr>
          <w:rFonts w:eastAsia="Calibri"/>
          <w:sz w:val="22"/>
          <w:szCs w:val="22"/>
        </w:rPr>
      </w:pPr>
    </w:p>
    <w:p w14:paraId="09B63252" w14:textId="7E3DB3F9" w:rsidR="005C6BA3" w:rsidRPr="005341B8" w:rsidRDefault="005C6BA3">
      <w:pPr>
        <w:pStyle w:val="BodyTextMain"/>
        <w:ind w:left="720"/>
        <w:rPr>
          <w:rFonts w:eastAsia="Calibri"/>
        </w:rPr>
      </w:pPr>
      <w:r w:rsidRPr="005341B8">
        <w:rPr>
          <w:rFonts w:eastAsia="Calibri"/>
        </w:rPr>
        <w:t xml:space="preserve">Traditional </w:t>
      </w:r>
      <w:proofErr w:type="spellStart"/>
      <w:r w:rsidRPr="005341B8">
        <w:rPr>
          <w:rFonts w:eastAsia="Calibri"/>
        </w:rPr>
        <w:t>pay-TV</w:t>
      </w:r>
      <w:proofErr w:type="spellEnd"/>
      <w:r w:rsidRPr="005341B8">
        <w:rPr>
          <w:rFonts w:eastAsia="Calibri"/>
        </w:rPr>
        <w:t xml:space="preserve"> providers—cable, satellite, and phone companies—lost 1.7 million subscribers in 2016, and the pace is accelerating with 2.6 million in the first nine months of 2017. This was really the year that cord-cutting went mainstream. It was mostly based on the availability of compelling streaming services. The genie is out of the bottle and it is not going to be put back in. The media companies are now dependent on the over-the-top (streaming) providers to sustain their distribution, so they have no choice but to stream forward and make their content available.</w:t>
      </w:r>
      <w:r w:rsidRPr="005341B8">
        <w:rPr>
          <w:rFonts w:eastAsia="Calibri"/>
          <w:vertAlign w:val="superscript"/>
        </w:rPr>
        <w:footnoteReference w:id="17"/>
      </w:r>
    </w:p>
    <w:p w14:paraId="3AE8C21A" w14:textId="77777777" w:rsidR="005C6BA3" w:rsidRPr="005341B8" w:rsidRDefault="005C6BA3" w:rsidP="00840307">
      <w:pPr>
        <w:pStyle w:val="BodyTextMain"/>
        <w:rPr>
          <w:rFonts w:eastAsia="Calibri"/>
        </w:rPr>
      </w:pPr>
    </w:p>
    <w:p w14:paraId="2DB52DDC" w14:textId="3F66794A" w:rsidR="005C6BA3" w:rsidRPr="005341B8" w:rsidRDefault="005C6BA3" w:rsidP="00840307">
      <w:pPr>
        <w:pStyle w:val="BodyTextMain"/>
        <w:rPr>
          <w:rFonts w:eastAsia="Calibri"/>
        </w:rPr>
      </w:pPr>
      <w:r w:rsidRPr="005341B8">
        <w:rPr>
          <w:rFonts w:eastAsia="Calibri"/>
        </w:rPr>
        <w:t xml:space="preserve">Viewership determined advertising rates for broadcast television and both advertising rates and subscriber fee for cable networks. However, despite a high cable subscription rate of 94 million in 2017, average viewership for shows had declined. For example, the 1996–97 season of </w:t>
      </w:r>
      <w:r w:rsidRPr="005341B8">
        <w:rPr>
          <w:rFonts w:eastAsia="Calibri"/>
          <w:i/>
        </w:rPr>
        <w:t>ER</w:t>
      </w:r>
      <w:r w:rsidRPr="005341B8">
        <w:rPr>
          <w:rFonts w:eastAsia="Calibri"/>
        </w:rPr>
        <w:t>, one of NBC’s top shows,</w:t>
      </w:r>
      <w:r w:rsidRPr="005341B8">
        <w:rPr>
          <w:rFonts w:eastAsia="Calibri"/>
          <w:i/>
        </w:rPr>
        <w:t xml:space="preserve"> </w:t>
      </w:r>
      <w:r w:rsidRPr="005341B8">
        <w:rPr>
          <w:rFonts w:eastAsia="Calibri"/>
        </w:rPr>
        <w:t>had an audience of 30.79 million.</w:t>
      </w:r>
      <w:r w:rsidRPr="005341B8">
        <w:rPr>
          <w:rFonts w:eastAsia="Calibri"/>
          <w:vertAlign w:val="superscript"/>
        </w:rPr>
        <w:footnoteReference w:id="18"/>
      </w:r>
      <w:r w:rsidRPr="005341B8">
        <w:rPr>
          <w:rFonts w:eastAsia="Calibri"/>
        </w:rPr>
        <w:t xml:space="preserve"> In contrast, the 2016–17 season of </w:t>
      </w:r>
      <w:r w:rsidRPr="005341B8">
        <w:rPr>
          <w:rFonts w:eastAsia="Calibri"/>
          <w:i/>
        </w:rPr>
        <w:t>NCIS</w:t>
      </w:r>
      <w:r w:rsidRPr="005341B8">
        <w:rPr>
          <w:rFonts w:eastAsia="Calibri"/>
        </w:rPr>
        <w:t>, one of NBC’s top 10 shows, had an audience of only 14.6 million.</w:t>
      </w:r>
      <w:r w:rsidRPr="005341B8">
        <w:rPr>
          <w:rFonts w:eastAsia="Calibri"/>
          <w:vertAlign w:val="superscript"/>
        </w:rPr>
        <w:footnoteReference w:id="19"/>
      </w:r>
      <w:r w:rsidRPr="005341B8">
        <w:rPr>
          <w:rFonts w:eastAsia="Calibri"/>
        </w:rPr>
        <w:t xml:space="preserve"> </w:t>
      </w:r>
    </w:p>
    <w:p w14:paraId="1AAD21FF" w14:textId="77777777" w:rsidR="005C6BA3" w:rsidRPr="005341B8" w:rsidRDefault="005C6BA3" w:rsidP="00840307">
      <w:pPr>
        <w:pStyle w:val="BodyTextMain"/>
        <w:rPr>
          <w:rFonts w:eastAsia="Calibri"/>
        </w:rPr>
      </w:pPr>
    </w:p>
    <w:p w14:paraId="7EFDFBA4" w14:textId="1CF9E455" w:rsidR="005C6BA3" w:rsidRPr="005341B8" w:rsidRDefault="005C6BA3" w:rsidP="00840307">
      <w:pPr>
        <w:pStyle w:val="BodyTextMain"/>
        <w:rPr>
          <w:rFonts w:eastAsia="Calibri"/>
        </w:rPr>
      </w:pPr>
      <w:r w:rsidRPr="005341B8">
        <w:rPr>
          <w:rFonts w:eastAsia="Calibri"/>
        </w:rPr>
        <w:t>Several key players entered the content distribution arena via online streaming, which meant delivering content over the Internet. Chief among them were Netflix, with 118 million subscribers globally,</w:t>
      </w:r>
      <w:r w:rsidRPr="005341B8">
        <w:rPr>
          <w:rStyle w:val="FootnoteReference"/>
          <w:rFonts w:eastAsia="Calibri"/>
        </w:rPr>
        <w:footnoteReference w:id="20"/>
      </w:r>
      <w:r w:rsidRPr="005341B8">
        <w:rPr>
          <w:rFonts w:eastAsia="Calibri"/>
        </w:rPr>
        <w:t xml:space="preserve"> Amazon Prime, with more than 100 million global subscribers,</w:t>
      </w:r>
      <w:r w:rsidRPr="005341B8">
        <w:rPr>
          <w:rStyle w:val="FootnoteReference"/>
          <w:rFonts w:eastAsia="Calibri"/>
        </w:rPr>
        <w:footnoteReference w:id="21"/>
      </w:r>
      <w:r w:rsidRPr="005341B8">
        <w:rPr>
          <w:rFonts w:eastAsia="Calibri"/>
        </w:rPr>
        <w:t xml:space="preserve"> and Hulu, with 20 million </w:t>
      </w:r>
      <w:r w:rsidR="00965CF6">
        <w:rPr>
          <w:rFonts w:eastAsia="Calibri"/>
        </w:rPr>
        <w:t>US</w:t>
      </w:r>
      <w:r w:rsidRPr="005341B8">
        <w:rPr>
          <w:rFonts w:eastAsia="Calibri"/>
        </w:rPr>
        <w:t xml:space="preserve"> subscribers.</w:t>
      </w:r>
      <w:r w:rsidRPr="005341B8">
        <w:rPr>
          <w:rStyle w:val="FootnoteReference"/>
          <w:rFonts w:eastAsia="Calibri"/>
        </w:rPr>
        <w:footnoteReference w:id="22"/>
      </w:r>
      <w:r w:rsidRPr="005341B8">
        <w:rPr>
          <w:rFonts w:eastAsia="Calibri"/>
        </w:rPr>
        <w:t xml:space="preserve"> These three streaming services had started out small in 2010 as distribution platforms for </w:t>
      </w:r>
      <w:r>
        <w:rPr>
          <w:rFonts w:eastAsia="Calibri"/>
        </w:rPr>
        <w:t>third party</w:t>
      </w:r>
      <w:r w:rsidRPr="005341B8">
        <w:rPr>
          <w:rFonts w:eastAsia="Calibri"/>
        </w:rPr>
        <w:t xml:space="preserve"> content. However, like their cable television counterparts, they increasingly turned to original scripted content as a way to distinguish themselves from the competition (see Exhibit 2). </w:t>
      </w:r>
    </w:p>
    <w:p w14:paraId="70ABB1C5" w14:textId="77777777" w:rsidR="005C6BA3" w:rsidRPr="005341B8" w:rsidRDefault="005C6BA3" w:rsidP="00840307">
      <w:pPr>
        <w:pStyle w:val="BodyTextMain"/>
        <w:rPr>
          <w:rFonts w:eastAsia="Calibri"/>
        </w:rPr>
      </w:pPr>
    </w:p>
    <w:p w14:paraId="05CFC1B0" w14:textId="7FB1546E" w:rsidR="005C6BA3" w:rsidRPr="005341B8" w:rsidRDefault="005C6BA3" w:rsidP="00840307">
      <w:pPr>
        <w:pStyle w:val="BodyTextMain"/>
        <w:rPr>
          <w:rFonts w:eastAsia="Calibri"/>
        </w:rPr>
      </w:pPr>
      <w:r w:rsidRPr="005341B8">
        <w:rPr>
          <w:rFonts w:eastAsia="Calibri"/>
        </w:rPr>
        <w:t xml:space="preserve">The competitive market for original scripted content opened significant opportunities for the creative community. Netflix’s success in signing a long-term contract with Shonda </w:t>
      </w:r>
      <w:proofErr w:type="spellStart"/>
      <w:r w:rsidRPr="005341B8">
        <w:rPr>
          <w:rFonts w:eastAsia="Calibri"/>
        </w:rPr>
        <w:t>Rhimes</w:t>
      </w:r>
      <w:proofErr w:type="spellEnd"/>
      <w:r w:rsidRPr="005341B8">
        <w:rPr>
          <w:rFonts w:eastAsia="Calibri"/>
        </w:rPr>
        <w:t xml:space="preserve"> was an example of that </w:t>
      </w:r>
      <w:r w:rsidRPr="005341B8">
        <w:rPr>
          <w:rFonts w:eastAsia="Calibri"/>
        </w:rPr>
        <w:lastRenderedPageBreak/>
        <w:t>shift.</w:t>
      </w:r>
      <w:r w:rsidRPr="005341B8">
        <w:rPr>
          <w:rStyle w:val="FootnoteReference"/>
          <w:rFonts w:eastAsia="Calibri"/>
        </w:rPr>
        <w:footnoteReference w:id="23"/>
      </w:r>
      <w:r w:rsidRPr="005341B8">
        <w:rPr>
          <w:rFonts w:eastAsia="Calibri"/>
        </w:rPr>
        <w:t xml:space="preserve"> </w:t>
      </w:r>
      <w:proofErr w:type="spellStart"/>
      <w:r w:rsidRPr="005341B8">
        <w:rPr>
          <w:rFonts w:eastAsia="Calibri"/>
        </w:rPr>
        <w:t>Rhimes</w:t>
      </w:r>
      <w:proofErr w:type="spellEnd"/>
      <w:r w:rsidRPr="005341B8">
        <w:rPr>
          <w:rFonts w:eastAsia="Calibri"/>
        </w:rPr>
        <w:t xml:space="preserve"> had developed her first show for ABC in 2005—</w:t>
      </w:r>
      <w:r w:rsidRPr="005341B8">
        <w:rPr>
          <w:rFonts w:eastAsia="Calibri"/>
          <w:i/>
        </w:rPr>
        <w:t>Grey’s Anatomy</w:t>
      </w:r>
      <w:r w:rsidRPr="005341B8">
        <w:rPr>
          <w:rFonts w:eastAsia="Calibri"/>
        </w:rPr>
        <w:t xml:space="preserve">. The success of the show led to her developing other shows for that network, including </w:t>
      </w:r>
      <w:r w:rsidRPr="005341B8">
        <w:rPr>
          <w:rFonts w:eastAsia="Calibri"/>
          <w:i/>
        </w:rPr>
        <w:t>Private Practice</w:t>
      </w:r>
      <w:r w:rsidRPr="005341B8">
        <w:rPr>
          <w:rFonts w:eastAsia="Calibri"/>
        </w:rPr>
        <w:t xml:space="preserve">, </w:t>
      </w:r>
      <w:r w:rsidRPr="005341B8">
        <w:rPr>
          <w:rFonts w:eastAsia="Calibri"/>
          <w:i/>
        </w:rPr>
        <w:t>Scandal</w:t>
      </w:r>
      <w:r w:rsidRPr="005341B8">
        <w:rPr>
          <w:rFonts w:eastAsia="Calibri"/>
        </w:rPr>
        <w:t xml:space="preserve">, and </w:t>
      </w:r>
      <w:r w:rsidRPr="005341B8">
        <w:rPr>
          <w:rFonts w:eastAsia="Calibri"/>
          <w:i/>
        </w:rPr>
        <w:t>How to Get Away with Murder</w:t>
      </w:r>
      <w:r w:rsidRPr="005341B8">
        <w:rPr>
          <w:rFonts w:eastAsia="Calibri"/>
        </w:rPr>
        <w:t xml:space="preserve">, all of which had successful </w:t>
      </w:r>
      <w:r>
        <w:rPr>
          <w:rFonts w:eastAsia="Calibri"/>
        </w:rPr>
        <w:t>multiple-season</w:t>
      </w:r>
      <w:r w:rsidRPr="005341B8">
        <w:rPr>
          <w:rFonts w:eastAsia="Calibri"/>
        </w:rPr>
        <w:t xml:space="preserve"> runs. At the time, ABC reportedly paid </w:t>
      </w:r>
      <w:proofErr w:type="spellStart"/>
      <w:r w:rsidRPr="005341B8">
        <w:rPr>
          <w:rFonts w:eastAsia="Calibri"/>
        </w:rPr>
        <w:t>Rhimes</w:t>
      </w:r>
      <w:proofErr w:type="spellEnd"/>
      <w:r w:rsidRPr="005341B8">
        <w:rPr>
          <w:rFonts w:eastAsia="Calibri"/>
        </w:rPr>
        <w:t xml:space="preserve"> $10 million per year for exclusive access to her shows.</w:t>
      </w:r>
      <w:r w:rsidRPr="005341B8">
        <w:rPr>
          <w:rStyle w:val="FootnoteReference"/>
          <w:rFonts w:eastAsia="Calibri"/>
        </w:rPr>
        <w:footnoteReference w:id="24"/>
      </w:r>
      <w:r w:rsidRPr="005341B8">
        <w:rPr>
          <w:rFonts w:eastAsia="Calibri"/>
        </w:rPr>
        <w:t xml:space="preserve"> A </w:t>
      </w:r>
      <w:r w:rsidRPr="005341B8">
        <w:rPr>
          <w:rFonts w:eastAsia="Calibri"/>
          <w:i/>
        </w:rPr>
        <w:t>New York Times</w:t>
      </w:r>
      <w:r w:rsidRPr="005341B8">
        <w:rPr>
          <w:rFonts w:eastAsia="Calibri"/>
        </w:rPr>
        <w:t xml:space="preserve"> article described her importance to the network:</w:t>
      </w:r>
    </w:p>
    <w:p w14:paraId="0E463ECE" w14:textId="77777777" w:rsidR="005C6BA3" w:rsidRPr="005341B8" w:rsidRDefault="005C6BA3" w:rsidP="00840307">
      <w:pPr>
        <w:rPr>
          <w:rFonts w:eastAsia="Calibri"/>
          <w:sz w:val="22"/>
          <w:szCs w:val="22"/>
        </w:rPr>
      </w:pPr>
    </w:p>
    <w:p w14:paraId="06A60042" w14:textId="5101082F" w:rsidR="005C6BA3" w:rsidRPr="005341B8" w:rsidRDefault="005C6BA3" w:rsidP="00840307">
      <w:pPr>
        <w:pStyle w:val="BodyTextMain"/>
        <w:ind w:left="720"/>
        <w:rPr>
          <w:rFonts w:eastAsia="Calibri"/>
        </w:rPr>
      </w:pPr>
      <w:proofErr w:type="spellStart"/>
      <w:r w:rsidRPr="005341B8">
        <w:rPr>
          <w:rFonts w:eastAsia="Calibri"/>
        </w:rPr>
        <w:t>Rhimes</w:t>
      </w:r>
      <w:proofErr w:type="spellEnd"/>
      <w:r w:rsidRPr="005341B8">
        <w:rPr>
          <w:rFonts w:eastAsia="Calibri"/>
        </w:rPr>
        <w:t xml:space="preserve"> is one of the most powerful showrunners in the business, full stop. She is among the few remaining bona fide network </w:t>
      </w:r>
      <w:proofErr w:type="spellStart"/>
      <w:r w:rsidRPr="005341B8">
        <w:rPr>
          <w:rFonts w:eastAsia="Calibri"/>
        </w:rPr>
        <w:t>hitmakers</w:t>
      </w:r>
      <w:proofErr w:type="spellEnd"/>
      <w:r w:rsidRPr="005341B8">
        <w:rPr>
          <w:rFonts w:eastAsia="Calibri"/>
        </w:rPr>
        <w:t xml:space="preserve">. Channing </w:t>
      </w:r>
      <w:proofErr w:type="spellStart"/>
      <w:r w:rsidRPr="005341B8">
        <w:rPr>
          <w:rFonts w:eastAsia="Calibri"/>
        </w:rPr>
        <w:t>Dungey</w:t>
      </w:r>
      <w:proofErr w:type="spellEnd"/>
      <w:r w:rsidRPr="005341B8">
        <w:rPr>
          <w:rFonts w:eastAsia="Calibri"/>
        </w:rPr>
        <w:t xml:space="preserve">, who oversees ABC’s drama development, describes </w:t>
      </w:r>
      <w:proofErr w:type="spellStart"/>
      <w:r w:rsidRPr="005341B8">
        <w:rPr>
          <w:rFonts w:eastAsia="Calibri"/>
        </w:rPr>
        <w:t>Rhimes</w:t>
      </w:r>
      <w:proofErr w:type="spellEnd"/>
      <w:r w:rsidRPr="005341B8">
        <w:rPr>
          <w:rFonts w:eastAsia="Calibri"/>
        </w:rPr>
        <w:t xml:space="preserve"> as “incredibly important” to the network. “If she came in tomorrow and said ‘I’ve a great idea,’ I would jump at it.” Since 2009, ABC has given over its Thursday-night </w:t>
      </w:r>
      <w:proofErr w:type="spellStart"/>
      <w:r w:rsidRPr="005341B8">
        <w:rPr>
          <w:rFonts w:eastAsia="Calibri"/>
        </w:rPr>
        <w:t>lineup</w:t>
      </w:r>
      <w:proofErr w:type="spellEnd"/>
      <w:r w:rsidRPr="005341B8">
        <w:rPr>
          <w:rFonts w:eastAsia="Calibri"/>
        </w:rPr>
        <w:t xml:space="preserve"> to a solid two-hour Shonda </w:t>
      </w:r>
      <w:proofErr w:type="spellStart"/>
      <w:r w:rsidRPr="005341B8">
        <w:rPr>
          <w:rFonts w:eastAsia="Calibri"/>
        </w:rPr>
        <w:t>Rhimes</w:t>
      </w:r>
      <w:proofErr w:type="spellEnd"/>
      <w:r w:rsidRPr="005341B8">
        <w:rPr>
          <w:rFonts w:eastAsia="Calibri"/>
        </w:rPr>
        <w:t xml:space="preserve"> programming block.</w:t>
      </w:r>
      <w:r w:rsidRPr="005341B8">
        <w:rPr>
          <w:rFonts w:eastAsia="Calibri"/>
          <w:vertAlign w:val="superscript"/>
        </w:rPr>
        <w:footnoteReference w:id="25"/>
      </w:r>
    </w:p>
    <w:p w14:paraId="29648D57" w14:textId="77777777" w:rsidR="005C6BA3" w:rsidRPr="005341B8" w:rsidRDefault="005C6BA3" w:rsidP="00840307">
      <w:pPr>
        <w:ind w:firstLine="720"/>
        <w:rPr>
          <w:rFonts w:eastAsia="Calibri"/>
          <w:sz w:val="22"/>
          <w:szCs w:val="22"/>
        </w:rPr>
      </w:pPr>
    </w:p>
    <w:p w14:paraId="118F0046" w14:textId="2FA3C62C" w:rsidR="005C6BA3" w:rsidRPr="005341B8" w:rsidRDefault="005C6BA3" w:rsidP="00840307">
      <w:pPr>
        <w:pStyle w:val="BodyTextMain"/>
        <w:rPr>
          <w:rFonts w:eastAsia="Calibri"/>
        </w:rPr>
      </w:pPr>
      <w:r w:rsidRPr="005341B8">
        <w:rPr>
          <w:rFonts w:eastAsia="Calibri"/>
        </w:rPr>
        <w:t xml:space="preserve">In August 2017, when Netflix announced that it had signed an exclusive long-term deal with </w:t>
      </w:r>
      <w:proofErr w:type="spellStart"/>
      <w:r w:rsidRPr="005341B8">
        <w:rPr>
          <w:rFonts w:eastAsia="Calibri"/>
        </w:rPr>
        <w:t>Rhimes</w:t>
      </w:r>
      <w:proofErr w:type="spellEnd"/>
      <w:r>
        <w:rPr>
          <w:rFonts w:eastAsia="Calibri"/>
        </w:rPr>
        <w:t>,</w:t>
      </w:r>
      <w:r w:rsidRPr="005341B8">
        <w:rPr>
          <w:rFonts w:eastAsia="Calibri"/>
        </w:rPr>
        <w:t xml:space="preserve"> </w:t>
      </w:r>
      <w:r w:rsidRPr="005341B8">
        <w:rPr>
          <w:rFonts w:eastAsia="Calibri"/>
          <w:i/>
        </w:rPr>
        <w:t>Variety</w:t>
      </w:r>
      <w:r w:rsidRPr="005341B8">
        <w:rPr>
          <w:rFonts w:eastAsia="Calibri"/>
        </w:rPr>
        <w:t xml:space="preserve"> magazine described Netflix’s coup in luring away the hit showrunner as an important victory in the arms race for original content.</w:t>
      </w:r>
      <w:r w:rsidRPr="005341B8">
        <w:rPr>
          <w:rFonts w:eastAsia="Calibri"/>
          <w:vertAlign w:val="superscript"/>
        </w:rPr>
        <w:footnoteReference w:id="26"/>
      </w:r>
      <w:r>
        <w:rPr>
          <w:rFonts w:eastAsia="Calibri"/>
        </w:rPr>
        <w:t xml:space="preserve"> </w:t>
      </w:r>
    </w:p>
    <w:p w14:paraId="360A43B7" w14:textId="77777777" w:rsidR="005C6BA3" w:rsidRPr="005341B8" w:rsidRDefault="005C6BA3" w:rsidP="00840307">
      <w:pPr>
        <w:rPr>
          <w:rFonts w:eastAsia="Calibri"/>
          <w:sz w:val="22"/>
          <w:szCs w:val="22"/>
        </w:rPr>
      </w:pPr>
    </w:p>
    <w:p w14:paraId="42D4857E" w14:textId="77777777" w:rsidR="005C6BA3" w:rsidRPr="005341B8" w:rsidRDefault="005C6BA3" w:rsidP="00840307">
      <w:pPr>
        <w:rPr>
          <w:rFonts w:eastAsia="Calibri"/>
          <w:sz w:val="22"/>
          <w:szCs w:val="22"/>
        </w:rPr>
      </w:pPr>
    </w:p>
    <w:p w14:paraId="6E120D96" w14:textId="77777777" w:rsidR="005C6BA3" w:rsidRPr="005341B8" w:rsidRDefault="005C6BA3" w:rsidP="00840307">
      <w:pPr>
        <w:pStyle w:val="Casehead1"/>
        <w:rPr>
          <w:rFonts w:eastAsia="Calibri"/>
        </w:rPr>
      </w:pPr>
      <w:r w:rsidRPr="005341B8">
        <w:rPr>
          <w:rFonts w:eastAsia="Calibri"/>
        </w:rPr>
        <w:t>The Decision</w:t>
      </w:r>
    </w:p>
    <w:p w14:paraId="45A01307" w14:textId="77777777" w:rsidR="005C6BA3" w:rsidRPr="005341B8" w:rsidRDefault="005C6BA3" w:rsidP="00840307">
      <w:pPr>
        <w:rPr>
          <w:rFonts w:eastAsia="Calibri"/>
          <w:b/>
          <w:sz w:val="22"/>
          <w:szCs w:val="22"/>
          <w:u w:val="single"/>
        </w:rPr>
      </w:pPr>
    </w:p>
    <w:p w14:paraId="2906BDCC" w14:textId="3D663881" w:rsidR="00840307" w:rsidRPr="005341B8" w:rsidRDefault="005C6BA3" w:rsidP="00840307">
      <w:pPr>
        <w:pStyle w:val="BodyTextMain"/>
        <w:rPr>
          <w:rFonts w:eastAsia="Calibri"/>
        </w:rPr>
      </w:pPr>
      <w:r w:rsidRPr="005341B8">
        <w:rPr>
          <w:rFonts w:eastAsia="Calibri"/>
        </w:rPr>
        <w:t xml:space="preserve">For AMCN, this was not the first lawsuit associated with </w:t>
      </w:r>
      <w:r w:rsidRPr="005341B8">
        <w:rPr>
          <w:rFonts w:eastAsia="Calibri"/>
          <w:i/>
        </w:rPr>
        <w:t>TWD</w:t>
      </w:r>
      <w:r w:rsidRPr="005341B8">
        <w:rPr>
          <w:rFonts w:eastAsia="Calibri"/>
        </w:rPr>
        <w:t xml:space="preserve">. In 2013, Frank </w:t>
      </w:r>
      <w:proofErr w:type="spellStart"/>
      <w:r w:rsidRPr="005341B8">
        <w:rPr>
          <w:rFonts w:eastAsia="Calibri"/>
        </w:rPr>
        <w:t>Darabont</w:t>
      </w:r>
      <w:proofErr w:type="spellEnd"/>
      <w:r w:rsidRPr="005341B8">
        <w:rPr>
          <w:rFonts w:eastAsia="Calibri"/>
        </w:rPr>
        <w:t xml:space="preserve">, the director and showrunner for the first two seasons of </w:t>
      </w:r>
      <w:r w:rsidRPr="005341B8">
        <w:rPr>
          <w:rFonts w:eastAsia="Calibri"/>
          <w:i/>
        </w:rPr>
        <w:t>TWD,</w:t>
      </w:r>
      <w:r w:rsidRPr="005341B8">
        <w:rPr>
          <w:rFonts w:eastAsia="Calibri"/>
        </w:rPr>
        <w:t xml:space="preserve"> filed a $280 million lawsuit </w:t>
      </w:r>
      <w:r w:rsidR="009A5731" w:rsidRPr="005341B8">
        <w:rPr>
          <w:rFonts w:eastAsia="Calibri"/>
        </w:rPr>
        <w:t>with</w:t>
      </w:r>
      <w:r w:rsidR="00840307" w:rsidRPr="005341B8">
        <w:rPr>
          <w:rFonts w:eastAsia="Calibri"/>
        </w:rPr>
        <w:t xml:space="preserve"> the same contention that AMCN’s vertical integration </w:t>
      </w:r>
      <w:r w:rsidR="00425404">
        <w:rPr>
          <w:rFonts w:eastAsia="Calibri"/>
        </w:rPr>
        <w:t xml:space="preserve">had </w:t>
      </w:r>
      <w:r w:rsidR="00840307" w:rsidRPr="005341B8">
        <w:rPr>
          <w:rFonts w:eastAsia="Calibri"/>
        </w:rPr>
        <w:t>denied him the promised profits</w:t>
      </w:r>
      <w:r w:rsidR="00910F01">
        <w:rPr>
          <w:rFonts w:eastAsia="Calibri"/>
        </w:rPr>
        <w:t>;</w:t>
      </w:r>
      <w:r w:rsidR="00840307" w:rsidRPr="005341B8">
        <w:rPr>
          <w:rFonts w:eastAsia="Calibri"/>
        </w:rPr>
        <w:t xml:space="preserve"> </w:t>
      </w:r>
      <w:r w:rsidR="00910F01">
        <w:rPr>
          <w:rFonts w:eastAsia="Calibri"/>
        </w:rPr>
        <w:t>the</w:t>
      </w:r>
      <w:r w:rsidR="00840307" w:rsidRPr="005341B8">
        <w:rPr>
          <w:rFonts w:eastAsia="Calibri"/>
        </w:rPr>
        <w:t xml:space="preserve"> </w:t>
      </w:r>
      <w:r w:rsidR="009A5731" w:rsidRPr="005341B8">
        <w:rPr>
          <w:rFonts w:eastAsia="Calibri"/>
        </w:rPr>
        <w:t>law</w:t>
      </w:r>
      <w:r w:rsidR="00840307" w:rsidRPr="005341B8">
        <w:rPr>
          <w:rFonts w:eastAsia="Calibri"/>
        </w:rPr>
        <w:t xml:space="preserve">suit </w:t>
      </w:r>
      <w:r w:rsidR="00910F01">
        <w:rPr>
          <w:rFonts w:eastAsia="Calibri"/>
        </w:rPr>
        <w:t>remained</w:t>
      </w:r>
      <w:r w:rsidR="00840307" w:rsidRPr="005341B8">
        <w:rPr>
          <w:rFonts w:eastAsia="Calibri"/>
        </w:rPr>
        <w:t xml:space="preserve"> unresolved.</w:t>
      </w:r>
      <w:r w:rsidR="00965CF6" w:rsidRPr="005341B8">
        <w:rPr>
          <w:rStyle w:val="FootnoteReference"/>
          <w:rFonts w:eastAsia="Calibri"/>
        </w:rPr>
        <w:footnoteReference w:id="27"/>
      </w:r>
      <w:r w:rsidR="00840307" w:rsidRPr="005341B8">
        <w:rPr>
          <w:rFonts w:eastAsia="Calibri"/>
        </w:rPr>
        <w:t xml:space="preserve"> </w:t>
      </w:r>
      <w:r w:rsidR="00732A28" w:rsidRPr="005341B8">
        <w:rPr>
          <w:rFonts w:eastAsia="Calibri"/>
        </w:rPr>
        <w:t xml:space="preserve">Similar </w:t>
      </w:r>
      <w:r w:rsidR="009A5731" w:rsidRPr="005341B8">
        <w:rPr>
          <w:rFonts w:eastAsia="Calibri"/>
        </w:rPr>
        <w:t>law</w:t>
      </w:r>
      <w:r w:rsidR="00732A28" w:rsidRPr="005341B8">
        <w:rPr>
          <w:rFonts w:eastAsia="Calibri"/>
        </w:rPr>
        <w:t xml:space="preserve">suits filed against studios in the past (see Exhibit 3) had either been settled out of court or adjudicated against the studio. </w:t>
      </w:r>
      <w:r w:rsidR="00840307" w:rsidRPr="005341B8">
        <w:rPr>
          <w:rFonts w:eastAsia="Calibri"/>
        </w:rPr>
        <w:t xml:space="preserve">The market for talent </w:t>
      </w:r>
      <w:r w:rsidR="00910F01">
        <w:rPr>
          <w:rFonts w:eastAsia="Calibri"/>
        </w:rPr>
        <w:t>had become</w:t>
      </w:r>
      <w:r w:rsidR="00840307" w:rsidRPr="005341B8">
        <w:rPr>
          <w:rFonts w:eastAsia="Calibri"/>
        </w:rPr>
        <w:t xml:space="preserve"> </w:t>
      </w:r>
      <w:r w:rsidR="009A5731" w:rsidRPr="005341B8">
        <w:rPr>
          <w:rFonts w:eastAsia="Calibri"/>
        </w:rPr>
        <w:t>increasingly</w:t>
      </w:r>
      <w:r w:rsidR="00840307" w:rsidRPr="005341B8">
        <w:rPr>
          <w:rFonts w:eastAsia="Calibri"/>
        </w:rPr>
        <w:t xml:space="preserve"> competitive</w:t>
      </w:r>
      <w:r w:rsidR="009A5731" w:rsidRPr="005341B8">
        <w:rPr>
          <w:rFonts w:eastAsia="Calibri"/>
        </w:rPr>
        <w:t>, driven by</w:t>
      </w:r>
      <w:r w:rsidR="00840307" w:rsidRPr="005341B8">
        <w:rPr>
          <w:rFonts w:eastAsia="Calibri"/>
        </w:rPr>
        <w:t xml:space="preserve"> the advent of streaming players </w:t>
      </w:r>
      <w:r w:rsidR="00910F01">
        <w:rPr>
          <w:rFonts w:eastAsia="Calibri"/>
        </w:rPr>
        <w:t>and</w:t>
      </w:r>
      <w:r w:rsidR="00840307" w:rsidRPr="005341B8">
        <w:rPr>
          <w:rFonts w:eastAsia="Calibri"/>
        </w:rPr>
        <w:t xml:space="preserve"> television networks </w:t>
      </w:r>
      <w:r w:rsidR="009A5731" w:rsidRPr="005341B8">
        <w:rPr>
          <w:rFonts w:eastAsia="Calibri"/>
        </w:rPr>
        <w:t>eager to gain</w:t>
      </w:r>
      <w:r w:rsidR="00840307" w:rsidRPr="005341B8">
        <w:rPr>
          <w:rFonts w:eastAsia="Calibri"/>
        </w:rPr>
        <w:t xml:space="preserve"> competitive advantage via premium original content</w:t>
      </w:r>
      <w:r w:rsidR="009A5731" w:rsidRPr="005341B8">
        <w:rPr>
          <w:rFonts w:eastAsia="Calibri"/>
        </w:rPr>
        <w:t>. The economics of content creation were becoming complicated</w:t>
      </w:r>
      <w:r w:rsidR="00840307" w:rsidRPr="005341B8">
        <w:rPr>
          <w:rFonts w:eastAsia="Calibri"/>
        </w:rPr>
        <w:t xml:space="preserve"> (see Exhibit 4).</w:t>
      </w:r>
    </w:p>
    <w:p w14:paraId="02AC152D" w14:textId="77777777" w:rsidR="00840307" w:rsidRPr="005341B8" w:rsidRDefault="00840307" w:rsidP="00840307">
      <w:pPr>
        <w:pStyle w:val="BodyTextMain"/>
        <w:rPr>
          <w:rFonts w:eastAsia="Calibri"/>
        </w:rPr>
      </w:pPr>
    </w:p>
    <w:p w14:paraId="2588A458" w14:textId="35AD4784" w:rsidR="00840307" w:rsidRPr="005341B8" w:rsidRDefault="00840307" w:rsidP="00840307">
      <w:pPr>
        <w:pStyle w:val="BodyTextMain"/>
        <w:rPr>
          <w:rFonts w:eastAsia="Calibri"/>
        </w:rPr>
      </w:pPr>
      <w:r w:rsidRPr="005341B8">
        <w:rPr>
          <w:rFonts w:eastAsia="Calibri"/>
        </w:rPr>
        <w:t xml:space="preserve">Given </w:t>
      </w:r>
      <w:r w:rsidR="009A5731" w:rsidRPr="005341B8">
        <w:rPr>
          <w:rFonts w:eastAsia="Calibri"/>
        </w:rPr>
        <w:t>its</w:t>
      </w:r>
      <w:r w:rsidRPr="005341B8">
        <w:rPr>
          <w:rFonts w:eastAsia="Calibri"/>
        </w:rPr>
        <w:t xml:space="preserve"> presence in both the </w:t>
      </w:r>
      <w:r w:rsidR="009A5731" w:rsidRPr="005341B8">
        <w:rPr>
          <w:rFonts w:eastAsia="Calibri"/>
        </w:rPr>
        <w:t>distribu</w:t>
      </w:r>
      <w:r w:rsidRPr="005341B8">
        <w:rPr>
          <w:rFonts w:eastAsia="Calibri"/>
        </w:rPr>
        <w:t xml:space="preserve">tion and creation of content, AMCN </w:t>
      </w:r>
      <w:r w:rsidR="00732A28" w:rsidRPr="005341B8">
        <w:rPr>
          <w:rFonts w:eastAsia="Calibri"/>
        </w:rPr>
        <w:t>had to address</w:t>
      </w:r>
      <w:r w:rsidRPr="005341B8">
        <w:rPr>
          <w:rFonts w:eastAsia="Calibri"/>
        </w:rPr>
        <w:t xml:space="preserve"> its licen</w:t>
      </w:r>
      <w:r w:rsidR="00F9399B" w:rsidRPr="005341B8">
        <w:rPr>
          <w:rFonts w:eastAsia="Calibri"/>
        </w:rPr>
        <w:t>c</w:t>
      </w:r>
      <w:r w:rsidRPr="005341B8">
        <w:rPr>
          <w:rFonts w:eastAsia="Calibri"/>
        </w:rPr>
        <w:t xml:space="preserve">e fee </w:t>
      </w:r>
      <w:r w:rsidR="009A5731" w:rsidRPr="005341B8">
        <w:rPr>
          <w:rFonts w:eastAsia="Calibri"/>
        </w:rPr>
        <w:t xml:space="preserve">methods and </w:t>
      </w:r>
      <w:r w:rsidR="00F9399B" w:rsidRPr="005341B8">
        <w:rPr>
          <w:rFonts w:eastAsia="Calibri"/>
        </w:rPr>
        <w:t xml:space="preserve">its </w:t>
      </w:r>
      <w:r w:rsidRPr="005341B8">
        <w:rPr>
          <w:rFonts w:eastAsia="Calibri"/>
        </w:rPr>
        <w:t>protocol for determin</w:t>
      </w:r>
      <w:r w:rsidR="009A5731" w:rsidRPr="005341B8">
        <w:rPr>
          <w:rFonts w:eastAsia="Calibri"/>
        </w:rPr>
        <w:t>ing</w:t>
      </w:r>
      <w:r w:rsidRPr="005341B8">
        <w:rPr>
          <w:rFonts w:eastAsia="Calibri"/>
        </w:rPr>
        <w:t xml:space="preserve"> licen</w:t>
      </w:r>
      <w:r w:rsidR="00F9399B" w:rsidRPr="005341B8">
        <w:rPr>
          <w:rFonts w:eastAsia="Calibri"/>
        </w:rPr>
        <w:t>c</w:t>
      </w:r>
      <w:r w:rsidRPr="005341B8">
        <w:rPr>
          <w:rFonts w:eastAsia="Calibri"/>
        </w:rPr>
        <w:t xml:space="preserve">e fees for internally produced shows </w:t>
      </w:r>
      <w:r w:rsidR="009A5731" w:rsidRPr="005341B8">
        <w:rPr>
          <w:rFonts w:eastAsia="Calibri"/>
        </w:rPr>
        <w:t>(see Exhibit 5). The network also had to look at</w:t>
      </w:r>
      <w:r w:rsidRPr="005341B8">
        <w:rPr>
          <w:rFonts w:eastAsia="Calibri"/>
        </w:rPr>
        <w:t xml:space="preserve"> its tendency to have a </w:t>
      </w:r>
      <w:r w:rsidR="00910F01">
        <w:rPr>
          <w:rFonts w:eastAsia="Calibri"/>
        </w:rPr>
        <w:t>transfer-pricing</w:t>
      </w:r>
      <w:r w:rsidRPr="005341B8">
        <w:rPr>
          <w:rFonts w:eastAsia="Calibri"/>
        </w:rPr>
        <w:t xml:space="preserve"> system that emphasized profit maximization at the network level. </w:t>
      </w:r>
      <w:r w:rsidR="009A5731" w:rsidRPr="005341B8">
        <w:rPr>
          <w:rFonts w:eastAsia="Calibri"/>
        </w:rPr>
        <w:t>C</w:t>
      </w:r>
      <w:r w:rsidRPr="005341B8">
        <w:rPr>
          <w:rFonts w:eastAsia="Calibri"/>
        </w:rPr>
        <w:t xml:space="preserve">ould the company </w:t>
      </w:r>
      <w:r w:rsidR="009A5731" w:rsidRPr="005341B8">
        <w:rPr>
          <w:rFonts w:eastAsia="Calibri"/>
        </w:rPr>
        <w:t xml:space="preserve">strike a </w:t>
      </w:r>
      <w:r w:rsidRPr="005341B8">
        <w:rPr>
          <w:rFonts w:eastAsia="Calibri"/>
        </w:rPr>
        <w:t xml:space="preserve">balance </w:t>
      </w:r>
      <w:r w:rsidR="009A5731" w:rsidRPr="005341B8">
        <w:rPr>
          <w:rFonts w:eastAsia="Calibri"/>
        </w:rPr>
        <w:t xml:space="preserve">between </w:t>
      </w:r>
      <w:r w:rsidRPr="005341B8">
        <w:rPr>
          <w:rFonts w:eastAsia="Calibri"/>
        </w:rPr>
        <w:t xml:space="preserve">the advantages of vertical integration </w:t>
      </w:r>
      <w:r w:rsidR="009A5731" w:rsidRPr="005341B8">
        <w:rPr>
          <w:rFonts w:eastAsia="Calibri"/>
        </w:rPr>
        <w:t>and</w:t>
      </w:r>
      <w:r w:rsidRPr="005341B8">
        <w:rPr>
          <w:rFonts w:eastAsia="Calibri"/>
        </w:rPr>
        <w:t xml:space="preserve"> the potential for conflict of interest?</w:t>
      </w:r>
      <w:r w:rsidR="00AE391B">
        <w:rPr>
          <w:rFonts w:eastAsia="Calibri"/>
        </w:rPr>
        <w:t xml:space="preserve"> </w:t>
      </w:r>
      <w:r w:rsidRPr="005341B8">
        <w:rPr>
          <w:rFonts w:eastAsia="Calibri"/>
          <w:b/>
          <w:color w:val="FF0000"/>
        </w:rPr>
        <w:br w:type="page"/>
      </w:r>
    </w:p>
    <w:p w14:paraId="02742C7E" w14:textId="1BF1C402" w:rsidR="00840307" w:rsidRPr="005341B8" w:rsidRDefault="00840307" w:rsidP="00840307">
      <w:pPr>
        <w:pStyle w:val="ExhibitHeading"/>
        <w:rPr>
          <w:rFonts w:eastAsia="Calibri"/>
        </w:rPr>
      </w:pPr>
      <w:r w:rsidRPr="005341B8">
        <w:rPr>
          <w:rFonts w:eastAsia="Calibri"/>
        </w:rPr>
        <w:lastRenderedPageBreak/>
        <w:t>Exhibit 1: Vertical Integration Model in Television</w:t>
      </w:r>
    </w:p>
    <w:p w14:paraId="4CF7A61D" w14:textId="1BD538DE" w:rsidR="0042675E" w:rsidRPr="005341B8" w:rsidRDefault="0042675E" w:rsidP="00840307">
      <w:pPr>
        <w:pStyle w:val="ExhibitHeading"/>
        <w:rPr>
          <w:rFonts w:eastAsia="Calibri"/>
        </w:rPr>
      </w:pPr>
    </w:p>
    <w:p w14:paraId="24F94164" w14:textId="018FBC30" w:rsidR="0087508F" w:rsidRPr="005341B8" w:rsidRDefault="00D24453" w:rsidP="00840307">
      <w:pPr>
        <w:pStyle w:val="ExhibitHeading"/>
        <w:rPr>
          <w:rFonts w:eastAsia="Calibri"/>
        </w:rPr>
      </w:pPr>
      <w:r w:rsidRPr="00D24453">
        <w:rPr>
          <w:rFonts w:eastAsia="Calibri"/>
          <w:noProof/>
          <w:lang w:val="en-US"/>
        </w:rPr>
        <w:drawing>
          <wp:inline distT="0" distB="0" distL="0" distR="0" wp14:anchorId="2FC5F85B" wp14:editId="0A2C5679">
            <wp:extent cx="5943600" cy="4281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81170"/>
                    </a:xfrm>
                    <a:prstGeom prst="rect">
                      <a:avLst/>
                    </a:prstGeom>
                  </pic:spPr>
                </pic:pic>
              </a:graphicData>
            </a:graphic>
          </wp:inline>
        </w:drawing>
      </w:r>
    </w:p>
    <w:p w14:paraId="34BD2B6E" w14:textId="77777777" w:rsidR="00F360FE" w:rsidRPr="005341B8" w:rsidRDefault="00F360FE" w:rsidP="00732A28">
      <w:pPr>
        <w:pStyle w:val="Footnote"/>
        <w:rPr>
          <w:rFonts w:eastAsia="Calibri"/>
        </w:rPr>
      </w:pPr>
    </w:p>
    <w:p w14:paraId="76337B45" w14:textId="1244FB9F" w:rsidR="00133A94" w:rsidRPr="005341B8" w:rsidRDefault="0081311D" w:rsidP="00732A28">
      <w:pPr>
        <w:pStyle w:val="Footnote"/>
        <w:rPr>
          <w:rFonts w:eastAsia="Calibri"/>
        </w:rPr>
      </w:pPr>
      <w:r w:rsidRPr="005341B8">
        <w:rPr>
          <w:rFonts w:eastAsia="Calibri"/>
        </w:rPr>
        <w:t xml:space="preserve">Note: </w:t>
      </w:r>
      <w:r w:rsidR="004C3615" w:rsidRPr="005341B8">
        <w:rPr>
          <w:rFonts w:eastAsia="Calibri"/>
        </w:rPr>
        <w:t xml:space="preserve">Sony = Sony </w:t>
      </w:r>
      <w:r w:rsidR="00F8118E">
        <w:rPr>
          <w:rFonts w:eastAsia="Calibri"/>
        </w:rPr>
        <w:t xml:space="preserve">Pictures </w:t>
      </w:r>
      <w:r w:rsidR="004C3615" w:rsidRPr="005341B8">
        <w:rPr>
          <w:rFonts w:eastAsia="Calibri"/>
        </w:rPr>
        <w:t>Television</w:t>
      </w:r>
      <w:r w:rsidR="00F8118E">
        <w:rPr>
          <w:rFonts w:eastAsia="Calibri"/>
        </w:rPr>
        <w:t xml:space="preserve"> Inc.</w:t>
      </w:r>
      <w:r w:rsidR="004C3615" w:rsidRPr="005341B8">
        <w:rPr>
          <w:rFonts w:eastAsia="Calibri"/>
        </w:rPr>
        <w:t xml:space="preserve">; Lionsgate = Lions Gate Entertainment Corp.; </w:t>
      </w:r>
      <w:r w:rsidR="00133A94" w:rsidRPr="005341B8">
        <w:rPr>
          <w:rFonts w:eastAsia="Calibri"/>
        </w:rPr>
        <w:t>vertical integration (partial) = networks sourcing content from independent studios as well as their own studios; independent content studios = studios that serve multiple networks; creative talent = freelancers who can work for any studio</w:t>
      </w:r>
      <w:r w:rsidR="00F8118E">
        <w:rPr>
          <w:rFonts w:eastAsia="Calibri"/>
        </w:rPr>
        <w:t>.</w:t>
      </w:r>
      <w:r w:rsidR="00AE391B">
        <w:rPr>
          <w:rFonts w:eastAsia="Calibri"/>
        </w:rPr>
        <w:t xml:space="preserve"> </w:t>
      </w:r>
    </w:p>
    <w:p w14:paraId="50516F56" w14:textId="72E53ECE" w:rsidR="00732A28" w:rsidRPr="005341B8" w:rsidRDefault="00840307" w:rsidP="00732A28">
      <w:pPr>
        <w:pStyle w:val="Footnote"/>
        <w:rPr>
          <w:color w:val="000000" w:themeColor="text1"/>
        </w:rPr>
      </w:pPr>
      <w:r w:rsidRPr="005341B8">
        <w:rPr>
          <w:rFonts w:eastAsia="Calibri"/>
        </w:rPr>
        <w:t xml:space="preserve">Source: </w:t>
      </w:r>
      <w:r w:rsidR="00AA5DAC" w:rsidRPr="005341B8">
        <w:rPr>
          <w:rFonts w:eastAsia="Calibri"/>
        </w:rPr>
        <w:t>Prepared by the author</w:t>
      </w:r>
      <w:r w:rsidRPr="005341B8">
        <w:rPr>
          <w:rFonts w:eastAsia="Calibri"/>
        </w:rPr>
        <w:t xml:space="preserve"> based on </w:t>
      </w:r>
      <w:r w:rsidR="00D26D53" w:rsidRPr="005341B8">
        <w:rPr>
          <w:rFonts w:eastAsia="Calibri"/>
        </w:rPr>
        <w:t xml:space="preserve">“Robert </w:t>
      </w:r>
      <w:proofErr w:type="spellStart"/>
      <w:r w:rsidR="00D26D53" w:rsidRPr="005341B8">
        <w:rPr>
          <w:rFonts w:eastAsia="Calibri"/>
        </w:rPr>
        <w:t>Kirkman</w:t>
      </w:r>
      <w:proofErr w:type="spellEnd"/>
      <w:r w:rsidR="00D26D53" w:rsidRPr="005341B8">
        <w:rPr>
          <w:rFonts w:eastAsia="Calibri"/>
        </w:rPr>
        <w:t xml:space="preserve"> and Other Plaintiffs v. AMC Networks,” c</w:t>
      </w:r>
      <w:r w:rsidRPr="005341B8">
        <w:rPr>
          <w:rFonts w:eastAsia="Calibri"/>
        </w:rPr>
        <w:t xml:space="preserve">ase </w:t>
      </w:r>
      <w:r w:rsidR="00D26D53" w:rsidRPr="005341B8">
        <w:rPr>
          <w:rFonts w:eastAsia="Calibri"/>
        </w:rPr>
        <w:t>n</w:t>
      </w:r>
      <w:r w:rsidRPr="005341B8">
        <w:rPr>
          <w:rFonts w:eastAsia="Calibri"/>
        </w:rPr>
        <w:t>o. BC 672124</w:t>
      </w:r>
      <w:r w:rsidR="00D26D53" w:rsidRPr="005341B8">
        <w:rPr>
          <w:rFonts w:eastAsia="Calibri"/>
        </w:rPr>
        <w:t>,</w:t>
      </w:r>
      <w:r w:rsidRPr="005341B8">
        <w:rPr>
          <w:rFonts w:eastAsia="Calibri"/>
        </w:rPr>
        <w:t xml:space="preserve"> Superior Court of the State of California, County of Los Angeles, Central District</w:t>
      </w:r>
      <w:r w:rsidR="00D26D53" w:rsidRPr="005341B8">
        <w:rPr>
          <w:rFonts w:eastAsia="Calibri"/>
        </w:rPr>
        <w:t>,</w:t>
      </w:r>
      <w:r w:rsidRPr="005341B8">
        <w:rPr>
          <w:rFonts w:eastAsia="Calibri"/>
        </w:rPr>
        <w:t xml:space="preserve"> August 14, 2017, </w:t>
      </w:r>
      <w:r w:rsidR="00417F51" w:rsidRPr="005341B8">
        <w:rPr>
          <w:rFonts w:eastAsia="Calibri"/>
        </w:rPr>
        <w:t xml:space="preserve">accessed </w:t>
      </w:r>
      <w:r w:rsidR="00D26D53" w:rsidRPr="005341B8">
        <w:rPr>
          <w:rFonts w:eastAsia="Calibri"/>
        </w:rPr>
        <w:t>March 14</w:t>
      </w:r>
      <w:r w:rsidR="00417F51" w:rsidRPr="005341B8">
        <w:rPr>
          <w:rFonts w:eastAsia="Calibri"/>
        </w:rPr>
        <w:t xml:space="preserve">, 2018, </w:t>
      </w:r>
      <w:r w:rsidR="00732A28" w:rsidRPr="005341B8">
        <w:rPr>
          <w:color w:val="000000" w:themeColor="text1"/>
        </w:rPr>
        <w:t>www.birdmarella.com/wp-content/uploads/2017/08/Complaint.pdf.</w:t>
      </w:r>
    </w:p>
    <w:p w14:paraId="65164664" w14:textId="26F3044D" w:rsidR="00840307" w:rsidRPr="005341B8" w:rsidRDefault="00840307" w:rsidP="00840307">
      <w:pPr>
        <w:pStyle w:val="Footnote"/>
        <w:rPr>
          <w:rFonts w:eastAsia="Calibri"/>
        </w:rPr>
      </w:pPr>
    </w:p>
    <w:p w14:paraId="22975F38" w14:textId="77777777" w:rsidR="00840307" w:rsidRPr="005341B8" w:rsidRDefault="00840307" w:rsidP="00840307">
      <w:pPr>
        <w:rPr>
          <w:rFonts w:eastAsia="Calibri"/>
        </w:rPr>
      </w:pPr>
      <w:r w:rsidRPr="005341B8">
        <w:rPr>
          <w:rFonts w:eastAsia="Calibri"/>
        </w:rPr>
        <w:br w:type="page"/>
      </w:r>
    </w:p>
    <w:p w14:paraId="604D242A" w14:textId="32464D8E" w:rsidR="00840307" w:rsidRPr="005341B8" w:rsidRDefault="00840307" w:rsidP="00840307">
      <w:pPr>
        <w:pStyle w:val="ExhibitHeading"/>
        <w:rPr>
          <w:rFonts w:eastAsia="Calibri"/>
        </w:rPr>
      </w:pPr>
      <w:r w:rsidRPr="005341B8">
        <w:rPr>
          <w:rFonts w:eastAsia="Calibri"/>
        </w:rPr>
        <w:lastRenderedPageBreak/>
        <w:t xml:space="preserve">EXHIBIT 2: Scripted Original Content Landscape for </w:t>
      </w:r>
      <w:r w:rsidR="00965CF6">
        <w:rPr>
          <w:rFonts w:eastAsia="Calibri"/>
        </w:rPr>
        <w:t>US</w:t>
      </w:r>
      <w:r w:rsidRPr="005341B8">
        <w:rPr>
          <w:rFonts w:eastAsia="Calibri"/>
        </w:rPr>
        <w:t xml:space="preserve"> </w:t>
      </w:r>
      <w:r w:rsidR="00133A94" w:rsidRPr="005341B8">
        <w:rPr>
          <w:rFonts w:eastAsia="Calibri"/>
        </w:rPr>
        <w:t xml:space="preserve">Television </w:t>
      </w:r>
      <w:r w:rsidRPr="005341B8">
        <w:rPr>
          <w:rFonts w:eastAsia="Calibri"/>
        </w:rPr>
        <w:t>Channels</w:t>
      </w:r>
    </w:p>
    <w:p w14:paraId="6F8DECB7" w14:textId="77777777" w:rsidR="00840307" w:rsidRPr="005341B8" w:rsidRDefault="00840307" w:rsidP="00840307">
      <w:pPr>
        <w:pStyle w:val="ExhibitHeading"/>
        <w:rPr>
          <w:rFonts w:eastAsia="Calibri"/>
        </w:rPr>
      </w:pPr>
    </w:p>
    <w:tbl>
      <w:tblPr>
        <w:tblStyle w:val="TableGrid"/>
        <w:tblW w:w="0" w:type="auto"/>
        <w:jc w:val="center"/>
        <w:tblLook w:val="04A0" w:firstRow="1" w:lastRow="0" w:firstColumn="1" w:lastColumn="0" w:noHBand="0" w:noVBand="1"/>
      </w:tblPr>
      <w:tblGrid>
        <w:gridCol w:w="846"/>
        <w:gridCol w:w="4252"/>
      </w:tblGrid>
      <w:tr w:rsidR="00840307" w:rsidRPr="005341B8" w14:paraId="51E3FE0A" w14:textId="77777777" w:rsidTr="005223FE">
        <w:trPr>
          <w:trHeight w:val="386"/>
          <w:jc w:val="center"/>
        </w:trPr>
        <w:tc>
          <w:tcPr>
            <w:tcW w:w="846" w:type="dxa"/>
            <w:vAlign w:val="center"/>
          </w:tcPr>
          <w:p w14:paraId="0A7141A4" w14:textId="312FE129" w:rsidR="00840307" w:rsidRPr="005341B8" w:rsidRDefault="00840307" w:rsidP="004366B5">
            <w:pPr>
              <w:jc w:val="center"/>
              <w:rPr>
                <w:rFonts w:ascii="Arial" w:eastAsia="Calibri" w:hAnsi="Arial" w:cs="Arial"/>
                <w:b/>
              </w:rPr>
            </w:pPr>
            <w:r w:rsidRPr="005341B8">
              <w:rPr>
                <w:rFonts w:ascii="Arial" w:eastAsia="Calibri" w:hAnsi="Arial" w:cs="Arial"/>
                <w:b/>
              </w:rPr>
              <w:t>Y</w:t>
            </w:r>
            <w:r w:rsidR="00133A94" w:rsidRPr="005341B8">
              <w:rPr>
                <w:rFonts w:ascii="Arial" w:eastAsia="Calibri" w:hAnsi="Arial" w:cs="Arial"/>
                <w:b/>
              </w:rPr>
              <w:t>ear</w:t>
            </w:r>
          </w:p>
        </w:tc>
        <w:tc>
          <w:tcPr>
            <w:tcW w:w="4252" w:type="dxa"/>
            <w:vAlign w:val="center"/>
          </w:tcPr>
          <w:p w14:paraId="35EFF703" w14:textId="14DDB19F" w:rsidR="00840307" w:rsidRPr="005341B8" w:rsidRDefault="00840307" w:rsidP="005223FE">
            <w:pPr>
              <w:jc w:val="center"/>
              <w:rPr>
                <w:rFonts w:ascii="Arial" w:eastAsia="Calibri" w:hAnsi="Arial" w:cs="Arial"/>
                <w:b/>
              </w:rPr>
            </w:pPr>
            <w:r w:rsidRPr="005341B8">
              <w:rPr>
                <w:rFonts w:ascii="Arial" w:eastAsia="Calibri" w:hAnsi="Arial" w:cs="Arial"/>
                <w:b/>
              </w:rPr>
              <w:t>T</w:t>
            </w:r>
            <w:r w:rsidR="00133A94" w:rsidRPr="005341B8">
              <w:rPr>
                <w:rFonts w:ascii="Arial" w:eastAsia="Calibri" w:hAnsi="Arial" w:cs="Arial"/>
                <w:b/>
              </w:rPr>
              <w:t>otal Number of Scripted Original Shows</w:t>
            </w:r>
          </w:p>
        </w:tc>
      </w:tr>
      <w:tr w:rsidR="00840307" w:rsidRPr="005341B8" w14:paraId="13A3F87D" w14:textId="77777777" w:rsidTr="005223FE">
        <w:trPr>
          <w:trHeight w:val="201"/>
          <w:jc w:val="center"/>
        </w:trPr>
        <w:tc>
          <w:tcPr>
            <w:tcW w:w="846" w:type="dxa"/>
          </w:tcPr>
          <w:p w14:paraId="32959834" w14:textId="77777777" w:rsidR="00840307" w:rsidRPr="005341B8" w:rsidRDefault="00840307" w:rsidP="00133A94">
            <w:pPr>
              <w:jc w:val="center"/>
              <w:rPr>
                <w:rFonts w:ascii="Arial" w:eastAsia="Calibri" w:hAnsi="Arial" w:cs="Arial"/>
              </w:rPr>
            </w:pPr>
            <w:r w:rsidRPr="005341B8">
              <w:rPr>
                <w:rFonts w:ascii="Arial" w:eastAsia="Calibri" w:hAnsi="Arial" w:cs="Arial"/>
              </w:rPr>
              <w:t>2002</w:t>
            </w:r>
          </w:p>
        </w:tc>
        <w:tc>
          <w:tcPr>
            <w:tcW w:w="4252" w:type="dxa"/>
          </w:tcPr>
          <w:p w14:paraId="2FFCE32D" w14:textId="77777777" w:rsidR="00840307" w:rsidRPr="005341B8" w:rsidRDefault="00840307" w:rsidP="00840307">
            <w:pPr>
              <w:jc w:val="center"/>
              <w:rPr>
                <w:rFonts w:ascii="Arial" w:eastAsia="Calibri" w:hAnsi="Arial" w:cs="Arial"/>
              </w:rPr>
            </w:pPr>
            <w:r w:rsidRPr="005341B8">
              <w:rPr>
                <w:rFonts w:ascii="Arial" w:eastAsia="Calibri" w:hAnsi="Arial" w:cs="Arial"/>
              </w:rPr>
              <w:t>182</w:t>
            </w:r>
          </w:p>
        </w:tc>
      </w:tr>
      <w:tr w:rsidR="00840307" w:rsidRPr="005341B8" w14:paraId="417C1A1A" w14:textId="77777777" w:rsidTr="005223FE">
        <w:trPr>
          <w:trHeight w:val="193"/>
          <w:jc w:val="center"/>
        </w:trPr>
        <w:tc>
          <w:tcPr>
            <w:tcW w:w="846" w:type="dxa"/>
          </w:tcPr>
          <w:p w14:paraId="14807D4C" w14:textId="77777777" w:rsidR="00840307" w:rsidRPr="005341B8" w:rsidRDefault="00840307" w:rsidP="00133A94">
            <w:pPr>
              <w:jc w:val="center"/>
              <w:rPr>
                <w:rFonts w:ascii="Arial" w:eastAsia="Calibri" w:hAnsi="Arial" w:cs="Arial"/>
              </w:rPr>
            </w:pPr>
            <w:r w:rsidRPr="005341B8">
              <w:rPr>
                <w:rFonts w:ascii="Arial" w:eastAsia="Calibri" w:hAnsi="Arial" w:cs="Arial"/>
              </w:rPr>
              <w:t>2010</w:t>
            </w:r>
          </w:p>
        </w:tc>
        <w:tc>
          <w:tcPr>
            <w:tcW w:w="4252" w:type="dxa"/>
          </w:tcPr>
          <w:p w14:paraId="205394B1" w14:textId="77777777" w:rsidR="00840307" w:rsidRPr="005341B8" w:rsidRDefault="00840307" w:rsidP="00840307">
            <w:pPr>
              <w:jc w:val="center"/>
              <w:rPr>
                <w:rFonts w:ascii="Arial" w:eastAsia="Calibri" w:hAnsi="Arial" w:cs="Arial"/>
              </w:rPr>
            </w:pPr>
            <w:r w:rsidRPr="005341B8">
              <w:rPr>
                <w:rFonts w:ascii="Arial" w:eastAsia="Calibri" w:hAnsi="Arial" w:cs="Arial"/>
              </w:rPr>
              <w:t>216</w:t>
            </w:r>
            <w:r w:rsidRPr="005341B8">
              <w:rPr>
                <w:rFonts w:ascii="Arial" w:eastAsia="Calibri" w:hAnsi="Arial" w:cs="Arial"/>
                <w:vertAlign w:val="superscript"/>
              </w:rPr>
              <w:t>*</w:t>
            </w:r>
          </w:p>
        </w:tc>
      </w:tr>
      <w:tr w:rsidR="00840307" w:rsidRPr="005341B8" w14:paraId="59901522" w14:textId="77777777" w:rsidTr="005223FE">
        <w:trPr>
          <w:trHeight w:val="193"/>
          <w:jc w:val="center"/>
        </w:trPr>
        <w:tc>
          <w:tcPr>
            <w:tcW w:w="846" w:type="dxa"/>
          </w:tcPr>
          <w:p w14:paraId="51021C14" w14:textId="77777777" w:rsidR="00840307" w:rsidRPr="005341B8" w:rsidRDefault="00840307" w:rsidP="00133A94">
            <w:pPr>
              <w:jc w:val="center"/>
              <w:rPr>
                <w:rFonts w:ascii="Arial" w:eastAsia="Calibri" w:hAnsi="Arial" w:cs="Arial"/>
              </w:rPr>
            </w:pPr>
            <w:r w:rsidRPr="005341B8">
              <w:rPr>
                <w:rFonts w:ascii="Arial" w:eastAsia="Calibri" w:hAnsi="Arial" w:cs="Arial"/>
              </w:rPr>
              <w:t>2011</w:t>
            </w:r>
          </w:p>
        </w:tc>
        <w:tc>
          <w:tcPr>
            <w:tcW w:w="4252" w:type="dxa"/>
          </w:tcPr>
          <w:p w14:paraId="58FC13CA" w14:textId="77777777" w:rsidR="00840307" w:rsidRPr="005341B8" w:rsidRDefault="00840307" w:rsidP="00840307">
            <w:pPr>
              <w:jc w:val="center"/>
              <w:rPr>
                <w:rFonts w:ascii="Arial" w:eastAsia="Calibri" w:hAnsi="Arial" w:cs="Arial"/>
              </w:rPr>
            </w:pPr>
            <w:r w:rsidRPr="005341B8">
              <w:rPr>
                <w:rFonts w:ascii="Arial" w:eastAsia="Calibri" w:hAnsi="Arial" w:cs="Arial"/>
              </w:rPr>
              <w:t>266</w:t>
            </w:r>
          </w:p>
        </w:tc>
      </w:tr>
      <w:tr w:rsidR="00840307" w:rsidRPr="005341B8" w14:paraId="78273B10" w14:textId="77777777" w:rsidTr="005223FE">
        <w:trPr>
          <w:trHeight w:val="201"/>
          <w:jc w:val="center"/>
        </w:trPr>
        <w:tc>
          <w:tcPr>
            <w:tcW w:w="846" w:type="dxa"/>
          </w:tcPr>
          <w:p w14:paraId="078790A6" w14:textId="77777777" w:rsidR="00840307" w:rsidRPr="005341B8" w:rsidRDefault="00840307" w:rsidP="00133A94">
            <w:pPr>
              <w:jc w:val="center"/>
              <w:rPr>
                <w:rFonts w:ascii="Arial" w:eastAsia="Calibri" w:hAnsi="Arial" w:cs="Arial"/>
              </w:rPr>
            </w:pPr>
            <w:r w:rsidRPr="005341B8">
              <w:rPr>
                <w:rFonts w:ascii="Arial" w:eastAsia="Calibri" w:hAnsi="Arial" w:cs="Arial"/>
              </w:rPr>
              <w:t>2012</w:t>
            </w:r>
          </w:p>
        </w:tc>
        <w:tc>
          <w:tcPr>
            <w:tcW w:w="4252" w:type="dxa"/>
          </w:tcPr>
          <w:p w14:paraId="76C4D4DE" w14:textId="77777777" w:rsidR="00840307" w:rsidRPr="005341B8" w:rsidRDefault="00840307" w:rsidP="00840307">
            <w:pPr>
              <w:jc w:val="center"/>
              <w:rPr>
                <w:rFonts w:ascii="Arial" w:eastAsia="Calibri" w:hAnsi="Arial" w:cs="Arial"/>
              </w:rPr>
            </w:pPr>
            <w:r w:rsidRPr="005341B8">
              <w:rPr>
                <w:rFonts w:ascii="Arial" w:eastAsia="Calibri" w:hAnsi="Arial" w:cs="Arial"/>
              </w:rPr>
              <w:t>288</w:t>
            </w:r>
          </w:p>
        </w:tc>
      </w:tr>
      <w:tr w:rsidR="00840307" w:rsidRPr="005341B8" w14:paraId="32F99C50" w14:textId="77777777" w:rsidTr="005223FE">
        <w:trPr>
          <w:trHeight w:val="193"/>
          <w:jc w:val="center"/>
        </w:trPr>
        <w:tc>
          <w:tcPr>
            <w:tcW w:w="846" w:type="dxa"/>
          </w:tcPr>
          <w:p w14:paraId="1411BCBE" w14:textId="77777777" w:rsidR="00840307" w:rsidRPr="005341B8" w:rsidRDefault="00840307" w:rsidP="00133A94">
            <w:pPr>
              <w:jc w:val="center"/>
              <w:rPr>
                <w:rFonts w:ascii="Arial" w:eastAsia="Calibri" w:hAnsi="Arial" w:cs="Arial"/>
              </w:rPr>
            </w:pPr>
            <w:r w:rsidRPr="005341B8">
              <w:rPr>
                <w:rFonts w:ascii="Arial" w:eastAsia="Calibri" w:hAnsi="Arial" w:cs="Arial"/>
              </w:rPr>
              <w:t>2013</w:t>
            </w:r>
          </w:p>
        </w:tc>
        <w:tc>
          <w:tcPr>
            <w:tcW w:w="4252" w:type="dxa"/>
          </w:tcPr>
          <w:p w14:paraId="0782761B" w14:textId="77777777" w:rsidR="00840307" w:rsidRPr="005341B8" w:rsidRDefault="00840307" w:rsidP="00840307">
            <w:pPr>
              <w:jc w:val="center"/>
              <w:rPr>
                <w:rFonts w:ascii="Arial" w:eastAsia="Calibri" w:hAnsi="Arial" w:cs="Arial"/>
              </w:rPr>
            </w:pPr>
            <w:r w:rsidRPr="005341B8">
              <w:rPr>
                <w:rFonts w:ascii="Arial" w:eastAsia="Calibri" w:hAnsi="Arial" w:cs="Arial"/>
              </w:rPr>
              <w:t>349</w:t>
            </w:r>
          </w:p>
        </w:tc>
      </w:tr>
      <w:tr w:rsidR="00840307" w:rsidRPr="005341B8" w14:paraId="3C394364" w14:textId="77777777" w:rsidTr="005223FE">
        <w:trPr>
          <w:trHeight w:val="193"/>
          <w:jc w:val="center"/>
        </w:trPr>
        <w:tc>
          <w:tcPr>
            <w:tcW w:w="846" w:type="dxa"/>
          </w:tcPr>
          <w:p w14:paraId="2CEE6CE0" w14:textId="77777777" w:rsidR="00840307" w:rsidRPr="005341B8" w:rsidRDefault="00840307" w:rsidP="00133A94">
            <w:pPr>
              <w:jc w:val="center"/>
              <w:rPr>
                <w:rFonts w:ascii="Arial" w:eastAsia="Calibri" w:hAnsi="Arial" w:cs="Arial"/>
              </w:rPr>
            </w:pPr>
            <w:r w:rsidRPr="005341B8">
              <w:rPr>
                <w:rFonts w:ascii="Arial" w:eastAsia="Calibri" w:hAnsi="Arial" w:cs="Arial"/>
              </w:rPr>
              <w:t>2014</w:t>
            </w:r>
          </w:p>
        </w:tc>
        <w:tc>
          <w:tcPr>
            <w:tcW w:w="4252" w:type="dxa"/>
          </w:tcPr>
          <w:p w14:paraId="51D38F9C" w14:textId="77777777" w:rsidR="00840307" w:rsidRPr="005341B8" w:rsidRDefault="00840307" w:rsidP="00840307">
            <w:pPr>
              <w:jc w:val="center"/>
              <w:rPr>
                <w:rFonts w:ascii="Arial" w:eastAsia="Calibri" w:hAnsi="Arial" w:cs="Arial"/>
              </w:rPr>
            </w:pPr>
            <w:r w:rsidRPr="005341B8">
              <w:rPr>
                <w:rFonts w:ascii="Arial" w:eastAsia="Calibri" w:hAnsi="Arial" w:cs="Arial"/>
              </w:rPr>
              <w:t>389</w:t>
            </w:r>
          </w:p>
        </w:tc>
      </w:tr>
      <w:tr w:rsidR="00840307" w:rsidRPr="005341B8" w14:paraId="18DDF272" w14:textId="77777777" w:rsidTr="005223FE">
        <w:trPr>
          <w:trHeight w:val="201"/>
          <w:jc w:val="center"/>
        </w:trPr>
        <w:tc>
          <w:tcPr>
            <w:tcW w:w="846" w:type="dxa"/>
          </w:tcPr>
          <w:p w14:paraId="7BDB267F" w14:textId="77777777" w:rsidR="00840307" w:rsidRPr="005341B8" w:rsidRDefault="00840307" w:rsidP="00133A94">
            <w:pPr>
              <w:jc w:val="center"/>
              <w:rPr>
                <w:rFonts w:ascii="Arial" w:eastAsia="Calibri" w:hAnsi="Arial" w:cs="Arial"/>
              </w:rPr>
            </w:pPr>
            <w:r w:rsidRPr="005341B8">
              <w:rPr>
                <w:rFonts w:ascii="Arial" w:eastAsia="Calibri" w:hAnsi="Arial" w:cs="Arial"/>
              </w:rPr>
              <w:t>2015</w:t>
            </w:r>
          </w:p>
        </w:tc>
        <w:tc>
          <w:tcPr>
            <w:tcW w:w="4252" w:type="dxa"/>
          </w:tcPr>
          <w:p w14:paraId="2160C7CE" w14:textId="77777777" w:rsidR="00840307" w:rsidRPr="005341B8" w:rsidRDefault="00840307" w:rsidP="00840307">
            <w:pPr>
              <w:jc w:val="center"/>
              <w:rPr>
                <w:rFonts w:ascii="Arial" w:eastAsia="Calibri" w:hAnsi="Arial" w:cs="Arial"/>
              </w:rPr>
            </w:pPr>
            <w:r w:rsidRPr="005341B8">
              <w:rPr>
                <w:rFonts w:ascii="Arial" w:eastAsia="Calibri" w:hAnsi="Arial" w:cs="Arial"/>
              </w:rPr>
              <w:t>422</w:t>
            </w:r>
          </w:p>
        </w:tc>
      </w:tr>
      <w:tr w:rsidR="00840307" w:rsidRPr="005341B8" w14:paraId="72696757" w14:textId="77777777" w:rsidTr="005223FE">
        <w:trPr>
          <w:trHeight w:val="193"/>
          <w:jc w:val="center"/>
        </w:trPr>
        <w:tc>
          <w:tcPr>
            <w:tcW w:w="846" w:type="dxa"/>
          </w:tcPr>
          <w:p w14:paraId="15AAB344" w14:textId="77777777" w:rsidR="00840307" w:rsidRPr="005341B8" w:rsidRDefault="00840307" w:rsidP="00133A94">
            <w:pPr>
              <w:jc w:val="center"/>
              <w:rPr>
                <w:rFonts w:ascii="Arial" w:eastAsia="Calibri" w:hAnsi="Arial" w:cs="Arial"/>
              </w:rPr>
            </w:pPr>
            <w:r w:rsidRPr="005341B8">
              <w:rPr>
                <w:rFonts w:ascii="Arial" w:eastAsia="Calibri" w:hAnsi="Arial" w:cs="Arial"/>
              </w:rPr>
              <w:t>2016</w:t>
            </w:r>
          </w:p>
        </w:tc>
        <w:tc>
          <w:tcPr>
            <w:tcW w:w="4252" w:type="dxa"/>
          </w:tcPr>
          <w:p w14:paraId="50AC05DA" w14:textId="77777777" w:rsidR="00840307" w:rsidRPr="005341B8" w:rsidRDefault="00840307" w:rsidP="00840307">
            <w:pPr>
              <w:jc w:val="center"/>
              <w:rPr>
                <w:rFonts w:ascii="Arial" w:eastAsia="Calibri" w:hAnsi="Arial" w:cs="Arial"/>
              </w:rPr>
            </w:pPr>
            <w:r w:rsidRPr="005341B8">
              <w:rPr>
                <w:rFonts w:ascii="Arial" w:eastAsia="Calibri" w:hAnsi="Arial" w:cs="Arial"/>
              </w:rPr>
              <w:t>455</w:t>
            </w:r>
          </w:p>
        </w:tc>
      </w:tr>
      <w:tr w:rsidR="00840307" w:rsidRPr="005341B8" w14:paraId="2CBD307D" w14:textId="77777777" w:rsidTr="005223FE">
        <w:trPr>
          <w:trHeight w:val="193"/>
          <w:jc w:val="center"/>
        </w:trPr>
        <w:tc>
          <w:tcPr>
            <w:tcW w:w="846" w:type="dxa"/>
          </w:tcPr>
          <w:p w14:paraId="50AE6B11" w14:textId="77777777" w:rsidR="00840307" w:rsidRPr="005341B8" w:rsidRDefault="00840307" w:rsidP="00133A94">
            <w:pPr>
              <w:jc w:val="center"/>
              <w:rPr>
                <w:rFonts w:ascii="Arial" w:eastAsia="Calibri" w:hAnsi="Arial" w:cs="Arial"/>
              </w:rPr>
            </w:pPr>
            <w:r w:rsidRPr="005341B8">
              <w:rPr>
                <w:rFonts w:ascii="Arial" w:eastAsia="Calibri" w:hAnsi="Arial" w:cs="Arial"/>
              </w:rPr>
              <w:t>2017</w:t>
            </w:r>
          </w:p>
        </w:tc>
        <w:tc>
          <w:tcPr>
            <w:tcW w:w="4252" w:type="dxa"/>
          </w:tcPr>
          <w:p w14:paraId="4E4E4BC2" w14:textId="77777777" w:rsidR="00840307" w:rsidRPr="005341B8" w:rsidRDefault="00840307" w:rsidP="00840307">
            <w:pPr>
              <w:jc w:val="center"/>
              <w:rPr>
                <w:rFonts w:ascii="Arial" w:eastAsia="Calibri" w:hAnsi="Arial" w:cs="Arial"/>
              </w:rPr>
            </w:pPr>
            <w:r w:rsidRPr="005341B8">
              <w:rPr>
                <w:rFonts w:ascii="Arial" w:eastAsia="Calibri" w:hAnsi="Arial" w:cs="Arial"/>
              </w:rPr>
              <w:t>487</w:t>
            </w:r>
          </w:p>
        </w:tc>
      </w:tr>
    </w:tbl>
    <w:p w14:paraId="62A49320" w14:textId="77777777" w:rsidR="00840307" w:rsidRPr="005341B8" w:rsidRDefault="00840307" w:rsidP="00F360FE">
      <w:pPr>
        <w:pStyle w:val="ExhibitText"/>
        <w:rPr>
          <w:rFonts w:eastAsia="Calibri"/>
          <w:vertAlign w:val="superscript"/>
        </w:rPr>
      </w:pPr>
    </w:p>
    <w:p w14:paraId="70F9EB2C" w14:textId="1BC29A26" w:rsidR="00840307" w:rsidRPr="005341B8" w:rsidRDefault="00133A94" w:rsidP="005F2563">
      <w:pPr>
        <w:rPr>
          <w:rFonts w:ascii="Arial" w:eastAsia="Calibri" w:hAnsi="Arial" w:cs="Arial"/>
          <w:sz w:val="17"/>
          <w:szCs w:val="17"/>
        </w:rPr>
      </w:pPr>
      <w:r w:rsidRPr="005341B8">
        <w:rPr>
          <w:rFonts w:ascii="Arial" w:eastAsia="Calibri" w:hAnsi="Arial" w:cs="Arial"/>
          <w:sz w:val="17"/>
          <w:szCs w:val="17"/>
        </w:rPr>
        <w:t xml:space="preserve">Note: </w:t>
      </w:r>
      <w:r w:rsidR="00840307" w:rsidRPr="005341B8">
        <w:rPr>
          <w:rFonts w:ascii="Arial" w:eastAsia="Calibri" w:hAnsi="Arial" w:cs="Arial"/>
          <w:sz w:val="17"/>
          <w:szCs w:val="17"/>
          <w:vertAlign w:val="superscript"/>
        </w:rPr>
        <w:t>*</w:t>
      </w:r>
      <w:r w:rsidRPr="005341B8">
        <w:rPr>
          <w:rFonts w:ascii="Arial" w:eastAsia="Calibri" w:hAnsi="Arial" w:cs="Arial"/>
          <w:sz w:val="17"/>
          <w:szCs w:val="17"/>
        </w:rPr>
        <w:t>O</w:t>
      </w:r>
      <w:r w:rsidR="00840307" w:rsidRPr="005341B8">
        <w:rPr>
          <w:rFonts w:ascii="Arial" w:eastAsia="Calibri" w:hAnsi="Arial" w:cs="Arial"/>
          <w:sz w:val="17"/>
          <w:szCs w:val="17"/>
        </w:rPr>
        <w:t xml:space="preserve">nline (streaming) providers had </w:t>
      </w:r>
      <w:r w:rsidRPr="005341B8">
        <w:rPr>
          <w:rFonts w:ascii="Arial" w:eastAsia="Calibri" w:hAnsi="Arial" w:cs="Arial"/>
          <w:sz w:val="17"/>
          <w:szCs w:val="17"/>
        </w:rPr>
        <w:t>four</w:t>
      </w:r>
      <w:r w:rsidR="00965CF6">
        <w:rPr>
          <w:rFonts w:ascii="Arial" w:eastAsia="Calibri" w:hAnsi="Arial" w:cs="Arial"/>
          <w:sz w:val="17"/>
          <w:szCs w:val="17"/>
        </w:rPr>
        <w:t xml:space="preserve"> shows in 2010. These providers in 2010 </w:t>
      </w:r>
      <w:r w:rsidR="00840307" w:rsidRPr="005341B8">
        <w:rPr>
          <w:rFonts w:ascii="Arial" w:eastAsia="Calibri" w:hAnsi="Arial" w:cs="Arial"/>
          <w:sz w:val="17"/>
          <w:szCs w:val="17"/>
        </w:rPr>
        <w:t>firs</w:t>
      </w:r>
      <w:r w:rsidR="00965CF6">
        <w:rPr>
          <w:rFonts w:ascii="Arial" w:eastAsia="Calibri" w:hAnsi="Arial" w:cs="Arial"/>
          <w:sz w:val="17"/>
          <w:szCs w:val="17"/>
        </w:rPr>
        <w:t>t reported number for streaming</w:t>
      </w:r>
      <w:r w:rsidRPr="005341B8">
        <w:rPr>
          <w:rFonts w:ascii="Arial" w:eastAsia="Calibri" w:hAnsi="Arial" w:cs="Arial"/>
          <w:sz w:val="17"/>
          <w:szCs w:val="17"/>
        </w:rPr>
        <w:t>.</w:t>
      </w:r>
    </w:p>
    <w:p w14:paraId="2EABB624" w14:textId="77777777" w:rsidR="00840307" w:rsidRPr="005341B8" w:rsidRDefault="00840307" w:rsidP="00840307">
      <w:pPr>
        <w:jc w:val="center"/>
        <w:rPr>
          <w:rFonts w:ascii="Arial" w:eastAsia="Calibri" w:hAnsi="Arial" w:cs="Arial"/>
          <w:b/>
          <w:sz w:val="22"/>
          <w:szCs w:val="22"/>
        </w:rPr>
      </w:pPr>
    </w:p>
    <w:p w14:paraId="39D2AF87" w14:textId="77777777" w:rsidR="00840307" w:rsidRPr="005341B8" w:rsidRDefault="00840307" w:rsidP="00840307">
      <w:pPr>
        <w:jc w:val="center"/>
        <w:rPr>
          <w:rFonts w:ascii="Arial" w:eastAsia="Calibri" w:hAnsi="Arial" w:cs="Arial"/>
          <w:b/>
          <w:sz w:val="22"/>
          <w:szCs w:val="22"/>
        </w:rPr>
      </w:pPr>
    </w:p>
    <w:p w14:paraId="3EBFE6ED" w14:textId="77777777" w:rsidR="00840307" w:rsidRPr="005341B8" w:rsidRDefault="00840307" w:rsidP="00840307">
      <w:pPr>
        <w:jc w:val="center"/>
        <w:rPr>
          <w:rFonts w:ascii="Arial" w:eastAsia="Calibri" w:hAnsi="Arial" w:cs="Arial"/>
          <w:b/>
        </w:rPr>
      </w:pPr>
      <w:r w:rsidRPr="005341B8">
        <w:rPr>
          <w:rFonts w:ascii="Arial" w:eastAsia="Calibri" w:hAnsi="Arial" w:cs="Arial"/>
          <w:b/>
        </w:rPr>
        <w:t>2017 Breakdown by Provider</w:t>
      </w:r>
    </w:p>
    <w:p w14:paraId="0C7741B9" w14:textId="77777777" w:rsidR="00840307" w:rsidRPr="005341B8" w:rsidRDefault="00840307" w:rsidP="00840307">
      <w:pPr>
        <w:jc w:val="center"/>
        <w:rPr>
          <w:rFonts w:ascii="Arial" w:eastAsia="Calibri" w:hAnsi="Arial" w:cs="Arial"/>
          <w:b/>
        </w:rPr>
      </w:pPr>
    </w:p>
    <w:tbl>
      <w:tblPr>
        <w:tblStyle w:val="TableGrid"/>
        <w:tblW w:w="0" w:type="auto"/>
        <w:jc w:val="center"/>
        <w:tblLook w:val="04A0" w:firstRow="1" w:lastRow="0" w:firstColumn="1" w:lastColumn="0" w:noHBand="0" w:noVBand="1"/>
      </w:tblPr>
      <w:tblGrid>
        <w:gridCol w:w="3219"/>
        <w:gridCol w:w="1424"/>
        <w:gridCol w:w="3069"/>
      </w:tblGrid>
      <w:tr w:rsidR="00840307" w:rsidRPr="005341B8" w14:paraId="7DC37E37" w14:textId="77777777" w:rsidTr="005223FE">
        <w:trPr>
          <w:trHeight w:val="249"/>
          <w:jc w:val="center"/>
        </w:trPr>
        <w:tc>
          <w:tcPr>
            <w:tcW w:w="3219" w:type="dxa"/>
          </w:tcPr>
          <w:p w14:paraId="630AFA52" w14:textId="210CB857" w:rsidR="00840307" w:rsidRPr="005341B8" w:rsidRDefault="00133A94" w:rsidP="00840307">
            <w:pPr>
              <w:rPr>
                <w:rFonts w:ascii="Arial" w:eastAsia="Calibri" w:hAnsi="Arial" w:cs="Arial"/>
                <w:b/>
              </w:rPr>
            </w:pPr>
            <w:r w:rsidRPr="005341B8">
              <w:rPr>
                <w:rFonts w:ascii="Arial" w:eastAsia="Calibri" w:hAnsi="Arial" w:cs="Arial"/>
                <w:b/>
              </w:rPr>
              <w:t>Provider Type</w:t>
            </w:r>
          </w:p>
        </w:tc>
        <w:tc>
          <w:tcPr>
            <w:tcW w:w="1424" w:type="dxa"/>
            <w:vAlign w:val="center"/>
          </w:tcPr>
          <w:p w14:paraId="37320F08" w14:textId="671AB7F8" w:rsidR="00840307" w:rsidRPr="005341B8" w:rsidRDefault="00133A94" w:rsidP="004366B5">
            <w:pPr>
              <w:jc w:val="center"/>
              <w:rPr>
                <w:rFonts w:ascii="Arial" w:eastAsia="Calibri" w:hAnsi="Arial" w:cs="Arial"/>
                <w:b/>
              </w:rPr>
            </w:pPr>
            <w:r w:rsidRPr="005341B8">
              <w:rPr>
                <w:rFonts w:ascii="Arial" w:eastAsia="Calibri" w:hAnsi="Arial" w:cs="Arial"/>
                <w:b/>
              </w:rPr>
              <w:t>Number</w:t>
            </w:r>
          </w:p>
        </w:tc>
        <w:tc>
          <w:tcPr>
            <w:tcW w:w="3069" w:type="dxa"/>
            <w:vAlign w:val="center"/>
          </w:tcPr>
          <w:p w14:paraId="16776752" w14:textId="3983A39C" w:rsidR="00840307" w:rsidRPr="005341B8" w:rsidRDefault="00133A94" w:rsidP="005223FE">
            <w:pPr>
              <w:jc w:val="center"/>
              <w:rPr>
                <w:rFonts w:ascii="Arial" w:eastAsia="Calibri" w:hAnsi="Arial" w:cs="Arial"/>
                <w:b/>
              </w:rPr>
            </w:pPr>
            <w:r w:rsidRPr="005341B8">
              <w:rPr>
                <w:rFonts w:ascii="Arial" w:eastAsia="Calibri" w:hAnsi="Arial" w:cs="Arial"/>
                <w:b/>
              </w:rPr>
              <w:t xml:space="preserve">Growth </w:t>
            </w:r>
            <w:r w:rsidR="00F8118E">
              <w:rPr>
                <w:rFonts w:ascii="Arial" w:eastAsia="Calibri" w:hAnsi="Arial" w:cs="Arial"/>
                <w:b/>
              </w:rPr>
              <w:t>since</w:t>
            </w:r>
            <w:r w:rsidR="00F8118E" w:rsidRPr="005341B8">
              <w:rPr>
                <w:rFonts w:ascii="Arial" w:eastAsia="Calibri" w:hAnsi="Arial" w:cs="Arial"/>
                <w:b/>
              </w:rPr>
              <w:t xml:space="preserve"> </w:t>
            </w:r>
            <w:r w:rsidR="00840307" w:rsidRPr="005341B8">
              <w:rPr>
                <w:rFonts w:ascii="Arial" w:eastAsia="Calibri" w:hAnsi="Arial" w:cs="Arial"/>
                <w:b/>
              </w:rPr>
              <w:t>2012 (%)</w:t>
            </w:r>
          </w:p>
        </w:tc>
      </w:tr>
      <w:tr w:rsidR="00840307" w:rsidRPr="005341B8" w14:paraId="7AACB337" w14:textId="77777777" w:rsidTr="005345B3">
        <w:trPr>
          <w:trHeight w:val="249"/>
          <w:jc w:val="center"/>
        </w:trPr>
        <w:tc>
          <w:tcPr>
            <w:tcW w:w="3219" w:type="dxa"/>
          </w:tcPr>
          <w:p w14:paraId="4FCE047B" w14:textId="47E27AE6" w:rsidR="00840307" w:rsidRPr="005341B8" w:rsidRDefault="00840307" w:rsidP="00840307">
            <w:pPr>
              <w:rPr>
                <w:rFonts w:ascii="Arial" w:eastAsia="Calibri" w:hAnsi="Arial" w:cs="Arial"/>
              </w:rPr>
            </w:pPr>
            <w:r w:rsidRPr="005341B8">
              <w:rPr>
                <w:rFonts w:ascii="Arial" w:eastAsia="Calibri" w:hAnsi="Arial" w:cs="Arial"/>
              </w:rPr>
              <w:t>Broadcast</w:t>
            </w:r>
          </w:p>
        </w:tc>
        <w:tc>
          <w:tcPr>
            <w:tcW w:w="1424" w:type="dxa"/>
          </w:tcPr>
          <w:p w14:paraId="2D8ED04E" w14:textId="77777777" w:rsidR="00840307" w:rsidRPr="005341B8" w:rsidRDefault="00840307" w:rsidP="00840307">
            <w:pPr>
              <w:jc w:val="center"/>
              <w:rPr>
                <w:rFonts w:ascii="Arial" w:eastAsia="Calibri" w:hAnsi="Arial" w:cs="Arial"/>
              </w:rPr>
            </w:pPr>
            <w:r w:rsidRPr="005341B8">
              <w:rPr>
                <w:rFonts w:ascii="Arial" w:eastAsia="Calibri" w:hAnsi="Arial" w:cs="Arial"/>
              </w:rPr>
              <w:t>153</w:t>
            </w:r>
          </w:p>
        </w:tc>
        <w:tc>
          <w:tcPr>
            <w:tcW w:w="3069" w:type="dxa"/>
          </w:tcPr>
          <w:p w14:paraId="5ADA1035" w14:textId="77777777" w:rsidR="00840307" w:rsidRPr="005341B8" w:rsidRDefault="00840307" w:rsidP="00840307">
            <w:pPr>
              <w:jc w:val="center"/>
              <w:rPr>
                <w:rFonts w:ascii="Arial" w:eastAsia="Calibri" w:hAnsi="Arial" w:cs="Arial"/>
              </w:rPr>
            </w:pPr>
            <w:r w:rsidRPr="005341B8">
              <w:rPr>
                <w:rFonts w:ascii="Arial" w:eastAsia="Calibri" w:hAnsi="Arial" w:cs="Arial"/>
              </w:rPr>
              <w:t>29</w:t>
            </w:r>
          </w:p>
        </w:tc>
      </w:tr>
      <w:tr w:rsidR="00840307" w:rsidRPr="005341B8" w14:paraId="3EF47A42" w14:textId="77777777" w:rsidTr="005345B3">
        <w:trPr>
          <w:trHeight w:val="249"/>
          <w:jc w:val="center"/>
        </w:trPr>
        <w:tc>
          <w:tcPr>
            <w:tcW w:w="3219" w:type="dxa"/>
          </w:tcPr>
          <w:p w14:paraId="4E644FBF" w14:textId="5691A45E" w:rsidR="00840307" w:rsidRPr="005341B8" w:rsidRDefault="00840307" w:rsidP="00840307">
            <w:pPr>
              <w:rPr>
                <w:rFonts w:ascii="Arial" w:eastAsia="Calibri" w:hAnsi="Arial" w:cs="Arial"/>
              </w:rPr>
            </w:pPr>
            <w:r w:rsidRPr="005341B8">
              <w:rPr>
                <w:rFonts w:ascii="Arial" w:eastAsia="Calibri" w:hAnsi="Arial" w:cs="Arial"/>
              </w:rPr>
              <w:t>Basic Cable</w:t>
            </w:r>
          </w:p>
        </w:tc>
        <w:tc>
          <w:tcPr>
            <w:tcW w:w="1424" w:type="dxa"/>
          </w:tcPr>
          <w:p w14:paraId="79543B82" w14:textId="77777777" w:rsidR="00840307" w:rsidRPr="005341B8" w:rsidRDefault="00840307" w:rsidP="00840307">
            <w:pPr>
              <w:jc w:val="center"/>
              <w:rPr>
                <w:rFonts w:ascii="Arial" w:eastAsia="Calibri" w:hAnsi="Arial" w:cs="Arial"/>
              </w:rPr>
            </w:pPr>
            <w:r w:rsidRPr="005341B8">
              <w:rPr>
                <w:rFonts w:ascii="Arial" w:eastAsia="Calibri" w:hAnsi="Arial" w:cs="Arial"/>
              </w:rPr>
              <w:t>175</w:t>
            </w:r>
          </w:p>
        </w:tc>
        <w:tc>
          <w:tcPr>
            <w:tcW w:w="3069" w:type="dxa"/>
          </w:tcPr>
          <w:p w14:paraId="2F7BE45C" w14:textId="77777777" w:rsidR="00840307" w:rsidRPr="005341B8" w:rsidRDefault="00840307" w:rsidP="00840307">
            <w:pPr>
              <w:jc w:val="center"/>
              <w:rPr>
                <w:rFonts w:ascii="Arial" w:eastAsia="Calibri" w:hAnsi="Arial" w:cs="Arial"/>
              </w:rPr>
            </w:pPr>
            <w:r w:rsidRPr="005341B8">
              <w:rPr>
                <w:rFonts w:ascii="Arial" w:eastAsia="Calibri" w:hAnsi="Arial" w:cs="Arial"/>
              </w:rPr>
              <w:t>40</w:t>
            </w:r>
          </w:p>
        </w:tc>
      </w:tr>
      <w:tr w:rsidR="00840307" w:rsidRPr="005341B8" w14:paraId="3CE74828" w14:textId="77777777" w:rsidTr="005345B3">
        <w:trPr>
          <w:trHeight w:val="249"/>
          <w:jc w:val="center"/>
        </w:trPr>
        <w:tc>
          <w:tcPr>
            <w:tcW w:w="3219" w:type="dxa"/>
          </w:tcPr>
          <w:p w14:paraId="440311D7" w14:textId="2C5B9526" w:rsidR="00840307" w:rsidRPr="005341B8" w:rsidRDefault="00840307" w:rsidP="00840307">
            <w:pPr>
              <w:rPr>
                <w:rFonts w:ascii="Arial" w:eastAsia="Calibri" w:hAnsi="Arial" w:cs="Arial"/>
              </w:rPr>
            </w:pPr>
            <w:r w:rsidRPr="005341B8">
              <w:rPr>
                <w:rFonts w:ascii="Arial" w:eastAsia="Calibri" w:hAnsi="Arial" w:cs="Arial"/>
              </w:rPr>
              <w:t>Pay Cable</w:t>
            </w:r>
          </w:p>
        </w:tc>
        <w:tc>
          <w:tcPr>
            <w:tcW w:w="1424" w:type="dxa"/>
          </w:tcPr>
          <w:p w14:paraId="44D0331B" w14:textId="616BD081" w:rsidR="00840307" w:rsidRPr="005341B8" w:rsidRDefault="00AE391B" w:rsidP="00840307">
            <w:pPr>
              <w:jc w:val="center"/>
              <w:rPr>
                <w:rFonts w:ascii="Arial" w:eastAsia="Calibri" w:hAnsi="Arial" w:cs="Arial"/>
              </w:rPr>
            </w:pPr>
            <w:r>
              <w:rPr>
                <w:rFonts w:ascii="Arial" w:eastAsia="Calibri" w:hAnsi="Arial" w:cs="Arial"/>
              </w:rPr>
              <w:t xml:space="preserve"> </w:t>
            </w:r>
            <w:r w:rsidR="00840307" w:rsidRPr="005341B8">
              <w:rPr>
                <w:rFonts w:ascii="Arial" w:eastAsia="Calibri" w:hAnsi="Arial" w:cs="Arial"/>
              </w:rPr>
              <w:t>42</w:t>
            </w:r>
          </w:p>
        </w:tc>
        <w:tc>
          <w:tcPr>
            <w:tcW w:w="3069" w:type="dxa"/>
          </w:tcPr>
          <w:p w14:paraId="02457006" w14:textId="77777777" w:rsidR="00840307" w:rsidRPr="005341B8" w:rsidRDefault="00840307" w:rsidP="00840307">
            <w:pPr>
              <w:jc w:val="center"/>
              <w:rPr>
                <w:rFonts w:ascii="Arial" w:eastAsia="Calibri" w:hAnsi="Arial" w:cs="Arial"/>
              </w:rPr>
            </w:pPr>
            <w:r w:rsidRPr="005341B8">
              <w:rPr>
                <w:rFonts w:ascii="Arial" w:eastAsia="Calibri" w:hAnsi="Arial" w:cs="Arial"/>
              </w:rPr>
              <w:t>45</w:t>
            </w:r>
          </w:p>
        </w:tc>
      </w:tr>
      <w:tr w:rsidR="00840307" w:rsidRPr="005341B8" w14:paraId="6AAA31E8" w14:textId="77777777" w:rsidTr="005345B3">
        <w:trPr>
          <w:trHeight w:val="249"/>
          <w:jc w:val="center"/>
        </w:trPr>
        <w:tc>
          <w:tcPr>
            <w:tcW w:w="3219" w:type="dxa"/>
          </w:tcPr>
          <w:p w14:paraId="0FC8064C" w14:textId="507594F7" w:rsidR="00840307" w:rsidRPr="005341B8" w:rsidRDefault="00840307" w:rsidP="00840307">
            <w:pPr>
              <w:rPr>
                <w:rFonts w:ascii="Arial" w:eastAsia="Calibri" w:hAnsi="Arial" w:cs="Arial"/>
              </w:rPr>
            </w:pPr>
            <w:r w:rsidRPr="005341B8">
              <w:rPr>
                <w:rFonts w:ascii="Arial" w:eastAsia="Calibri" w:hAnsi="Arial" w:cs="Arial"/>
              </w:rPr>
              <w:t>Online Services (Streaming)</w:t>
            </w:r>
          </w:p>
        </w:tc>
        <w:tc>
          <w:tcPr>
            <w:tcW w:w="1424" w:type="dxa"/>
          </w:tcPr>
          <w:p w14:paraId="07A63AF9" w14:textId="77777777" w:rsidR="00840307" w:rsidRPr="005341B8" w:rsidRDefault="00840307" w:rsidP="00840307">
            <w:pPr>
              <w:jc w:val="center"/>
              <w:rPr>
                <w:rFonts w:ascii="Arial" w:eastAsia="Calibri" w:hAnsi="Arial" w:cs="Arial"/>
              </w:rPr>
            </w:pPr>
            <w:r w:rsidRPr="005341B8">
              <w:rPr>
                <w:rFonts w:ascii="Arial" w:eastAsia="Calibri" w:hAnsi="Arial" w:cs="Arial"/>
              </w:rPr>
              <w:t>117</w:t>
            </w:r>
          </w:p>
        </w:tc>
        <w:tc>
          <w:tcPr>
            <w:tcW w:w="3069" w:type="dxa"/>
          </w:tcPr>
          <w:p w14:paraId="0F312020" w14:textId="77777777" w:rsidR="00840307" w:rsidRPr="005341B8" w:rsidRDefault="00840307" w:rsidP="00840307">
            <w:pPr>
              <w:jc w:val="center"/>
              <w:rPr>
                <w:rFonts w:ascii="Arial" w:eastAsia="Calibri" w:hAnsi="Arial" w:cs="Arial"/>
              </w:rPr>
            </w:pPr>
            <w:r w:rsidRPr="005341B8">
              <w:rPr>
                <w:rFonts w:ascii="Arial" w:eastAsia="Calibri" w:hAnsi="Arial" w:cs="Arial"/>
              </w:rPr>
              <w:t>680</w:t>
            </w:r>
          </w:p>
        </w:tc>
      </w:tr>
    </w:tbl>
    <w:p w14:paraId="4194EA96" w14:textId="77777777" w:rsidR="00840307" w:rsidRPr="005341B8" w:rsidRDefault="00840307" w:rsidP="00840307">
      <w:pPr>
        <w:jc w:val="center"/>
        <w:rPr>
          <w:rFonts w:ascii="Arial" w:eastAsia="Calibri" w:hAnsi="Arial" w:cs="Arial"/>
          <w:vertAlign w:val="superscript"/>
        </w:rPr>
      </w:pPr>
    </w:p>
    <w:p w14:paraId="07AE528C" w14:textId="28BD55F1" w:rsidR="00840307" w:rsidRPr="005341B8" w:rsidRDefault="00133A94" w:rsidP="005F2563">
      <w:pPr>
        <w:rPr>
          <w:rFonts w:ascii="Arial" w:eastAsia="Calibri" w:hAnsi="Arial" w:cs="Arial"/>
          <w:sz w:val="18"/>
          <w:szCs w:val="18"/>
        </w:rPr>
      </w:pPr>
      <w:r w:rsidRPr="005341B8">
        <w:rPr>
          <w:rFonts w:ascii="Arial" w:eastAsia="Calibri" w:hAnsi="Arial" w:cs="Arial"/>
          <w:sz w:val="17"/>
          <w:szCs w:val="17"/>
        </w:rPr>
        <w:t xml:space="preserve">Note: </w:t>
      </w:r>
      <w:r w:rsidR="00DE5C48" w:rsidRPr="005341B8">
        <w:rPr>
          <w:rFonts w:ascii="Arial" w:eastAsia="Calibri" w:hAnsi="Arial" w:cs="Arial"/>
          <w:sz w:val="17"/>
          <w:szCs w:val="17"/>
        </w:rPr>
        <w:t>broadcast =</w:t>
      </w:r>
      <w:r w:rsidR="00840307" w:rsidRPr="005341B8">
        <w:rPr>
          <w:rFonts w:ascii="Arial" w:eastAsia="Calibri" w:hAnsi="Arial" w:cs="Arial"/>
          <w:sz w:val="17"/>
          <w:szCs w:val="17"/>
        </w:rPr>
        <w:t xml:space="preserve"> ABC, NBC, CBS</w:t>
      </w:r>
      <w:r w:rsidR="00DE5C48" w:rsidRPr="005341B8">
        <w:rPr>
          <w:rFonts w:ascii="Arial" w:eastAsia="Calibri" w:hAnsi="Arial" w:cs="Arial"/>
          <w:sz w:val="17"/>
          <w:szCs w:val="17"/>
        </w:rPr>
        <w:t xml:space="preserve">, etc.; basic cable = </w:t>
      </w:r>
      <w:r w:rsidR="00840307" w:rsidRPr="005341B8">
        <w:rPr>
          <w:rFonts w:ascii="Arial" w:eastAsia="Calibri" w:hAnsi="Arial" w:cs="Arial"/>
          <w:sz w:val="17"/>
          <w:szCs w:val="17"/>
        </w:rPr>
        <w:t>AMCN, TBS, TNT</w:t>
      </w:r>
      <w:r w:rsidR="00DE5C48" w:rsidRPr="005341B8">
        <w:rPr>
          <w:rFonts w:ascii="Arial" w:eastAsia="Calibri" w:hAnsi="Arial" w:cs="Arial"/>
          <w:sz w:val="17"/>
          <w:szCs w:val="17"/>
        </w:rPr>
        <w:t xml:space="preserve">, etc.; pay cable = </w:t>
      </w:r>
      <w:r w:rsidR="00840307" w:rsidRPr="005341B8">
        <w:rPr>
          <w:rFonts w:ascii="Arial" w:eastAsia="Calibri" w:hAnsi="Arial" w:cs="Arial"/>
          <w:sz w:val="17"/>
          <w:szCs w:val="17"/>
        </w:rPr>
        <w:t>HBO, Showtime</w:t>
      </w:r>
      <w:r w:rsidR="00DE5C48" w:rsidRPr="005341B8">
        <w:rPr>
          <w:rFonts w:ascii="Arial" w:eastAsia="Calibri" w:hAnsi="Arial" w:cs="Arial"/>
          <w:sz w:val="17"/>
          <w:szCs w:val="17"/>
        </w:rPr>
        <w:t xml:space="preserve">, etc.; online services (streaming) = </w:t>
      </w:r>
      <w:r w:rsidR="00840307" w:rsidRPr="005341B8">
        <w:rPr>
          <w:rFonts w:ascii="Arial" w:eastAsia="Calibri" w:hAnsi="Arial" w:cs="Arial"/>
          <w:sz w:val="17"/>
          <w:szCs w:val="17"/>
        </w:rPr>
        <w:t>Netflix, Amazon, Hulu</w:t>
      </w:r>
      <w:r w:rsidR="00DE5C48" w:rsidRPr="005341B8">
        <w:rPr>
          <w:rFonts w:ascii="Arial" w:eastAsia="Calibri" w:hAnsi="Arial" w:cs="Arial"/>
          <w:sz w:val="17"/>
          <w:szCs w:val="17"/>
        </w:rPr>
        <w:t>, etc.</w:t>
      </w:r>
    </w:p>
    <w:p w14:paraId="562103FD" w14:textId="77777777" w:rsidR="00840307" w:rsidRPr="005341B8" w:rsidRDefault="00840307" w:rsidP="00840307">
      <w:pPr>
        <w:jc w:val="center"/>
        <w:rPr>
          <w:rFonts w:ascii="Arial" w:eastAsia="Calibri" w:hAnsi="Arial" w:cs="Arial"/>
          <w:b/>
          <w:sz w:val="22"/>
          <w:szCs w:val="22"/>
        </w:rPr>
      </w:pPr>
    </w:p>
    <w:p w14:paraId="08F8549D" w14:textId="77777777" w:rsidR="00840307" w:rsidRPr="005341B8" w:rsidRDefault="00840307" w:rsidP="00840307">
      <w:pPr>
        <w:jc w:val="center"/>
        <w:rPr>
          <w:rFonts w:ascii="Arial" w:eastAsia="Calibri" w:hAnsi="Arial" w:cs="Arial"/>
          <w:b/>
          <w:sz w:val="22"/>
          <w:szCs w:val="22"/>
        </w:rPr>
      </w:pPr>
    </w:p>
    <w:p w14:paraId="45A17197" w14:textId="0296D998" w:rsidR="00840307" w:rsidRPr="005341B8" w:rsidRDefault="00840307" w:rsidP="00840307">
      <w:pPr>
        <w:jc w:val="center"/>
        <w:rPr>
          <w:rFonts w:ascii="Arial" w:eastAsia="Calibri" w:hAnsi="Arial" w:cs="Arial"/>
          <w:b/>
        </w:rPr>
      </w:pPr>
      <w:r w:rsidRPr="005341B8">
        <w:rPr>
          <w:rFonts w:ascii="Arial" w:eastAsia="Calibri" w:hAnsi="Arial" w:cs="Arial"/>
          <w:b/>
        </w:rPr>
        <w:t>Spending on Original Scripted Content (</w:t>
      </w:r>
      <w:r w:rsidR="006A5D76" w:rsidRPr="005341B8">
        <w:rPr>
          <w:rFonts w:ascii="Arial" w:eastAsia="Calibri" w:hAnsi="Arial" w:cs="Arial"/>
          <w:b/>
        </w:rPr>
        <w:t>S</w:t>
      </w:r>
      <w:r w:rsidRPr="005341B8">
        <w:rPr>
          <w:rFonts w:ascii="Arial" w:eastAsia="Calibri" w:hAnsi="Arial" w:cs="Arial"/>
          <w:b/>
        </w:rPr>
        <w:t>elected)</w:t>
      </w:r>
    </w:p>
    <w:p w14:paraId="4BA2DA13" w14:textId="77777777" w:rsidR="00840307" w:rsidRPr="005341B8" w:rsidRDefault="00840307" w:rsidP="00840307">
      <w:pPr>
        <w:jc w:val="center"/>
        <w:rPr>
          <w:rFonts w:ascii="Arial" w:eastAsia="Calibri" w:hAnsi="Arial" w:cs="Arial"/>
          <w:b/>
        </w:rPr>
      </w:pPr>
    </w:p>
    <w:tbl>
      <w:tblPr>
        <w:tblStyle w:val="TableGrid"/>
        <w:tblW w:w="0" w:type="auto"/>
        <w:jc w:val="center"/>
        <w:tblLook w:val="04A0" w:firstRow="1" w:lastRow="0" w:firstColumn="1" w:lastColumn="0" w:noHBand="0" w:noVBand="1"/>
      </w:tblPr>
      <w:tblGrid>
        <w:gridCol w:w="2088"/>
        <w:gridCol w:w="3010"/>
        <w:gridCol w:w="2576"/>
      </w:tblGrid>
      <w:tr w:rsidR="00840307" w:rsidRPr="005341B8" w14:paraId="61C66FB3" w14:textId="77777777" w:rsidTr="005345B3">
        <w:trPr>
          <w:trHeight w:val="249"/>
          <w:jc w:val="center"/>
        </w:trPr>
        <w:tc>
          <w:tcPr>
            <w:tcW w:w="2088" w:type="dxa"/>
          </w:tcPr>
          <w:p w14:paraId="5D8F988D" w14:textId="42633D95" w:rsidR="00840307" w:rsidRPr="005341B8" w:rsidRDefault="006A5D76" w:rsidP="00840307">
            <w:pPr>
              <w:rPr>
                <w:rFonts w:ascii="Arial" w:eastAsia="Calibri" w:hAnsi="Arial" w:cs="Arial"/>
                <w:b/>
              </w:rPr>
            </w:pPr>
            <w:r w:rsidRPr="005341B8">
              <w:rPr>
                <w:rFonts w:ascii="Arial" w:eastAsia="Calibri" w:hAnsi="Arial" w:cs="Arial"/>
                <w:b/>
              </w:rPr>
              <w:t>Provider</w:t>
            </w:r>
          </w:p>
        </w:tc>
        <w:tc>
          <w:tcPr>
            <w:tcW w:w="3010" w:type="dxa"/>
          </w:tcPr>
          <w:p w14:paraId="68DC4C3C" w14:textId="03E068E2" w:rsidR="00840307" w:rsidRPr="005341B8" w:rsidRDefault="006A5D76" w:rsidP="00840307">
            <w:pPr>
              <w:rPr>
                <w:rFonts w:ascii="Arial" w:eastAsia="Calibri" w:hAnsi="Arial" w:cs="Arial"/>
                <w:b/>
              </w:rPr>
            </w:pPr>
            <w:r w:rsidRPr="005341B8">
              <w:rPr>
                <w:rFonts w:ascii="Arial" w:eastAsia="Calibri" w:hAnsi="Arial" w:cs="Arial"/>
                <w:b/>
              </w:rPr>
              <w:t xml:space="preserve">Spending (in </w:t>
            </w:r>
            <w:r w:rsidR="00454F78" w:rsidRPr="005341B8">
              <w:rPr>
                <w:rFonts w:ascii="Arial" w:eastAsia="Calibri" w:hAnsi="Arial" w:cs="Arial"/>
                <w:b/>
              </w:rPr>
              <w:t xml:space="preserve">US$ </w:t>
            </w:r>
            <w:r w:rsidRPr="005341B8">
              <w:rPr>
                <w:rFonts w:ascii="Arial" w:eastAsia="Calibri" w:hAnsi="Arial" w:cs="Arial"/>
                <w:b/>
              </w:rPr>
              <w:t>Billion)</w:t>
            </w:r>
          </w:p>
        </w:tc>
        <w:tc>
          <w:tcPr>
            <w:tcW w:w="2576" w:type="dxa"/>
          </w:tcPr>
          <w:p w14:paraId="66659307" w14:textId="702643EE" w:rsidR="00840307" w:rsidRPr="005341B8" w:rsidRDefault="006A5D76" w:rsidP="00840307">
            <w:pPr>
              <w:jc w:val="center"/>
              <w:rPr>
                <w:rFonts w:ascii="Arial" w:eastAsia="Calibri" w:hAnsi="Arial" w:cs="Arial"/>
                <w:b/>
              </w:rPr>
            </w:pPr>
            <w:r w:rsidRPr="005341B8">
              <w:rPr>
                <w:rFonts w:ascii="Arial" w:eastAsia="Calibri" w:hAnsi="Arial" w:cs="Arial"/>
                <w:b/>
              </w:rPr>
              <w:t>Number of Shows</w:t>
            </w:r>
          </w:p>
        </w:tc>
      </w:tr>
      <w:tr w:rsidR="00840307" w:rsidRPr="005341B8" w14:paraId="255D38DC" w14:textId="77777777" w:rsidTr="005345B3">
        <w:trPr>
          <w:trHeight w:val="249"/>
          <w:jc w:val="center"/>
        </w:trPr>
        <w:tc>
          <w:tcPr>
            <w:tcW w:w="2088" w:type="dxa"/>
          </w:tcPr>
          <w:p w14:paraId="14B7FF0C" w14:textId="77777777" w:rsidR="00840307" w:rsidRPr="005341B8" w:rsidRDefault="00840307" w:rsidP="00840307">
            <w:pPr>
              <w:rPr>
                <w:rFonts w:ascii="Arial" w:eastAsia="Calibri" w:hAnsi="Arial" w:cs="Arial"/>
              </w:rPr>
            </w:pPr>
            <w:r w:rsidRPr="005341B8">
              <w:rPr>
                <w:rFonts w:ascii="Arial" w:eastAsia="Calibri" w:hAnsi="Arial" w:cs="Arial"/>
              </w:rPr>
              <w:t>Netflix</w:t>
            </w:r>
          </w:p>
        </w:tc>
        <w:tc>
          <w:tcPr>
            <w:tcW w:w="3010" w:type="dxa"/>
          </w:tcPr>
          <w:p w14:paraId="71C01ABD" w14:textId="0708E5A5" w:rsidR="00840307" w:rsidRPr="005341B8" w:rsidRDefault="00840307" w:rsidP="006A5D76">
            <w:pPr>
              <w:jc w:val="center"/>
              <w:rPr>
                <w:rFonts w:ascii="Arial" w:eastAsia="Calibri" w:hAnsi="Arial" w:cs="Arial"/>
              </w:rPr>
            </w:pPr>
            <w:r w:rsidRPr="005341B8">
              <w:rPr>
                <w:rFonts w:ascii="Arial" w:eastAsia="Calibri" w:hAnsi="Arial" w:cs="Arial"/>
              </w:rPr>
              <w:t xml:space="preserve">$6.0 </w:t>
            </w:r>
          </w:p>
        </w:tc>
        <w:tc>
          <w:tcPr>
            <w:tcW w:w="2576" w:type="dxa"/>
          </w:tcPr>
          <w:p w14:paraId="71CECB61" w14:textId="77777777" w:rsidR="00840307" w:rsidRPr="005341B8" w:rsidRDefault="00840307" w:rsidP="00840307">
            <w:pPr>
              <w:jc w:val="center"/>
              <w:rPr>
                <w:rFonts w:ascii="Arial" w:eastAsia="Calibri" w:hAnsi="Arial" w:cs="Arial"/>
              </w:rPr>
            </w:pPr>
            <w:r w:rsidRPr="005341B8">
              <w:rPr>
                <w:rFonts w:ascii="Arial" w:eastAsia="Calibri" w:hAnsi="Arial" w:cs="Arial"/>
              </w:rPr>
              <w:t>88</w:t>
            </w:r>
          </w:p>
        </w:tc>
      </w:tr>
      <w:tr w:rsidR="00840307" w:rsidRPr="005341B8" w14:paraId="28DF3D68" w14:textId="77777777" w:rsidTr="005345B3">
        <w:trPr>
          <w:trHeight w:val="249"/>
          <w:jc w:val="center"/>
        </w:trPr>
        <w:tc>
          <w:tcPr>
            <w:tcW w:w="2088" w:type="dxa"/>
          </w:tcPr>
          <w:p w14:paraId="045B03B4" w14:textId="77777777" w:rsidR="00840307" w:rsidRPr="005341B8" w:rsidRDefault="00840307" w:rsidP="00840307">
            <w:pPr>
              <w:rPr>
                <w:rFonts w:ascii="Arial" w:eastAsia="Calibri" w:hAnsi="Arial" w:cs="Arial"/>
              </w:rPr>
            </w:pPr>
            <w:r w:rsidRPr="005341B8">
              <w:rPr>
                <w:rFonts w:ascii="Arial" w:eastAsia="Calibri" w:hAnsi="Arial" w:cs="Arial"/>
              </w:rPr>
              <w:t>Amazon</w:t>
            </w:r>
          </w:p>
        </w:tc>
        <w:tc>
          <w:tcPr>
            <w:tcW w:w="3010" w:type="dxa"/>
          </w:tcPr>
          <w:p w14:paraId="32A9B136" w14:textId="7B5EAFCC" w:rsidR="00840307" w:rsidRPr="005341B8" w:rsidRDefault="00840307" w:rsidP="006A5D76">
            <w:pPr>
              <w:jc w:val="center"/>
              <w:rPr>
                <w:rFonts w:ascii="Arial" w:eastAsia="Calibri" w:hAnsi="Arial" w:cs="Arial"/>
              </w:rPr>
            </w:pPr>
            <w:r w:rsidRPr="005341B8">
              <w:rPr>
                <w:rFonts w:ascii="Arial" w:eastAsia="Calibri" w:hAnsi="Arial" w:cs="Arial"/>
              </w:rPr>
              <w:t xml:space="preserve">$4.5 </w:t>
            </w:r>
          </w:p>
        </w:tc>
        <w:tc>
          <w:tcPr>
            <w:tcW w:w="2576" w:type="dxa"/>
          </w:tcPr>
          <w:p w14:paraId="33002D86" w14:textId="77777777" w:rsidR="00840307" w:rsidRPr="005341B8" w:rsidRDefault="00840307" w:rsidP="00840307">
            <w:pPr>
              <w:jc w:val="center"/>
              <w:rPr>
                <w:rFonts w:ascii="Arial" w:eastAsia="Calibri" w:hAnsi="Arial" w:cs="Arial"/>
              </w:rPr>
            </w:pPr>
            <w:r w:rsidRPr="005341B8">
              <w:rPr>
                <w:rFonts w:ascii="Arial" w:eastAsia="Calibri" w:hAnsi="Arial" w:cs="Arial"/>
              </w:rPr>
              <w:t>28</w:t>
            </w:r>
          </w:p>
        </w:tc>
      </w:tr>
      <w:tr w:rsidR="00840307" w:rsidRPr="005341B8" w14:paraId="00B2A278" w14:textId="77777777" w:rsidTr="005345B3">
        <w:trPr>
          <w:trHeight w:val="249"/>
          <w:jc w:val="center"/>
        </w:trPr>
        <w:tc>
          <w:tcPr>
            <w:tcW w:w="2088" w:type="dxa"/>
          </w:tcPr>
          <w:p w14:paraId="17437C73" w14:textId="77777777" w:rsidR="00840307" w:rsidRPr="005341B8" w:rsidRDefault="00840307" w:rsidP="00840307">
            <w:pPr>
              <w:rPr>
                <w:rFonts w:ascii="Arial" w:eastAsia="Calibri" w:hAnsi="Arial" w:cs="Arial"/>
              </w:rPr>
            </w:pPr>
            <w:r w:rsidRPr="005341B8">
              <w:rPr>
                <w:rFonts w:ascii="Arial" w:eastAsia="Calibri" w:hAnsi="Arial" w:cs="Arial"/>
              </w:rPr>
              <w:t>HBO</w:t>
            </w:r>
          </w:p>
        </w:tc>
        <w:tc>
          <w:tcPr>
            <w:tcW w:w="3010" w:type="dxa"/>
          </w:tcPr>
          <w:p w14:paraId="130A0E10" w14:textId="7A8B2289" w:rsidR="00840307" w:rsidRPr="005341B8" w:rsidRDefault="00840307" w:rsidP="006A5D76">
            <w:pPr>
              <w:jc w:val="center"/>
              <w:rPr>
                <w:rFonts w:ascii="Arial" w:eastAsia="Calibri" w:hAnsi="Arial" w:cs="Arial"/>
              </w:rPr>
            </w:pPr>
            <w:r w:rsidRPr="005341B8">
              <w:rPr>
                <w:rFonts w:ascii="Arial" w:eastAsia="Calibri" w:hAnsi="Arial" w:cs="Arial"/>
              </w:rPr>
              <w:t xml:space="preserve">$2.7 </w:t>
            </w:r>
          </w:p>
        </w:tc>
        <w:tc>
          <w:tcPr>
            <w:tcW w:w="2576" w:type="dxa"/>
          </w:tcPr>
          <w:p w14:paraId="03CA3DD4" w14:textId="77777777" w:rsidR="00840307" w:rsidRPr="005341B8" w:rsidRDefault="00840307" w:rsidP="00840307">
            <w:pPr>
              <w:jc w:val="center"/>
              <w:rPr>
                <w:rFonts w:ascii="Arial" w:eastAsia="Calibri" w:hAnsi="Arial" w:cs="Arial"/>
              </w:rPr>
            </w:pPr>
            <w:r w:rsidRPr="005341B8">
              <w:rPr>
                <w:rFonts w:ascii="Arial" w:eastAsia="Calibri" w:hAnsi="Arial" w:cs="Arial"/>
              </w:rPr>
              <w:t>21</w:t>
            </w:r>
          </w:p>
        </w:tc>
      </w:tr>
      <w:tr w:rsidR="00840307" w:rsidRPr="005341B8" w14:paraId="27C69494" w14:textId="77777777" w:rsidTr="005345B3">
        <w:trPr>
          <w:trHeight w:val="249"/>
          <w:jc w:val="center"/>
        </w:trPr>
        <w:tc>
          <w:tcPr>
            <w:tcW w:w="2088" w:type="dxa"/>
          </w:tcPr>
          <w:p w14:paraId="600F8EC3" w14:textId="77777777" w:rsidR="00840307" w:rsidRPr="005341B8" w:rsidRDefault="00840307" w:rsidP="00840307">
            <w:pPr>
              <w:rPr>
                <w:rFonts w:ascii="Arial" w:eastAsia="Calibri" w:hAnsi="Arial" w:cs="Arial"/>
              </w:rPr>
            </w:pPr>
            <w:r w:rsidRPr="005341B8">
              <w:rPr>
                <w:rFonts w:ascii="Arial" w:eastAsia="Calibri" w:hAnsi="Arial" w:cs="Arial"/>
              </w:rPr>
              <w:t>Hulu</w:t>
            </w:r>
          </w:p>
        </w:tc>
        <w:tc>
          <w:tcPr>
            <w:tcW w:w="3010" w:type="dxa"/>
          </w:tcPr>
          <w:p w14:paraId="4FE4BF62" w14:textId="46B8E4AB" w:rsidR="00840307" w:rsidRPr="005341B8" w:rsidRDefault="00840307" w:rsidP="006A5D76">
            <w:pPr>
              <w:jc w:val="center"/>
              <w:rPr>
                <w:rFonts w:ascii="Arial" w:eastAsia="Calibri" w:hAnsi="Arial" w:cs="Arial"/>
              </w:rPr>
            </w:pPr>
            <w:r w:rsidRPr="005341B8">
              <w:rPr>
                <w:rFonts w:ascii="Arial" w:eastAsia="Calibri" w:hAnsi="Arial" w:cs="Arial"/>
              </w:rPr>
              <w:t xml:space="preserve">$2.5 </w:t>
            </w:r>
          </w:p>
        </w:tc>
        <w:tc>
          <w:tcPr>
            <w:tcW w:w="2576" w:type="dxa"/>
          </w:tcPr>
          <w:p w14:paraId="158EF12A" w14:textId="77777777" w:rsidR="00840307" w:rsidRPr="005341B8" w:rsidRDefault="00840307" w:rsidP="00840307">
            <w:pPr>
              <w:jc w:val="center"/>
              <w:rPr>
                <w:rFonts w:ascii="Arial" w:eastAsia="Calibri" w:hAnsi="Arial" w:cs="Arial"/>
              </w:rPr>
            </w:pPr>
            <w:r w:rsidRPr="005341B8">
              <w:rPr>
                <w:rFonts w:ascii="Arial" w:eastAsia="Calibri" w:hAnsi="Arial" w:cs="Arial"/>
              </w:rPr>
              <w:t>17</w:t>
            </w:r>
          </w:p>
        </w:tc>
      </w:tr>
    </w:tbl>
    <w:p w14:paraId="083EADB6" w14:textId="77777777" w:rsidR="00840307" w:rsidRPr="005341B8" w:rsidRDefault="00840307" w:rsidP="00840307">
      <w:pPr>
        <w:rPr>
          <w:rFonts w:eastAsia="Calibri"/>
          <w:sz w:val="22"/>
          <w:szCs w:val="22"/>
        </w:rPr>
      </w:pPr>
    </w:p>
    <w:p w14:paraId="679ADE94" w14:textId="53839250" w:rsidR="00840307" w:rsidRPr="005341B8" w:rsidRDefault="00840307" w:rsidP="00840307">
      <w:pPr>
        <w:pStyle w:val="Footnote"/>
        <w:rPr>
          <w:rFonts w:eastAsia="Calibri"/>
          <w:color w:val="000000" w:themeColor="text1"/>
        </w:rPr>
      </w:pPr>
      <w:r w:rsidRPr="005341B8">
        <w:rPr>
          <w:rFonts w:eastAsia="Calibri"/>
          <w:color w:val="000000" w:themeColor="text1"/>
        </w:rPr>
        <w:t xml:space="preserve">Source: Adapted from: Joe Flint, “HBO to Talent: We Love You More,” </w:t>
      </w:r>
      <w:r w:rsidRPr="005341B8">
        <w:rPr>
          <w:rFonts w:eastAsia="Calibri"/>
          <w:i/>
          <w:color w:val="000000" w:themeColor="text1"/>
        </w:rPr>
        <w:t>The Wall Street Journal</w:t>
      </w:r>
      <w:r w:rsidRPr="005341B8">
        <w:rPr>
          <w:rFonts w:eastAsia="Calibri"/>
          <w:color w:val="000000" w:themeColor="text1"/>
        </w:rPr>
        <w:t xml:space="preserve">, January 16, 2018, </w:t>
      </w:r>
      <w:r w:rsidR="00F22205" w:rsidRPr="005341B8">
        <w:rPr>
          <w:rFonts w:eastAsia="Calibri"/>
          <w:color w:val="000000" w:themeColor="text1"/>
        </w:rPr>
        <w:t xml:space="preserve">accessed November 14, 2018, www.wsj.com/articles/hbo-to-talent-you-wont-get-this-much-love-at-netflix-1516031557; </w:t>
      </w:r>
      <w:r w:rsidRPr="005341B8">
        <w:rPr>
          <w:rFonts w:eastAsia="Calibri"/>
          <w:color w:val="000000" w:themeColor="text1"/>
        </w:rPr>
        <w:t xml:space="preserve">and Joe </w:t>
      </w:r>
      <w:proofErr w:type="spellStart"/>
      <w:r w:rsidRPr="005341B8">
        <w:rPr>
          <w:rFonts w:eastAsia="Calibri"/>
          <w:color w:val="000000" w:themeColor="text1"/>
        </w:rPr>
        <w:t>Otterson</w:t>
      </w:r>
      <w:proofErr w:type="spellEnd"/>
      <w:r w:rsidRPr="005341B8">
        <w:rPr>
          <w:rFonts w:eastAsia="Calibri"/>
          <w:color w:val="000000" w:themeColor="text1"/>
        </w:rPr>
        <w:t xml:space="preserve">, “487 Scripted Series Aired in 2017, FX Chief John </w:t>
      </w:r>
      <w:proofErr w:type="spellStart"/>
      <w:r w:rsidRPr="005341B8">
        <w:rPr>
          <w:rFonts w:eastAsia="Calibri"/>
          <w:color w:val="000000" w:themeColor="text1"/>
        </w:rPr>
        <w:t>Landgraf</w:t>
      </w:r>
      <w:proofErr w:type="spellEnd"/>
      <w:r w:rsidRPr="005341B8">
        <w:rPr>
          <w:rFonts w:eastAsia="Calibri"/>
          <w:color w:val="000000" w:themeColor="text1"/>
        </w:rPr>
        <w:t xml:space="preserve"> Says,”</w:t>
      </w:r>
      <w:r w:rsidR="00F22205" w:rsidRPr="005341B8">
        <w:rPr>
          <w:rFonts w:eastAsia="Calibri"/>
          <w:color w:val="000000" w:themeColor="text1"/>
        </w:rPr>
        <w:t xml:space="preserve"> </w:t>
      </w:r>
      <w:r w:rsidR="00F22205" w:rsidRPr="005341B8">
        <w:rPr>
          <w:rFonts w:eastAsia="Calibri"/>
          <w:i/>
          <w:color w:val="000000" w:themeColor="text1"/>
        </w:rPr>
        <w:t>Variety</w:t>
      </w:r>
      <w:r w:rsidR="00F22205" w:rsidRPr="005341B8">
        <w:rPr>
          <w:rFonts w:eastAsia="Calibri"/>
          <w:color w:val="000000" w:themeColor="text1"/>
        </w:rPr>
        <w:t>,</w:t>
      </w:r>
      <w:r w:rsidRPr="005341B8">
        <w:rPr>
          <w:rFonts w:eastAsia="Calibri"/>
          <w:color w:val="000000" w:themeColor="text1"/>
        </w:rPr>
        <w:t xml:space="preserve"> </w:t>
      </w:r>
      <w:r w:rsidR="00F22205" w:rsidRPr="005341B8">
        <w:rPr>
          <w:rFonts w:eastAsia="Calibri"/>
          <w:color w:val="000000" w:themeColor="text1"/>
        </w:rPr>
        <w:t xml:space="preserve">January 5, 2018, </w:t>
      </w:r>
      <w:r w:rsidRPr="005341B8">
        <w:rPr>
          <w:rFonts w:eastAsia="Calibri"/>
          <w:color w:val="000000" w:themeColor="text1"/>
        </w:rPr>
        <w:t>accessed January 20, 2018, http://variety.com/2018/tv/news/2017-scripted-tv-series-fx-john-landgraf-1202653856.</w:t>
      </w:r>
    </w:p>
    <w:p w14:paraId="3B59CE33" w14:textId="77777777" w:rsidR="00840307" w:rsidRPr="005341B8" w:rsidRDefault="00840307" w:rsidP="00840307">
      <w:pPr>
        <w:rPr>
          <w:rFonts w:eastAsia="Calibri"/>
          <w:sz w:val="18"/>
          <w:szCs w:val="18"/>
        </w:rPr>
      </w:pPr>
      <w:r w:rsidRPr="005341B8">
        <w:rPr>
          <w:rFonts w:eastAsia="Calibri"/>
          <w:sz w:val="18"/>
          <w:szCs w:val="18"/>
        </w:rPr>
        <w:br w:type="page"/>
      </w:r>
    </w:p>
    <w:p w14:paraId="13B43904" w14:textId="0A2871BD" w:rsidR="00840307" w:rsidRPr="005341B8" w:rsidRDefault="00840307" w:rsidP="00840307">
      <w:pPr>
        <w:pStyle w:val="ExhibitHeading"/>
        <w:rPr>
          <w:rFonts w:eastAsia="Calibri"/>
        </w:rPr>
      </w:pPr>
      <w:r w:rsidRPr="005341B8">
        <w:rPr>
          <w:rFonts w:eastAsia="Calibri"/>
        </w:rPr>
        <w:lastRenderedPageBreak/>
        <w:t xml:space="preserve">EXHIBIT 3: Examples of Prior </w:t>
      </w:r>
      <w:r w:rsidR="009F544D">
        <w:rPr>
          <w:rFonts w:eastAsia="Calibri"/>
        </w:rPr>
        <w:t>Profit-Sharing</w:t>
      </w:r>
      <w:r w:rsidRPr="005341B8">
        <w:rPr>
          <w:rFonts w:eastAsia="Calibri"/>
        </w:rPr>
        <w:t xml:space="preserve"> Disputes in Television</w:t>
      </w:r>
    </w:p>
    <w:p w14:paraId="5EAD1E98" w14:textId="77777777" w:rsidR="00840307" w:rsidRPr="005341B8" w:rsidRDefault="00840307" w:rsidP="00840307">
      <w:pPr>
        <w:jc w:val="center"/>
        <w:rPr>
          <w:rFonts w:eastAsia="Calibri"/>
          <w:b/>
          <w:sz w:val="22"/>
          <w:szCs w:val="22"/>
        </w:rPr>
      </w:pPr>
    </w:p>
    <w:tbl>
      <w:tblPr>
        <w:tblStyle w:val="TableGrid"/>
        <w:tblW w:w="0" w:type="auto"/>
        <w:tblCellMar>
          <w:top w:w="57" w:type="dxa"/>
          <w:bottom w:w="57" w:type="dxa"/>
        </w:tblCellMar>
        <w:tblLook w:val="04A0" w:firstRow="1" w:lastRow="0" w:firstColumn="1" w:lastColumn="0" w:noHBand="0" w:noVBand="1"/>
      </w:tblPr>
      <w:tblGrid>
        <w:gridCol w:w="895"/>
        <w:gridCol w:w="3060"/>
        <w:gridCol w:w="5395"/>
      </w:tblGrid>
      <w:tr w:rsidR="00840307" w:rsidRPr="005341B8" w14:paraId="2E6C6FA6" w14:textId="77777777" w:rsidTr="005345B3">
        <w:tc>
          <w:tcPr>
            <w:tcW w:w="895" w:type="dxa"/>
          </w:tcPr>
          <w:p w14:paraId="03FBFFD6" w14:textId="20A2B447" w:rsidR="00840307" w:rsidRPr="005341B8" w:rsidRDefault="005345B3" w:rsidP="005F2563">
            <w:pPr>
              <w:jc w:val="center"/>
              <w:rPr>
                <w:rFonts w:ascii="Arial" w:eastAsia="Calibri" w:hAnsi="Arial" w:cs="Arial"/>
                <w:b/>
              </w:rPr>
            </w:pPr>
            <w:r w:rsidRPr="005341B8">
              <w:rPr>
                <w:rFonts w:ascii="Arial" w:eastAsia="Calibri" w:hAnsi="Arial" w:cs="Arial"/>
                <w:b/>
              </w:rPr>
              <w:t>Year</w:t>
            </w:r>
          </w:p>
        </w:tc>
        <w:tc>
          <w:tcPr>
            <w:tcW w:w="3060" w:type="dxa"/>
          </w:tcPr>
          <w:p w14:paraId="75925CC0" w14:textId="7990DEA7" w:rsidR="00840307" w:rsidRPr="005341B8" w:rsidRDefault="005345B3" w:rsidP="005F2563">
            <w:pPr>
              <w:jc w:val="center"/>
              <w:rPr>
                <w:rFonts w:ascii="Arial" w:eastAsia="Calibri" w:hAnsi="Arial" w:cs="Arial"/>
                <w:b/>
              </w:rPr>
            </w:pPr>
            <w:r w:rsidRPr="005341B8">
              <w:rPr>
                <w:rFonts w:ascii="Arial" w:eastAsia="Calibri" w:hAnsi="Arial" w:cs="Arial"/>
                <w:b/>
              </w:rPr>
              <w:t>People (Show Involved)</w:t>
            </w:r>
          </w:p>
        </w:tc>
        <w:tc>
          <w:tcPr>
            <w:tcW w:w="5395" w:type="dxa"/>
          </w:tcPr>
          <w:p w14:paraId="0AFD31CE" w14:textId="35C52873" w:rsidR="00840307" w:rsidRPr="005341B8" w:rsidRDefault="005345B3" w:rsidP="005F2563">
            <w:pPr>
              <w:jc w:val="center"/>
              <w:rPr>
                <w:rFonts w:ascii="Arial" w:eastAsia="Calibri" w:hAnsi="Arial" w:cs="Arial"/>
                <w:b/>
              </w:rPr>
            </w:pPr>
            <w:r w:rsidRPr="005341B8">
              <w:rPr>
                <w:rFonts w:ascii="Arial" w:eastAsia="Calibri" w:hAnsi="Arial" w:cs="Arial"/>
                <w:b/>
              </w:rPr>
              <w:t>Details</w:t>
            </w:r>
          </w:p>
        </w:tc>
      </w:tr>
      <w:tr w:rsidR="00840307" w:rsidRPr="005341B8" w14:paraId="581EB573" w14:textId="77777777" w:rsidTr="005345B3">
        <w:tc>
          <w:tcPr>
            <w:tcW w:w="895" w:type="dxa"/>
          </w:tcPr>
          <w:p w14:paraId="1103F58B" w14:textId="77777777" w:rsidR="00840307" w:rsidRPr="005341B8" w:rsidRDefault="00840307" w:rsidP="00563E4B">
            <w:pPr>
              <w:jc w:val="center"/>
              <w:rPr>
                <w:rFonts w:ascii="Arial" w:eastAsia="Calibri" w:hAnsi="Arial" w:cs="Arial"/>
              </w:rPr>
            </w:pPr>
            <w:r w:rsidRPr="005341B8">
              <w:rPr>
                <w:rFonts w:ascii="Arial" w:eastAsia="Calibri" w:hAnsi="Arial" w:cs="Arial"/>
              </w:rPr>
              <w:t>1999</w:t>
            </w:r>
          </w:p>
        </w:tc>
        <w:tc>
          <w:tcPr>
            <w:tcW w:w="3060" w:type="dxa"/>
          </w:tcPr>
          <w:p w14:paraId="5FEF9ED9" w14:textId="4CA01FE0" w:rsidR="00840307" w:rsidRPr="005341B8" w:rsidRDefault="00840307" w:rsidP="00840307">
            <w:pPr>
              <w:rPr>
                <w:rFonts w:ascii="Arial" w:eastAsia="Calibri" w:hAnsi="Arial" w:cs="Arial"/>
              </w:rPr>
            </w:pPr>
            <w:r w:rsidRPr="005341B8">
              <w:rPr>
                <w:rFonts w:ascii="Arial" w:eastAsia="Calibri" w:hAnsi="Arial" w:cs="Arial"/>
              </w:rPr>
              <w:t>David Duchovny</w:t>
            </w:r>
            <w:r w:rsidR="005345B3" w:rsidRPr="005341B8">
              <w:rPr>
                <w:rFonts w:ascii="Arial" w:eastAsia="Calibri" w:hAnsi="Arial" w:cs="Arial"/>
              </w:rPr>
              <w:t xml:space="preserve"> (</w:t>
            </w:r>
            <w:r w:rsidRPr="005341B8">
              <w:rPr>
                <w:rFonts w:ascii="Arial" w:eastAsia="Calibri" w:hAnsi="Arial" w:cs="Arial"/>
                <w:i/>
              </w:rPr>
              <w:t xml:space="preserve">The </w:t>
            </w:r>
            <w:r w:rsidR="009F544D">
              <w:rPr>
                <w:rFonts w:ascii="Arial" w:eastAsia="Calibri" w:hAnsi="Arial" w:cs="Arial"/>
                <w:i/>
              </w:rPr>
              <w:t>X-Files</w:t>
            </w:r>
            <w:r w:rsidR="005345B3" w:rsidRPr="005341B8">
              <w:rPr>
                <w:rFonts w:ascii="Arial" w:eastAsia="Calibri" w:hAnsi="Arial" w:cs="Arial"/>
                <w:i/>
              </w:rPr>
              <w:t>)</w:t>
            </w:r>
          </w:p>
        </w:tc>
        <w:tc>
          <w:tcPr>
            <w:tcW w:w="5395" w:type="dxa"/>
          </w:tcPr>
          <w:p w14:paraId="06ADE45F" w14:textId="4CB50238" w:rsidR="00840307" w:rsidRPr="005341B8" w:rsidRDefault="00840307" w:rsidP="00840307">
            <w:pPr>
              <w:rPr>
                <w:rFonts w:ascii="Arial" w:eastAsia="Calibri" w:hAnsi="Arial" w:cs="Arial"/>
              </w:rPr>
            </w:pPr>
            <w:r w:rsidRPr="005341B8">
              <w:rPr>
                <w:rFonts w:ascii="Arial" w:eastAsia="Calibri" w:hAnsi="Arial" w:cs="Arial"/>
              </w:rPr>
              <w:t>Between the end of the show</w:t>
            </w:r>
            <w:r w:rsidR="005345B3" w:rsidRPr="005341B8">
              <w:rPr>
                <w:rFonts w:ascii="Arial" w:eastAsia="Calibri" w:hAnsi="Arial" w:cs="Arial"/>
              </w:rPr>
              <w:t>’</w:t>
            </w:r>
            <w:r w:rsidRPr="005341B8">
              <w:rPr>
                <w:rFonts w:ascii="Arial" w:eastAsia="Calibri" w:hAnsi="Arial" w:cs="Arial"/>
              </w:rPr>
              <w:t xml:space="preserve">s season </w:t>
            </w:r>
            <w:r w:rsidR="005345B3" w:rsidRPr="005341B8">
              <w:rPr>
                <w:rFonts w:ascii="Arial" w:eastAsia="Calibri" w:hAnsi="Arial" w:cs="Arial"/>
              </w:rPr>
              <w:t xml:space="preserve">6 </w:t>
            </w:r>
            <w:r w:rsidRPr="005341B8">
              <w:rPr>
                <w:rFonts w:ascii="Arial" w:eastAsia="Calibri" w:hAnsi="Arial" w:cs="Arial"/>
              </w:rPr>
              <w:t>and the start of season 7, the star of the hit show sued 20</w:t>
            </w:r>
            <w:r w:rsidR="005345B3" w:rsidRPr="005341B8">
              <w:rPr>
                <w:rFonts w:ascii="Arial" w:eastAsia="Calibri" w:hAnsi="Arial" w:cs="Arial"/>
              </w:rPr>
              <w:t>th</w:t>
            </w:r>
            <w:r w:rsidRPr="005341B8">
              <w:rPr>
                <w:rFonts w:ascii="Arial" w:eastAsia="Calibri" w:hAnsi="Arial" w:cs="Arial"/>
              </w:rPr>
              <w:t xml:space="preserve"> Century Fox</w:t>
            </w:r>
            <w:r w:rsidR="005345B3" w:rsidRPr="005341B8">
              <w:rPr>
                <w:rFonts w:ascii="Arial" w:eastAsia="Calibri" w:hAnsi="Arial" w:cs="Arial"/>
              </w:rPr>
              <w:t>,</w:t>
            </w:r>
            <w:r w:rsidRPr="005341B8">
              <w:rPr>
                <w:rFonts w:ascii="Arial" w:eastAsia="Calibri" w:hAnsi="Arial" w:cs="Arial"/>
              </w:rPr>
              <w:t xml:space="preserve"> alleging that the company sold rerun rights </w:t>
            </w:r>
            <w:r w:rsidR="005345B3" w:rsidRPr="005341B8">
              <w:rPr>
                <w:rFonts w:ascii="Arial" w:eastAsia="Calibri" w:hAnsi="Arial" w:cs="Arial"/>
              </w:rPr>
              <w:t>for</w:t>
            </w:r>
            <w:r w:rsidRPr="005341B8">
              <w:rPr>
                <w:rFonts w:ascii="Arial" w:eastAsia="Calibri" w:hAnsi="Arial" w:cs="Arial"/>
              </w:rPr>
              <w:t xml:space="preserve"> the show to its own subsidiaries or affiliated companies at below-market prices</w:t>
            </w:r>
            <w:r w:rsidR="005345B3" w:rsidRPr="005341B8">
              <w:rPr>
                <w:rFonts w:ascii="Arial" w:eastAsia="Calibri" w:hAnsi="Arial" w:cs="Arial"/>
              </w:rPr>
              <w:t>,</w:t>
            </w:r>
            <w:r w:rsidRPr="005341B8">
              <w:rPr>
                <w:rFonts w:ascii="Arial" w:eastAsia="Calibri" w:hAnsi="Arial" w:cs="Arial"/>
              </w:rPr>
              <w:t xml:space="preserve"> thereby depriving him of sizeable profits. He sought damages in excess of $25 million</w:t>
            </w:r>
            <w:r w:rsidR="005345B3" w:rsidRPr="005341B8">
              <w:rPr>
                <w:rFonts w:ascii="Arial" w:eastAsia="Calibri" w:hAnsi="Arial" w:cs="Arial"/>
              </w:rPr>
              <w:t xml:space="preserve"> and</w:t>
            </w:r>
            <w:r w:rsidR="00454F78" w:rsidRPr="005341B8">
              <w:rPr>
                <w:rFonts w:ascii="Arial" w:eastAsia="Calibri" w:hAnsi="Arial" w:cs="Arial"/>
              </w:rPr>
              <w:t xml:space="preserve"> </w:t>
            </w:r>
            <w:r w:rsidR="005345B3" w:rsidRPr="005341B8">
              <w:rPr>
                <w:rFonts w:ascii="Arial" w:eastAsia="Calibri" w:hAnsi="Arial" w:cs="Arial"/>
              </w:rPr>
              <w:t>s</w:t>
            </w:r>
            <w:r w:rsidRPr="005341B8">
              <w:rPr>
                <w:rFonts w:ascii="Arial" w:eastAsia="Calibri" w:hAnsi="Arial" w:cs="Arial"/>
              </w:rPr>
              <w:t>ettled out of court for a sum reported</w:t>
            </w:r>
            <w:r w:rsidR="005345B3" w:rsidRPr="005341B8">
              <w:rPr>
                <w:rFonts w:ascii="Arial" w:eastAsia="Calibri" w:hAnsi="Arial" w:cs="Arial"/>
              </w:rPr>
              <w:t>ly of</w:t>
            </w:r>
            <w:r w:rsidRPr="005341B8">
              <w:rPr>
                <w:rFonts w:ascii="Arial" w:eastAsia="Calibri" w:hAnsi="Arial" w:cs="Arial"/>
              </w:rPr>
              <w:t xml:space="preserve"> $25</w:t>
            </w:r>
            <w:r w:rsidR="005345B3" w:rsidRPr="005341B8">
              <w:rPr>
                <w:rFonts w:ascii="Arial" w:eastAsia="Calibri" w:hAnsi="Arial" w:cs="Arial"/>
              </w:rPr>
              <w:t>–</w:t>
            </w:r>
            <w:r w:rsidRPr="005341B8">
              <w:rPr>
                <w:rFonts w:ascii="Arial" w:eastAsia="Calibri" w:hAnsi="Arial" w:cs="Arial"/>
              </w:rPr>
              <w:t>30 million.</w:t>
            </w:r>
          </w:p>
        </w:tc>
      </w:tr>
      <w:tr w:rsidR="00840307" w:rsidRPr="005341B8" w14:paraId="2289E5AA" w14:textId="77777777" w:rsidTr="005345B3">
        <w:tc>
          <w:tcPr>
            <w:tcW w:w="895" w:type="dxa"/>
          </w:tcPr>
          <w:p w14:paraId="2D23EBAC" w14:textId="77777777" w:rsidR="00840307" w:rsidRPr="005341B8" w:rsidRDefault="00840307" w:rsidP="00563E4B">
            <w:pPr>
              <w:jc w:val="center"/>
              <w:rPr>
                <w:rFonts w:ascii="Arial" w:eastAsia="Calibri" w:hAnsi="Arial" w:cs="Arial"/>
              </w:rPr>
            </w:pPr>
            <w:r w:rsidRPr="005341B8">
              <w:rPr>
                <w:rFonts w:ascii="Arial" w:eastAsia="Calibri" w:hAnsi="Arial" w:cs="Arial"/>
              </w:rPr>
              <w:t>1999</w:t>
            </w:r>
          </w:p>
        </w:tc>
        <w:tc>
          <w:tcPr>
            <w:tcW w:w="3060" w:type="dxa"/>
          </w:tcPr>
          <w:p w14:paraId="5614F8BB" w14:textId="5722FE07" w:rsidR="00840307" w:rsidRPr="005341B8" w:rsidRDefault="00840307" w:rsidP="00840307">
            <w:pPr>
              <w:rPr>
                <w:rFonts w:ascii="Arial" w:eastAsia="Calibri" w:hAnsi="Arial" w:cs="Arial"/>
              </w:rPr>
            </w:pPr>
            <w:r w:rsidRPr="005341B8">
              <w:rPr>
                <w:rFonts w:ascii="Arial" w:eastAsia="Calibri" w:hAnsi="Arial" w:cs="Arial"/>
              </w:rPr>
              <w:t>Steven Bochco</w:t>
            </w:r>
            <w:r w:rsidR="005345B3" w:rsidRPr="005341B8">
              <w:rPr>
                <w:rFonts w:ascii="Arial" w:eastAsia="Calibri" w:hAnsi="Arial" w:cs="Arial"/>
              </w:rPr>
              <w:t xml:space="preserve"> (</w:t>
            </w:r>
            <w:r w:rsidRPr="005341B8">
              <w:rPr>
                <w:rFonts w:ascii="Arial" w:eastAsia="Calibri" w:hAnsi="Arial" w:cs="Arial"/>
                <w:i/>
              </w:rPr>
              <w:t>NYPD Blue</w:t>
            </w:r>
            <w:r w:rsidR="005345B3" w:rsidRPr="005341B8">
              <w:rPr>
                <w:rFonts w:ascii="Arial" w:eastAsia="Calibri" w:hAnsi="Arial" w:cs="Arial"/>
                <w:i/>
              </w:rPr>
              <w:t>)</w:t>
            </w:r>
          </w:p>
        </w:tc>
        <w:tc>
          <w:tcPr>
            <w:tcW w:w="5395" w:type="dxa"/>
          </w:tcPr>
          <w:p w14:paraId="7D96F034" w14:textId="7EC735C0" w:rsidR="00840307" w:rsidRPr="005341B8" w:rsidRDefault="00840307" w:rsidP="00840307">
            <w:pPr>
              <w:rPr>
                <w:rFonts w:ascii="Arial" w:eastAsia="Calibri" w:hAnsi="Arial" w:cs="Arial"/>
              </w:rPr>
            </w:pPr>
            <w:r w:rsidRPr="005341B8">
              <w:rPr>
                <w:rFonts w:ascii="Arial" w:eastAsia="Calibri" w:hAnsi="Arial" w:cs="Arial"/>
              </w:rPr>
              <w:t xml:space="preserve">The show creator sued </w:t>
            </w:r>
            <w:r w:rsidR="009F544D" w:rsidRPr="009F544D">
              <w:rPr>
                <w:rFonts w:ascii="Arial" w:eastAsia="Calibri" w:hAnsi="Arial" w:cs="Arial"/>
              </w:rPr>
              <w:t>Twentieth Century Fox Film Corporation</w:t>
            </w:r>
            <w:r w:rsidR="009F544D">
              <w:rPr>
                <w:rFonts w:ascii="Arial" w:eastAsia="Calibri" w:hAnsi="Arial" w:cs="Arial"/>
              </w:rPr>
              <w:t xml:space="preserve"> (20th Century Fox)</w:t>
            </w:r>
            <w:r w:rsidR="009F544D" w:rsidRPr="009F544D" w:rsidDel="009F544D">
              <w:rPr>
                <w:rFonts w:ascii="Arial" w:eastAsia="Calibri" w:hAnsi="Arial" w:cs="Arial"/>
              </w:rPr>
              <w:t xml:space="preserve"> </w:t>
            </w:r>
            <w:r w:rsidRPr="005341B8">
              <w:rPr>
                <w:rFonts w:ascii="Arial" w:eastAsia="Calibri" w:hAnsi="Arial" w:cs="Arial"/>
              </w:rPr>
              <w:t>for selling the rerun rights to the show to sister channel FX without inviting bids from other bidders</w:t>
            </w:r>
            <w:r w:rsidR="00D92DE6" w:rsidRPr="005341B8">
              <w:rPr>
                <w:rFonts w:ascii="Arial" w:eastAsia="Calibri" w:hAnsi="Arial" w:cs="Arial"/>
              </w:rPr>
              <w:t>. H</w:t>
            </w:r>
            <w:r w:rsidRPr="005341B8">
              <w:rPr>
                <w:rFonts w:ascii="Arial" w:eastAsia="Calibri" w:hAnsi="Arial" w:cs="Arial"/>
              </w:rPr>
              <w:t>e sought damages worth $15 million. In the first agreement of its kind, the studio avoided a prolonged court battle by agreeing to put the rights up for sale again by inviting several bidders</w:t>
            </w:r>
            <w:r w:rsidR="00D92DE6" w:rsidRPr="005341B8">
              <w:rPr>
                <w:rFonts w:ascii="Arial" w:eastAsia="Calibri" w:hAnsi="Arial" w:cs="Arial"/>
              </w:rPr>
              <w:t>,</w:t>
            </w:r>
            <w:r w:rsidRPr="005341B8">
              <w:rPr>
                <w:rFonts w:ascii="Arial" w:eastAsia="Calibri" w:hAnsi="Arial" w:cs="Arial"/>
              </w:rPr>
              <w:t xml:space="preserve"> including FX. </w:t>
            </w:r>
          </w:p>
        </w:tc>
      </w:tr>
      <w:tr w:rsidR="00840307" w:rsidRPr="005341B8" w14:paraId="219CAA0A" w14:textId="77777777" w:rsidTr="005345B3">
        <w:tc>
          <w:tcPr>
            <w:tcW w:w="895" w:type="dxa"/>
          </w:tcPr>
          <w:p w14:paraId="1F3C7E74" w14:textId="77777777" w:rsidR="00840307" w:rsidRPr="005341B8" w:rsidRDefault="00840307" w:rsidP="00563E4B">
            <w:pPr>
              <w:jc w:val="center"/>
              <w:rPr>
                <w:rFonts w:ascii="Arial" w:eastAsia="Calibri" w:hAnsi="Arial" w:cs="Arial"/>
              </w:rPr>
            </w:pPr>
            <w:r w:rsidRPr="005341B8">
              <w:rPr>
                <w:rFonts w:ascii="Arial" w:eastAsia="Calibri" w:hAnsi="Arial" w:cs="Arial"/>
              </w:rPr>
              <w:t>2013</w:t>
            </w:r>
          </w:p>
        </w:tc>
        <w:tc>
          <w:tcPr>
            <w:tcW w:w="3060" w:type="dxa"/>
          </w:tcPr>
          <w:p w14:paraId="6ECBFDDB" w14:textId="602054B8" w:rsidR="00840307" w:rsidRPr="005341B8" w:rsidRDefault="00840307" w:rsidP="00840307">
            <w:pPr>
              <w:rPr>
                <w:rFonts w:ascii="Arial" w:eastAsia="Calibri" w:hAnsi="Arial" w:cs="Arial"/>
              </w:rPr>
            </w:pPr>
            <w:r w:rsidRPr="005341B8">
              <w:rPr>
                <w:rFonts w:ascii="Arial" w:eastAsia="Calibri" w:hAnsi="Arial" w:cs="Arial"/>
              </w:rPr>
              <w:t xml:space="preserve">Matt Williams, Carmen </w:t>
            </w:r>
            <w:proofErr w:type="spellStart"/>
            <w:r w:rsidRPr="005341B8">
              <w:rPr>
                <w:rFonts w:ascii="Arial" w:eastAsia="Calibri" w:hAnsi="Arial" w:cs="Arial"/>
              </w:rPr>
              <w:t>Finestra</w:t>
            </w:r>
            <w:proofErr w:type="spellEnd"/>
            <w:r w:rsidRPr="005341B8">
              <w:rPr>
                <w:rFonts w:ascii="Arial" w:eastAsia="Calibri" w:hAnsi="Arial" w:cs="Arial"/>
              </w:rPr>
              <w:t xml:space="preserve">, and David </w:t>
            </w:r>
            <w:proofErr w:type="spellStart"/>
            <w:r w:rsidRPr="005341B8">
              <w:rPr>
                <w:rFonts w:ascii="Arial" w:eastAsia="Calibri" w:hAnsi="Arial" w:cs="Arial"/>
              </w:rPr>
              <w:t>McFadzean</w:t>
            </w:r>
            <w:proofErr w:type="spellEnd"/>
            <w:r w:rsidR="00D92DE6" w:rsidRPr="005341B8">
              <w:rPr>
                <w:rFonts w:ascii="Arial" w:eastAsia="Calibri" w:hAnsi="Arial" w:cs="Arial"/>
              </w:rPr>
              <w:t xml:space="preserve"> (</w:t>
            </w:r>
            <w:r w:rsidRPr="005341B8">
              <w:rPr>
                <w:rFonts w:ascii="Arial" w:eastAsia="Calibri" w:hAnsi="Arial" w:cs="Arial"/>
                <w:i/>
              </w:rPr>
              <w:t>Home Improvement</w:t>
            </w:r>
            <w:r w:rsidR="00D92DE6" w:rsidRPr="005341B8">
              <w:rPr>
                <w:rFonts w:ascii="Arial" w:eastAsia="Calibri" w:hAnsi="Arial" w:cs="Arial"/>
                <w:i/>
              </w:rPr>
              <w:t>)</w:t>
            </w:r>
          </w:p>
        </w:tc>
        <w:tc>
          <w:tcPr>
            <w:tcW w:w="5395" w:type="dxa"/>
          </w:tcPr>
          <w:p w14:paraId="22D6B2F8" w14:textId="3B660800" w:rsidR="00840307" w:rsidRPr="005341B8" w:rsidRDefault="00840307" w:rsidP="00840307">
            <w:pPr>
              <w:rPr>
                <w:rFonts w:ascii="Arial" w:eastAsia="Calibri" w:hAnsi="Arial" w:cs="Arial"/>
              </w:rPr>
            </w:pPr>
            <w:r w:rsidRPr="005341B8">
              <w:rPr>
                <w:rFonts w:ascii="Arial" w:eastAsia="Calibri" w:hAnsi="Arial" w:cs="Arial"/>
              </w:rPr>
              <w:t xml:space="preserve">The plaintiffs alleged that Disney undersold the rerun rights </w:t>
            </w:r>
            <w:r w:rsidR="00D92DE6" w:rsidRPr="005341B8">
              <w:rPr>
                <w:rFonts w:ascii="Arial" w:eastAsia="Calibri" w:hAnsi="Arial" w:cs="Arial"/>
              </w:rPr>
              <w:t>for</w:t>
            </w:r>
            <w:r w:rsidRPr="005341B8">
              <w:rPr>
                <w:rFonts w:ascii="Arial" w:eastAsia="Calibri" w:hAnsi="Arial" w:cs="Arial"/>
              </w:rPr>
              <w:t xml:space="preserve"> the show to its ABC subsidiary and consequently deprived the show creators of their fair share of the profits</w:t>
            </w:r>
            <w:r w:rsidR="00D92DE6" w:rsidRPr="005341B8">
              <w:rPr>
                <w:rFonts w:ascii="Arial" w:eastAsia="Calibri" w:hAnsi="Arial" w:cs="Arial"/>
              </w:rPr>
              <w:t>. The</w:t>
            </w:r>
            <w:r w:rsidRPr="005341B8">
              <w:rPr>
                <w:rFonts w:ascii="Arial" w:eastAsia="Calibri" w:hAnsi="Arial" w:cs="Arial"/>
              </w:rPr>
              <w:t xml:space="preserve"> lawsuit </w:t>
            </w:r>
            <w:r w:rsidR="00D92DE6" w:rsidRPr="005341B8">
              <w:rPr>
                <w:rFonts w:ascii="Arial" w:eastAsia="Calibri" w:hAnsi="Arial" w:cs="Arial"/>
              </w:rPr>
              <w:t xml:space="preserve">was </w:t>
            </w:r>
            <w:r w:rsidRPr="005341B8">
              <w:rPr>
                <w:rFonts w:ascii="Arial" w:eastAsia="Calibri" w:hAnsi="Arial" w:cs="Arial"/>
              </w:rPr>
              <w:t xml:space="preserve">initially dismissed in 2016 </w:t>
            </w:r>
            <w:r w:rsidR="00D92DE6" w:rsidRPr="005341B8">
              <w:rPr>
                <w:rFonts w:ascii="Arial" w:eastAsia="Calibri" w:hAnsi="Arial" w:cs="Arial"/>
              </w:rPr>
              <w:t>due to the state’s</w:t>
            </w:r>
            <w:r w:rsidRPr="005341B8">
              <w:rPr>
                <w:rFonts w:ascii="Arial" w:eastAsia="Calibri" w:hAnsi="Arial" w:cs="Arial"/>
              </w:rPr>
              <w:t xml:space="preserve"> statute of limitations</w:t>
            </w:r>
            <w:r w:rsidR="00D92DE6" w:rsidRPr="005341B8">
              <w:rPr>
                <w:rFonts w:ascii="Arial" w:eastAsia="Calibri" w:hAnsi="Arial" w:cs="Arial"/>
              </w:rPr>
              <w:t>. I</w:t>
            </w:r>
            <w:r w:rsidRPr="005341B8">
              <w:rPr>
                <w:rFonts w:ascii="Arial" w:eastAsia="Calibri" w:hAnsi="Arial" w:cs="Arial"/>
              </w:rPr>
              <w:t>n 2017</w:t>
            </w:r>
            <w:r w:rsidR="00D92DE6" w:rsidRPr="005341B8">
              <w:rPr>
                <w:rFonts w:ascii="Arial" w:eastAsia="Calibri" w:hAnsi="Arial" w:cs="Arial"/>
              </w:rPr>
              <w:t>,</w:t>
            </w:r>
            <w:r w:rsidRPr="005341B8">
              <w:rPr>
                <w:rFonts w:ascii="Arial" w:eastAsia="Calibri" w:hAnsi="Arial" w:cs="Arial"/>
              </w:rPr>
              <w:t xml:space="preserve"> a California appeals court reversed the lower court’s ruling. </w:t>
            </w:r>
            <w:r w:rsidR="00D92DE6" w:rsidRPr="005341B8">
              <w:rPr>
                <w:rFonts w:ascii="Arial" w:eastAsia="Calibri" w:hAnsi="Arial" w:cs="Arial"/>
              </w:rPr>
              <w:t>As of the writing of this case in mid-2018, the</w:t>
            </w:r>
            <w:r w:rsidRPr="005341B8">
              <w:rPr>
                <w:rFonts w:ascii="Arial" w:eastAsia="Calibri" w:hAnsi="Arial" w:cs="Arial"/>
              </w:rPr>
              <w:t xml:space="preserve"> case was not </w:t>
            </w:r>
            <w:r w:rsidR="00D92DE6" w:rsidRPr="005341B8">
              <w:rPr>
                <w:rFonts w:ascii="Arial" w:eastAsia="Calibri" w:hAnsi="Arial" w:cs="Arial"/>
              </w:rPr>
              <w:t xml:space="preserve">yet </w:t>
            </w:r>
            <w:r w:rsidRPr="005341B8">
              <w:rPr>
                <w:rFonts w:ascii="Arial" w:eastAsia="Calibri" w:hAnsi="Arial" w:cs="Arial"/>
              </w:rPr>
              <w:t xml:space="preserve">adjudicated. </w:t>
            </w:r>
          </w:p>
        </w:tc>
      </w:tr>
      <w:tr w:rsidR="00840307" w:rsidRPr="005341B8" w14:paraId="5FEDB8A1" w14:textId="77777777" w:rsidTr="005345B3">
        <w:tc>
          <w:tcPr>
            <w:tcW w:w="895" w:type="dxa"/>
          </w:tcPr>
          <w:p w14:paraId="12340239" w14:textId="77777777" w:rsidR="00840307" w:rsidRPr="005341B8" w:rsidRDefault="00840307" w:rsidP="00563E4B">
            <w:pPr>
              <w:jc w:val="center"/>
              <w:rPr>
                <w:rFonts w:ascii="Arial" w:eastAsia="Calibri" w:hAnsi="Arial" w:cs="Arial"/>
              </w:rPr>
            </w:pPr>
            <w:r w:rsidRPr="005341B8">
              <w:rPr>
                <w:rFonts w:ascii="Arial" w:eastAsia="Calibri" w:hAnsi="Arial" w:cs="Arial"/>
              </w:rPr>
              <w:t>2015</w:t>
            </w:r>
          </w:p>
        </w:tc>
        <w:tc>
          <w:tcPr>
            <w:tcW w:w="3060" w:type="dxa"/>
          </w:tcPr>
          <w:p w14:paraId="70460E36" w14:textId="544DCE93" w:rsidR="00840307" w:rsidRPr="005341B8" w:rsidRDefault="00840307" w:rsidP="00840307">
            <w:pPr>
              <w:rPr>
                <w:rFonts w:ascii="Arial" w:eastAsia="Calibri" w:hAnsi="Arial" w:cs="Arial"/>
              </w:rPr>
            </w:pPr>
            <w:r w:rsidRPr="005341B8">
              <w:rPr>
                <w:rFonts w:ascii="Arial" w:eastAsia="Calibri" w:hAnsi="Arial" w:cs="Arial"/>
              </w:rPr>
              <w:t xml:space="preserve">David </w:t>
            </w:r>
            <w:proofErr w:type="spellStart"/>
            <w:r w:rsidRPr="005341B8">
              <w:rPr>
                <w:rFonts w:ascii="Arial" w:eastAsia="Calibri" w:hAnsi="Arial" w:cs="Arial"/>
              </w:rPr>
              <w:t>Boreanaz</w:t>
            </w:r>
            <w:proofErr w:type="spellEnd"/>
            <w:r w:rsidRPr="005341B8">
              <w:rPr>
                <w:rFonts w:ascii="Arial" w:eastAsia="Calibri" w:hAnsi="Arial" w:cs="Arial"/>
              </w:rPr>
              <w:t xml:space="preserve">, Emily </w:t>
            </w:r>
            <w:r w:rsidR="009F544D">
              <w:rPr>
                <w:rFonts w:ascii="Arial" w:eastAsia="Calibri" w:hAnsi="Arial" w:cs="Arial"/>
              </w:rPr>
              <w:t>Deschanel</w:t>
            </w:r>
            <w:r w:rsidRPr="005341B8">
              <w:rPr>
                <w:rFonts w:ascii="Arial" w:eastAsia="Calibri" w:hAnsi="Arial" w:cs="Arial"/>
              </w:rPr>
              <w:t xml:space="preserve">, and Kathy </w:t>
            </w:r>
            <w:proofErr w:type="spellStart"/>
            <w:r w:rsidRPr="005341B8">
              <w:rPr>
                <w:rFonts w:ascii="Arial" w:eastAsia="Calibri" w:hAnsi="Arial" w:cs="Arial"/>
              </w:rPr>
              <w:t>Reichs</w:t>
            </w:r>
            <w:proofErr w:type="spellEnd"/>
            <w:r w:rsidR="00D92DE6" w:rsidRPr="005341B8">
              <w:rPr>
                <w:rFonts w:ascii="Arial" w:eastAsia="Calibri" w:hAnsi="Arial" w:cs="Arial"/>
              </w:rPr>
              <w:t xml:space="preserve"> (</w:t>
            </w:r>
            <w:r w:rsidRPr="005341B8">
              <w:rPr>
                <w:rFonts w:ascii="Arial" w:eastAsia="Calibri" w:hAnsi="Arial" w:cs="Arial"/>
                <w:i/>
              </w:rPr>
              <w:t>Bones</w:t>
            </w:r>
            <w:r w:rsidR="00D92DE6" w:rsidRPr="005341B8">
              <w:rPr>
                <w:rFonts w:ascii="Arial" w:eastAsia="Calibri" w:hAnsi="Arial" w:cs="Arial"/>
                <w:i/>
              </w:rPr>
              <w:t>)</w:t>
            </w:r>
          </w:p>
        </w:tc>
        <w:tc>
          <w:tcPr>
            <w:tcW w:w="5395" w:type="dxa"/>
          </w:tcPr>
          <w:p w14:paraId="4A9C0EB9" w14:textId="47FAD0CB" w:rsidR="00840307" w:rsidRPr="005341B8" w:rsidRDefault="00840307" w:rsidP="00840307">
            <w:pPr>
              <w:rPr>
                <w:rFonts w:ascii="Arial" w:eastAsia="Calibri" w:hAnsi="Arial" w:cs="Arial"/>
              </w:rPr>
            </w:pPr>
            <w:r w:rsidRPr="005341B8">
              <w:rPr>
                <w:rFonts w:ascii="Arial" w:eastAsia="Calibri" w:hAnsi="Arial" w:cs="Arial"/>
              </w:rPr>
              <w:t>The author of the source material (</w:t>
            </w:r>
            <w:proofErr w:type="spellStart"/>
            <w:r w:rsidRPr="005341B8">
              <w:rPr>
                <w:rFonts w:ascii="Arial" w:eastAsia="Calibri" w:hAnsi="Arial" w:cs="Arial"/>
              </w:rPr>
              <w:t>Reichs</w:t>
            </w:r>
            <w:proofErr w:type="spellEnd"/>
            <w:r w:rsidRPr="005341B8">
              <w:rPr>
                <w:rFonts w:ascii="Arial" w:eastAsia="Calibri" w:hAnsi="Arial" w:cs="Arial"/>
              </w:rPr>
              <w:t>) and the stars of the show filed a lawsuit against 20</w:t>
            </w:r>
            <w:r w:rsidR="00D92DE6" w:rsidRPr="005341B8">
              <w:rPr>
                <w:rFonts w:ascii="Arial" w:eastAsia="Calibri" w:hAnsi="Arial" w:cs="Arial"/>
              </w:rPr>
              <w:t>th</w:t>
            </w:r>
            <w:r w:rsidRPr="005341B8">
              <w:rPr>
                <w:rFonts w:ascii="Arial" w:eastAsia="Calibri" w:hAnsi="Arial" w:cs="Arial"/>
              </w:rPr>
              <w:t xml:space="preserve"> Century Fox</w:t>
            </w:r>
            <w:r w:rsidR="00D92DE6" w:rsidRPr="005341B8">
              <w:rPr>
                <w:rFonts w:ascii="Arial" w:eastAsia="Calibri" w:hAnsi="Arial" w:cs="Arial"/>
              </w:rPr>
              <w:t>,</w:t>
            </w:r>
            <w:r w:rsidRPr="005341B8">
              <w:rPr>
                <w:rFonts w:ascii="Arial" w:eastAsia="Calibri" w:hAnsi="Arial" w:cs="Arial"/>
              </w:rPr>
              <w:t xml:space="preserve"> alleging that because of “accounting tricks” and vertical integration, the show </w:t>
            </w:r>
            <w:r w:rsidR="00D92DE6" w:rsidRPr="005341B8">
              <w:rPr>
                <w:rFonts w:ascii="Arial" w:eastAsia="Calibri" w:hAnsi="Arial" w:cs="Arial"/>
              </w:rPr>
              <w:t>generated</w:t>
            </w:r>
            <w:r w:rsidRPr="005341B8">
              <w:rPr>
                <w:rFonts w:ascii="Arial" w:eastAsia="Calibri" w:hAnsi="Arial" w:cs="Arial"/>
              </w:rPr>
              <w:t xml:space="preserve"> no profits for the profit participants</w:t>
            </w:r>
            <w:r w:rsidR="00D92DE6" w:rsidRPr="005341B8">
              <w:rPr>
                <w:rFonts w:ascii="Arial" w:eastAsia="Calibri" w:hAnsi="Arial" w:cs="Arial"/>
              </w:rPr>
              <w:t>, despite running for 12 seasons</w:t>
            </w:r>
            <w:r w:rsidRPr="005341B8">
              <w:rPr>
                <w:rFonts w:ascii="Arial" w:eastAsia="Calibri" w:hAnsi="Arial" w:cs="Arial"/>
              </w:rPr>
              <w:t xml:space="preserve">. </w:t>
            </w:r>
            <w:r w:rsidR="00D92DE6" w:rsidRPr="005341B8">
              <w:rPr>
                <w:rFonts w:ascii="Arial" w:eastAsia="Calibri" w:hAnsi="Arial" w:cs="Arial"/>
              </w:rPr>
              <w:t>The case was s</w:t>
            </w:r>
            <w:r w:rsidRPr="005341B8">
              <w:rPr>
                <w:rFonts w:ascii="Arial" w:eastAsia="Calibri" w:hAnsi="Arial" w:cs="Arial"/>
              </w:rPr>
              <w:t xml:space="preserve">ettled out of court in arbitration for undisclosed terms. </w:t>
            </w:r>
          </w:p>
        </w:tc>
      </w:tr>
    </w:tbl>
    <w:p w14:paraId="3DD0E822" w14:textId="77777777" w:rsidR="00840307" w:rsidRPr="005341B8" w:rsidRDefault="00840307" w:rsidP="00840307">
      <w:pPr>
        <w:pStyle w:val="Footnote"/>
        <w:rPr>
          <w:rFonts w:eastAsia="Calibri"/>
          <w:color w:val="000000" w:themeColor="text1"/>
        </w:rPr>
      </w:pPr>
    </w:p>
    <w:p w14:paraId="40608D37" w14:textId="13A05B68" w:rsidR="00D92DE6" w:rsidRPr="005341B8" w:rsidRDefault="00D92DE6" w:rsidP="00840307">
      <w:pPr>
        <w:pStyle w:val="Footnote"/>
        <w:rPr>
          <w:rFonts w:eastAsia="Calibri"/>
          <w:color w:val="000000" w:themeColor="text1"/>
        </w:rPr>
      </w:pPr>
      <w:r w:rsidRPr="005341B8">
        <w:rPr>
          <w:rFonts w:eastAsia="Calibri"/>
          <w:color w:val="000000" w:themeColor="text1"/>
        </w:rPr>
        <w:t>Note: All currency amounts are in US$.</w:t>
      </w:r>
    </w:p>
    <w:p w14:paraId="3A8E223F" w14:textId="7CA9A230" w:rsidR="00840307" w:rsidRPr="005341B8" w:rsidRDefault="00840307" w:rsidP="00840307">
      <w:pPr>
        <w:pStyle w:val="Footnote"/>
        <w:rPr>
          <w:rFonts w:eastAsia="Calibri"/>
        </w:rPr>
      </w:pPr>
      <w:r w:rsidRPr="005341B8">
        <w:rPr>
          <w:rFonts w:eastAsia="Calibri"/>
          <w:color w:val="000000" w:themeColor="text1"/>
        </w:rPr>
        <w:t xml:space="preserve">Sources: Janet </w:t>
      </w:r>
      <w:proofErr w:type="spellStart"/>
      <w:r w:rsidRPr="005341B8">
        <w:rPr>
          <w:rFonts w:eastAsia="Calibri"/>
          <w:color w:val="000000" w:themeColor="text1"/>
        </w:rPr>
        <w:t>Shprintz</w:t>
      </w:r>
      <w:proofErr w:type="spellEnd"/>
      <w:r w:rsidRPr="005341B8">
        <w:rPr>
          <w:rFonts w:eastAsia="Calibri"/>
          <w:color w:val="000000" w:themeColor="text1"/>
        </w:rPr>
        <w:t xml:space="preserve">, “Duchovny Sues Fox </w:t>
      </w:r>
      <w:r w:rsidR="0001544D" w:rsidRPr="005341B8">
        <w:rPr>
          <w:rFonts w:eastAsia="Calibri"/>
          <w:color w:val="000000" w:themeColor="text1"/>
        </w:rPr>
        <w:t>o</w:t>
      </w:r>
      <w:r w:rsidRPr="005341B8">
        <w:rPr>
          <w:rFonts w:eastAsia="Calibri"/>
          <w:color w:val="000000" w:themeColor="text1"/>
        </w:rPr>
        <w:t xml:space="preserve">ver TV Rights Sales,” </w:t>
      </w:r>
      <w:r w:rsidRPr="005341B8">
        <w:rPr>
          <w:rFonts w:eastAsia="Calibri"/>
          <w:i/>
          <w:color w:val="000000" w:themeColor="text1"/>
        </w:rPr>
        <w:t>Variety</w:t>
      </w:r>
      <w:r w:rsidRPr="005341B8">
        <w:rPr>
          <w:rFonts w:eastAsia="Calibri"/>
          <w:color w:val="000000" w:themeColor="text1"/>
        </w:rPr>
        <w:t>, August 13, 1999, accessed March 31, 2018, http://variety.com/1999/biz/news/duchovny-sues-fox-over-tv-rights-sales-1117750376/;</w:t>
      </w:r>
      <w:r w:rsidR="005C3C6A" w:rsidRPr="005341B8">
        <w:rPr>
          <w:rFonts w:eastAsia="Calibri"/>
          <w:color w:val="000000" w:themeColor="text1"/>
        </w:rPr>
        <w:t xml:space="preserve"> </w:t>
      </w:r>
      <w:r w:rsidRPr="005341B8">
        <w:rPr>
          <w:rFonts w:eastAsia="Calibri"/>
          <w:color w:val="000000" w:themeColor="text1"/>
        </w:rPr>
        <w:t xml:space="preserve">Sallie </w:t>
      </w:r>
      <w:proofErr w:type="spellStart"/>
      <w:r w:rsidRPr="005341B8">
        <w:rPr>
          <w:rFonts w:eastAsia="Calibri"/>
          <w:color w:val="000000" w:themeColor="text1"/>
        </w:rPr>
        <w:t>Hofmeister</w:t>
      </w:r>
      <w:proofErr w:type="spellEnd"/>
      <w:r w:rsidRPr="005341B8">
        <w:rPr>
          <w:rFonts w:eastAsia="Calibri"/>
          <w:color w:val="000000" w:themeColor="text1"/>
        </w:rPr>
        <w:t>, “Bochco Sues 20</w:t>
      </w:r>
      <w:r w:rsidR="005C3C6A" w:rsidRPr="005341B8">
        <w:rPr>
          <w:rFonts w:eastAsia="Calibri"/>
          <w:color w:val="000000" w:themeColor="text1"/>
        </w:rPr>
        <w:t>th</w:t>
      </w:r>
      <w:r w:rsidRPr="005341B8">
        <w:rPr>
          <w:rFonts w:eastAsia="Calibri"/>
          <w:color w:val="000000" w:themeColor="text1"/>
        </w:rPr>
        <w:t xml:space="preserve"> Century Fox </w:t>
      </w:r>
      <w:r w:rsidR="005C3C6A" w:rsidRPr="005341B8">
        <w:rPr>
          <w:rFonts w:eastAsia="Calibri"/>
          <w:color w:val="000000" w:themeColor="text1"/>
        </w:rPr>
        <w:t>o</w:t>
      </w:r>
      <w:r w:rsidRPr="005341B8">
        <w:rPr>
          <w:rFonts w:eastAsia="Calibri"/>
          <w:color w:val="000000" w:themeColor="text1"/>
        </w:rPr>
        <w:t xml:space="preserve">ver ‘NYPD Blue,’” </w:t>
      </w:r>
      <w:r w:rsidRPr="005341B8">
        <w:rPr>
          <w:rFonts w:eastAsia="Calibri"/>
          <w:i/>
          <w:color w:val="000000" w:themeColor="text1"/>
        </w:rPr>
        <w:t>Los Angeles Times</w:t>
      </w:r>
      <w:r w:rsidRPr="005341B8">
        <w:rPr>
          <w:rFonts w:eastAsia="Calibri"/>
          <w:color w:val="000000" w:themeColor="text1"/>
        </w:rPr>
        <w:t xml:space="preserve">, September 14, 1999, accessed March 31, 2018, http://articles.latimes.com/1999/sep/14/business/fi-10045; Sallie </w:t>
      </w:r>
      <w:proofErr w:type="spellStart"/>
      <w:r w:rsidRPr="005341B8">
        <w:rPr>
          <w:rFonts w:eastAsia="Calibri"/>
          <w:color w:val="000000" w:themeColor="text1"/>
        </w:rPr>
        <w:t>Hofmeister</w:t>
      </w:r>
      <w:proofErr w:type="spellEnd"/>
      <w:r w:rsidRPr="005341B8">
        <w:rPr>
          <w:rFonts w:eastAsia="Calibri"/>
          <w:color w:val="000000" w:themeColor="text1"/>
        </w:rPr>
        <w:t xml:space="preserve">, “News Corp. Settles ‘NYPD Blue’ Suit Filed by Bochco,” </w:t>
      </w:r>
      <w:r w:rsidRPr="005341B8">
        <w:rPr>
          <w:rFonts w:eastAsia="Calibri"/>
          <w:i/>
          <w:color w:val="000000" w:themeColor="text1"/>
        </w:rPr>
        <w:t>Los Angeles Times</w:t>
      </w:r>
      <w:r w:rsidRPr="005341B8">
        <w:rPr>
          <w:rFonts w:eastAsia="Calibri"/>
          <w:color w:val="000000" w:themeColor="text1"/>
        </w:rPr>
        <w:t>, April 9, 2001, accessed March 31, 2018, http://articles.latimes.com/2001/apr/09/business/fi-48772;</w:t>
      </w:r>
      <w:r w:rsidR="005C3C6A" w:rsidRPr="005341B8">
        <w:rPr>
          <w:rFonts w:eastAsia="Calibri"/>
          <w:color w:val="000000" w:themeColor="text1"/>
        </w:rPr>
        <w:t xml:space="preserve"> </w:t>
      </w:r>
      <w:r w:rsidRPr="005341B8">
        <w:rPr>
          <w:rFonts w:eastAsia="Calibri"/>
          <w:color w:val="000000" w:themeColor="text1"/>
        </w:rPr>
        <w:t xml:space="preserve">Dominic Patten, “Disney Nailed as ‘Home Improvement’ Profit-Sharing Suit Revived by Court,” </w:t>
      </w:r>
      <w:r w:rsidRPr="005341B8">
        <w:rPr>
          <w:rFonts w:eastAsia="Calibri"/>
          <w:i/>
          <w:color w:val="000000" w:themeColor="text1"/>
        </w:rPr>
        <w:t>Deadline</w:t>
      </w:r>
      <w:r w:rsidRPr="005341B8">
        <w:rPr>
          <w:rFonts w:eastAsia="Calibri"/>
          <w:color w:val="000000" w:themeColor="text1"/>
        </w:rPr>
        <w:t xml:space="preserve">, March 22, 2017, accessed March 31, 2018, http://deadline.com/2017/03/disney-home-improvement-lawsuit-revived-profit-participation-1202048945/; and, Austin </w:t>
      </w:r>
      <w:proofErr w:type="spellStart"/>
      <w:r w:rsidRPr="005341B8">
        <w:rPr>
          <w:rFonts w:eastAsia="Calibri"/>
          <w:color w:val="000000" w:themeColor="text1"/>
        </w:rPr>
        <w:t>Siegemund-Broka</w:t>
      </w:r>
      <w:proofErr w:type="spellEnd"/>
      <w:r w:rsidRPr="005341B8">
        <w:rPr>
          <w:rFonts w:eastAsia="Calibri"/>
          <w:color w:val="000000" w:themeColor="text1"/>
        </w:rPr>
        <w:t xml:space="preserve"> and Matthew </w:t>
      </w:r>
      <w:proofErr w:type="spellStart"/>
      <w:r w:rsidRPr="005341B8">
        <w:rPr>
          <w:rFonts w:eastAsia="Calibri"/>
          <w:color w:val="000000" w:themeColor="text1"/>
        </w:rPr>
        <w:t>Belloni</w:t>
      </w:r>
      <w:proofErr w:type="spellEnd"/>
      <w:r w:rsidRPr="005341B8">
        <w:rPr>
          <w:rFonts w:eastAsia="Calibri"/>
          <w:color w:val="000000" w:themeColor="text1"/>
        </w:rPr>
        <w:t xml:space="preserve">, </w:t>
      </w:r>
      <w:r w:rsidR="00C807E6">
        <w:rPr>
          <w:rFonts w:eastAsia="Calibri"/>
          <w:color w:val="000000" w:themeColor="text1"/>
        </w:rPr>
        <w:t>“</w:t>
      </w:r>
      <w:r w:rsidR="00C807E6" w:rsidRPr="00C807E6">
        <w:rPr>
          <w:rFonts w:eastAsia="Calibri"/>
          <w:color w:val="000000" w:themeColor="text1"/>
        </w:rPr>
        <w:t>‘Bones’ Stars File New Lawsuit for “Tens of Millions of Dollars” in Fox Profits (Exclusive)</w:t>
      </w:r>
      <w:r w:rsidRPr="005341B8">
        <w:rPr>
          <w:rFonts w:eastAsia="Calibri"/>
          <w:color w:val="000000" w:themeColor="text1"/>
        </w:rPr>
        <w:t xml:space="preserve">,” </w:t>
      </w:r>
      <w:r w:rsidRPr="005341B8">
        <w:rPr>
          <w:rFonts w:eastAsia="Calibri"/>
          <w:i/>
          <w:color w:val="000000" w:themeColor="text1"/>
        </w:rPr>
        <w:t>The Hollywood Reporter</w:t>
      </w:r>
      <w:r w:rsidRPr="005341B8">
        <w:rPr>
          <w:rFonts w:eastAsia="Calibri"/>
          <w:color w:val="000000" w:themeColor="text1"/>
        </w:rPr>
        <w:t xml:space="preserve">, November 30, 2015, accessed March 31, 2018, www.hollywoodreporter.com/thr-esq/bones-stars-file-new-lawsuit-844237. </w:t>
      </w:r>
      <w:r w:rsidRPr="005341B8">
        <w:rPr>
          <w:rFonts w:eastAsia="Calibri"/>
        </w:rPr>
        <w:br w:type="page"/>
      </w:r>
    </w:p>
    <w:p w14:paraId="077D4A6B" w14:textId="420AF426" w:rsidR="00840307" w:rsidRPr="005341B8" w:rsidRDefault="00840307" w:rsidP="00840307">
      <w:pPr>
        <w:pStyle w:val="ExhibitHeading"/>
        <w:rPr>
          <w:rFonts w:eastAsia="Calibri"/>
        </w:rPr>
      </w:pPr>
      <w:r w:rsidRPr="005341B8">
        <w:rPr>
          <w:rFonts w:eastAsia="Calibri"/>
        </w:rPr>
        <w:lastRenderedPageBreak/>
        <w:t>Exhibit 4: The Economics of Content Ownership</w:t>
      </w:r>
    </w:p>
    <w:p w14:paraId="39452288" w14:textId="77777777" w:rsidR="00840307" w:rsidRPr="005C6BA3" w:rsidRDefault="00840307" w:rsidP="009B5053">
      <w:pPr>
        <w:pStyle w:val="ExhibitHeading"/>
        <w:jc w:val="both"/>
        <w:rPr>
          <w:rFonts w:eastAsia="Calibri"/>
          <w:sz w:val="18"/>
          <w:szCs w:val="18"/>
        </w:rPr>
      </w:pPr>
    </w:p>
    <w:p w14:paraId="6C9CA96F" w14:textId="6D4BFBBC" w:rsidR="00840307" w:rsidRPr="005341B8" w:rsidRDefault="00840307" w:rsidP="009B5053">
      <w:pPr>
        <w:jc w:val="both"/>
        <w:rPr>
          <w:rFonts w:ascii="Arial" w:eastAsia="Calibri" w:hAnsi="Arial" w:cs="Arial"/>
          <w:szCs w:val="22"/>
        </w:rPr>
      </w:pPr>
      <w:r w:rsidRPr="005341B8">
        <w:rPr>
          <w:rFonts w:ascii="Arial" w:eastAsia="Calibri" w:hAnsi="Arial" w:cs="Arial"/>
          <w:szCs w:val="22"/>
        </w:rPr>
        <w:t xml:space="preserve">According to </w:t>
      </w:r>
      <w:r w:rsidRPr="005341B8">
        <w:rPr>
          <w:rFonts w:ascii="Arial" w:eastAsia="Calibri" w:hAnsi="Arial" w:cs="Arial"/>
          <w:i/>
          <w:szCs w:val="22"/>
        </w:rPr>
        <w:t>IBISWorld</w:t>
      </w:r>
      <w:r w:rsidR="00E91694">
        <w:rPr>
          <w:rFonts w:ascii="Arial" w:eastAsia="Calibri" w:hAnsi="Arial" w:cs="Arial"/>
          <w:szCs w:val="22"/>
        </w:rPr>
        <w:t>,</w:t>
      </w:r>
      <w:r w:rsidRPr="005341B8">
        <w:rPr>
          <w:rFonts w:ascii="Arial" w:eastAsia="Calibri" w:hAnsi="Arial" w:cs="Arial"/>
          <w:szCs w:val="22"/>
        </w:rPr>
        <w:t xml:space="preserve"> the average return on investment in the cable network industry (that focused on content distribution) was 6.3 </w:t>
      </w:r>
      <w:r w:rsidR="00417F51" w:rsidRPr="005341B8">
        <w:rPr>
          <w:rFonts w:ascii="Arial" w:eastAsia="Calibri" w:hAnsi="Arial" w:cs="Arial"/>
          <w:szCs w:val="22"/>
        </w:rPr>
        <w:t>per cent</w:t>
      </w:r>
      <w:r w:rsidRPr="005341B8">
        <w:rPr>
          <w:rFonts w:ascii="Arial" w:eastAsia="Calibri" w:hAnsi="Arial" w:cs="Arial"/>
          <w:szCs w:val="22"/>
        </w:rPr>
        <w:t xml:space="preserve"> </w:t>
      </w:r>
      <w:r w:rsidR="00512423" w:rsidRPr="005341B8">
        <w:rPr>
          <w:rFonts w:ascii="Arial" w:eastAsia="Calibri" w:hAnsi="Arial" w:cs="Arial"/>
          <w:szCs w:val="22"/>
        </w:rPr>
        <w:t>per</w:t>
      </w:r>
      <w:r w:rsidRPr="005341B8">
        <w:rPr>
          <w:rFonts w:ascii="Arial" w:eastAsia="Calibri" w:hAnsi="Arial" w:cs="Arial"/>
          <w:szCs w:val="22"/>
        </w:rPr>
        <w:t xml:space="preserve"> year in the five years </w:t>
      </w:r>
      <w:r w:rsidR="00512423" w:rsidRPr="005341B8">
        <w:rPr>
          <w:rFonts w:ascii="Arial" w:eastAsia="Calibri" w:hAnsi="Arial" w:cs="Arial"/>
          <w:szCs w:val="22"/>
        </w:rPr>
        <w:t>until</w:t>
      </w:r>
      <w:r w:rsidRPr="005341B8">
        <w:rPr>
          <w:rFonts w:ascii="Arial" w:eastAsia="Calibri" w:hAnsi="Arial" w:cs="Arial"/>
          <w:szCs w:val="22"/>
        </w:rPr>
        <w:t xml:space="preserve"> 2017. In contrast, the average </w:t>
      </w:r>
      <w:r w:rsidR="00512423" w:rsidRPr="005341B8">
        <w:rPr>
          <w:rFonts w:ascii="Arial" w:eastAsia="Calibri" w:hAnsi="Arial" w:cs="Arial"/>
          <w:szCs w:val="22"/>
        </w:rPr>
        <w:t>return</w:t>
      </w:r>
      <w:r w:rsidRPr="005341B8">
        <w:rPr>
          <w:rFonts w:ascii="Arial" w:eastAsia="Calibri" w:hAnsi="Arial" w:cs="Arial"/>
          <w:szCs w:val="22"/>
        </w:rPr>
        <w:t xml:space="preserve"> was 10.4 </w:t>
      </w:r>
      <w:r w:rsidR="00417F51" w:rsidRPr="005341B8">
        <w:rPr>
          <w:rFonts w:ascii="Arial" w:eastAsia="Calibri" w:hAnsi="Arial" w:cs="Arial"/>
          <w:szCs w:val="22"/>
        </w:rPr>
        <w:t>per cent</w:t>
      </w:r>
      <w:r w:rsidRPr="005341B8">
        <w:rPr>
          <w:rFonts w:ascii="Arial" w:eastAsia="Calibri" w:hAnsi="Arial" w:cs="Arial"/>
          <w:szCs w:val="22"/>
        </w:rPr>
        <w:t xml:space="preserve"> for production companies (i.e., the content creators) for the same period. </w:t>
      </w:r>
      <w:r w:rsidR="00512423" w:rsidRPr="005341B8">
        <w:rPr>
          <w:rFonts w:ascii="Arial" w:eastAsia="Calibri" w:hAnsi="Arial" w:cs="Arial"/>
          <w:szCs w:val="22"/>
        </w:rPr>
        <w:t>M</w:t>
      </w:r>
      <w:r w:rsidRPr="005341B8">
        <w:rPr>
          <w:rFonts w:ascii="Arial" w:eastAsia="Calibri" w:hAnsi="Arial" w:cs="Arial"/>
          <w:szCs w:val="22"/>
        </w:rPr>
        <w:t>ost content creators were units of larger companies and did not break down results at the unit level</w:t>
      </w:r>
      <w:r w:rsidR="00512423" w:rsidRPr="005341B8">
        <w:rPr>
          <w:rFonts w:ascii="Arial" w:eastAsia="Calibri" w:hAnsi="Arial" w:cs="Arial"/>
          <w:szCs w:val="22"/>
        </w:rPr>
        <w:t>. However</w:t>
      </w:r>
      <w:r w:rsidRPr="005341B8">
        <w:rPr>
          <w:rFonts w:ascii="Arial" w:eastAsia="Calibri" w:hAnsi="Arial" w:cs="Arial"/>
          <w:szCs w:val="22"/>
        </w:rPr>
        <w:t xml:space="preserve">, </w:t>
      </w:r>
      <w:r w:rsidR="00E91694" w:rsidRPr="00E91694">
        <w:rPr>
          <w:rFonts w:ascii="Arial" w:eastAsia="Calibri" w:hAnsi="Arial" w:cs="Arial"/>
          <w:szCs w:val="22"/>
        </w:rPr>
        <w:t>Lions Gate Entertainment Corp</w:t>
      </w:r>
      <w:r w:rsidR="005B434C">
        <w:rPr>
          <w:rFonts w:ascii="Arial" w:eastAsia="Calibri" w:hAnsi="Arial" w:cs="Arial"/>
          <w:szCs w:val="22"/>
        </w:rPr>
        <w:t>.</w:t>
      </w:r>
      <w:r w:rsidR="00E91694" w:rsidRPr="00E91694">
        <w:rPr>
          <w:rFonts w:ascii="Arial" w:eastAsia="Calibri" w:hAnsi="Arial" w:cs="Arial"/>
          <w:szCs w:val="22"/>
        </w:rPr>
        <w:t xml:space="preserve"> </w:t>
      </w:r>
      <w:r w:rsidRPr="005341B8">
        <w:rPr>
          <w:rFonts w:ascii="Arial" w:eastAsia="Calibri" w:hAnsi="Arial" w:cs="Arial"/>
          <w:szCs w:val="22"/>
        </w:rPr>
        <w:t xml:space="preserve">reported a 15.5 </w:t>
      </w:r>
      <w:r w:rsidR="00417F51" w:rsidRPr="005341B8">
        <w:rPr>
          <w:rFonts w:ascii="Arial" w:eastAsia="Calibri" w:hAnsi="Arial" w:cs="Arial"/>
          <w:szCs w:val="22"/>
        </w:rPr>
        <w:t>per cent</w:t>
      </w:r>
      <w:r w:rsidRPr="005341B8">
        <w:rPr>
          <w:rFonts w:ascii="Arial" w:eastAsia="Calibri" w:hAnsi="Arial" w:cs="Arial"/>
          <w:szCs w:val="22"/>
        </w:rPr>
        <w:t xml:space="preserve"> gross margin in television production for fiscal 2016</w:t>
      </w:r>
      <w:r w:rsidR="00E91694">
        <w:rPr>
          <w:rFonts w:ascii="Arial" w:eastAsia="Calibri" w:hAnsi="Arial" w:cs="Arial"/>
          <w:szCs w:val="22"/>
        </w:rPr>
        <w:t>,</w:t>
      </w:r>
      <w:r w:rsidRPr="005341B8">
        <w:rPr>
          <w:rFonts w:ascii="Arial" w:eastAsia="Calibri" w:hAnsi="Arial" w:cs="Arial"/>
          <w:szCs w:val="22"/>
        </w:rPr>
        <w:t xml:space="preserve"> and Sony Pictures Television </w:t>
      </w:r>
      <w:r w:rsidR="00E91694">
        <w:rPr>
          <w:rFonts w:ascii="Arial" w:eastAsia="Calibri" w:hAnsi="Arial" w:cs="Arial"/>
          <w:szCs w:val="22"/>
        </w:rPr>
        <w:t xml:space="preserve">Inc. </w:t>
      </w:r>
      <w:r w:rsidRPr="005341B8">
        <w:rPr>
          <w:rFonts w:ascii="Arial" w:eastAsia="Calibri" w:hAnsi="Arial" w:cs="Arial"/>
          <w:szCs w:val="22"/>
        </w:rPr>
        <w:t xml:space="preserve">indicated a 10.7 </w:t>
      </w:r>
      <w:r w:rsidR="00417F51" w:rsidRPr="005341B8">
        <w:rPr>
          <w:rFonts w:ascii="Arial" w:eastAsia="Calibri" w:hAnsi="Arial" w:cs="Arial"/>
          <w:szCs w:val="22"/>
        </w:rPr>
        <w:t>per cent</w:t>
      </w:r>
      <w:r w:rsidRPr="005341B8">
        <w:rPr>
          <w:rFonts w:ascii="Arial" w:eastAsia="Calibri" w:hAnsi="Arial" w:cs="Arial"/>
          <w:szCs w:val="22"/>
        </w:rPr>
        <w:t xml:space="preserve"> margin for fiscal 2017. </w:t>
      </w:r>
    </w:p>
    <w:p w14:paraId="2C4A953F" w14:textId="77777777" w:rsidR="00840307" w:rsidRPr="005C6BA3" w:rsidRDefault="00840307" w:rsidP="009B5053">
      <w:pPr>
        <w:jc w:val="both"/>
        <w:rPr>
          <w:rFonts w:ascii="Arial" w:eastAsia="Calibri" w:hAnsi="Arial" w:cs="Arial"/>
          <w:sz w:val="18"/>
          <w:szCs w:val="18"/>
        </w:rPr>
      </w:pPr>
    </w:p>
    <w:p w14:paraId="511CFADD" w14:textId="1D038976" w:rsidR="00840307" w:rsidRPr="005341B8" w:rsidRDefault="00840307" w:rsidP="009B5053">
      <w:pPr>
        <w:jc w:val="both"/>
        <w:rPr>
          <w:rFonts w:ascii="Arial" w:eastAsia="Calibri" w:hAnsi="Arial" w:cs="Arial"/>
          <w:szCs w:val="22"/>
        </w:rPr>
      </w:pPr>
      <w:r w:rsidRPr="005341B8">
        <w:rPr>
          <w:rFonts w:ascii="Arial" w:eastAsia="Calibri" w:hAnsi="Arial" w:cs="Arial"/>
          <w:szCs w:val="22"/>
        </w:rPr>
        <w:t xml:space="preserve">Starting in 2010, three trends had important implications for the content creating industry. </w:t>
      </w:r>
      <w:r w:rsidR="00512423" w:rsidRPr="005341B8">
        <w:rPr>
          <w:rFonts w:ascii="Arial" w:eastAsia="Calibri" w:hAnsi="Arial" w:cs="Arial"/>
          <w:szCs w:val="22"/>
        </w:rPr>
        <w:t>The first</w:t>
      </w:r>
      <w:r w:rsidRPr="005341B8">
        <w:rPr>
          <w:rFonts w:ascii="Arial" w:eastAsia="Calibri" w:hAnsi="Arial" w:cs="Arial"/>
          <w:szCs w:val="22"/>
        </w:rPr>
        <w:t xml:space="preserve"> was the escalation in the price paid for rerun rights. Conventional practice in the television industry was that a show had to have a minimum of 100 filmed episodes before it could be sold in the syndication (rerun) market. The rationale was that the syndicator had to spen</w:t>
      </w:r>
      <w:r w:rsidR="00512423" w:rsidRPr="005341B8">
        <w:rPr>
          <w:rFonts w:ascii="Arial" w:eastAsia="Calibri" w:hAnsi="Arial" w:cs="Arial"/>
          <w:szCs w:val="22"/>
        </w:rPr>
        <w:t>d</w:t>
      </w:r>
      <w:r w:rsidRPr="005341B8">
        <w:rPr>
          <w:rFonts w:ascii="Arial" w:eastAsia="Calibri" w:hAnsi="Arial" w:cs="Arial"/>
          <w:szCs w:val="22"/>
        </w:rPr>
        <w:t xml:space="preserve"> money marketing the show in the rerun market</w:t>
      </w:r>
      <w:r w:rsidR="00512423" w:rsidRPr="005341B8">
        <w:rPr>
          <w:rFonts w:ascii="Arial" w:eastAsia="Calibri" w:hAnsi="Arial" w:cs="Arial"/>
          <w:szCs w:val="22"/>
        </w:rPr>
        <w:t>, but</w:t>
      </w:r>
      <w:r w:rsidRPr="005341B8">
        <w:rPr>
          <w:rFonts w:ascii="Arial" w:eastAsia="Calibri" w:hAnsi="Arial" w:cs="Arial"/>
          <w:szCs w:val="22"/>
        </w:rPr>
        <w:t xml:space="preserve"> without a critical mass of episodes, spending money on marketing would not make economic sense. The proliferation of cable networks hungry for content to fill a 24-hour programming cycle and the influx of streaming providers into the market changed this. </w:t>
      </w:r>
      <w:r w:rsidR="00512423" w:rsidRPr="005341B8">
        <w:rPr>
          <w:rFonts w:ascii="Arial" w:eastAsia="Calibri" w:hAnsi="Arial" w:cs="Arial"/>
          <w:szCs w:val="22"/>
        </w:rPr>
        <w:t>For example</w:t>
      </w:r>
      <w:r w:rsidRPr="005341B8">
        <w:rPr>
          <w:rFonts w:ascii="Arial" w:eastAsia="Calibri" w:hAnsi="Arial" w:cs="Arial"/>
          <w:szCs w:val="22"/>
        </w:rPr>
        <w:t xml:space="preserve">, </w:t>
      </w:r>
      <w:r w:rsidR="005B434C">
        <w:rPr>
          <w:rFonts w:ascii="Arial" w:eastAsia="Calibri" w:hAnsi="Arial" w:cs="Arial"/>
          <w:szCs w:val="22"/>
        </w:rPr>
        <w:t xml:space="preserve">the Columbia Broadcasting System </w:t>
      </w:r>
      <w:r w:rsidRPr="005341B8">
        <w:rPr>
          <w:rFonts w:ascii="Arial" w:eastAsia="Calibri" w:hAnsi="Arial" w:cs="Arial"/>
          <w:szCs w:val="22"/>
        </w:rPr>
        <w:t xml:space="preserve">sold the rerun rights to </w:t>
      </w:r>
      <w:r w:rsidRPr="005341B8">
        <w:rPr>
          <w:rFonts w:ascii="Arial" w:eastAsia="Calibri" w:hAnsi="Arial" w:cs="Arial"/>
          <w:i/>
          <w:szCs w:val="22"/>
        </w:rPr>
        <w:t>The Good Wife</w:t>
      </w:r>
      <w:r w:rsidRPr="005341B8">
        <w:rPr>
          <w:rFonts w:ascii="Arial" w:eastAsia="Calibri" w:hAnsi="Arial" w:cs="Arial"/>
          <w:szCs w:val="22"/>
        </w:rPr>
        <w:t xml:space="preserve"> at the conclusion of its first three seasons (66 episodes). As a consequence of shows being offered in the syndication market early in the cycle, content distributors began to aggressively bid for rights (in an attempt to pre</w:t>
      </w:r>
      <w:r w:rsidR="00454F78" w:rsidRPr="005341B8">
        <w:rPr>
          <w:rFonts w:ascii="Arial" w:eastAsia="Calibri" w:hAnsi="Arial" w:cs="Arial"/>
          <w:szCs w:val="22"/>
        </w:rPr>
        <w:t>-</w:t>
      </w:r>
      <w:r w:rsidRPr="005341B8">
        <w:rPr>
          <w:rFonts w:ascii="Arial" w:eastAsia="Calibri" w:hAnsi="Arial" w:cs="Arial"/>
          <w:szCs w:val="22"/>
        </w:rPr>
        <w:t xml:space="preserve">empt the competition), thereby increasing the price paid per episode of a show. Rerun rights were typically sold for specific windows of </w:t>
      </w:r>
      <w:r w:rsidR="005B434C">
        <w:rPr>
          <w:rFonts w:ascii="Arial" w:eastAsia="Calibri" w:hAnsi="Arial" w:cs="Arial"/>
          <w:szCs w:val="22"/>
        </w:rPr>
        <w:t>three</w:t>
      </w:r>
      <w:r w:rsidRPr="005341B8">
        <w:rPr>
          <w:rFonts w:ascii="Arial" w:eastAsia="Calibri" w:hAnsi="Arial" w:cs="Arial"/>
          <w:szCs w:val="22"/>
        </w:rPr>
        <w:t xml:space="preserve"> to </w:t>
      </w:r>
      <w:r w:rsidR="005B434C">
        <w:rPr>
          <w:rFonts w:ascii="Arial" w:eastAsia="Calibri" w:hAnsi="Arial" w:cs="Arial"/>
          <w:szCs w:val="22"/>
        </w:rPr>
        <w:t>five</w:t>
      </w:r>
      <w:r w:rsidRPr="005341B8">
        <w:rPr>
          <w:rFonts w:ascii="Arial" w:eastAsia="Calibri" w:hAnsi="Arial" w:cs="Arial"/>
          <w:szCs w:val="22"/>
        </w:rPr>
        <w:t xml:space="preserve"> years</w:t>
      </w:r>
      <w:r w:rsidR="00414963" w:rsidRPr="005341B8">
        <w:rPr>
          <w:rFonts w:ascii="Arial" w:eastAsia="Calibri" w:hAnsi="Arial" w:cs="Arial"/>
          <w:szCs w:val="22"/>
        </w:rPr>
        <w:t>,</w:t>
      </w:r>
      <w:r w:rsidRPr="005341B8">
        <w:rPr>
          <w:rFonts w:ascii="Arial" w:eastAsia="Calibri" w:hAnsi="Arial" w:cs="Arial"/>
          <w:szCs w:val="22"/>
        </w:rPr>
        <w:t xml:space="preserve"> so a successful show could be sold several times in syndication. In a 2014 syndication cycle, an episode of </w:t>
      </w:r>
      <w:r w:rsidRPr="005341B8">
        <w:rPr>
          <w:rFonts w:ascii="Arial" w:eastAsia="Calibri" w:hAnsi="Arial" w:cs="Arial"/>
          <w:i/>
          <w:szCs w:val="22"/>
        </w:rPr>
        <w:t>The Cosby Show</w:t>
      </w:r>
      <w:r w:rsidRPr="005341B8">
        <w:rPr>
          <w:rFonts w:ascii="Arial" w:eastAsia="Calibri" w:hAnsi="Arial" w:cs="Arial"/>
          <w:szCs w:val="22"/>
        </w:rPr>
        <w:t xml:space="preserve"> sold for $4 million (201 episodes in all), an episode of </w:t>
      </w:r>
      <w:r w:rsidRPr="005341B8">
        <w:rPr>
          <w:rFonts w:ascii="Arial" w:eastAsia="Calibri" w:hAnsi="Arial" w:cs="Arial"/>
          <w:i/>
          <w:szCs w:val="22"/>
        </w:rPr>
        <w:t>Seinfeld</w:t>
      </w:r>
      <w:r w:rsidRPr="005341B8">
        <w:rPr>
          <w:rFonts w:ascii="Arial" w:eastAsia="Calibri" w:hAnsi="Arial" w:cs="Arial"/>
          <w:szCs w:val="22"/>
        </w:rPr>
        <w:t xml:space="preserve"> sold for $3 million (the show had received $17 million for each of its 180 episodes over several syndication windows), and an episode of </w:t>
      </w:r>
      <w:r w:rsidRPr="005341B8">
        <w:rPr>
          <w:rFonts w:ascii="Arial" w:eastAsia="Calibri" w:hAnsi="Arial" w:cs="Arial"/>
          <w:i/>
          <w:szCs w:val="22"/>
        </w:rPr>
        <w:t>The Mentalist</w:t>
      </w:r>
      <w:r w:rsidRPr="005341B8">
        <w:rPr>
          <w:rFonts w:ascii="Arial" w:eastAsia="Calibri" w:hAnsi="Arial" w:cs="Arial"/>
          <w:szCs w:val="22"/>
        </w:rPr>
        <w:t xml:space="preserve"> </w:t>
      </w:r>
      <w:r w:rsidR="00414963" w:rsidRPr="005341B8">
        <w:rPr>
          <w:rFonts w:ascii="Arial" w:eastAsia="Calibri" w:hAnsi="Arial" w:cs="Arial"/>
          <w:szCs w:val="22"/>
        </w:rPr>
        <w:t xml:space="preserve">sold </w:t>
      </w:r>
      <w:r w:rsidRPr="005341B8">
        <w:rPr>
          <w:rFonts w:ascii="Arial" w:eastAsia="Calibri" w:hAnsi="Arial" w:cs="Arial"/>
          <w:szCs w:val="22"/>
        </w:rPr>
        <w:t xml:space="preserve">for $2.2 million (151 episodes </w:t>
      </w:r>
      <w:r w:rsidR="00414963" w:rsidRPr="005341B8">
        <w:rPr>
          <w:rFonts w:ascii="Arial" w:eastAsia="Calibri" w:hAnsi="Arial" w:cs="Arial"/>
          <w:szCs w:val="22"/>
        </w:rPr>
        <w:t xml:space="preserve">in </w:t>
      </w:r>
      <w:r w:rsidRPr="005341B8">
        <w:rPr>
          <w:rFonts w:ascii="Arial" w:eastAsia="Calibri" w:hAnsi="Arial" w:cs="Arial"/>
          <w:szCs w:val="22"/>
        </w:rPr>
        <w:t xml:space="preserve">total). For content producers, </w:t>
      </w:r>
      <w:r w:rsidR="00414963" w:rsidRPr="005341B8">
        <w:rPr>
          <w:rFonts w:ascii="Arial" w:eastAsia="Calibri" w:hAnsi="Arial" w:cs="Arial"/>
          <w:szCs w:val="22"/>
        </w:rPr>
        <w:t>us</w:t>
      </w:r>
      <w:r w:rsidRPr="005341B8">
        <w:rPr>
          <w:rFonts w:ascii="Arial" w:eastAsia="Calibri" w:hAnsi="Arial" w:cs="Arial"/>
          <w:szCs w:val="22"/>
        </w:rPr>
        <w:t xml:space="preserve">ing </w:t>
      </w:r>
      <w:r w:rsidR="00414963" w:rsidRPr="005341B8">
        <w:rPr>
          <w:rFonts w:ascii="Arial" w:eastAsia="Calibri" w:hAnsi="Arial" w:cs="Arial"/>
          <w:szCs w:val="22"/>
        </w:rPr>
        <w:t xml:space="preserve">deficit financing for </w:t>
      </w:r>
      <w:r w:rsidRPr="005341B8">
        <w:rPr>
          <w:rFonts w:ascii="Arial" w:eastAsia="Calibri" w:hAnsi="Arial" w:cs="Arial"/>
          <w:szCs w:val="22"/>
        </w:rPr>
        <w:t xml:space="preserve">a portfolio of shows was </w:t>
      </w:r>
      <w:r w:rsidR="00414963" w:rsidRPr="005341B8">
        <w:rPr>
          <w:rFonts w:ascii="Arial" w:eastAsia="Calibri" w:hAnsi="Arial" w:cs="Arial"/>
          <w:szCs w:val="22"/>
        </w:rPr>
        <w:t xml:space="preserve">a </w:t>
      </w:r>
      <w:r w:rsidRPr="005341B8">
        <w:rPr>
          <w:rFonts w:ascii="Arial" w:eastAsia="Calibri" w:hAnsi="Arial" w:cs="Arial"/>
          <w:szCs w:val="22"/>
        </w:rPr>
        <w:t>key</w:t>
      </w:r>
      <w:r w:rsidR="00414963" w:rsidRPr="005341B8">
        <w:rPr>
          <w:rFonts w:ascii="Arial" w:eastAsia="Calibri" w:hAnsi="Arial" w:cs="Arial"/>
          <w:szCs w:val="22"/>
        </w:rPr>
        <w:t xml:space="preserve"> factor—</w:t>
      </w:r>
      <w:r w:rsidRPr="005341B8">
        <w:rPr>
          <w:rFonts w:ascii="Arial" w:eastAsia="Calibri" w:hAnsi="Arial" w:cs="Arial"/>
          <w:szCs w:val="22"/>
        </w:rPr>
        <w:t xml:space="preserve">the rerun rights of hit shows in the portfolio </w:t>
      </w:r>
      <w:r w:rsidR="00414963" w:rsidRPr="005341B8">
        <w:rPr>
          <w:rFonts w:ascii="Arial" w:eastAsia="Calibri" w:hAnsi="Arial" w:cs="Arial"/>
          <w:szCs w:val="22"/>
        </w:rPr>
        <w:t>would</w:t>
      </w:r>
      <w:r w:rsidRPr="005341B8">
        <w:rPr>
          <w:rFonts w:ascii="Arial" w:eastAsia="Calibri" w:hAnsi="Arial" w:cs="Arial"/>
          <w:szCs w:val="22"/>
        </w:rPr>
        <w:t xml:space="preserve"> fund </w:t>
      </w:r>
      <w:r w:rsidR="00414963" w:rsidRPr="005341B8">
        <w:rPr>
          <w:rFonts w:ascii="Arial" w:eastAsia="Calibri" w:hAnsi="Arial" w:cs="Arial"/>
          <w:szCs w:val="22"/>
        </w:rPr>
        <w:t xml:space="preserve">the </w:t>
      </w:r>
      <w:r w:rsidRPr="005341B8">
        <w:rPr>
          <w:rFonts w:ascii="Arial" w:eastAsia="Calibri" w:hAnsi="Arial" w:cs="Arial"/>
          <w:szCs w:val="22"/>
        </w:rPr>
        <w:t xml:space="preserve">shows that were </w:t>
      </w:r>
      <w:r w:rsidR="00414963" w:rsidRPr="005341B8">
        <w:rPr>
          <w:rFonts w:ascii="Arial" w:eastAsia="Calibri" w:hAnsi="Arial" w:cs="Arial"/>
          <w:szCs w:val="22"/>
        </w:rPr>
        <w:t xml:space="preserve">still </w:t>
      </w:r>
      <w:r w:rsidRPr="005341B8">
        <w:rPr>
          <w:rFonts w:ascii="Arial" w:eastAsia="Calibri" w:hAnsi="Arial" w:cs="Arial"/>
          <w:szCs w:val="22"/>
        </w:rPr>
        <w:t xml:space="preserve">early in development. </w:t>
      </w:r>
    </w:p>
    <w:p w14:paraId="444C638F" w14:textId="77777777" w:rsidR="00840307" w:rsidRPr="005C6BA3" w:rsidRDefault="00840307" w:rsidP="009B5053">
      <w:pPr>
        <w:jc w:val="both"/>
        <w:rPr>
          <w:rFonts w:ascii="Arial" w:eastAsia="Calibri" w:hAnsi="Arial" w:cs="Arial"/>
          <w:sz w:val="18"/>
          <w:szCs w:val="18"/>
        </w:rPr>
      </w:pPr>
    </w:p>
    <w:p w14:paraId="09D937F6" w14:textId="65CE2EC0" w:rsidR="00840307" w:rsidRPr="005341B8" w:rsidRDefault="00840307" w:rsidP="009B5053">
      <w:pPr>
        <w:jc w:val="both"/>
        <w:rPr>
          <w:rFonts w:ascii="Arial" w:eastAsia="Calibri" w:hAnsi="Arial" w:cs="Arial"/>
          <w:szCs w:val="22"/>
        </w:rPr>
      </w:pPr>
      <w:r w:rsidRPr="005341B8">
        <w:rPr>
          <w:rFonts w:ascii="Arial" w:eastAsia="Calibri" w:hAnsi="Arial" w:cs="Arial"/>
          <w:szCs w:val="22"/>
        </w:rPr>
        <w:t xml:space="preserve">The second trend was the escalating budget for television production. The average budget for an episode of an hourly drama was between $3 and $4 million. The advent of streaming players such as Netflix </w:t>
      </w:r>
      <w:r w:rsidR="005B434C">
        <w:rPr>
          <w:rFonts w:ascii="Arial" w:eastAsia="Calibri" w:hAnsi="Arial" w:cs="Arial"/>
          <w:szCs w:val="22"/>
        </w:rPr>
        <w:t xml:space="preserve">Inc. (Netflix) </w:t>
      </w:r>
      <w:r w:rsidRPr="005341B8">
        <w:rPr>
          <w:rFonts w:ascii="Arial" w:eastAsia="Calibri" w:hAnsi="Arial" w:cs="Arial"/>
          <w:szCs w:val="22"/>
        </w:rPr>
        <w:t>and Amazon</w:t>
      </w:r>
      <w:r w:rsidR="005B434C">
        <w:rPr>
          <w:rFonts w:ascii="Arial" w:eastAsia="Calibri" w:hAnsi="Arial" w:cs="Arial"/>
          <w:szCs w:val="22"/>
        </w:rPr>
        <w:t>.com Inc. (Amazon)</w:t>
      </w:r>
      <w:r w:rsidR="00414963" w:rsidRPr="005341B8">
        <w:rPr>
          <w:rFonts w:ascii="Arial" w:eastAsia="Calibri" w:hAnsi="Arial" w:cs="Arial"/>
          <w:szCs w:val="22"/>
        </w:rPr>
        <w:t>, as well as</w:t>
      </w:r>
      <w:r w:rsidRPr="005341B8">
        <w:rPr>
          <w:rFonts w:ascii="Arial" w:eastAsia="Calibri" w:hAnsi="Arial" w:cs="Arial"/>
          <w:szCs w:val="22"/>
        </w:rPr>
        <w:t xml:space="preserve"> </w:t>
      </w:r>
      <w:r w:rsidR="005B434C">
        <w:rPr>
          <w:rFonts w:ascii="Arial" w:eastAsia="Calibri" w:hAnsi="Arial" w:cs="Arial"/>
          <w:szCs w:val="22"/>
        </w:rPr>
        <w:t>the push of</w:t>
      </w:r>
      <w:r w:rsidR="005B434C" w:rsidRPr="005341B8">
        <w:rPr>
          <w:rFonts w:ascii="Arial" w:eastAsia="Calibri" w:hAnsi="Arial" w:cs="Arial"/>
          <w:szCs w:val="22"/>
        </w:rPr>
        <w:t xml:space="preserve"> </w:t>
      </w:r>
      <w:r w:rsidR="005B434C">
        <w:rPr>
          <w:rFonts w:ascii="Arial" w:eastAsia="Calibri" w:hAnsi="Arial" w:cs="Arial"/>
          <w:szCs w:val="22"/>
        </w:rPr>
        <w:t>Home Box Office (HBO) to</w:t>
      </w:r>
      <w:r w:rsidRPr="005341B8">
        <w:rPr>
          <w:rFonts w:ascii="Arial" w:eastAsia="Calibri" w:hAnsi="Arial" w:cs="Arial"/>
          <w:szCs w:val="22"/>
        </w:rPr>
        <w:t xml:space="preserve"> regain its premium perception</w:t>
      </w:r>
      <w:r w:rsidR="00414963" w:rsidRPr="005341B8">
        <w:rPr>
          <w:rFonts w:ascii="Arial" w:eastAsia="Calibri" w:hAnsi="Arial" w:cs="Arial"/>
          <w:szCs w:val="22"/>
        </w:rPr>
        <w:t>,</w:t>
      </w:r>
      <w:r w:rsidRPr="005341B8">
        <w:rPr>
          <w:rFonts w:ascii="Arial" w:eastAsia="Calibri" w:hAnsi="Arial" w:cs="Arial"/>
          <w:szCs w:val="22"/>
        </w:rPr>
        <w:t xml:space="preserve"> significantly </w:t>
      </w:r>
      <w:r w:rsidR="00414963" w:rsidRPr="005341B8">
        <w:rPr>
          <w:rFonts w:ascii="Arial" w:eastAsia="Calibri" w:hAnsi="Arial" w:cs="Arial"/>
          <w:szCs w:val="22"/>
        </w:rPr>
        <w:t>increased</w:t>
      </w:r>
      <w:r w:rsidRPr="005341B8">
        <w:rPr>
          <w:rFonts w:ascii="Arial" w:eastAsia="Calibri" w:hAnsi="Arial" w:cs="Arial"/>
          <w:szCs w:val="22"/>
        </w:rPr>
        <w:t xml:space="preserve"> the average</w:t>
      </w:r>
      <w:r w:rsidR="00414963" w:rsidRPr="005341B8">
        <w:rPr>
          <w:rFonts w:ascii="Arial" w:eastAsia="Calibri" w:hAnsi="Arial" w:cs="Arial"/>
          <w:szCs w:val="22"/>
        </w:rPr>
        <w:t xml:space="preserve"> cost</w:t>
      </w:r>
      <w:r w:rsidRPr="005341B8">
        <w:rPr>
          <w:rFonts w:ascii="Arial" w:eastAsia="Calibri" w:hAnsi="Arial" w:cs="Arial"/>
          <w:szCs w:val="22"/>
        </w:rPr>
        <w:t xml:space="preserve">. Netflix budgeted $8 million </w:t>
      </w:r>
      <w:r w:rsidR="00414963" w:rsidRPr="005341B8">
        <w:rPr>
          <w:rFonts w:ascii="Arial" w:eastAsia="Calibri" w:hAnsi="Arial" w:cs="Arial"/>
          <w:szCs w:val="22"/>
        </w:rPr>
        <w:t>per</w:t>
      </w:r>
      <w:r w:rsidRPr="005341B8">
        <w:rPr>
          <w:rFonts w:ascii="Arial" w:eastAsia="Calibri" w:hAnsi="Arial" w:cs="Arial"/>
          <w:szCs w:val="22"/>
        </w:rPr>
        <w:t xml:space="preserve"> episode for </w:t>
      </w:r>
      <w:r w:rsidRPr="005341B8">
        <w:rPr>
          <w:rFonts w:ascii="Arial" w:eastAsia="Calibri" w:hAnsi="Arial" w:cs="Arial"/>
          <w:i/>
          <w:szCs w:val="22"/>
        </w:rPr>
        <w:t>Stranger Things</w:t>
      </w:r>
      <w:r w:rsidRPr="005341B8">
        <w:rPr>
          <w:rFonts w:ascii="Arial" w:eastAsia="Calibri" w:hAnsi="Arial" w:cs="Arial"/>
          <w:szCs w:val="22"/>
        </w:rPr>
        <w:t xml:space="preserve"> and $10 million </w:t>
      </w:r>
      <w:r w:rsidR="00414963" w:rsidRPr="005341B8">
        <w:rPr>
          <w:rFonts w:ascii="Arial" w:eastAsia="Calibri" w:hAnsi="Arial" w:cs="Arial"/>
          <w:szCs w:val="22"/>
        </w:rPr>
        <w:t>per</w:t>
      </w:r>
      <w:r w:rsidRPr="005341B8">
        <w:rPr>
          <w:rFonts w:ascii="Arial" w:eastAsia="Calibri" w:hAnsi="Arial" w:cs="Arial"/>
          <w:szCs w:val="22"/>
        </w:rPr>
        <w:t xml:space="preserve"> episode for </w:t>
      </w:r>
      <w:r w:rsidRPr="005341B8">
        <w:rPr>
          <w:rFonts w:ascii="Arial" w:eastAsia="Calibri" w:hAnsi="Arial" w:cs="Arial"/>
          <w:i/>
          <w:szCs w:val="22"/>
        </w:rPr>
        <w:t xml:space="preserve">The Crown. </w:t>
      </w:r>
      <w:r w:rsidRPr="005341B8">
        <w:rPr>
          <w:rFonts w:ascii="Arial" w:eastAsia="Calibri" w:hAnsi="Arial" w:cs="Arial"/>
          <w:szCs w:val="22"/>
        </w:rPr>
        <w:t xml:space="preserve">HBO spent $15 million </w:t>
      </w:r>
      <w:r w:rsidR="00414963" w:rsidRPr="005341B8">
        <w:rPr>
          <w:rFonts w:ascii="Arial" w:eastAsia="Calibri" w:hAnsi="Arial" w:cs="Arial"/>
          <w:szCs w:val="22"/>
        </w:rPr>
        <w:t>per</w:t>
      </w:r>
      <w:r w:rsidRPr="005341B8">
        <w:rPr>
          <w:rFonts w:ascii="Arial" w:eastAsia="Calibri" w:hAnsi="Arial" w:cs="Arial"/>
          <w:szCs w:val="22"/>
        </w:rPr>
        <w:t xml:space="preserve"> episode for </w:t>
      </w:r>
      <w:r w:rsidRPr="005341B8">
        <w:rPr>
          <w:rFonts w:ascii="Arial" w:eastAsia="Calibri" w:hAnsi="Arial" w:cs="Arial"/>
          <w:i/>
          <w:szCs w:val="22"/>
        </w:rPr>
        <w:t>Game of Thrones</w:t>
      </w:r>
      <w:r w:rsidRPr="005341B8">
        <w:rPr>
          <w:rFonts w:ascii="Arial" w:eastAsia="Calibri" w:hAnsi="Arial" w:cs="Arial"/>
          <w:szCs w:val="22"/>
        </w:rPr>
        <w:t xml:space="preserve">. At an industry gathering in 2017, David Wells, Netflix’s </w:t>
      </w:r>
      <w:r w:rsidR="00414963" w:rsidRPr="005341B8">
        <w:rPr>
          <w:rFonts w:ascii="Arial" w:eastAsia="Calibri" w:hAnsi="Arial" w:cs="Arial"/>
          <w:szCs w:val="22"/>
        </w:rPr>
        <w:t>chief executive officer, stated</w:t>
      </w:r>
      <w:r w:rsidRPr="005341B8">
        <w:rPr>
          <w:rFonts w:ascii="Arial" w:eastAsia="Calibri" w:hAnsi="Arial" w:cs="Arial"/>
          <w:szCs w:val="22"/>
        </w:rPr>
        <w:t>, “Is $20-million an hour television possible? Certainly. If you have the number of people watching it, we certainly can support that level of quality in terms of TV.”</w:t>
      </w:r>
    </w:p>
    <w:p w14:paraId="6F285DD4" w14:textId="77777777" w:rsidR="00840307" w:rsidRPr="005C6BA3" w:rsidRDefault="00840307" w:rsidP="009B5053">
      <w:pPr>
        <w:ind w:firstLine="720"/>
        <w:jc w:val="both"/>
        <w:rPr>
          <w:rFonts w:ascii="Arial" w:eastAsia="Calibri" w:hAnsi="Arial" w:cs="Arial"/>
          <w:i/>
          <w:sz w:val="18"/>
          <w:szCs w:val="18"/>
        </w:rPr>
      </w:pPr>
    </w:p>
    <w:p w14:paraId="6D449488" w14:textId="593CA072" w:rsidR="00840307" w:rsidRPr="005C6BA3" w:rsidRDefault="00414963" w:rsidP="009B5053">
      <w:pPr>
        <w:jc w:val="both"/>
        <w:rPr>
          <w:rFonts w:ascii="Arial" w:eastAsia="Calibri" w:hAnsi="Arial" w:cs="Arial"/>
          <w:spacing w:val="-2"/>
          <w:kern w:val="20"/>
          <w:szCs w:val="22"/>
        </w:rPr>
      </w:pPr>
      <w:r w:rsidRPr="005C6BA3">
        <w:rPr>
          <w:rFonts w:ascii="Arial" w:eastAsia="Calibri" w:hAnsi="Arial" w:cs="Arial"/>
          <w:spacing w:val="-2"/>
          <w:kern w:val="20"/>
          <w:szCs w:val="22"/>
        </w:rPr>
        <w:t>E</w:t>
      </w:r>
      <w:r w:rsidR="00840307" w:rsidRPr="005C6BA3">
        <w:rPr>
          <w:rFonts w:ascii="Arial" w:eastAsia="Calibri" w:hAnsi="Arial" w:cs="Arial"/>
          <w:spacing w:val="-2"/>
          <w:kern w:val="20"/>
          <w:szCs w:val="22"/>
        </w:rPr>
        <w:t>scalating production budgets increased the amount of deficit financing the producer had to carry</w:t>
      </w:r>
      <w:r w:rsidRPr="005C6BA3">
        <w:rPr>
          <w:rFonts w:ascii="Arial" w:eastAsia="Calibri" w:hAnsi="Arial" w:cs="Arial"/>
          <w:spacing w:val="-2"/>
          <w:kern w:val="20"/>
          <w:szCs w:val="22"/>
        </w:rPr>
        <w:t>. They also</w:t>
      </w:r>
      <w:r w:rsidR="00840307" w:rsidRPr="005C6BA3">
        <w:rPr>
          <w:rFonts w:ascii="Arial" w:eastAsia="Calibri" w:hAnsi="Arial" w:cs="Arial"/>
          <w:spacing w:val="-2"/>
          <w:kern w:val="20"/>
          <w:szCs w:val="22"/>
        </w:rPr>
        <w:t xml:space="preserve"> increased the risk of significant losses </w:t>
      </w:r>
      <w:r w:rsidRPr="005C6BA3">
        <w:rPr>
          <w:rFonts w:ascii="Arial" w:eastAsia="Calibri" w:hAnsi="Arial" w:cs="Arial"/>
          <w:spacing w:val="-2"/>
          <w:kern w:val="20"/>
          <w:szCs w:val="22"/>
        </w:rPr>
        <w:t>for</w:t>
      </w:r>
      <w:r w:rsidR="00840307" w:rsidRPr="005C6BA3">
        <w:rPr>
          <w:rFonts w:ascii="Arial" w:eastAsia="Calibri" w:hAnsi="Arial" w:cs="Arial"/>
          <w:spacing w:val="-2"/>
          <w:kern w:val="20"/>
          <w:szCs w:val="22"/>
        </w:rPr>
        <w:t xml:space="preserve"> a show </w:t>
      </w:r>
      <w:r w:rsidRPr="005C6BA3">
        <w:rPr>
          <w:rFonts w:ascii="Arial" w:eastAsia="Calibri" w:hAnsi="Arial" w:cs="Arial"/>
          <w:spacing w:val="-2"/>
          <w:kern w:val="20"/>
          <w:szCs w:val="22"/>
        </w:rPr>
        <w:t xml:space="preserve">that </w:t>
      </w:r>
      <w:r w:rsidR="00840307" w:rsidRPr="005C6BA3">
        <w:rPr>
          <w:rFonts w:ascii="Arial" w:eastAsia="Calibri" w:hAnsi="Arial" w:cs="Arial"/>
          <w:spacing w:val="-2"/>
          <w:kern w:val="20"/>
          <w:szCs w:val="22"/>
        </w:rPr>
        <w:t>did not become a hit</w:t>
      </w:r>
      <w:r w:rsidRPr="005C6BA3">
        <w:rPr>
          <w:rFonts w:ascii="Arial" w:eastAsia="Calibri" w:hAnsi="Arial" w:cs="Arial"/>
          <w:spacing w:val="-2"/>
          <w:kern w:val="20"/>
          <w:szCs w:val="22"/>
        </w:rPr>
        <w:t>,</w:t>
      </w:r>
      <w:r w:rsidR="00840307" w:rsidRPr="005C6BA3">
        <w:rPr>
          <w:rFonts w:ascii="Arial" w:eastAsia="Calibri" w:hAnsi="Arial" w:cs="Arial"/>
          <w:spacing w:val="-2"/>
          <w:kern w:val="20"/>
          <w:szCs w:val="22"/>
        </w:rPr>
        <w:t xml:space="preserve"> and so was not renewed</w:t>
      </w:r>
      <w:r w:rsidRPr="005C6BA3">
        <w:rPr>
          <w:rFonts w:ascii="Arial" w:eastAsia="Calibri" w:hAnsi="Arial" w:cs="Arial"/>
          <w:spacing w:val="-2"/>
          <w:kern w:val="20"/>
          <w:szCs w:val="22"/>
        </w:rPr>
        <w:t>. However,</w:t>
      </w:r>
      <w:r w:rsidR="00840307" w:rsidRPr="005C6BA3">
        <w:rPr>
          <w:rFonts w:ascii="Arial" w:eastAsia="Calibri" w:hAnsi="Arial" w:cs="Arial"/>
          <w:spacing w:val="-2"/>
          <w:kern w:val="20"/>
          <w:szCs w:val="22"/>
        </w:rPr>
        <w:t xml:space="preserve"> a third trend was </w:t>
      </w:r>
      <w:r w:rsidRPr="005C6BA3">
        <w:rPr>
          <w:rFonts w:ascii="Arial" w:eastAsia="Calibri" w:hAnsi="Arial" w:cs="Arial"/>
          <w:spacing w:val="-2"/>
          <w:kern w:val="20"/>
          <w:szCs w:val="22"/>
        </w:rPr>
        <w:t>a new</w:t>
      </w:r>
      <w:r w:rsidR="00840307" w:rsidRPr="005C6BA3">
        <w:rPr>
          <w:rFonts w:ascii="Arial" w:eastAsia="Calibri" w:hAnsi="Arial" w:cs="Arial"/>
          <w:spacing w:val="-2"/>
          <w:kern w:val="20"/>
          <w:szCs w:val="22"/>
        </w:rPr>
        <w:t xml:space="preserve"> way </w:t>
      </w:r>
      <w:r w:rsidRPr="005C6BA3">
        <w:rPr>
          <w:rFonts w:ascii="Arial" w:eastAsia="Calibri" w:hAnsi="Arial" w:cs="Arial"/>
          <w:spacing w:val="-2"/>
          <w:kern w:val="20"/>
          <w:szCs w:val="22"/>
        </w:rPr>
        <w:t xml:space="preserve">to finance </w:t>
      </w:r>
      <w:r w:rsidR="005B434C" w:rsidRPr="005C6BA3">
        <w:rPr>
          <w:rFonts w:ascii="Arial" w:eastAsia="Calibri" w:hAnsi="Arial" w:cs="Arial"/>
          <w:spacing w:val="-2"/>
          <w:kern w:val="20"/>
          <w:szCs w:val="22"/>
        </w:rPr>
        <w:t>production,</w:t>
      </w:r>
      <w:r w:rsidR="00840307" w:rsidRPr="005C6BA3">
        <w:rPr>
          <w:rFonts w:ascii="Arial" w:eastAsia="Calibri" w:hAnsi="Arial" w:cs="Arial"/>
          <w:spacing w:val="-2"/>
          <w:kern w:val="20"/>
          <w:szCs w:val="22"/>
        </w:rPr>
        <w:t xml:space="preserve"> introduced by the leading streaming players. </w:t>
      </w:r>
      <w:r w:rsidRPr="005C6BA3">
        <w:rPr>
          <w:rFonts w:ascii="Arial" w:eastAsia="Calibri" w:hAnsi="Arial" w:cs="Arial"/>
          <w:spacing w:val="-2"/>
          <w:kern w:val="20"/>
          <w:szCs w:val="22"/>
        </w:rPr>
        <w:t>Because</w:t>
      </w:r>
      <w:r w:rsidR="00840307" w:rsidRPr="005C6BA3">
        <w:rPr>
          <w:rFonts w:ascii="Arial" w:eastAsia="Calibri" w:hAnsi="Arial" w:cs="Arial"/>
          <w:spacing w:val="-2"/>
          <w:kern w:val="20"/>
          <w:szCs w:val="22"/>
        </w:rPr>
        <w:t xml:space="preserve"> Netflix and Amazon did not syndicate their shows after their initial run on the streaming platform (unlike their broadcast and cable rivals), they allowed the producing studio to add a profit margin to the cost of each produced episode. This meant that</w:t>
      </w:r>
      <w:r w:rsidR="005B434C" w:rsidRPr="005C6BA3">
        <w:rPr>
          <w:rFonts w:ascii="Arial" w:eastAsia="Calibri" w:hAnsi="Arial" w:cs="Arial"/>
          <w:spacing w:val="-2"/>
          <w:kern w:val="20"/>
          <w:szCs w:val="22"/>
        </w:rPr>
        <w:t xml:space="preserve"> because</w:t>
      </w:r>
      <w:r w:rsidR="00840307" w:rsidRPr="005C6BA3">
        <w:rPr>
          <w:rFonts w:ascii="Arial" w:eastAsia="Calibri" w:hAnsi="Arial" w:cs="Arial"/>
          <w:spacing w:val="-2"/>
          <w:kern w:val="20"/>
          <w:szCs w:val="22"/>
        </w:rPr>
        <w:t xml:space="preserve"> the producer did not have to deficit finance a show for</w:t>
      </w:r>
      <w:r w:rsidRPr="005C6BA3">
        <w:rPr>
          <w:rFonts w:ascii="Arial" w:eastAsia="Calibri" w:hAnsi="Arial" w:cs="Arial"/>
          <w:spacing w:val="-2"/>
          <w:kern w:val="20"/>
          <w:szCs w:val="22"/>
        </w:rPr>
        <w:t xml:space="preserve"> these </w:t>
      </w:r>
      <w:r w:rsidR="005B434C" w:rsidRPr="005C6BA3">
        <w:rPr>
          <w:rFonts w:ascii="Arial" w:eastAsia="Calibri" w:hAnsi="Arial" w:cs="Arial"/>
          <w:spacing w:val="-2"/>
          <w:kern w:val="20"/>
          <w:szCs w:val="22"/>
        </w:rPr>
        <w:t xml:space="preserve">platforms, </w:t>
      </w:r>
      <w:r w:rsidR="00840307" w:rsidRPr="005C6BA3">
        <w:rPr>
          <w:rFonts w:ascii="Arial" w:eastAsia="Calibri" w:hAnsi="Arial" w:cs="Arial"/>
          <w:spacing w:val="-2"/>
          <w:kern w:val="20"/>
          <w:szCs w:val="22"/>
        </w:rPr>
        <w:t xml:space="preserve">a profit </w:t>
      </w:r>
      <w:r w:rsidR="005B434C" w:rsidRPr="005C6BA3">
        <w:rPr>
          <w:rFonts w:ascii="Arial" w:eastAsia="Calibri" w:hAnsi="Arial" w:cs="Arial"/>
          <w:spacing w:val="-2"/>
          <w:kern w:val="20"/>
          <w:szCs w:val="22"/>
        </w:rPr>
        <w:t xml:space="preserve">was made </w:t>
      </w:r>
      <w:r w:rsidR="00840307" w:rsidRPr="005C6BA3">
        <w:rPr>
          <w:rFonts w:ascii="Arial" w:eastAsia="Calibri" w:hAnsi="Arial" w:cs="Arial"/>
          <w:spacing w:val="-2"/>
          <w:kern w:val="20"/>
          <w:szCs w:val="22"/>
        </w:rPr>
        <w:t xml:space="preserve">from the very first episode. </w:t>
      </w:r>
      <w:r w:rsidR="00E938F8" w:rsidRPr="005C6BA3">
        <w:rPr>
          <w:rFonts w:ascii="Arial" w:eastAsia="Calibri" w:hAnsi="Arial" w:cs="Arial"/>
          <w:spacing w:val="-2"/>
          <w:kern w:val="20"/>
          <w:szCs w:val="22"/>
        </w:rPr>
        <w:t>Becaus</w:t>
      </w:r>
      <w:r w:rsidR="00840307" w:rsidRPr="005C6BA3">
        <w:rPr>
          <w:rFonts w:ascii="Arial" w:eastAsia="Calibri" w:hAnsi="Arial" w:cs="Arial"/>
          <w:spacing w:val="-2"/>
          <w:kern w:val="20"/>
          <w:szCs w:val="22"/>
        </w:rPr>
        <w:t xml:space="preserve">e the profit margin was a </w:t>
      </w:r>
      <w:r w:rsidR="00417F51" w:rsidRPr="005C6BA3">
        <w:rPr>
          <w:rFonts w:ascii="Arial" w:eastAsia="Calibri" w:hAnsi="Arial" w:cs="Arial"/>
          <w:spacing w:val="-2"/>
          <w:kern w:val="20"/>
          <w:szCs w:val="22"/>
        </w:rPr>
        <w:t>percent</w:t>
      </w:r>
      <w:r w:rsidR="00840307" w:rsidRPr="005C6BA3">
        <w:rPr>
          <w:rFonts w:ascii="Arial" w:eastAsia="Calibri" w:hAnsi="Arial" w:cs="Arial"/>
          <w:spacing w:val="-2"/>
          <w:kern w:val="20"/>
          <w:szCs w:val="22"/>
        </w:rPr>
        <w:t xml:space="preserve">age of the episode budget, producers had a strong incentive to </w:t>
      </w:r>
      <w:r w:rsidR="00E938F8" w:rsidRPr="005C6BA3">
        <w:rPr>
          <w:rFonts w:ascii="Arial" w:eastAsia="Calibri" w:hAnsi="Arial" w:cs="Arial"/>
          <w:spacing w:val="-2"/>
          <w:kern w:val="20"/>
          <w:szCs w:val="22"/>
        </w:rPr>
        <w:t xml:space="preserve">create </w:t>
      </w:r>
      <w:r w:rsidR="005B434C" w:rsidRPr="005C6BA3">
        <w:rPr>
          <w:rFonts w:ascii="Arial" w:eastAsia="Calibri" w:hAnsi="Arial" w:cs="Arial"/>
          <w:spacing w:val="-2"/>
          <w:kern w:val="20"/>
          <w:szCs w:val="22"/>
        </w:rPr>
        <w:t>high-budget</w:t>
      </w:r>
      <w:r w:rsidR="00840307" w:rsidRPr="005C6BA3">
        <w:rPr>
          <w:rFonts w:ascii="Arial" w:eastAsia="Calibri" w:hAnsi="Arial" w:cs="Arial"/>
          <w:spacing w:val="-2"/>
          <w:kern w:val="20"/>
          <w:szCs w:val="22"/>
        </w:rPr>
        <w:t xml:space="preserve"> shows for streaming platforms. </w:t>
      </w:r>
    </w:p>
    <w:p w14:paraId="7B032023" w14:textId="77777777" w:rsidR="00840307" w:rsidRPr="005C6BA3" w:rsidRDefault="00840307" w:rsidP="00840307">
      <w:pPr>
        <w:rPr>
          <w:rFonts w:eastAsia="Calibri"/>
          <w:sz w:val="18"/>
          <w:szCs w:val="18"/>
        </w:rPr>
      </w:pPr>
    </w:p>
    <w:p w14:paraId="26514146" w14:textId="572A5F29" w:rsidR="00840307" w:rsidRPr="005341B8" w:rsidRDefault="00840307" w:rsidP="00840307">
      <w:pPr>
        <w:pStyle w:val="Footnote"/>
        <w:rPr>
          <w:rFonts w:eastAsia="Calibri"/>
          <w:color w:val="000000" w:themeColor="text1"/>
        </w:rPr>
      </w:pPr>
      <w:r w:rsidRPr="005341B8">
        <w:rPr>
          <w:rFonts w:eastAsia="Calibri"/>
          <w:color w:val="000000" w:themeColor="text1"/>
        </w:rPr>
        <w:t>Sources: IBISWorld</w:t>
      </w:r>
      <w:r w:rsidR="00E938F8" w:rsidRPr="005341B8">
        <w:rPr>
          <w:rFonts w:eastAsia="Calibri"/>
          <w:color w:val="000000" w:themeColor="text1"/>
        </w:rPr>
        <w:t>,</w:t>
      </w:r>
      <w:r w:rsidRPr="005341B8">
        <w:rPr>
          <w:rFonts w:eastAsia="Calibri"/>
          <w:color w:val="000000" w:themeColor="text1"/>
        </w:rPr>
        <w:t xml:space="preserve"> </w:t>
      </w:r>
      <w:r w:rsidRPr="005341B8">
        <w:rPr>
          <w:rFonts w:eastAsia="Calibri"/>
          <w:i/>
          <w:color w:val="000000" w:themeColor="text1"/>
        </w:rPr>
        <w:t>Television Broadcasting in the US</w:t>
      </w:r>
      <w:r w:rsidRPr="005341B8">
        <w:rPr>
          <w:rFonts w:eastAsia="Calibri"/>
          <w:color w:val="000000" w:themeColor="text1"/>
        </w:rPr>
        <w:t>, August 2017</w:t>
      </w:r>
      <w:r w:rsidR="00046B36" w:rsidRPr="005341B8">
        <w:rPr>
          <w:rFonts w:eastAsia="Calibri"/>
          <w:color w:val="000000" w:themeColor="text1"/>
        </w:rPr>
        <w:t>, industry market research report</w:t>
      </w:r>
      <w:r w:rsidR="00E938F8" w:rsidRPr="005341B8">
        <w:rPr>
          <w:rFonts w:eastAsia="Calibri"/>
          <w:color w:val="000000" w:themeColor="text1"/>
        </w:rPr>
        <w:t>;</w:t>
      </w:r>
      <w:r w:rsidRPr="005341B8">
        <w:rPr>
          <w:rFonts w:eastAsia="Calibri"/>
          <w:color w:val="000000" w:themeColor="text1"/>
        </w:rPr>
        <w:t xml:space="preserve"> IBISWorld</w:t>
      </w:r>
      <w:r w:rsidR="00E938F8" w:rsidRPr="005341B8">
        <w:rPr>
          <w:rFonts w:eastAsia="Calibri"/>
          <w:color w:val="000000" w:themeColor="text1"/>
        </w:rPr>
        <w:t>,</w:t>
      </w:r>
      <w:r w:rsidRPr="005341B8">
        <w:rPr>
          <w:rFonts w:eastAsia="Calibri"/>
          <w:color w:val="000000" w:themeColor="text1"/>
        </w:rPr>
        <w:t xml:space="preserve"> </w:t>
      </w:r>
      <w:r w:rsidRPr="005341B8">
        <w:rPr>
          <w:rFonts w:eastAsia="Calibri"/>
          <w:i/>
          <w:color w:val="000000" w:themeColor="text1"/>
        </w:rPr>
        <w:t>Cable Network</w:t>
      </w:r>
      <w:r w:rsidR="00046B36" w:rsidRPr="005341B8">
        <w:rPr>
          <w:rFonts w:eastAsia="Calibri"/>
          <w:i/>
          <w:color w:val="000000" w:themeColor="text1"/>
        </w:rPr>
        <w:t xml:space="preserve"> Industry</w:t>
      </w:r>
      <w:r w:rsidRPr="005341B8">
        <w:rPr>
          <w:rFonts w:eastAsia="Calibri"/>
          <w:i/>
          <w:color w:val="000000" w:themeColor="text1"/>
        </w:rPr>
        <w:t xml:space="preserve"> in the </w:t>
      </w:r>
      <w:r w:rsidR="00965CF6">
        <w:rPr>
          <w:rFonts w:eastAsia="Calibri"/>
          <w:i/>
          <w:color w:val="000000" w:themeColor="text1"/>
        </w:rPr>
        <w:t>US</w:t>
      </w:r>
      <w:r w:rsidRPr="005341B8">
        <w:rPr>
          <w:rFonts w:eastAsia="Calibri"/>
          <w:color w:val="000000" w:themeColor="text1"/>
        </w:rPr>
        <w:t>, October 2017</w:t>
      </w:r>
      <w:r w:rsidR="00046B36" w:rsidRPr="005341B8">
        <w:rPr>
          <w:rFonts w:eastAsia="Calibri"/>
          <w:color w:val="000000" w:themeColor="text1"/>
        </w:rPr>
        <w:t>, industry market research report</w:t>
      </w:r>
      <w:r w:rsidRPr="005341B8">
        <w:rPr>
          <w:rFonts w:eastAsia="Calibri"/>
          <w:color w:val="000000" w:themeColor="text1"/>
        </w:rPr>
        <w:t xml:space="preserve">; </w:t>
      </w:r>
      <w:r w:rsidR="00E938F8" w:rsidRPr="005341B8">
        <w:rPr>
          <w:rFonts w:eastAsia="Calibri"/>
          <w:color w:val="000000" w:themeColor="text1"/>
        </w:rPr>
        <w:t xml:space="preserve">United States Securities and Exchange Commission, </w:t>
      </w:r>
      <w:r w:rsidR="00E938F8" w:rsidRPr="005341B8">
        <w:rPr>
          <w:rFonts w:eastAsia="Calibri"/>
          <w:i/>
          <w:color w:val="000000" w:themeColor="text1"/>
        </w:rPr>
        <w:t xml:space="preserve">Form 10-K, </w:t>
      </w:r>
      <w:r w:rsidRPr="005341B8">
        <w:rPr>
          <w:rFonts w:eastAsia="Calibri"/>
          <w:i/>
          <w:color w:val="000000" w:themeColor="text1"/>
        </w:rPr>
        <w:t>Lions</w:t>
      </w:r>
      <w:r w:rsidR="00E938F8" w:rsidRPr="005341B8">
        <w:rPr>
          <w:rFonts w:eastAsia="Calibri"/>
          <w:i/>
          <w:color w:val="000000" w:themeColor="text1"/>
        </w:rPr>
        <w:t xml:space="preserve"> G</w:t>
      </w:r>
      <w:r w:rsidRPr="005341B8">
        <w:rPr>
          <w:rFonts w:eastAsia="Calibri"/>
          <w:i/>
          <w:color w:val="000000" w:themeColor="text1"/>
        </w:rPr>
        <w:t>ate</w:t>
      </w:r>
      <w:r w:rsidR="00E938F8" w:rsidRPr="005341B8">
        <w:rPr>
          <w:rFonts w:eastAsia="Calibri"/>
          <w:i/>
          <w:color w:val="000000" w:themeColor="text1"/>
        </w:rPr>
        <w:t xml:space="preserve"> Entertainment Corp.</w:t>
      </w:r>
      <w:r w:rsidRPr="005341B8">
        <w:rPr>
          <w:rFonts w:eastAsia="Calibri"/>
          <w:color w:val="000000" w:themeColor="text1"/>
        </w:rPr>
        <w:t xml:space="preserve">, </w:t>
      </w:r>
      <w:r w:rsidR="00E938F8" w:rsidRPr="005341B8">
        <w:rPr>
          <w:rFonts w:eastAsia="Calibri"/>
          <w:color w:val="000000" w:themeColor="text1"/>
        </w:rPr>
        <w:t xml:space="preserve">March 21, 2016, </w:t>
      </w:r>
      <w:r w:rsidRPr="005341B8">
        <w:rPr>
          <w:rFonts w:eastAsia="Calibri"/>
          <w:color w:val="000000" w:themeColor="text1"/>
        </w:rPr>
        <w:t xml:space="preserve">accessed April 5, 2018, http://investors.lionsgate.com/~/media/Files/L/LionsGate-IR/annual-reports/2016-annual-report.pdf; Sony Corporation, </w:t>
      </w:r>
      <w:r w:rsidR="00582B77" w:rsidRPr="005341B8">
        <w:rPr>
          <w:rFonts w:eastAsia="Calibri"/>
          <w:i/>
          <w:color w:val="000000" w:themeColor="text1"/>
        </w:rPr>
        <w:t>Sony I</w:t>
      </w:r>
      <w:r w:rsidR="005C6BA3">
        <w:rPr>
          <w:rFonts w:eastAsia="Calibri"/>
          <w:i/>
          <w:color w:val="000000" w:themeColor="text1"/>
        </w:rPr>
        <w:t>R Day </w:t>
      </w:r>
      <w:r w:rsidR="00582B77" w:rsidRPr="005341B8">
        <w:rPr>
          <w:rFonts w:eastAsia="Calibri"/>
          <w:i/>
          <w:color w:val="000000" w:themeColor="text1"/>
        </w:rPr>
        <w:t>2018,</w:t>
      </w:r>
      <w:r w:rsidR="005C6BA3">
        <w:rPr>
          <w:rFonts w:eastAsia="Calibri"/>
          <w:color w:val="000000" w:themeColor="text1"/>
        </w:rPr>
        <w:t> May 22, 2018, </w:t>
      </w:r>
      <w:r w:rsidR="00582B77" w:rsidRPr="005341B8">
        <w:rPr>
          <w:rFonts w:eastAsia="Calibri"/>
          <w:color w:val="000000" w:themeColor="text1"/>
        </w:rPr>
        <w:t>p</w:t>
      </w:r>
      <w:r w:rsidRPr="005341B8">
        <w:rPr>
          <w:rFonts w:eastAsia="Calibri"/>
          <w:color w:val="000000" w:themeColor="text1"/>
        </w:rPr>
        <w:t>resentation</w:t>
      </w:r>
      <w:r w:rsidR="005C6BA3">
        <w:rPr>
          <w:rFonts w:eastAsia="Calibri"/>
          <w:color w:val="000000" w:themeColor="text1"/>
        </w:rPr>
        <w:t> to </w:t>
      </w:r>
      <w:r w:rsidR="00582B77" w:rsidRPr="005341B8">
        <w:rPr>
          <w:rFonts w:eastAsia="Calibri"/>
          <w:color w:val="000000" w:themeColor="text1"/>
        </w:rPr>
        <w:t>investors</w:t>
      </w:r>
      <w:r w:rsidR="005C6BA3">
        <w:rPr>
          <w:rFonts w:eastAsia="Calibri"/>
          <w:color w:val="000000" w:themeColor="text1"/>
        </w:rPr>
        <w:t>, accessed April 5, 2018, </w:t>
      </w:r>
      <w:r w:rsidRPr="005341B8">
        <w:rPr>
          <w:rFonts w:eastAsia="Calibri"/>
          <w:color w:val="000000" w:themeColor="text1"/>
        </w:rPr>
        <w:t>www.sony.net/SonyInfo/IR/library/presen/irday</w:t>
      </w:r>
      <w:r w:rsidR="00582B77" w:rsidRPr="005341B8">
        <w:rPr>
          <w:rFonts w:eastAsia="Calibri"/>
          <w:color w:val="000000" w:themeColor="text1"/>
        </w:rPr>
        <w:t>/2018</w:t>
      </w:r>
      <w:r w:rsidRPr="005341B8">
        <w:rPr>
          <w:rFonts w:eastAsia="Calibri"/>
          <w:color w:val="000000" w:themeColor="text1"/>
        </w:rPr>
        <w:t xml:space="preserve">/presen_E.pdf; Nellie </w:t>
      </w:r>
      <w:proofErr w:type="spellStart"/>
      <w:r w:rsidRPr="005341B8">
        <w:rPr>
          <w:rFonts w:eastAsia="Calibri"/>
          <w:color w:val="000000" w:themeColor="text1"/>
        </w:rPr>
        <w:t>Andreeva</w:t>
      </w:r>
      <w:proofErr w:type="spellEnd"/>
      <w:r w:rsidRPr="005341B8">
        <w:rPr>
          <w:rFonts w:eastAsia="Calibri"/>
          <w:color w:val="000000" w:themeColor="text1"/>
        </w:rPr>
        <w:t xml:space="preserve">, “’The Good Wife’ Off-Network Rights Sell to Amazon, Hulu, Hallmark Channel, Broadcast Syndication for Nearly $2 </w:t>
      </w:r>
      <w:r w:rsidR="00DB57FE" w:rsidRPr="005341B8">
        <w:rPr>
          <w:rFonts w:eastAsia="Calibri"/>
          <w:color w:val="000000" w:themeColor="text1"/>
        </w:rPr>
        <w:t>M</w:t>
      </w:r>
      <w:r w:rsidRPr="005341B8">
        <w:rPr>
          <w:rFonts w:eastAsia="Calibri"/>
          <w:color w:val="000000" w:themeColor="text1"/>
        </w:rPr>
        <w:t xml:space="preserve">illion an Episode,” </w:t>
      </w:r>
      <w:r w:rsidRPr="005341B8">
        <w:rPr>
          <w:rFonts w:eastAsia="Calibri"/>
          <w:i/>
          <w:color w:val="000000" w:themeColor="text1"/>
        </w:rPr>
        <w:t>Deadline</w:t>
      </w:r>
      <w:r w:rsidRPr="005341B8">
        <w:rPr>
          <w:rFonts w:eastAsia="Calibri"/>
          <w:color w:val="000000" w:themeColor="text1"/>
        </w:rPr>
        <w:t xml:space="preserve">, March 13, 2013, accessed April 5, 2018, http://deadline.com/2013/03/the-good-wife-off-network-rights-sell-to-amazon-hulu-hallmark-channel-broadcast-syndication-452608/; Louis </w:t>
      </w:r>
      <w:proofErr w:type="spellStart"/>
      <w:r w:rsidRPr="005341B8">
        <w:rPr>
          <w:rFonts w:eastAsia="Calibri"/>
          <w:color w:val="000000" w:themeColor="text1"/>
        </w:rPr>
        <w:t>Bedigian</w:t>
      </w:r>
      <w:proofErr w:type="spellEnd"/>
      <w:r w:rsidRPr="005341B8">
        <w:rPr>
          <w:rFonts w:eastAsia="Calibri"/>
          <w:color w:val="000000" w:themeColor="text1"/>
        </w:rPr>
        <w:t xml:space="preserve">, “Biggest TV Syndication Deals </w:t>
      </w:r>
      <w:r w:rsidR="009A2A5B">
        <w:rPr>
          <w:rFonts w:eastAsia="Calibri"/>
          <w:color w:val="000000" w:themeColor="text1"/>
        </w:rPr>
        <w:t>besides</w:t>
      </w:r>
      <w:r w:rsidR="009A2A5B" w:rsidRPr="005341B8">
        <w:rPr>
          <w:rFonts w:eastAsia="Calibri"/>
          <w:color w:val="000000" w:themeColor="text1"/>
        </w:rPr>
        <w:t xml:space="preserve"> </w:t>
      </w:r>
      <w:r w:rsidRPr="005341B8">
        <w:rPr>
          <w:rFonts w:eastAsia="Calibri"/>
          <w:color w:val="000000" w:themeColor="text1"/>
        </w:rPr>
        <w:t>‘The Simpsons,</w:t>
      </w:r>
      <w:r w:rsidR="00046B36" w:rsidRPr="005341B8">
        <w:rPr>
          <w:rFonts w:eastAsia="Calibri"/>
          <w:color w:val="000000" w:themeColor="text1"/>
        </w:rPr>
        <w:t>’</w:t>
      </w:r>
      <w:r w:rsidRPr="005341B8">
        <w:rPr>
          <w:rFonts w:eastAsia="Calibri"/>
          <w:color w:val="000000" w:themeColor="text1"/>
        </w:rPr>
        <w:t>” April 14, 2014</w:t>
      </w:r>
      <w:r w:rsidR="00046B36" w:rsidRPr="005341B8">
        <w:rPr>
          <w:rFonts w:eastAsia="Calibri"/>
          <w:color w:val="000000" w:themeColor="text1"/>
        </w:rPr>
        <w:t>,</w:t>
      </w:r>
      <w:r w:rsidRPr="005341B8">
        <w:rPr>
          <w:rFonts w:eastAsia="Calibri"/>
          <w:color w:val="000000" w:themeColor="text1"/>
        </w:rPr>
        <w:t xml:space="preserve"> accessed April 5, 2018</w:t>
      </w:r>
      <w:r w:rsidR="00E938F8" w:rsidRPr="005341B8">
        <w:rPr>
          <w:rFonts w:eastAsia="Calibri"/>
          <w:color w:val="000000" w:themeColor="text1"/>
        </w:rPr>
        <w:t xml:space="preserve">, </w:t>
      </w:r>
      <w:r w:rsidRPr="005341B8">
        <w:rPr>
          <w:rFonts w:eastAsia="Calibri"/>
          <w:color w:val="000000" w:themeColor="text1"/>
        </w:rPr>
        <w:t xml:space="preserve">www.benzinga.com/news/14/04/4466477/biggest-tv-syndication-deals-besides-the-simpsons; and Maureen Ryan and Cynthia Littleton, “TV Series Budgets Hit the Breaking Point as Costs Skyrocket in Peak TV Era,” </w:t>
      </w:r>
      <w:r w:rsidRPr="005341B8">
        <w:rPr>
          <w:rFonts w:eastAsia="Calibri"/>
          <w:i/>
          <w:color w:val="000000" w:themeColor="text1"/>
        </w:rPr>
        <w:t>Variety</w:t>
      </w:r>
      <w:r w:rsidRPr="005341B8">
        <w:rPr>
          <w:rFonts w:eastAsia="Calibri"/>
          <w:color w:val="000000" w:themeColor="text1"/>
        </w:rPr>
        <w:t>, September 26, 2017, accessed April 5, 2018, http://variety.com/2017/tv/news/tv-series-budgets-costs-rising-peak-tv-1202570158/.</w:t>
      </w:r>
      <w:r w:rsidRPr="005341B8">
        <w:rPr>
          <w:rFonts w:eastAsia="Calibri"/>
          <w:color w:val="000000" w:themeColor="text1"/>
          <w:sz w:val="22"/>
          <w:szCs w:val="22"/>
        </w:rPr>
        <w:br w:type="page"/>
      </w:r>
    </w:p>
    <w:p w14:paraId="792B44EB" w14:textId="3DDB4EA2" w:rsidR="00840307" w:rsidRPr="005341B8" w:rsidRDefault="00840307" w:rsidP="00840307">
      <w:pPr>
        <w:pStyle w:val="ExhibitHeading"/>
        <w:rPr>
          <w:rFonts w:eastAsia="Calibri"/>
        </w:rPr>
      </w:pPr>
      <w:r w:rsidRPr="005341B8">
        <w:rPr>
          <w:rFonts w:eastAsia="Calibri"/>
        </w:rPr>
        <w:lastRenderedPageBreak/>
        <w:t>Exhibit 5: Licen</w:t>
      </w:r>
      <w:r w:rsidR="00454F78" w:rsidRPr="005341B8">
        <w:rPr>
          <w:rFonts w:eastAsia="Calibri"/>
        </w:rPr>
        <w:t>c</w:t>
      </w:r>
      <w:r w:rsidRPr="005341B8">
        <w:rPr>
          <w:rFonts w:eastAsia="Calibri"/>
        </w:rPr>
        <w:t>e Fee Negotiation Options in Vertical Integration Situations</w:t>
      </w:r>
    </w:p>
    <w:p w14:paraId="6AD27D4E" w14:textId="77777777" w:rsidR="00840307" w:rsidRPr="005341B8" w:rsidRDefault="00840307" w:rsidP="00840307">
      <w:pPr>
        <w:pStyle w:val="ExhibitHeading"/>
        <w:rPr>
          <w:rFonts w:eastAsia="Calibri"/>
        </w:rPr>
      </w:pPr>
    </w:p>
    <w:p w14:paraId="0BFFEE80" w14:textId="77777777" w:rsidR="00840307" w:rsidRPr="005341B8" w:rsidRDefault="00840307" w:rsidP="00840307">
      <w:pPr>
        <w:rPr>
          <w:rFonts w:ascii="Arial" w:eastAsia="Calibri" w:hAnsi="Arial" w:cs="Arial"/>
          <w:b/>
          <w:szCs w:val="22"/>
        </w:rPr>
      </w:pPr>
      <w:r w:rsidRPr="005341B8">
        <w:rPr>
          <w:rFonts w:ascii="Arial" w:eastAsia="Calibri" w:hAnsi="Arial" w:cs="Arial"/>
          <w:b/>
          <w:szCs w:val="22"/>
        </w:rPr>
        <w:t>Direct Internal Negotiation</w:t>
      </w:r>
    </w:p>
    <w:p w14:paraId="281DFDD1" w14:textId="77777777" w:rsidR="00840307" w:rsidRPr="005341B8" w:rsidRDefault="00840307" w:rsidP="00840307">
      <w:pPr>
        <w:rPr>
          <w:rFonts w:ascii="Arial" w:eastAsia="Calibri" w:hAnsi="Arial" w:cs="Arial"/>
          <w:b/>
          <w:szCs w:val="22"/>
        </w:rPr>
      </w:pPr>
    </w:p>
    <w:p w14:paraId="746D532D" w14:textId="095A915A" w:rsidR="00840307" w:rsidRPr="005341B8" w:rsidRDefault="00E938F8" w:rsidP="00965CF6">
      <w:pPr>
        <w:jc w:val="both"/>
        <w:rPr>
          <w:rFonts w:ascii="Arial" w:eastAsia="Calibri" w:hAnsi="Arial" w:cs="Arial"/>
          <w:i/>
          <w:szCs w:val="22"/>
        </w:rPr>
      </w:pPr>
      <w:r w:rsidRPr="005341B8">
        <w:rPr>
          <w:rFonts w:ascii="Arial" w:eastAsia="Calibri" w:hAnsi="Arial" w:cs="Arial"/>
          <w:i/>
          <w:szCs w:val="22"/>
        </w:rPr>
        <w:t xml:space="preserve">Less common method: </w:t>
      </w:r>
      <w:r w:rsidR="00840307" w:rsidRPr="005341B8">
        <w:rPr>
          <w:rFonts w:ascii="Arial" w:eastAsia="Calibri" w:hAnsi="Arial" w:cs="Arial"/>
          <w:szCs w:val="22"/>
        </w:rPr>
        <w:t xml:space="preserve">Producing </w:t>
      </w:r>
      <w:proofErr w:type="gramStart"/>
      <w:r w:rsidR="00840307" w:rsidRPr="005341B8">
        <w:rPr>
          <w:rFonts w:ascii="Arial" w:eastAsia="Calibri" w:hAnsi="Arial" w:cs="Arial"/>
          <w:szCs w:val="22"/>
        </w:rPr>
        <w:t>company</w:t>
      </w:r>
      <w:proofErr w:type="gramEnd"/>
      <w:r w:rsidR="00840307" w:rsidRPr="005341B8">
        <w:rPr>
          <w:rFonts w:ascii="Arial" w:eastAsia="Calibri" w:hAnsi="Arial" w:cs="Arial"/>
          <w:szCs w:val="22"/>
        </w:rPr>
        <w:t xml:space="preserve"> (</w:t>
      </w:r>
      <w:r w:rsidRPr="005341B8">
        <w:rPr>
          <w:rFonts w:ascii="Arial" w:eastAsia="Calibri" w:hAnsi="Arial" w:cs="Arial"/>
          <w:szCs w:val="22"/>
        </w:rPr>
        <w:t>e.g.</w:t>
      </w:r>
      <w:r w:rsidR="00840307" w:rsidRPr="005341B8">
        <w:rPr>
          <w:rFonts w:ascii="Arial" w:eastAsia="Calibri" w:hAnsi="Arial" w:cs="Arial"/>
          <w:szCs w:val="22"/>
        </w:rPr>
        <w:t>, AMC Studios) directly negotiates with their affiliate networks (</w:t>
      </w:r>
      <w:r w:rsidRPr="005341B8">
        <w:rPr>
          <w:rFonts w:ascii="Arial" w:eastAsia="Calibri" w:hAnsi="Arial" w:cs="Arial"/>
          <w:szCs w:val="22"/>
        </w:rPr>
        <w:t>e.g.</w:t>
      </w:r>
      <w:r w:rsidR="00840307" w:rsidRPr="005341B8">
        <w:rPr>
          <w:rFonts w:ascii="Arial" w:eastAsia="Calibri" w:hAnsi="Arial" w:cs="Arial"/>
          <w:szCs w:val="22"/>
        </w:rPr>
        <w:t>, AMCN) and enters into a licen</w:t>
      </w:r>
      <w:r w:rsidRPr="005341B8">
        <w:rPr>
          <w:rFonts w:ascii="Arial" w:eastAsia="Calibri" w:hAnsi="Arial" w:cs="Arial"/>
          <w:szCs w:val="22"/>
        </w:rPr>
        <w:t>c</w:t>
      </w:r>
      <w:r w:rsidR="00840307" w:rsidRPr="005341B8">
        <w:rPr>
          <w:rFonts w:ascii="Arial" w:eastAsia="Calibri" w:hAnsi="Arial" w:cs="Arial"/>
          <w:szCs w:val="22"/>
        </w:rPr>
        <w:t xml:space="preserve">e fee agreement at fair market value. Onus of proof of fair market value lies with </w:t>
      </w:r>
      <w:r w:rsidR="003C6860">
        <w:rPr>
          <w:rFonts w:ascii="Arial" w:eastAsia="Calibri" w:hAnsi="Arial" w:cs="Arial"/>
          <w:szCs w:val="22"/>
        </w:rPr>
        <w:t xml:space="preserve">the </w:t>
      </w:r>
      <w:r w:rsidR="00840307" w:rsidRPr="005341B8">
        <w:rPr>
          <w:rFonts w:ascii="Arial" w:eastAsia="Calibri" w:hAnsi="Arial" w:cs="Arial"/>
          <w:szCs w:val="22"/>
        </w:rPr>
        <w:t xml:space="preserve">producing company. In 1995, NBC Studios used this type of negotiation for the show, </w:t>
      </w:r>
      <w:r w:rsidR="00840307" w:rsidRPr="005341B8">
        <w:rPr>
          <w:rFonts w:ascii="Arial" w:eastAsia="Calibri" w:hAnsi="Arial" w:cs="Arial"/>
          <w:i/>
          <w:szCs w:val="22"/>
        </w:rPr>
        <w:t>Will and Grace</w:t>
      </w:r>
      <w:r w:rsidR="00840307" w:rsidRPr="005341B8">
        <w:rPr>
          <w:rFonts w:ascii="Arial" w:eastAsia="Calibri" w:hAnsi="Arial" w:cs="Arial"/>
          <w:szCs w:val="22"/>
        </w:rPr>
        <w:t>.</w:t>
      </w:r>
    </w:p>
    <w:p w14:paraId="219F04BB" w14:textId="77777777" w:rsidR="00840307" w:rsidRPr="005341B8" w:rsidRDefault="00840307" w:rsidP="00965CF6">
      <w:pPr>
        <w:jc w:val="both"/>
        <w:rPr>
          <w:rFonts w:ascii="Arial" w:eastAsia="Calibri" w:hAnsi="Arial" w:cs="Arial"/>
          <w:i/>
          <w:szCs w:val="22"/>
        </w:rPr>
      </w:pPr>
    </w:p>
    <w:p w14:paraId="6C85508C" w14:textId="77777777" w:rsidR="00840307" w:rsidRPr="005341B8" w:rsidRDefault="00840307" w:rsidP="00965CF6">
      <w:pPr>
        <w:jc w:val="both"/>
        <w:rPr>
          <w:rFonts w:ascii="Arial" w:eastAsia="Calibri" w:hAnsi="Arial" w:cs="Arial"/>
          <w:szCs w:val="22"/>
        </w:rPr>
      </w:pPr>
    </w:p>
    <w:p w14:paraId="211CEBC5" w14:textId="54BB4D85" w:rsidR="00840307" w:rsidRPr="005341B8" w:rsidRDefault="00840307" w:rsidP="00965CF6">
      <w:pPr>
        <w:jc w:val="both"/>
        <w:rPr>
          <w:rFonts w:ascii="Arial" w:eastAsia="Calibri" w:hAnsi="Arial" w:cs="Arial"/>
          <w:b/>
          <w:szCs w:val="22"/>
        </w:rPr>
      </w:pPr>
      <w:r w:rsidRPr="005341B8">
        <w:rPr>
          <w:rFonts w:ascii="Arial" w:eastAsia="Calibri" w:hAnsi="Arial" w:cs="Arial"/>
          <w:b/>
          <w:szCs w:val="22"/>
        </w:rPr>
        <w:t>Direct Talent</w:t>
      </w:r>
      <w:r w:rsidR="00454F78" w:rsidRPr="005341B8">
        <w:rPr>
          <w:rFonts w:ascii="Arial" w:eastAsia="Calibri" w:hAnsi="Arial" w:cs="Arial"/>
          <w:b/>
          <w:szCs w:val="22"/>
        </w:rPr>
        <w:t>—</w:t>
      </w:r>
      <w:r w:rsidRPr="005341B8">
        <w:rPr>
          <w:rFonts w:ascii="Arial" w:eastAsia="Calibri" w:hAnsi="Arial" w:cs="Arial"/>
          <w:b/>
          <w:szCs w:val="22"/>
        </w:rPr>
        <w:t>Network Negotiation</w:t>
      </w:r>
    </w:p>
    <w:p w14:paraId="51700A29" w14:textId="77777777" w:rsidR="00840307" w:rsidRPr="005341B8" w:rsidRDefault="00840307" w:rsidP="00965CF6">
      <w:pPr>
        <w:jc w:val="both"/>
        <w:rPr>
          <w:rFonts w:ascii="Arial" w:eastAsia="Calibri" w:hAnsi="Arial" w:cs="Arial"/>
          <w:b/>
          <w:szCs w:val="22"/>
        </w:rPr>
      </w:pPr>
    </w:p>
    <w:p w14:paraId="6D8DB94F" w14:textId="29E61958" w:rsidR="00840307" w:rsidRPr="005341B8" w:rsidRDefault="00E938F8" w:rsidP="00965CF6">
      <w:pPr>
        <w:jc w:val="both"/>
        <w:rPr>
          <w:rFonts w:ascii="Arial" w:eastAsia="Calibri" w:hAnsi="Arial" w:cs="Arial"/>
          <w:i/>
          <w:szCs w:val="22"/>
        </w:rPr>
      </w:pPr>
      <w:r w:rsidRPr="005341B8">
        <w:rPr>
          <w:rFonts w:ascii="Arial" w:eastAsia="Calibri" w:hAnsi="Arial" w:cs="Arial"/>
          <w:i/>
          <w:szCs w:val="22"/>
        </w:rPr>
        <w:t>Rarely used method:</w:t>
      </w:r>
      <w:r w:rsidRPr="005341B8">
        <w:rPr>
          <w:rFonts w:ascii="Arial" w:eastAsia="Calibri" w:hAnsi="Arial" w:cs="Arial"/>
          <w:szCs w:val="22"/>
        </w:rPr>
        <w:t xml:space="preserve"> </w:t>
      </w:r>
      <w:r w:rsidR="00840307" w:rsidRPr="005341B8">
        <w:rPr>
          <w:rFonts w:ascii="Arial" w:eastAsia="Calibri" w:hAnsi="Arial" w:cs="Arial"/>
          <w:szCs w:val="22"/>
        </w:rPr>
        <w:t>Representatives from profit participants (e.g., showrunners, lead stars)</w:t>
      </w:r>
      <w:r w:rsidR="0044783D" w:rsidRPr="005341B8">
        <w:rPr>
          <w:rFonts w:ascii="Arial" w:eastAsia="Calibri" w:hAnsi="Arial" w:cs="Arial"/>
          <w:szCs w:val="22"/>
        </w:rPr>
        <w:t>—</w:t>
      </w:r>
      <w:r w:rsidR="00840307" w:rsidRPr="005341B8">
        <w:rPr>
          <w:rFonts w:ascii="Arial" w:eastAsia="Calibri" w:hAnsi="Arial" w:cs="Arial"/>
          <w:szCs w:val="22"/>
        </w:rPr>
        <w:t>instead of the producing company</w:t>
      </w:r>
      <w:r w:rsidR="0044783D" w:rsidRPr="005341B8">
        <w:rPr>
          <w:rFonts w:ascii="Arial" w:eastAsia="Calibri" w:hAnsi="Arial" w:cs="Arial"/>
          <w:szCs w:val="22"/>
        </w:rPr>
        <w:t>—</w:t>
      </w:r>
      <w:r w:rsidR="00840307" w:rsidRPr="005341B8">
        <w:rPr>
          <w:rFonts w:ascii="Arial" w:eastAsia="Calibri" w:hAnsi="Arial" w:cs="Arial"/>
          <w:szCs w:val="22"/>
        </w:rPr>
        <w:t>negotiate directly with the network for the licen</w:t>
      </w:r>
      <w:r w:rsidR="00454F78" w:rsidRPr="005341B8">
        <w:rPr>
          <w:rFonts w:ascii="Arial" w:eastAsia="Calibri" w:hAnsi="Arial" w:cs="Arial"/>
          <w:szCs w:val="22"/>
        </w:rPr>
        <w:t>c</w:t>
      </w:r>
      <w:r w:rsidR="00840307" w:rsidRPr="005341B8">
        <w:rPr>
          <w:rFonts w:ascii="Arial" w:eastAsia="Calibri" w:hAnsi="Arial" w:cs="Arial"/>
          <w:szCs w:val="22"/>
        </w:rPr>
        <w:t>e fee for the entire duration of the show.</w:t>
      </w:r>
    </w:p>
    <w:p w14:paraId="5242B81C" w14:textId="77777777" w:rsidR="00840307" w:rsidRPr="005341B8" w:rsidRDefault="00840307" w:rsidP="00965CF6">
      <w:pPr>
        <w:jc w:val="both"/>
        <w:rPr>
          <w:rFonts w:ascii="Arial" w:eastAsia="Calibri" w:hAnsi="Arial" w:cs="Arial"/>
          <w:i/>
          <w:szCs w:val="22"/>
        </w:rPr>
      </w:pPr>
    </w:p>
    <w:p w14:paraId="649DF59E" w14:textId="77777777" w:rsidR="00840307" w:rsidRPr="005341B8" w:rsidRDefault="00840307" w:rsidP="00965CF6">
      <w:pPr>
        <w:jc w:val="both"/>
        <w:rPr>
          <w:rFonts w:ascii="Arial" w:eastAsia="Calibri" w:hAnsi="Arial" w:cs="Arial"/>
          <w:i/>
          <w:szCs w:val="22"/>
        </w:rPr>
      </w:pPr>
    </w:p>
    <w:p w14:paraId="710AF63F" w14:textId="7B670375" w:rsidR="00840307" w:rsidRPr="005341B8" w:rsidRDefault="00840307" w:rsidP="00965CF6">
      <w:pPr>
        <w:jc w:val="both"/>
        <w:rPr>
          <w:rFonts w:ascii="Arial" w:eastAsia="Calibri" w:hAnsi="Arial" w:cs="Arial"/>
          <w:b/>
          <w:szCs w:val="22"/>
        </w:rPr>
      </w:pPr>
      <w:r w:rsidRPr="005341B8">
        <w:rPr>
          <w:rFonts w:ascii="Arial" w:eastAsia="Calibri" w:hAnsi="Arial" w:cs="Arial"/>
          <w:b/>
          <w:szCs w:val="22"/>
        </w:rPr>
        <w:t>“Imputed” Licen</w:t>
      </w:r>
      <w:r w:rsidR="00454F78" w:rsidRPr="005341B8">
        <w:rPr>
          <w:rFonts w:ascii="Arial" w:eastAsia="Calibri" w:hAnsi="Arial" w:cs="Arial"/>
          <w:b/>
          <w:szCs w:val="22"/>
        </w:rPr>
        <w:t>c</w:t>
      </w:r>
      <w:r w:rsidRPr="005341B8">
        <w:rPr>
          <w:rFonts w:ascii="Arial" w:eastAsia="Calibri" w:hAnsi="Arial" w:cs="Arial"/>
          <w:b/>
          <w:szCs w:val="22"/>
        </w:rPr>
        <w:t>e Fee</w:t>
      </w:r>
    </w:p>
    <w:p w14:paraId="1AE49A5F" w14:textId="77777777" w:rsidR="00840307" w:rsidRPr="005341B8" w:rsidRDefault="00840307" w:rsidP="00965CF6">
      <w:pPr>
        <w:jc w:val="both"/>
        <w:rPr>
          <w:rFonts w:ascii="Arial" w:eastAsia="Calibri" w:hAnsi="Arial" w:cs="Arial"/>
          <w:b/>
          <w:szCs w:val="22"/>
        </w:rPr>
      </w:pPr>
    </w:p>
    <w:p w14:paraId="4C95B41D" w14:textId="1CFB5651" w:rsidR="00840307" w:rsidRPr="005341B8" w:rsidRDefault="00E938F8" w:rsidP="00965CF6">
      <w:pPr>
        <w:jc w:val="both"/>
        <w:rPr>
          <w:rFonts w:ascii="Arial" w:eastAsia="Calibri" w:hAnsi="Arial" w:cs="Arial"/>
          <w:i/>
          <w:szCs w:val="22"/>
        </w:rPr>
      </w:pPr>
      <w:r w:rsidRPr="005341B8">
        <w:rPr>
          <w:rFonts w:ascii="Arial" w:eastAsia="Calibri" w:hAnsi="Arial" w:cs="Arial"/>
          <w:i/>
          <w:szCs w:val="22"/>
        </w:rPr>
        <w:t>Most common method</w:t>
      </w:r>
      <w:r w:rsidR="0044783D" w:rsidRPr="005341B8">
        <w:rPr>
          <w:rFonts w:ascii="Arial" w:eastAsia="Calibri" w:hAnsi="Arial" w:cs="Arial"/>
          <w:i/>
          <w:szCs w:val="22"/>
        </w:rPr>
        <w:t>, used by vertically integrated entities</w:t>
      </w:r>
      <w:r w:rsidR="0044783D" w:rsidRPr="005341B8">
        <w:rPr>
          <w:rFonts w:ascii="Arial" w:eastAsia="Calibri" w:hAnsi="Arial" w:cs="Arial"/>
          <w:szCs w:val="22"/>
        </w:rPr>
        <w:t xml:space="preserve"> (e.g., </w:t>
      </w:r>
      <w:r w:rsidR="0044783D" w:rsidRPr="005341B8">
        <w:rPr>
          <w:rFonts w:ascii="Arial" w:eastAsia="Calibri" w:hAnsi="Arial" w:cs="Arial"/>
          <w:i/>
          <w:szCs w:val="22"/>
        </w:rPr>
        <w:t>The Walking Dead</w:t>
      </w:r>
      <w:r w:rsidR="0044783D" w:rsidRPr="005341B8">
        <w:rPr>
          <w:rFonts w:ascii="Arial" w:eastAsia="Calibri" w:hAnsi="Arial" w:cs="Arial"/>
          <w:szCs w:val="22"/>
        </w:rPr>
        <w:t xml:space="preserve">): </w:t>
      </w:r>
      <w:r w:rsidR="00840307" w:rsidRPr="005341B8">
        <w:rPr>
          <w:rFonts w:ascii="Arial" w:eastAsia="Calibri" w:hAnsi="Arial" w:cs="Arial"/>
          <w:szCs w:val="22"/>
        </w:rPr>
        <w:t>No real money changes hands here, hence the use of the term “imputed.” In the contract between the producing company and the network, an “imputed” licen</w:t>
      </w:r>
      <w:r w:rsidR="0044783D" w:rsidRPr="005341B8">
        <w:rPr>
          <w:rFonts w:ascii="Arial" w:eastAsia="Calibri" w:hAnsi="Arial" w:cs="Arial"/>
          <w:szCs w:val="22"/>
        </w:rPr>
        <w:t>c</w:t>
      </w:r>
      <w:r w:rsidR="00840307" w:rsidRPr="005341B8">
        <w:rPr>
          <w:rFonts w:ascii="Arial" w:eastAsia="Calibri" w:hAnsi="Arial" w:cs="Arial"/>
          <w:szCs w:val="22"/>
        </w:rPr>
        <w:t>e fee is included</w:t>
      </w:r>
      <w:r w:rsidR="003C6860">
        <w:rPr>
          <w:rFonts w:ascii="Arial" w:eastAsia="Calibri" w:hAnsi="Arial" w:cs="Arial"/>
          <w:szCs w:val="22"/>
        </w:rPr>
        <w:t>,</w:t>
      </w:r>
      <w:r w:rsidR="00840307" w:rsidRPr="005341B8">
        <w:rPr>
          <w:rFonts w:ascii="Arial" w:eastAsia="Calibri" w:hAnsi="Arial" w:cs="Arial"/>
          <w:szCs w:val="22"/>
        </w:rPr>
        <w:t xml:space="preserve"> </w:t>
      </w:r>
      <w:r w:rsidR="003C6860">
        <w:rPr>
          <w:rFonts w:ascii="Arial" w:eastAsia="Calibri" w:hAnsi="Arial" w:cs="Arial"/>
          <w:szCs w:val="22"/>
        </w:rPr>
        <w:t>which</w:t>
      </w:r>
      <w:r w:rsidR="00840307" w:rsidRPr="005341B8">
        <w:rPr>
          <w:rFonts w:ascii="Arial" w:eastAsia="Calibri" w:hAnsi="Arial" w:cs="Arial"/>
          <w:szCs w:val="22"/>
        </w:rPr>
        <w:t xml:space="preserve"> becomes the basis for any profit participation agreement. The “imputed” fee is expected to reflect deficit financing for the initial seasons of the show</w:t>
      </w:r>
      <w:r w:rsidR="003C6860">
        <w:rPr>
          <w:rFonts w:ascii="Arial" w:eastAsia="Calibri" w:hAnsi="Arial" w:cs="Arial"/>
          <w:szCs w:val="22"/>
        </w:rPr>
        <w:t>,</w:t>
      </w:r>
      <w:r w:rsidR="00840307" w:rsidRPr="005341B8">
        <w:rPr>
          <w:rFonts w:ascii="Arial" w:eastAsia="Calibri" w:hAnsi="Arial" w:cs="Arial"/>
          <w:szCs w:val="22"/>
        </w:rPr>
        <w:t xml:space="preserve"> with a gradual increase in licen</w:t>
      </w:r>
      <w:r w:rsidR="00454F78" w:rsidRPr="005341B8">
        <w:rPr>
          <w:rFonts w:ascii="Arial" w:eastAsia="Calibri" w:hAnsi="Arial" w:cs="Arial"/>
          <w:szCs w:val="22"/>
        </w:rPr>
        <w:t>c</w:t>
      </w:r>
      <w:r w:rsidR="00840307" w:rsidRPr="005341B8">
        <w:rPr>
          <w:rFonts w:ascii="Arial" w:eastAsia="Calibri" w:hAnsi="Arial" w:cs="Arial"/>
          <w:szCs w:val="22"/>
        </w:rPr>
        <w:t xml:space="preserve">e fees in later years. The profit participants are not part of the negotiation that takes place between the production company and the network. </w:t>
      </w:r>
    </w:p>
    <w:p w14:paraId="4F02FE89" w14:textId="77777777" w:rsidR="00840307" w:rsidRPr="005341B8" w:rsidRDefault="00840307" w:rsidP="00965CF6">
      <w:pPr>
        <w:jc w:val="both"/>
        <w:rPr>
          <w:rFonts w:ascii="Arial" w:eastAsia="Calibri" w:hAnsi="Arial" w:cs="Arial"/>
          <w:i/>
          <w:szCs w:val="22"/>
        </w:rPr>
      </w:pPr>
    </w:p>
    <w:p w14:paraId="40EBA74F" w14:textId="77777777" w:rsidR="00840307" w:rsidRPr="005341B8" w:rsidRDefault="00840307" w:rsidP="00965CF6">
      <w:pPr>
        <w:jc w:val="both"/>
        <w:rPr>
          <w:rFonts w:ascii="Arial" w:eastAsia="Calibri" w:hAnsi="Arial" w:cs="Arial"/>
          <w:i/>
          <w:szCs w:val="22"/>
        </w:rPr>
      </w:pPr>
    </w:p>
    <w:p w14:paraId="262BA5A9" w14:textId="77777777" w:rsidR="00840307" w:rsidRPr="005341B8" w:rsidRDefault="00840307" w:rsidP="00965CF6">
      <w:pPr>
        <w:jc w:val="both"/>
        <w:rPr>
          <w:rFonts w:ascii="Arial" w:eastAsia="Calibri" w:hAnsi="Arial" w:cs="Arial"/>
          <w:b/>
          <w:szCs w:val="22"/>
        </w:rPr>
      </w:pPr>
      <w:r w:rsidRPr="005341B8">
        <w:rPr>
          <w:rFonts w:ascii="Arial" w:eastAsia="Calibri" w:hAnsi="Arial" w:cs="Arial"/>
          <w:b/>
          <w:szCs w:val="22"/>
        </w:rPr>
        <w:t>Express Contractual Limitation</w:t>
      </w:r>
    </w:p>
    <w:p w14:paraId="2B7E5DDD" w14:textId="77777777" w:rsidR="00840307" w:rsidRPr="005341B8" w:rsidRDefault="00840307" w:rsidP="00965CF6">
      <w:pPr>
        <w:jc w:val="both"/>
        <w:rPr>
          <w:rFonts w:ascii="Arial" w:eastAsia="Calibri" w:hAnsi="Arial" w:cs="Arial"/>
          <w:b/>
          <w:szCs w:val="22"/>
        </w:rPr>
      </w:pPr>
    </w:p>
    <w:p w14:paraId="737F1829" w14:textId="63241AEB" w:rsidR="00840307" w:rsidRPr="005341B8" w:rsidRDefault="0044783D" w:rsidP="00965CF6">
      <w:pPr>
        <w:jc w:val="both"/>
        <w:rPr>
          <w:rFonts w:ascii="Arial" w:eastAsia="Calibri" w:hAnsi="Arial" w:cs="Arial"/>
          <w:i/>
          <w:szCs w:val="22"/>
        </w:rPr>
      </w:pPr>
      <w:r w:rsidRPr="005341B8">
        <w:rPr>
          <w:rFonts w:ascii="Arial" w:eastAsia="Calibri" w:hAnsi="Arial" w:cs="Arial"/>
          <w:i/>
          <w:szCs w:val="22"/>
        </w:rPr>
        <w:t>Less common method:</w:t>
      </w:r>
      <w:r w:rsidRPr="005341B8">
        <w:rPr>
          <w:rFonts w:ascii="Arial" w:eastAsia="Calibri" w:hAnsi="Arial" w:cs="Arial"/>
          <w:szCs w:val="22"/>
        </w:rPr>
        <w:t xml:space="preserve"> This is the s</w:t>
      </w:r>
      <w:r w:rsidR="00840307" w:rsidRPr="005341B8">
        <w:rPr>
          <w:rFonts w:ascii="Arial" w:eastAsia="Calibri" w:hAnsi="Arial" w:cs="Arial"/>
          <w:szCs w:val="22"/>
        </w:rPr>
        <w:t xml:space="preserve">ame as </w:t>
      </w:r>
      <w:r w:rsidR="003C6860">
        <w:rPr>
          <w:rFonts w:ascii="Arial" w:eastAsia="Calibri" w:hAnsi="Arial" w:cs="Arial"/>
          <w:szCs w:val="22"/>
        </w:rPr>
        <w:t xml:space="preserve">the </w:t>
      </w:r>
      <w:r w:rsidR="00840307" w:rsidRPr="005341B8">
        <w:rPr>
          <w:rFonts w:ascii="Arial" w:eastAsia="Calibri" w:hAnsi="Arial" w:cs="Arial"/>
          <w:szCs w:val="22"/>
        </w:rPr>
        <w:t>“imputed” licen</w:t>
      </w:r>
      <w:r w:rsidRPr="005341B8">
        <w:rPr>
          <w:rFonts w:ascii="Arial" w:eastAsia="Calibri" w:hAnsi="Arial" w:cs="Arial"/>
          <w:szCs w:val="22"/>
        </w:rPr>
        <w:t>c</w:t>
      </w:r>
      <w:r w:rsidR="00840307" w:rsidRPr="005341B8">
        <w:rPr>
          <w:rFonts w:ascii="Arial" w:eastAsia="Calibri" w:hAnsi="Arial" w:cs="Arial"/>
          <w:szCs w:val="22"/>
        </w:rPr>
        <w:t>e fee method</w:t>
      </w:r>
      <w:r w:rsidRPr="005341B8">
        <w:rPr>
          <w:rFonts w:ascii="Arial" w:eastAsia="Calibri" w:hAnsi="Arial" w:cs="Arial"/>
          <w:szCs w:val="22"/>
        </w:rPr>
        <w:t>,</w:t>
      </w:r>
      <w:r w:rsidR="00840307" w:rsidRPr="005341B8">
        <w:rPr>
          <w:rFonts w:ascii="Arial" w:eastAsia="Calibri" w:hAnsi="Arial" w:cs="Arial"/>
          <w:szCs w:val="22"/>
        </w:rPr>
        <w:t xml:space="preserve"> except for specific provisions to protect (a) profit participants and/or (b) the affiliated network.</w:t>
      </w:r>
    </w:p>
    <w:p w14:paraId="6DCEDFF1" w14:textId="77777777" w:rsidR="00840307" w:rsidRPr="005341B8" w:rsidRDefault="00840307" w:rsidP="00840307">
      <w:pPr>
        <w:rPr>
          <w:rFonts w:ascii="Arial" w:eastAsia="Calibri" w:hAnsi="Arial" w:cs="Arial"/>
          <w:i/>
          <w:szCs w:val="22"/>
        </w:rPr>
      </w:pPr>
    </w:p>
    <w:p w14:paraId="1799324C" w14:textId="067EA0F2" w:rsidR="00840307" w:rsidRPr="005C6BA3" w:rsidRDefault="0044783D" w:rsidP="00840307">
      <w:pPr>
        <w:rPr>
          <w:rFonts w:ascii="Arial" w:eastAsia="Calibri" w:hAnsi="Arial" w:cs="Arial"/>
          <w:sz w:val="17"/>
          <w:szCs w:val="17"/>
        </w:rPr>
      </w:pPr>
      <w:r w:rsidRPr="005341B8">
        <w:rPr>
          <w:rFonts w:ascii="Arial" w:eastAsia="Calibri" w:hAnsi="Arial" w:cs="Arial"/>
          <w:sz w:val="17"/>
          <w:szCs w:val="17"/>
        </w:rPr>
        <w:t xml:space="preserve">Note: </w:t>
      </w:r>
      <w:r w:rsidR="003C6860">
        <w:rPr>
          <w:rFonts w:ascii="Arial" w:eastAsia="Calibri" w:hAnsi="Arial" w:cs="Arial"/>
          <w:sz w:val="17"/>
          <w:szCs w:val="17"/>
        </w:rPr>
        <w:t xml:space="preserve">AMCN = AMC Networks Inc.; </w:t>
      </w:r>
      <w:r w:rsidR="00840307" w:rsidRPr="005341B8">
        <w:rPr>
          <w:rFonts w:ascii="Arial" w:eastAsia="Calibri" w:hAnsi="Arial" w:cs="Arial"/>
          <w:sz w:val="17"/>
          <w:szCs w:val="17"/>
        </w:rPr>
        <w:t xml:space="preserve">*Frank </w:t>
      </w:r>
      <w:proofErr w:type="spellStart"/>
      <w:r w:rsidR="00840307" w:rsidRPr="005341B8">
        <w:rPr>
          <w:rFonts w:ascii="Arial" w:eastAsia="Calibri" w:hAnsi="Arial" w:cs="Arial"/>
          <w:sz w:val="17"/>
          <w:szCs w:val="17"/>
        </w:rPr>
        <w:t>Darabont</w:t>
      </w:r>
      <w:proofErr w:type="spellEnd"/>
      <w:r w:rsidR="00840307" w:rsidRPr="005341B8">
        <w:rPr>
          <w:rFonts w:ascii="Arial" w:eastAsia="Calibri" w:hAnsi="Arial" w:cs="Arial"/>
          <w:sz w:val="17"/>
          <w:szCs w:val="17"/>
        </w:rPr>
        <w:t>, the showrunner for the first two seasons</w:t>
      </w:r>
      <w:r w:rsidR="003C6860">
        <w:rPr>
          <w:rFonts w:ascii="Arial" w:eastAsia="Calibri" w:hAnsi="Arial" w:cs="Arial"/>
          <w:sz w:val="17"/>
          <w:szCs w:val="17"/>
        </w:rPr>
        <w:t>,</w:t>
      </w:r>
      <w:r w:rsidR="00840307" w:rsidRPr="005341B8">
        <w:rPr>
          <w:rFonts w:ascii="Arial" w:eastAsia="Calibri" w:hAnsi="Arial" w:cs="Arial"/>
          <w:sz w:val="17"/>
          <w:szCs w:val="17"/>
        </w:rPr>
        <w:t xml:space="preserve"> did not want the show to be produced by AMC Studios but by an independent production company. He </w:t>
      </w:r>
      <w:r w:rsidR="003C6860" w:rsidRPr="005341B8">
        <w:rPr>
          <w:rFonts w:ascii="Arial" w:eastAsia="Calibri" w:hAnsi="Arial" w:cs="Arial"/>
          <w:sz w:val="17"/>
          <w:szCs w:val="17"/>
        </w:rPr>
        <w:t>later</w:t>
      </w:r>
      <w:r w:rsidR="00840307" w:rsidRPr="005341B8">
        <w:rPr>
          <w:rFonts w:ascii="Arial" w:eastAsia="Calibri" w:hAnsi="Arial" w:cs="Arial"/>
          <w:sz w:val="17"/>
          <w:szCs w:val="17"/>
        </w:rPr>
        <w:t xml:space="preserve"> agreed to AMC Studios producing the show under an “imputed” licen</w:t>
      </w:r>
      <w:r w:rsidR="00454F78" w:rsidRPr="005341B8">
        <w:rPr>
          <w:rFonts w:ascii="Arial" w:eastAsia="Calibri" w:hAnsi="Arial" w:cs="Arial"/>
          <w:sz w:val="17"/>
          <w:szCs w:val="17"/>
        </w:rPr>
        <w:t>c</w:t>
      </w:r>
      <w:r w:rsidR="00840307" w:rsidRPr="005341B8">
        <w:rPr>
          <w:rFonts w:ascii="Arial" w:eastAsia="Calibri" w:hAnsi="Arial" w:cs="Arial"/>
          <w:sz w:val="17"/>
          <w:szCs w:val="17"/>
        </w:rPr>
        <w:t>e fee negotiated deal</w:t>
      </w:r>
      <w:r w:rsidRPr="005341B8">
        <w:rPr>
          <w:rFonts w:ascii="Arial" w:eastAsia="Calibri" w:hAnsi="Arial" w:cs="Arial"/>
          <w:sz w:val="17"/>
          <w:szCs w:val="17"/>
        </w:rPr>
        <w:t>.</w:t>
      </w:r>
    </w:p>
    <w:p w14:paraId="6B2B468D" w14:textId="03D16655" w:rsidR="00840307" w:rsidRPr="005341B8" w:rsidRDefault="00840307" w:rsidP="00840307">
      <w:pPr>
        <w:pStyle w:val="Footnote"/>
        <w:rPr>
          <w:rFonts w:eastAsia="Calibri"/>
        </w:rPr>
      </w:pPr>
      <w:r w:rsidRPr="005341B8">
        <w:rPr>
          <w:rFonts w:eastAsia="Calibri"/>
        </w:rPr>
        <w:t xml:space="preserve">Source: Adapted from </w:t>
      </w:r>
      <w:r w:rsidR="0044783D" w:rsidRPr="005341B8">
        <w:rPr>
          <w:rFonts w:eastAsia="Calibri"/>
        </w:rPr>
        <w:t xml:space="preserve">“Robert </w:t>
      </w:r>
      <w:proofErr w:type="spellStart"/>
      <w:r w:rsidR="0044783D" w:rsidRPr="005341B8">
        <w:rPr>
          <w:rFonts w:eastAsia="Calibri"/>
        </w:rPr>
        <w:t>Kirkman</w:t>
      </w:r>
      <w:proofErr w:type="spellEnd"/>
      <w:r w:rsidR="0044783D" w:rsidRPr="005341B8">
        <w:rPr>
          <w:rFonts w:eastAsia="Calibri"/>
        </w:rPr>
        <w:t xml:space="preserve"> and Other Plaintiffs v. AMC Networks,” </w:t>
      </w:r>
      <w:r w:rsidRPr="005341B8">
        <w:rPr>
          <w:rFonts w:eastAsia="Calibri"/>
        </w:rPr>
        <w:t>Case No. BC 672124 filed in the Superior Court of the State of California, County of Los Angeles, Central District</w:t>
      </w:r>
      <w:r w:rsidR="0044783D" w:rsidRPr="005341B8">
        <w:rPr>
          <w:rFonts w:eastAsia="Calibri"/>
        </w:rPr>
        <w:t>,</w:t>
      </w:r>
      <w:r w:rsidRPr="005341B8">
        <w:rPr>
          <w:rFonts w:eastAsia="Calibri"/>
        </w:rPr>
        <w:t xml:space="preserve"> August 14, 2017</w:t>
      </w:r>
      <w:r w:rsidR="0044783D" w:rsidRPr="005341B8">
        <w:rPr>
          <w:color w:val="0D0D0D" w:themeColor="text1" w:themeTint="F2"/>
        </w:rPr>
        <w:t>, accessed March 14, 2018, www.birdmarella.com/wp-content/uploads/2017/08/Complaint.pdf</w:t>
      </w:r>
      <w:r w:rsidR="009B5053" w:rsidRPr="005341B8">
        <w:rPr>
          <w:rFonts w:eastAsia="Calibri"/>
        </w:rPr>
        <w:t xml:space="preserve">; </w:t>
      </w:r>
      <w:r w:rsidR="009B5053" w:rsidRPr="005341B8">
        <w:t xml:space="preserve">Amanda </w:t>
      </w:r>
      <w:proofErr w:type="spellStart"/>
      <w:r w:rsidR="009B5053" w:rsidRPr="005341B8">
        <w:t>Bacoyanis</w:t>
      </w:r>
      <w:proofErr w:type="spellEnd"/>
      <w:r w:rsidR="009B5053" w:rsidRPr="005341B8">
        <w:t>, “Brain, Blood, Sweat, and Tears: Derivative Works and The Walking Dead Controversy,” September 20, 2015, accessed April 1, 2018,</w:t>
      </w:r>
      <w:r w:rsidR="00AE391B">
        <w:t xml:space="preserve"> </w:t>
      </w:r>
      <w:r w:rsidR="009B5053" w:rsidRPr="005341B8">
        <w:t>www.ipwatchdog.com/2015/09/20/brains-blood-sweat-and-tears-derivative-works-and-the-walking-dead-licensing-controversy/id=61760.</w:t>
      </w:r>
    </w:p>
    <w:p w14:paraId="763E9138" w14:textId="77777777" w:rsidR="00840307" w:rsidRPr="005341B8" w:rsidRDefault="00840307" w:rsidP="00840307">
      <w:pPr>
        <w:rPr>
          <w:rFonts w:eastAsia="Calibri"/>
        </w:rPr>
      </w:pPr>
    </w:p>
    <w:p w14:paraId="5B1BE736" w14:textId="05006C69" w:rsidR="00840307" w:rsidRPr="005C6BA3" w:rsidRDefault="00840307" w:rsidP="005C6BA3">
      <w:pPr>
        <w:spacing w:after="200" w:line="276" w:lineRule="auto"/>
        <w:rPr>
          <w:rFonts w:ascii="Arial" w:hAnsi="Arial" w:cs="Arial"/>
          <w:b/>
          <w:caps/>
        </w:rPr>
      </w:pPr>
    </w:p>
    <w:sectPr w:rsidR="00840307" w:rsidRPr="005C6BA3"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7F70A" w14:textId="77777777" w:rsidR="00915E4B" w:rsidRDefault="00915E4B" w:rsidP="00D75295">
      <w:r>
        <w:separator/>
      </w:r>
    </w:p>
  </w:endnote>
  <w:endnote w:type="continuationSeparator" w:id="0">
    <w:p w14:paraId="781120DD" w14:textId="77777777" w:rsidR="00915E4B" w:rsidRDefault="00915E4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29666" w14:textId="77777777" w:rsidR="00915E4B" w:rsidRDefault="00915E4B" w:rsidP="00D75295">
      <w:r>
        <w:separator/>
      </w:r>
    </w:p>
  </w:footnote>
  <w:footnote w:type="continuationSeparator" w:id="0">
    <w:p w14:paraId="6117CDBA" w14:textId="77777777" w:rsidR="00915E4B" w:rsidRDefault="00915E4B" w:rsidP="00D75295">
      <w:r>
        <w:continuationSeparator/>
      </w:r>
    </w:p>
  </w:footnote>
  <w:footnote w:id="1">
    <w:p w14:paraId="78B32177" w14:textId="20CE28FE" w:rsidR="00965CF6" w:rsidRPr="00965CF6" w:rsidRDefault="00965CF6">
      <w:pPr>
        <w:pStyle w:val="FootnoteText"/>
        <w:rPr>
          <w:lang w:val="en-US"/>
        </w:rPr>
      </w:pPr>
      <w:r>
        <w:rPr>
          <w:rStyle w:val="FootnoteReference"/>
        </w:rPr>
        <w:footnoteRef/>
      </w:r>
      <w:r>
        <w:t xml:space="preserve"> </w:t>
      </w:r>
      <w:r w:rsidRPr="00E66022">
        <w:rPr>
          <w:rStyle w:val="FootnoteChar"/>
        </w:rPr>
        <w:t>This case has been written on the basis of published sources only. Consequently, the interpretation and perspectives presented in this case a</w:t>
      </w:r>
      <w:r>
        <w:rPr>
          <w:rStyle w:val="FootnoteChar"/>
        </w:rPr>
        <w:t>re not necessarily those of AMC Networks Inc.</w:t>
      </w:r>
      <w:r w:rsidRPr="00E66022">
        <w:rPr>
          <w:rStyle w:val="FootnoteChar"/>
        </w:rPr>
        <w:t xml:space="preserve"> or any of its employees.</w:t>
      </w:r>
    </w:p>
  </w:footnote>
  <w:footnote w:id="2">
    <w:p w14:paraId="15BAFF5C" w14:textId="4CD4C2A7"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w:t>
      </w:r>
      <w:r>
        <w:rPr>
          <w:color w:val="0D0D0D" w:themeColor="text1" w:themeTint="F2"/>
        </w:rPr>
        <w:t>“</w:t>
      </w:r>
      <w:r w:rsidRPr="00A23116">
        <w:rPr>
          <w:color w:val="0D0D0D" w:themeColor="text1" w:themeTint="F2"/>
        </w:rPr>
        <w:t xml:space="preserve">Robert </w:t>
      </w:r>
      <w:proofErr w:type="spellStart"/>
      <w:r w:rsidRPr="00A23116">
        <w:rPr>
          <w:color w:val="0D0D0D" w:themeColor="text1" w:themeTint="F2"/>
        </w:rPr>
        <w:t>Kirkman</w:t>
      </w:r>
      <w:proofErr w:type="spellEnd"/>
      <w:r w:rsidRPr="00A23116">
        <w:rPr>
          <w:color w:val="0D0D0D" w:themeColor="text1" w:themeTint="F2"/>
        </w:rPr>
        <w:t xml:space="preserve"> and </w:t>
      </w:r>
      <w:r>
        <w:rPr>
          <w:color w:val="0D0D0D" w:themeColor="text1" w:themeTint="F2"/>
        </w:rPr>
        <w:t>O</w:t>
      </w:r>
      <w:r w:rsidRPr="00A23116">
        <w:rPr>
          <w:color w:val="0D0D0D" w:themeColor="text1" w:themeTint="F2"/>
        </w:rPr>
        <w:t xml:space="preserve">ther </w:t>
      </w:r>
      <w:r>
        <w:rPr>
          <w:color w:val="0D0D0D" w:themeColor="text1" w:themeTint="F2"/>
        </w:rPr>
        <w:t>P</w:t>
      </w:r>
      <w:r w:rsidRPr="00A23116">
        <w:rPr>
          <w:color w:val="0D0D0D" w:themeColor="text1" w:themeTint="F2"/>
        </w:rPr>
        <w:t>laintiffs v. AMC Networks,</w:t>
      </w:r>
      <w:r>
        <w:rPr>
          <w:color w:val="0D0D0D" w:themeColor="text1" w:themeTint="F2"/>
        </w:rPr>
        <w:t>”</w:t>
      </w:r>
      <w:r w:rsidRPr="00A23116">
        <w:rPr>
          <w:color w:val="0D0D0D" w:themeColor="text1" w:themeTint="F2"/>
        </w:rPr>
        <w:t xml:space="preserve"> </w:t>
      </w:r>
      <w:r>
        <w:rPr>
          <w:color w:val="0D0D0D" w:themeColor="text1" w:themeTint="F2"/>
        </w:rPr>
        <w:t>c</w:t>
      </w:r>
      <w:r w:rsidRPr="00A23116">
        <w:rPr>
          <w:color w:val="0D0D0D" w:themeColor="text1" w:themeTint="F2"/>
        </w:rPr>
        <w:t xml:space="preserve">ase </w:t>
      </w:r>
      <w:r>
        <w:rPr>
          <w:color w:val="0D0D0D" w:themeColor="text1" w:themeTint="F2"/>
        </w:rPr>
        <w:t>n</w:t>
      </w:r>
      <w:r w:rsidRPr="00A23116">
        <w:rPr>
          <w:color w:val="0D0D0D" w:themeColor="text1" w:themeTint="F2"/>
        </w:rPr>
        <w:t>o. BC 672124</w:t>
      </w:r>
      <w:r>
        <w:rPr>
          <w:color w:val="0D0D0D" w:themeColor="text1" w:themeTint="F2"/>
        </w:rPr>
        <w:t>,</w:t>
      </w:r>
      <w:r w:rsidRPr="00A23116">
        <w:rPr>
          <w:color w:val="0D0D0D" w:themeColor="text1" w:themeTint="F2"/>
        </w:rPr>
        <w:t xml:space="preserve"> Superior Court of the State of California, County of Los Angeles, Central District</w:t>
      </w:r>
      <w:r>
        <w:rPr>
          <w:color w:val="0D0D0D" w:themeColor="text1" w:themeTint="F2"/>
        </w:rPr>
        <w:t>,</w:t>
      </w:r>
      <w:r w:rsidRPr="00A23116">
        <w:rPr>
          <w:color w:val="0D0D0D" w:themeColor="text1" w:themeTint="F2"/>
        </w:rPr>
        <w:t xml:space="preserve"> August 14, 2017</w:t>
      </w:r>
      <w:bookmarkStart w:id="3" w:name="_Hlk528931122"/>
      <w:r w:rsidRPr="00A23116">
        <w:rPr>
          <w:color w:val="0D0D0D" w:themeColor="text1" w:themeTint="F2"/>
        </w:rPr>
        <w:t>, accessed March 14, 2018</w:t>
      </w:r>
      <w:r>
        <w:rPr>
          <w:color w:val="0D0D0D" w:themeColor="text1" w:themeTint="F2"/>
        </w:rPr>
        <w:t xml:space="preserve">, </w:t>
      </w:r>
      <w:r w:rsidRPr="005345B3">
        <w:rPr>
          <w:color w:val="0D0D0D" w:themeColor="text1" w:themeTint="F2"/>
        </w:rPr>
        <w:t>www.birdmarella.com/wp-content/uploads/2017/08/Complaint.pdf</w:t>
      </w:r>
      <w:r w:rsidRPr="00A23116">
        <w:rPr>
          <w:color w:val="0D0D0D" w:themeColor="text1" w:themeTint="F2"/>
        </w:rPr>
        <w:t>.</w:t>
      </w:r>
    </w:p>
    <w:bookmarkEnd w:id="3"/>
  </w:footnote>
  <w:footnote w:id="3">
    <w:p w14:paraId="41E32CA3" w14:textId="5C0B699B"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Bryan Bishop, “Walking Dead Creator Robert </w:t>
      </w:r>
      <w:proofErr w:type="spellStart"/>
      <w:r w:rsidRPr="00A23116">
        <w:rPr>
          <w:color w:val="0D0D0D" w:themeColor="text1" w:themeTint="F2"/>
        </w:rPr>
        <w:t>Kirkman</w:t>
      </w:r>
      <w:proofErr w:type="spellEnd"/>
      <w:r w:rsidRPr="00A23116">
        <w:rPr>
          <w:color w:val="0D0D0D" w:themeColor="text1" w:themeTint="F2"/>
        </w:rPr>
        <w:t xml:space="preserve"> </w:t>
      </w:r>
      <w:r>
        <w:rPr>
          <w:color w:val="0D0D0D" w:themeColor="text1" w:themeTint="F2"/>
        </w:rPr>
        <w:t>I</w:t>
      </w:r>
      <w:r w:rsidRPr="00A23116">
        <w:rPr>
          <w:color w:val="0D0D0D" w:themeColor="text1" w:themeTint="F2"/>
        </w:rPr>
        <w:t xml:space="preserve">s Leaving AMC for Amazon,” </w:t>
      </w:r>
      <w:r w:rsidRPr="00A23116">
        <w:rPr>
          <w:i/>
          <w:color w:val="0D0D0D" w:themeColor="text1" w:themeTint="F2"/>
        </w:rPr>
        <w:t>The Verge</w:t>
      </w:r>
      <w:r w:rsidRPr="00A23116">
        <w:rPr>
          <w:color w:val="0D0D0D" w:themeColor="text1" w:themeTint="F2"/>
        </w:rPr>
        <w:t xml:space="preserve">, August 11, 2017, accessed March 14, 2018, </w:t>
      </w:r>
      <w:r w:rsidRPr="005345B3">
        <w:rPr>
          <w:rStyle w:val="Hyperlink"/>
          <w:color w:val="0D0D0D" w:themeColor="text1" w:themeTint="F2"/>
          <w:u w:val="none"/>
        </w:rPr>
        <w:t>www.theverge.com/2017/8/11/16131466/the-walking-dead-robert-kirkman-amazon-prime-deal</w:t>
      </w:r>
      <w:r w:rsidRPr="00A23116">
        <w:rPr>
          <w:color w:val="0D0D0D" w:themeColor="text1" w:themeTint="F2"/>
        </w:rPr>
        <w:t xml:space="preserve">. </w:t>
      </w:r>
    </w:p>
  </w:footnote>
  <w:footnote w:id="4">
    <w:p w14:paraId="4334363E" w14:textId="1FE5F33A"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All </w:t>
      </w:r>
      <w:r>
        <w:rPr>
          <w:color w:val="0D0D0D" w:themeColor="text1" w:themeTint="F2"/>
        </w:rPr>
        <w:t xml:space="preserve">currency </w:t>
      </w:r>
      <w:r w:rsidRPr="00A23116">
        <w:rPr>
          <w:color w:val="0D0D0D" w:themeColor="text1" w:themeTint="F2"/>
        </w:rPr>
        <w:t xml:space="preserve">amounts are in </w:t>
      </w:r>
      <w:r>
        <w:rPr>
          <w:color w:val="0D0D0D" w:themeColor="text1" w:themeTint="F2"/>
        </w:rPr>
        <w:t>USD</w:t>
      </w:r>
      <w:r w:rsidRPr="00A23116">
        <w:rPr>
          <w:color w:val="0D0D0D" w:themeColor="text1" w:themeTint="F2"/>
        </w:rPr>
        <w:t xml:space="preserve"> unless otherwise s</w:t>
      </w:r>
      <w:r>
        <w:rPr>
          <w:color w:val="0D0D0D" w:themeColor="text1" w:themeTint="F2"/>
        </w:rPr>
        <w:t>pecifi</w:t>
      </w:r>
      <w:r w:rsidRPr="00A23116">
        <w:rPr>
          <w:color w:val="0D0D0D" w:themeColor="text1" w:themeTint="F2"/>
        </w:rPr>
        <w:t>ed.</w:t>
      </w:r>
    </w:p>
  </w:footnote>
  <w:footnote w:id="5">
    <w:p w14:paraId="4511B7DF" w14:textId="5F858017"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Joe Flint, “HBO to Talent: We Love You More,” </w:t>
      </w:r>
      <w:r w:rsidRPr="00A23116">
        <w:rPr>
          <w:i/>
          <w:color w:val="0D0D0D" w:themeColor="text1" w:themeTint="F2"/>
        </w:rPr>
        <w:t>The Wall Street Journal</w:t>
      </w:r>
      <w:r w:rsidRPr="00A23116">
        <w:rPr>
          <w:color w:val="0D0D0D" w:themeColor="text1" w:themeTint="F2"/>
        </w:rPr>
        <w:t xml:space="preserve">, January 16, 2018, </w:t>
      </w:r>
      <w:r w:rsidRPr="00454F78">
        <w:rPr>
          <w:color w:val="0D0D0D" w:themeColor="text1" w:themeTint="F2"/>
        </w:rPr>
        <w:t>accessed November 14, 2018, www.wsj.com/articles/hbo-to-talent-you-wont-get-this-much-love-at-netflix-1516031557</w:t>
      </w:r>
      <w:r w:rsidRPr="00A23116">
        <w:rPr>
          <w:color w:val="0D0D0D" w:themeColor="text1" w:themeTint="F2"/>
        </w:rPr>
        <w:t>.</w:t>
      </w:r>
    </w:p>
  </w:footnote>
  <w:footnote w:id="6">
    <w:p w14:paraId="53C7CD90" w14:textId="71F9B877" w:rsidR="005C6BA3" w:rsidRPr="00A23116" w:rsidRDefault="005C6BA3" w:rsidP="00A23116">
      <w:pPr>
        <w:pStyle w:val="Footnote"/>
        <w:rPr>
          <w:color w:val="0D0D0D" w:themeColor="text1" w:themeTint="F2"/>
        </w:rPr>
      </w:pPr>
      <w:r w:rsidRPr="00A23116">
        <w:rPr>
          <w:rStyle w:val="FootnoteReference"/>
          <w:color w:val="0D0D0D" w:themeColor="text1" w:themeTint="F2"/>
          <w:spacing w:val="-2"/>
        </w:rPr>
        <w:footnoteRef/>
      </w:r>
      <w:r w:rsidRPr="00A23116">
        <w:rPr>
          <w:color w:val="0D0D0D" w:themeColor="text1" w:themeTint="F2"/>
          <w:spacing w:val="-2"/>
        </w:rPr>
        <w:t xml:space="preserve"> “The ‘Fin-</w:t>
      </w:r>
      <w:proofErr w:type="spellStart"/>
      <w:r w:rsidRPr="00A23116">
        <w:rPr>
          <w:color w:val="0D0D0D" w:themeColor="text1" w:themeTint="F2"/>
          <w:spacing w:val="-2"/>
        </w:rPr>
        <w:t>Syn</w:t>
      </w:r>
      <w:proofErr w:type="spellEnd"/>
      <w:r w:rsidRPr="00A23116">
        <w:rPr>
          <w:color w:val="0D0D0D" w:themeColor="text1" w:themeTint="F2"/>
          <w:spacing w:val="-2"/>
        </w:rPr>
        <w:t xml:space="preserve">’ Chronology: A Brief History of the Financial Syndication Rules,” </w:t>
      </w:r>
      <w:r w:rsidRPr="00A23116">
        <w:rPr>
          <w:i/>
          <w:color w:val="0D0D0D" w:themeColor="text1" w:themeTint="F2"/>
          <w:spacing w:val="-2"/>
        </w:rPr>
        <w:t>The Christian Science Monitor</w:t>
      </w:r>
      <w:r w:rsidRPr="00A23116">
        <w:rPr>
          <w:color w:val="0D0D0D" w:themeColor="text1" w:themeTint="F2"/>
          <w:spacing w:val="-2"/>
        </w:rPr>
        <w:t xml:space="preserve">, April 4, 1991, accessed March 4, 2018, </w:t>
      </w:r>
      <w:r w:rsidRPr="005345B3">
        <w:rPr>
          <w:rStyle w:val="Hyperlink"/>
          <w:color w:val="0D0D0D" w:themeColor="text1" w:themeTint="F2"/>
          <w:spacing w:val="-2"/>
          <w:u w:val="none"/>
        </w:rPr>
        <w:t>www.csmonitor.com/1991/0404/finsyn.html</w:t>
      </w:r>
      <w:r>
        <w:rPr>
          <w:rStyle w:val="Hyperlink"/>
          <w:color w:val="0D0D0D" w:themeColor="text1" w:themeTint="F2"/>
          <w:spacing w:val="-2"/>
          <w:u w:val="none"/>
        </w:rPr>
        <w:t>;</w:t>
      </w:r>
      <w:r w:rsidRPr="00A23116">
        <w:rPr>
          <w:color w:val="0D0D0D" w:themeColor="text1" w:themeTint="F2"/>
          <w:spacing w:val="-2"/>
        </w:rPr>
        <w:t xml:space="preserve"> and Bill McConnell, “Fin-</w:t>
      </w:r>
      <w:proofErr w:type="spellStart"/>
      <w:r w:rsidRPr="00A23116">
        <w:rPr>
          <w:color w:val="0D0D0D" w:themeColor="text1" w:themeTint="F2"/>
          <w:spacing w:val="-2"/>
        </w:rPr>
        <w:t>Syn</w:t>
      </w:r>
      <w:proofErr w:type="spellEnd"/>
      <w:r w:rsidRPr="00A23116">
        <w:rPr>
          <w:color w:val="0D0D0D" w:themeColor="text1" w:themeTint="F2"/>
          <w:spacing w:val="-2"/>
        </w:rPr>
        <w:t xml:space="preserve"> Fever Rising,” </w:t>
      </w:r>
      <w:r w:rsidRPr="005F2563">
        <w:rPr>
          <w:color w:val="0D0D0D" w:themeColor="text1" w:themeTint="F2"/>
          <w:spacing w:val="-2"/>
        </w:rPr>
        <w:t>B&amp;C</w:t>
      </w:r>
      <w:r w:rsidRPr="00A23116">
        <w:rPr>
          <w:color w:val="0D0D0D" w:themeColor="text1" w:themeTint="F2"/>
          <w:spacing w:val="-2"/>
        </w:rPr>
        <w:t xml:space="preserve">, February 16, 2003, accessed March 4, 2018, </w:t>
      </w:r>
      <w:r w:rsidRPr="005345B3">
        <w:rPr>
          <w:rStyle w:val="Hyperlink"/>
          <w:color w:val="0D0D0D" w:themeColor="text1" w:themeTint="F2"/>
          <w:spacing w:val="-2"/>
          <w:u w:val="none"/>
        </w:rPr>
        <w:t>www.broadcastingcable.com/news/fin-syn-fever-rising-97885</w:t>
      </w:r>
      <w:r w:rsidRPr="00A23116">
        <w:rPr>
          <w:color w:val="0D0D0D" w:themeColor="text1" w:themeTint="F2"/>
        </w:rPr>
        <w:t>.</w:t>
      </w:r>
    </w:p>
  </w:footnote>
  <w:footnote w:id="7">
    <w:p w14:paraId="3325E834" w14:textId="6E8EFF8C"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Ibid.</w:t>
      </w:r>
    </w:p>
  </w:footnote>
  <w:footnote w:id="8">
    <w:p w14:paraId="5049D307" w14:textId="1426A02C"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w:t>
      </w:r>
      <w:r>
        <w:rPr>
          <w:color w:val="0D0D0D" w:themeColor="text1" w:themeTint="F2"/>
        </w:rPr>
        <w:t xml:space="preserve">United States Securities and Exchange Commission, </w:t>
      </w:r>
      <w:r w:rsidRPr="005F2563">
        <w:rPr>
          <w:i/>
          <w:color w:val="0D0D0D" w:themeColor="text1" w:themeTint="F2"/>
        </w:rPr>
        <w:t>Form 10-K, AMC Networks, Inc.</w:t>
      </w:r>
      <w:r>
        <w:rPr>
          <w:i/>
          <w:color w:val="0D0D0D" w:themeColor="text1" w:themeTint="F2"/>
        </w:rPr>
        <w:t>,</w:t>
      </w:r>
      <w:r w:rsidRPr="00A23116">
        <w:rPr>
          <w:color w:val="0D0D0D" w:themeColor="text1" w:themeTint="F2"/>
        </w:rPr>
        <w:t xml:space="preserve"> </w:t>
      </w:r>
      <w:r>
        <w:rPr>
          <w:color w:val="0D0D0D" w:themeColor="text1" w:themeTint="F2"/>
        </w:rPr>
        <w:t xml:space="preserve">December 31, </w:t>
      </w:r>
      <w:r w:rsidRPr="00A23116">
        <w:rPr>
          <w:color w:val="0D0D0D" w:themeColor="text1" w:themeTint="F2"/>
        </w:rPr>
        <w:t xml:space="preserve">2017, accessed April 1, 2018, </w:t>
      </w:r>
      <w:r w:rsidRPr="005345B3">
        <w:rPr>
          <w:rStyle w:val="Hyperlink"/>
          <w:color w:val="0D0D0D" w:themeColor="text1" w:themeTint="F2"/>
          <w:u w:val="none"/>
        </w:rPr>
        <w:t>http://files.shareholder.com/downloads/ABEA-66DSMZ/6166683545x0xS1514991-18-4/1514991/filing.pdf</w:t>
      </w:r>
      <w:r w:rsidRPr="00A23116">
        <w:rPr>
          <w:color w:val="0D0D0D" w:themeColor="text1" w:themeTint="F2"/>
        </w:rPr>
        <w:t>.</w:t>
      </w:r>
    </w:p>
  </w:footnote>
  <w:footnote w:id="9">
    <w:p w14:paraId="3B319FF7" w14:textId="5C066613"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Ibid.</w:t>
      </w:r>
    </w:p>
  </w:footnote>
  <w:footnote w:id="10">
    <w:p w14:paraId="79D29A33" w14:textId="4FD77A3A"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Ibid.</w:t>
      </w:r>
    </w:p>
  </w:footnote>
  <w:footnote w:id="11">
    <w:p w14:paraId="1F727DB5" w14:textId="72FE62F0"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Ibid</w:t>
      </w:r>
      <w:r>
        <w:rPr>
          <w:color w:val="0D0D0D" w:themeColor="text1" w:themeTint="F2"/>
        </w:rPr>
        <w:t>.</w:t>
      </w:r>
    </w:p>
  </w:footnote>
  <w:footnote w:id="12">
    <w:p w14:paraId="064D40E1" w14:textId="24268F38"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w:t>
      </w:r>
      <w:r>
        <w:rPr>
          <w:color w:val="0D0D0D" w:themeColor="text1" w:themeTint="F2"/>
        </w:rPr>
        <w:t>“</w:t>
      </w:r>
      <w:r w:rsidRPr="00A23116">
        <w:rPr>
          <w:color w:val="0D0D0D" w:themeColor="text1" w:themeTint="F2"/>
        </w:rPr>
        <w:t xml:space="preserve">Robert </w:t>
      </w:r>
      <w:proofErr w:type="spellStart"/>
      <w:r w:rsidRPr="00A23116">
        <w:rPr>
          <w:color w:val="0D0D0D" w:themeColor="text1" w:themeTint="F2"/>
        </w:rPr>
        <w:t>Kirkman</w:t>
      </w:r>
      <w:proofErr w:type="spellEnd"/>
      <w:r w:rsidRPr="00A23116">
        <w:rPr>
          <w:color w:val="0D0D0D" w:themeColor="text1" w:themeTint="F2"/>
        </w:rPr>
        <w:t xml:space="preserve"> and </w:t>
      </w:r>
      <w:r>
        <w:rPr>
          <w:color w:val="0D0D0D" w:themeColor="text1" w:themeTint="F2"/>
        </w:rPr>
        <w:t>O</w:t>
      </w:r>
      <w:r w:rsidRPr="00A23116">
        <w:rPr>
          <w:color w:val="0D0D0D" w:themeColor="text1" w:themeTint="F2"/>
        </w:rPr>
        <w:t xml:space="preserve">ther </w:t>
      </w:r>
      <w:r>
        <w:rPr>
          <w:color w:val="0D0D0D" w:themeColor="text1" w:themeTint="F2"/>
        </w:rPr>
        <w:t>P</w:t>
      </w:r>
      <w:r w:rsidRPr="00A23116">
        <w:rPr>
          <w:color w:val="0D0D0D" w:themeColor="text1" w:themeTint="F2"/>
        </w:rPr>
        <w:t>laintiffs v. AMC Networks</w:t>
      </w:r>
      <w:r>
        <w:rPr>
          <w:color w:val="0D0D0D" w:themeColor="text1" w:themeTint="F2"/>
        </w:rPr>
        <w:t xml:space="preserve">,” op. cit. </w:t>
      </w:r>
    </w:p>
  </w:footnote>
  <w:footnote w:id="13">
    <w:p w14:paraId="0306AB12" w14:textId="211B494E"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Ibid</w:t>
      </w:r>
      <w:r>
        <w:rPr>
          <w:color w:val="0D0D0D" w:themeColor="text1" w:themeTint="F2"/>
        </w:rPr>
        <w:t xml:space="preserve">. </w:t>
      </w:r>
    </w:p>
  </w:footnote>
  <w:footnote w:id="14">
    <w:p w14:paraId="5CBEAD16" w14:textId="2D3637C9"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Ibid</w:t>
      </w:r>
      <w:r>
        <w:rPr>
          <w:color w:val="0D0D0D" w:themeColor="text1" w:themeTint="F2"/>
        </w:rPr>
        <w:t>.</w:t>
      </w:r>
    </w:p>
  </w:footnote>
  <w:footnote w:id="15">
    <w:p w14:paraId="1A030B6C" w14:textId="0CEB84EC"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IBISWorld</w:t>
      </w:r>
      <w:r>
        <w:rPr>
          <w:color w:val="0D0D0D" w:themeColor="text1" w:themeTint="F2"/>
        </w:rPr>
        <w:t>,</w:t>
      </w:r>
      <w:r w:rsidRPr="00A23116">
        <w:rPr>
          <w:color w:val="0D0D0D" w:themeColor="text1" w:themeTint="F2"/>
        </w:rPr>
        <w:t xml:space="preserve"> </w:t>
      </w:r>
      <w:r w:rsidRPr="005F2563">
        <w:rPr>
          <w:i/>
          <w:color w:val="0D0D0D" w:themeColor="text1" w:themeTint="F2"/>
        </w:rPr>
        <w:t>Television Broadcasting in the US</w:t>
      </w:r>
      <w:r w:rsidRPr="00A23116">
        <w:rPr>
          <w:color w:val="0D0D0D" w:themeColor="text1" w:themeTint="F2"/>
        </w:rPr>
        <w:t xml:space="preserve">, industry </w:t>
      </w:r>
      <w:r>
        <w:rPr>
          <w:color w:val="0D0D0D" w:themeColor="text1" w:themeTint="F2"/>
        </w:rPr>
        <w:t>market research r</w:t>
      </w:r>
      <w:r w:rsidRPr="00A23116">
        <w:rPr>
          <w:color w:val="0D0D0D" w:themeColor="text1" w:themeTint="F2"/>
        </w:rPr>
        <w:t>eport</w:t>
      </w:r>
      <w:r>
        <w:rPr>
          <w:color w:val="0D0D0D" w:themeColor="text1" w:themeTint="F2"/>
        </w:rPr>
        <w:t xml:space="preserve">, </w:t>
      </w:r>
      <w:r w:rsidRPr="00A23116">
        <w:rPr>
          <w:color w:val="0D0D0D" w:themeColor="text1" w:themeTint="F2"/>
        </w:rPr>
        <w:t>August 2017</w:t>
      </w:r>
      <w:r>
        <w:rPr>
          <w:color w:val="0D0D0D" w:themeColor="text1" w:themeTint="F2"/>
        </w:rPr>
        <w:t>;</w:t>
      </w:r>
      <w:r w:rsidRPr="00A23116">
        <w:rPr>
          <w:color w:val="0D0D0D" w:themeColor="text1" w:themeTint="F2"/>
        </w:rPr>
        <w:t xml:space="preserve"> and IBISWorld</w:t>
      </w:r>
      <w:r>
        <w:rPr>
          <w:color w:val="0D0D0D" w:themeColor="text1" w:themeTint="F2"/>
        </w:rPr>
        <w:t xml:space="preserve">, </w:t>
      </w:r>
      <w:r w:rsidRPr="005F2563">
        <w:rPr>
          <w:i/>
          <w:color w:val="0D0D0D" w:themeColor="text1" w:themeTint="F2"/>
        </w:rPr>
        <w:t>Cable Network Industry in the US</w:t>
      </w:r>
      <w:r w:rsidRPr="00A23116">
        <w:rPr>
          <w:color w:val="0D0D0D" w:themeColor="text1" w:themeTint="F2"/>
        </w:rPr>
        <w:t xml:space="preserve">, </w:t>
      </w:r>
      <w:r>
        <w:rPr>
          <w:color w:val="0D0D0D" w:themeColor="text1" w:themeTint="F2"/>
        </w:rPr>
        <w:t>i</w:t>
      </w:r>
      <w:r w:rsidRPr="00A23116">
        <w:rPr>
          <w:color w:val="0D0D0D" w:themeColor="text1" w:themeTint="F2"/>
        </w:rPr>
        <w:t xml:space="preserve">ndustry </w:t>
      </w:r>
      <w:r>
        <w:rPr>
          <w:color w:val="0D0D0D" w:themeColor="text1" w:themeTint="F2"/>
        </w:rPr>
        <w:t>market research r</w:t>
      </w:r>
      <w:r w:rsidRPr="00A23116">
        <w:rPr>
          <w:color w:val="0D0D0D" w:themeColor="text1" w:themeTint="F2"/>
        </w:rPr>
        <w:t>eport</w:t>
      </w:r>
      <w:r>
        <w:rPr>
          <w:color w:val="0D0D0D" w:themeColor="text1" w:themeTint="F2"/>
        </w:rPr>
        <w:t xml:space="preserve">, </w:t>
      </w:r>
      <w:r w:rsidRPr="00A23116">
        <w:rPr>
          <w:color w:val="0D0D0D" w:themeColor="text1" w:themeTint="F2"/>
        </w:rPr>
        <w:t xml:space="preserve">October 2017. </w:t>
      </w:r>
    </w:p>
  </w:footnote>
  <w:footnote w:id="16">
    <w:p w14:paraId="01D9ED54" w14:textId="4B5C3482" w:rsidR="005C6BA3" w:rsidRPr="00A23116" w:rsidRDefault="005C6BA3" w:rsidP="00A23116">
      <w:pPr>
        <w:pStyle w:val="Footnote"/>
        <w:rPr>
          <w:color w:val="0D0D0D" w:themeColor="text1" w:themeTint="F2"/>
        </w:rPr>
      </w:pPr>
      <w:r w:rsidRPr="00A23116">
        <w:rPr>
          <w:rStyle w:val="FootnoteReference"/>
          <w:color w:val="0D0D0D" w:themeColor="text1" w:themeTint="F2"/>
          <w:spacing w:val="-6"/>
        </w:rPr>
        <w:footnoteRef/>
      </w:r>
      <w:r w:rsidRPr="00A23116">
        <w:rPr>
          <w:color w:val="0D0D0D" w:themeColor="text1" w:themeTint="F2"/>
          <w:spacing w:val="-6"/>
        </w:rPr>
        <w:t xml:space="preserve"> Jim Edwards, “</w:t>
      </w:r>
      <w:r w:rsidRPr="00FB6C44">
        <w:rPr>
          <w:color w:val="0D0D0D" w:themeColor="text1" w:themeTint="F2"/>
          <w:spacing w:val="-6"/>
        </w:rPr>
        <w:t>BRUTAL: 50% Decline in TV Viewership Shows Why Your Cable Bill Is So High</w:t>
      </w:r>
      <w:r w:rsidRPr="00A23116">
        <w:rPr>
          <w:color w:val="0D0D0D" w:themeColor="text1" w:themeTint="F2"/>
          <w:spacing w:val="-6"/>
        </w:rPr>
        <w:t xml:space="preserve">,” </w:t>
      </w:r>
      <w:r w:rsidRPr="00A23116">
        <w:rPr>
          <w:i/>
          <w:color w:val="0D0D0D" w:themeColor="text1" w:themeTint="F2"/>
          <w:spacing w:val="-6"/>
        </w:rPr>
        <w:t>Business Insider</w:t>
      </w:r>
      <w:r w:rsidRPr="00A23116">
        <w:rPr>
          <w:color w:val="0D0D0D" w:themeColor="text1" w:themeTint="F2"/>
          <w:spacing w:val="-6"/>
        </w:rPr>
        <w:t xml:space="preserve">, January 31, 2013, accessed April 1, 2018, </w:t>
      </w:r>
      <w:r w:rsidRPr="005345B3">
        <w:rPr>
          <w:rStyle w:val="Hyperlink"/>
          <w:color w:val="0D0D0D" w:themeColor="text1" w:themeTint="F2"/>
          <w:spacing w:val="-6"/>
          <w:u w:val="none"/>
        </w:rPr>
        <w:t>www.businessinsider.com/brutal-50-decline-in-tv-viewership-shows-why-your-cable-bill-is-so-high-2013-1</w:t>
      </w:r>
      <w:r w:rsidRPr="00A23116">
        <w:rPr>
          <w:color w:val="0D0D0D" w:themeColor="text1" w:themeTint="F2"/>
        </w:rPr>
        <w:t xml:space="preserve">. </w:t>
      </w:r>
    </w:p>
  </w:footnote>
  <w:footnote w:id="17">
    <w:p w14:paraId="207260BF" w14:textId="2B573240"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Robert </w:t>
      </w:r>
      <w:proofErr w:type="spellStart"/>
      <w:r w:rsidRPr="00A23116">
        <w:rPr>
          <w:color w:val="0D0D0D" w:themeColor="text1" w:themeTint="F2"/>
        </w:rPr>
        <w:t>Channick</w:t>
      </w:r>
      <w:proofErr w:type="spellEnd"/>
      <w:r w:rsidRPr="00A23116">
        <w:rPr>
          <w:color w:val="0D0D0D" w:themeColor="text1" w:themeTint="F2"/>
        </w:rPr>
        <w:t xml:space="preserve">, “Streaming Becomes </w:t>
      </w:r>
      <w:r>
        <w:rPr>
          <w:color w:val="0D0D0D" w:themeColor="text1" w:themeTint="F2"/>
        </w:rPr>
        <w:t>M</w:t>
      </w:r>
      <w:r w:rsidRPr="00A23116">
        <w:rPr>
          <w:color w:val="0D0D0D" w:themeColor="text1" w:themeTint="F2"/>
        </w:rPr>
        <w:t xml:space="preserve">ainstream as Cord-Cutting Accelerates,” </w:t>
      </w:r>
      <w:r w:rsidRPr="00A23116">
        <w:rPr>
          <w:i/>
          <w:color w:val="0D0D0D" w:themeColor="text1" w:themeTint="F2"/>
        </w:rPr>
        <w:t>Chicago Tribune</w:t>
      </w:r>
      <w:r w:rsidRPr="00A23116">
        <w:rPr>
          <w:color w:val="0D0D0D" w:themeColor="text1" w:themeTint="F2"/>
        </w:rPr>
        <w:t xml:space="preserve">, December 26, 2017, accessed April 1, 2018, </w:t>
      </w:r>
      <w:r w:rsidRPr="005345B3">
        <w:rPr>
          <w:rStyle w:val="Hyperlink"/>
          <w:color w:val="0D0D0D" w:themeColor="text1" w:themeTint="F2"/>
          <w:u w:val="none"/>
        </w:rPr>
        <w:t>www.chicagotribune.com/business/ct-biz-cord-cutting-accelerates-20171219-story.html</w:t>
      </w:r>
      <w:r w:rsidRPr="00A23116">
        <w:rPr>
          <w:color w:val="0D0D0D" w:themeColor="text1" w:themeTint="F2"/>
        </w:rPr>
        <w:t>.</w:t>
      </w:r>
    </w:p>
  </w:footnote>
  <w:footnote w:id="18">
    <w:p w14:paraId="5EF63FD3" w14:textId="52E1B43C"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Brian Lowry, “A Milestone Year, </w:t>
      </w:r>
      <w:r>
        <w:rPr>
          <w:color w:val="0D0D0D" w:themeColor="text1" w:themeTint="F2"/>
        </w:rPr>
        <w:t>f</w:t>
      </w:r>
      <w:r w:rsidRPr="00A23116">
        <w:rPr>
          <w:color w:val="0D0D0D" w:themeColor="text1" w:themeTint="F2"/>
        </w:rPr>
        <w:t xml:space="preserve">or a Decidedly Dubious Reason,” </w:t>
      </w:r>
      <w:r w:rsidRPr="00A23116">
        <w:rPr>
          <w:i/>
          <w:color w:val="0D0D0D" w:themeColor="text1" w:themeTint="F2"/>
        </w:rPr>
        <w:t>Los Angeles Times</w:t>
      </w:r>
      <w:r w:rsidRPr="00A23116">
        <w:rPr>
          <w:color w:val="0D0D0D" w:themeColor="text1" w:themeTint="F2"/>
        </w:rPr>
        <w:t>, May 23, 1997, accessed April 1, 2018, http</w:t>
      </w:r>
      <w:r w:rsidRPr="005345B3">
        <w:rPr>
          <w:rStyle w:val="Hyperlink"/>
          <w:color w:val="0D0D0D" w:themeColor="text1" w:themeTint="F2"/>
          <w:u w:val="none"/>
        </w:rPr>
        <w:t>://articles.latimes.com/1997-05-23/entertainment/ca-61847_1_recent-years/2</w:t>
      </w:r>
      <w:r w:rsidRPr="00A23116">
        <w:rPr>
          <w:color w:val="0D0D0D" w:themeColor="text1" w:themeTint="F2"/>
        </w:rPr>
        <w:t xml:space="preserve">. </w:t>
      </w:r>
    </w:p>
  </w:footnote>
  <w:footnote w:id="19">
    <w:p w14:paraId="27FB7A97" w14:textId="4B2F7E9E"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Tim Surette, “What Were the Most Watched Shows of the 2016-2017 Season?” </w:t>
      </w:r>
      <w:r w:rsidRPr="00A23116">
        <w:rPr>
          <w:i/>
          <w:color w:val="0D0D0D" w:themeColor="text1" w:themeTint="F2"/>
        </w:rPr>
        <w:t>TV Guide</w:t>
      </w:r>
      <w:r w:rsidRPr="00A23116">
        <w:rPr>
          <w:color w:val="0D0D0D" w:themeColor="text1" w:themeTint="F2"/>
        </w:rPr>
        <w:t xml:space="preserve">, May 26, 2017, accessed April 1, 2018, </w:t>
      </w:r>
      <w:r w:rsidRPr="005345B3">
        <w:rPr>
          <w:rStyle w:val="Hyperlink"/>
          <w:color w:val="0D0D0D" w:themeColor="text1" w:themeTint="F2"/>
          <w:u w:val="none"/>
        </w:rPr>
        <w:t>www.tvguide.com/news/most-watched-highest-rated-shows-tv-2016-2017-season</w:t>
      </w:r>
      <w:r w:rsidRPr="00A23116">
        <w:rPr>
          <w:color w:val="0D0D0D" w:themeColor="text1" w:themeTint="F2"/>
        </w:rPr>
        <w:t>.</w:t>
      </w:r>
    </w:p>
  </w:footnote>
  <w:footnote w:id="20">
    <w:p w14:paraId="2FA9257E" w14:textId="53854961"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Rani </w:t>
      </w:r>
      <w:proofErr w:type="spellStart"/>
      <w:r w:rsidRPr="00A23116">
        <w:rPr>
          <w:color w:val="0D0D0D" w:themeColor="text1" w:themeTint="F2"/>
        </w:rPr>
        <w:t>Molla</w:t>
      </w:r>
      <w:proofErr w:type="spellEnd"/>
      <w:r w:rsidRPr="00A23116">
        <w:rPr>
          <w:color w:val="0D0D0D" w:themeColor="text1" w:themeTint="F2"/>
        </w:rPr>
        <w:t>, “Netflix Now Has Nearly 118 Million Streaming Subscribers Globally,”</w:t>
      </w:r>
      <w:r>
        <w:rPr>
          <w:color w:val="0D0D0D" w:themeColor="text1" w:themeTint="F2"/>
        </w:rPr>
        <w:t xml:space="preserve"> Recode, </w:t>
      </w:r>
      <w:r w:rsidRPr="00A23116">
        <w:rPr>
          <w:color w:val="0D0D0D" w:themeColor="text1" w:themeTint="F2"/>
        </w:rPr>
        <w:t>accessed April 4, 2018</w:t>
      </w:r>
      <w:r>
        <w:rPr>
          <w:color w:val="0D0D0D" w:themeColor="text1" w:themeTint="F2"/>
        </w:rPr>
        <w:t xml:space="preserve">, </w:t>
      </w:r>
      <w:r w:rsidRPr="005345B3">
        <w:rPr>
          <w:rStyle w:val="Hyperlink"/>
          <w:color w:val="0D0D0D" w:themeColor="text1" w:themeTint="F2"/>
          <w:u w:val="none"/>
        </w:rPr>
        <w:t>www.recode.net/2018/1/22/16920150/netflix-q4-2017-earnings-subscribers</w:t>
      </w:r>
      <w:r w:rsidRPr="00A23116">
        <w:rPr>
          <w:color w:val="0D0D0D" w:themeColor="text1" w:themeTint="F2"/>
        </w:rPr>
        <w:t>, accessed April 4, 2018.</w:t>
      </w:r>
    </w:p>
  </w:footnote>
  <w:footnote w:id="21">
    <w:p w14:paraId="39ECC903" w14:textId="765C57C6"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Alina </w:t>
      </w:r>
      <w:proofErr w:type="spellStart"/>
      <w:r w:rsidRPr="00A23116">
        <w:rPr>
          <w:color w:val="0D0D0D" w:themeColor="text1" w:themeTint="F2"/>
        </w:rPr>
        <w:t>Selyukh</w:t>
      </w:r>
      <w:proofErr w:type="spellEnd"/>
      <w:r w:rsidRPr="00A23116">
        <w:rPr>
          <w:color w:val="0D0D0D" w:themeColor="text1" w:themeTint="F2"/>
        </w:rPr>
        <w:t>, “Long Kept Secret, Amazon Says Number of Prime Customers Topped 100 Million,</w:t>
      </w:r>
      <w:r>
        <w:rPr>
          <w:color w:val="0D0D0D" w:themeColor="text1" w:themeTint="F2"/>
        </w:rPr>
        <w:t xml:space="preserve"> National Public Radio, </w:t>
      </w:r>
      <w:r w:rsidRPr="00A23116">
        <w:rPr>
          <w:color w:val="0D0D0D" w:themeColor="text1" w:themeTint="F2"/>
        </w:rPr>
        <w:t>www.npr.org</w:t>
      </w:r>
      <w:r w:rsidRPr="005345B3">
        <w:rPr>
          <w:rStyle w:val="Hyperlink"/>
          <w:color w:val="0D0D0D" w:themeColor="text1" w:themeTint="F2"/>
          <w:u w:val="none"/>
        </w:rPr>
        <w:t>/sections/thetwo-way/2018/04/18/603750056/long-kept-secret-amazon-says-number-of-prime-customers-topped-100-million</w:t>
      </w:r>
      <w:r w:rsidRPr="00A23116">
        <w:rPr>
          <w:color w:val="0D0D0D" w:themeColor="text1" w:themeTint="F2"/>
        </w:rPr>
        <w:t>.</w:t>
      </w:r>
    </w:p>
  </w:footnote>
  <w:footnote w:id="22">
    <w:p w14:paraId="410099FD" w14:textId="12CB10E2"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Hulu</w:t>
      </w:r>
      <w:r>
        <w:rPr>
          <w:color w:val="0D0D0D" w:themeColor="text1" w:themeTint="F2"/>
        </w:rPr>
        <w:t>, “</w:t>
      </w:r>
      <w:r w:rsidRPr="00CD17D7">
        <w:rPr>
          <w:color w:val="0D0D0D" w:themeColor="text1" w:themeTint="F2"/>
        </w:rPr>
        <w:t xml:space="preserve">Hulu Surges Past 20 Million </w:t>
      </w:r>
      <w:r w:rsidR="00965CF6">
        <w:rPr>
          <w:color w:val="0D0D0D" w:themeColor="text1" w:themeTint="F2"/>
        </w:rPr>
        <w:t>US</w:t>
      </w:r>
      <w:r w:rsidRPr="00CD17D7">
        <w:rPr>
          <w:color w:val="0D0D0D" w:themeColor="text1" w:themeTint="F2"/>
        </w:rPr>
        <w:t xml:space="preserve"> Subscribers </w:t>
      </w:r>
      <w:r>
        <w:rPr>
          <w:color w:val="0D0D0D" w:themeColor="text1" w:themeTint="F2"/>
        </w:rPr>
        <w:t>a</w:t>
      </w:r>
      <w:r w:rsidRPr="00CD17D7">
        <w:rPr>
          <w:color w:val="0D0D0D" w:themeColor="text1" w:themeTint="F2"/>
        </w:rPr>
        <w:t xml:space="preserve">nd Announces Plans </w:t>
      </w:r>
      <w:r>
        <w:rPr>
          <w:color w:val="0D0D0D" w:themeColor="text1" w:themeTint="F2"/>
        </w:rPr>
        <w:t>t</w:t>
      </w:r>
      <w:r w:rsidRPr="00CD17D7">
        <w:rPr>
          <w:color w:val="0D0D0D" w:themeColor="text1" w:themeTint="F2"/>
        </w:rPr>
        <w:t xml:space="preserve">o Offer Advertising </w:t>
      </w:r>
      <w:r>
        <w:rPr>
          <w:color w:val="0D0D0D" w:themeColor="text1" w:themeTint="F2"/>
        </w:rPr>
        <w:t>i</w:t>
      </w:r>
      <w:r w:rsidRPr="00CD17D7">
        <w:rPr>
          <w:color w:val="0D0D0D" w:themeColor="text1" w:themeTint="F2"/>
        </w:rPr>
        <w:t>n Live T</w:t>
      </w:r>
      <w:r>
        <w:rPr>
          <w:color w:val="0D0D0D" w:themeColor="text1" w:themeTint="F2"/>
        </w:rPr>
        <w:t>V</w:t>
      </w:r>
      <w:r w:rsidRPr="00CD17D7">
        <w:rPr>
          <w:color w:val="0D0D0D" w:themeColor="text1" w:themeTint="F2"/>
        </w:rPr>
        <w:t xml:space="preserve"> </w:t>
      </w:r>
      <w:r>
        <w:rPr>
          <w:color w:val="0D0D0D" w:themeColor="text1" w:themeTint="F2"/>
        </w:rPr>
        <w:t>t</w:t>
      </w:r>
      <w:r w:rsidRPr="00CD17D7">
        <w:rPr>
          <w:color w:val="0D0D0D" w:themeColor="text1" w:themeTint="F2"/>
        </w:rPr>
        <w:t>his Quarter</w:t>
      </w:r>
      <w:r>
        <w:rPr>
          <w:color w:val="0D0D0D" w:themeColor="text1" w:themeTint="F2"/>
        </w:rPr>
        <w:t>,” p</w:t>
      </w:r>
      <w:r w:rsidRPr="00A23116">
        <w:rPr>
          <w:color w:val="0D0D0D" w:themeColor="text1" w:themeTint="F2"/>
        </w:rPr>
        <w:t xml:space="preserve">ress </w:t>
      </w:r>
      <w:r>
        <w:rPr>
          <w:color w:val="0D0D0D" w:themeColor="text1" w:themeTint="F2"/>
        </w:rPr>
        <w:t>r</w:t>
      </w:r>
      <w:r w:rsidRPr="00A23116">
        <w:rPr>
          <w:color w:val="0D0D0D" w:themeColor="text1" w:themeTint="F2"/>
        </w:rPr>
        <w:t>elease, accessed May 5, 2018</w:t>
      </w:r>
      <w:r>
        <w:rPr>
          <w:color w:val="0D0D0D" w:themeColor="text1" w:themeTint="F2"/>
        </w:rPr>
        <w:t xml:space="preserve">, </w:t>
      </w:r>
      <w:r w:rsidRPr="005345B3">
        <w:rPr>
          <w:rStyle w:val="Hyperlink"/>
          <w:color w:val="0D0D0D" w:themeColor="text1" w:themeTint="F2"/>
          <w:u w:val="none"/>
        </w:rPr>
        <w:t>www.hulu.com/press/hulu-surges-past-20-million-u-s-subscribers-and-announces-plans-to-offer-advertising-in-live-tv-this-quarter</w:t>
      </w:r>
      <w:r w:rsidRPr="00A23116">
        <w:rPr>
          <w:color w:val="0D0D0D" w:themeColor="text1" w:themeTint="F2"/>
        </w:rPr>
        <w:t>.</w:t>
      </w:r>
    </w:p>
  </w:footnote>
  <w:footnote w:id="23">
    <w:p w14:paraId="33738942" w14:textId="5A6855A4"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Willa Paskin, “Network TV </w:t>
      </w:r>
      <w:r>
        <w:rPr>
          <w:color w:val="0D0D0D" w:themeColor="text1" w:themeTint="F2"/>
        </w:rPr>
        <w:t>I</w:t>
      </w:r>
      <w:r w:rsidRPr="00A23116">
        <w:rPr>
          <w:color w:val="0D0D0D" w:themeColor="text1" w:themeTint="F2"/>
        </w:rPr>
        <w:t xml:space="preserve">s Broken, So How Does Shonda </w:t>
      </w:r>
      <w:proofErr w:type="spellStart"/>
      <w:r w:rsidRPr="00A23116">
        <w:rPr>
          <w:color w:val="0D0D0D" w:themeColor="text1" w:themeTint="F2"/>
        </w:rPr>
        <w:t>Rhimes</w:t>
      </w:r>
      <w:proofErr w:type="spellEnd"/>
      <w:r w:rsidRPr="00A23116">
        <w:rPr>
          <w:color w:val="0D0D0D" w:themeColor="text1" w:themeTint="F2"/>
        </w:rPr>
        <w:t xml:space="preserve"> Keep Making Hits?” </w:t>
      </w:r>
      <w:r w:rsidRPr="00A23116">
        <w:rPr>
          <w:i/>
          <w:color w:val="0D0D0D" w:themeColor="text1" w:themeTint="F2"/>
        </w:rPr>
        <w:t>The New York Times</w:t>
      </w:r>
      <w:r w:rsidRPr="00A23116">
        <w:rPr>
          <w:color w:val="0D0D0D" w:themeColor="text1" w:themeTint="F2"/>
        </w:rPr>
        <w:t xml:space="preserve">, May 9, 2013, accessed April 1, 2018, </w:t>
      </w:r>
      <w:r w:rsidRPr="005345B3">
        <w:rPr>
          <w:rStyle w:val="Hyperlink"/>
          <w:color w:val="0D0D0D" w:themeColor="text1" w:themeTint="F2"/>
          <w:u w:val="none"/>
        </w:rPr>
        <w:t>www.nytimes.com/2013/05/12/magazine/shonda-rhimes.html</w:t>
      </w:r>
      <w:r>
        <w:rPr>
          <w:rStyle w:val="Hyperlink"/>
          <w:color w:val="0D0D0D" w:themeColor="text1" w:themeTint="F2"/>
          <w:u w:val="none"/>
        </w:rPr>
        <w:t>.</w:t>
      </w:r>
    </w:p>
  </w:footnote>
  <w:footnote w:id="24">
    <w:p w14:paraId="5496E904" w14:textId="68B7DCC0"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Ibid</w:t>
      </w:r>
      <w:r>
        <w:rPr>
          <w:color w:val="0D0D0D" w:themeColor="text1" w:themeTint="F2"/>
        </w:rPr>
        <w:t>.</w:t>
      </w:r>
    </w:p>
  </w:footnote>
  <w:footnote w:id="25">
    <w:p w14:paraId="759AACC6" w14:textId="41226BD6"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Ibid</w:t>
      </w:r>
      <w:r>
        <w:rPr>
          <w:color w:val="0D0D0D" w:themeColor="text1" w:themeTint="F2"/>
        </w:rPr>
        <w:t>.</w:t>
      </w:r>
    </w:p>
  </w:footnote>
  <w:footnote w:id="26">
    <w:p w14:paraId="49E3116E" w14:textId="72C039DA" w:rsidR="005C6BA3" w:rsidRPr="00A23116" w:rsidRDefault="005C6BA3" w:rsidP="00A2311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Andrew Wallenstein, “Netflix Lures Shonda </w:t>
      </w:r>
      <w:proofErr w:type="spellStart"/>
      <w:r w:rsidRPr="00A23116">
        <w:rPr>
          <w:color w:val="0D0D0D" w:themeColor="text1" w:themeTint="F2"/>
        </w:rPr>
        <w:t>Rhimes</w:t>
      </w:r>
      <w:proofErr w:type="spellEnd"/>
      <w:r w:rsidRPr="00A23116">
        <w:rPr>
          <w:color w:val="0D0D0D" w:themeColor="text1" w:themeTint="F2"/>
        </w:rPr>
        <w:t xml:space="preserve"> Away from ABC Studios,” </w:t>
      </w:r>
      <w:r w:rsidRPr="00A23116">
        <w:rPr>
          <w:i/>
          <w:color w:val="0D0D0D" w:themeColor="text1" w:themeTint="F2"/>
        </w:rPr>
        <w:t>Variety</w:t>
      </w:r>
      <w:r w:rsidRPr="00A23116">
        <w:rPr>
          <w:color w:val="0D0D0D" w:themeColor="text1" w:themeTint="F2"/>
        </w:rPr>
        <w:t xml:space="preserve">, August 13, 2017, accessed April 1, 2018, </w:t>
      </w:r>
      <w:r w:rsidRPr="005345B3">
        <w:rPr>
          <w:rStyle w:val="Hyperlink"/>
          <w:color w:val="0D0D0D" w:themeColor="text1" w:themeTint="F2"/>
          <w:u w:val="none"/>
        </w:rPr>
        <w:t>http://variety.com/2017/digital/news/netflix-lures-shonda-rhimes-away-from-abc-studios-report-1202526464</w:t>
      </w:r>
      <w:r w:rsidRPr="00A23116">
        <w:rPr>
          <w:color w:val="0D0D0D" w:themeColor="text1" w:themeTint="F2"/>
        </w:rPr>
        <w:t xml:space="preserve">. </w:t>
      </w:r>
    </w:p>
  </w:footnote>
  <w:footnote w:id="27">
    <w:p w14:paraId="6F256EDB" w14:textId="77777777" w:rsidR="00965CF6" w:rsidRPr="00A23116" w:rsidRDefault="00965CF6" w:rsidP="00965CF6">
      <w:pPr>
        <w:pStyle w:val="Footnote"/>
        <w:rPr>
          <w:color w:val="0D0D0D" w:themeColor="text1" w:themeTint="F2"/>
        </w:rPr>
      </w:pPr>
      <w:r w:rsidRPr="00A23116">
        <w:rPr>
          <w:rStyle w:val="FootnoteReference"/>
          <w:color w:val="0D0D0D" w:themeColor="text1" w:themeTint="F2"/>
        </w:rPr>
        <w:footnoteRef/>
      </w:r>
      <w:r w:rsidRPr="00A23116">
        <w:rPr>
          <w:color w:val="0D0D0D" w:themeColor="text1" w:themeTint="F2"/>
        </w:rPr>
        <w:t xml:space="preserve"> Jonathan </w:t>
      </w:r>
      <w:proofErr w:type="spellStart"/>
      <w:r w:rsidRPr="00A23116">
        <w:rPr>
          <w:color w:val="0D0D0D" w:themeColor="text1" w:themeTint="F2"/>
        </w:rPr>
        <w:t>Stempel</w:t>
      </w:r>
      <w:proofErr w:type="spellEnd"/>
      <w:r w:rsidRPr="00A23116">
        <w:rPr>
          <w:color w:val="0D0D0D" w:themeColor="text1" w:themeTint="F2"/>
        </w:rPr>
        <w:t>, “</w:t>
      </w:r>
      <w:proofErr w:type="spellStart"/>
      <w:r w:rsidRPr="00A23116">
        <w:rPr>
          <w:color w:val="0D0D0D" w:themeColor="text1" w:themeTint="F2"/>
        </w:rPr>
        <w:t>Darabont</w:t>
      </w:r>
      <w:proofErr w:type="spellEnd"/>
      <w:r w:rsidRPr="00A23116">
        <w:rPr>
          <w:color w:val="0D0D0D" w:themeColor="text1" w:themeTint="F2"/>
        </w:rPr>
        <w:t xml:space="preserve"> Files New Lawsuit </w:t>
      </w:r>
      <w:proofErr w:type="gramStart"/>
      <w:r w:rsidRPr="00A23116">
        <w:rPr>
          <w:color w:val="0D0D0D" w:themeColor="text1" w:themeTint="F2"/>
        </w:rPr>
        <w:t>Against</w:t>
      </w:r>
      <w:proofErr w:type="gramEnd"/>
      <w:r w:rsidRPr="00A23116">
        <w:rPr>
          <w:color w:val="0D0D0D" w:themeColor="text1" w:themeTint="F2"/>
        </w:rPr>
        <w:t xml:space="preserve"> AMC Networks </w:t>
      </w:r>
      <w:r>
        <w:rPr>
          <w:color w:val="0D0D0D" w:themeColor="text1" w:themeTint="F2"/>
        </w:rPr>
        <w:t>o</w:t>
      </w:r>
      <w:r w:rsidRPr="00A23116">
        <w:rPr>
          <w:color w:val="0D0D0D" w:themeColor="text1" w:themeTint="F2"/>
        </w:rPr>
        <w:t xml:space="preserve">ver </w:t>
      </w:r>
      <w:r>
        <w:rPr>
          <w:color w:val="0D0D0D" w:themeColor="text1" w:themeTint="F2"/>
        </w:rPr>
        <w:t>‘</w:t>
      </w:r>
      <w:r w:rsidRPr="00A23116">
        <w:rPr>
          <w:color w:val="0D0D0D" w:themeColor="text1" w:themeTint="F2"/>
        </w:rPr>
        <w:t>The Walking Dead,</w:t>
      </w:r>
      <w:r>
        <w:rPr>
          <w:color w:val="0D0D0D" w:themeColor="text1" w:themeTint="F2"/>
        </w:rPr>
        <w:t>’</w:t>
      </w:r>
      <w:r w:rsidRPr="00A23116">
        <w:rPr>
          <w:color w:val="0D0D0D" w:themeColor="text1" w:themeTint="F2"/>
        </w:rPr>
        <w:t xml:space="preserve">” </w:t>
      </w:r>
      <w:r>
        <w:rPr>
          <w:color w:val="0D0D0D" w:themeColor="text1" w:themeTint="F2"/>
        </w:rPr>
        <w:t xml:space="preserve">Yahoo! Finance, </w:t>
      </w:r>
      <w:r w:rsidRPr="005345B3">
        <w:rPr>
          <w:rStyle w:val="Hyperlink"/>
          <w:color w:val="0D0D0D" w:themeColor="text1" w:themeTint="F2"/>
          <w:u w:val="none"/>
        </w:rPr>
        <w:t>https://finance.yahoo.com/news/darabont-files-lawsuit-against-amc-222754003.html</w:t>
      </w:r>
      <w:r w:rsidRPr="00A23116">
        <w:rPr>
          <w:color w:val="0D0D0D" w:themeColor="text1" w:themeTint="F2"/>
        </w:rPr>
        <w:t>, accessed May 4, 2018.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7F6B08C" w:rsidR="00CD17D7" w:rsidRPr="00C92CC4" w:rsidRDefault="00CD17D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65CF6">
      <w:rPr>
        <w:rFonts w:ascii="Arial" w:hAnsi="Arial"/>
        <w:b/>
        <w:noProof/>
      </w:rPr>
      <w:t>6</w:t>
    </w:r>
    <w:r>
      <w:rPr>
        <w:rFonts w:ascii="Arial" w:hAnsi="Arial"/>
        <w:b/>
      </w:rPr>
      <w:fldChar w:fldCharType="end"/>
    </w:r>
    <w:r>
      <w:rPr>
        <w:rFonts w:ascii="Arial" w:hAnsi="Arial"/>
        <w:b/>
      </w:rPr>
      <w:tab/>
    </w:r>
    <w:r w:rsidR="005C6BA3">
      <w:rPr>
        <w:rFonts w:ascii="Arial" w:hAnsi="Arial"/>
        <w:b/>
      </w:rPr>
      <w:t>9B18M203</w:t>
    </w:r>
  </w:p>
  <w:p w14:paraId="2B53C0A0" w14:textId="77777777" w:rsidR="00CD17D7" w:rsidRDefault="00CD17D7" w:rsidP="00D13667">
    <w:pPr>
      <w:pStyle w:val="Header"/>
      <w:tabs>
        <w:tab w:val="clear" w:pos="4680"/>
      </w:tabs>
      <w:rPr>
        <w:sz w:val="18"/>
        <w:szCs w:val="18"/>
      </w:rPr>
    </w:pPr>
  </w:p>
  <w:p w14:paraId="47119730" w14:textId="77777777" w:rsidR="00CD17D7" w:rsidRPr="00C92CC4" w:rsidRDefault="00CD17D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111A"/>
    <w:rsid w:val="00013360"/>
    <w:rsid w:val="0001544D"/>
    <w:rsid w:val="000159FD"/>
    <w:rsid w:val="00016759"/>
    <w:rsid w:val="000216CE"/>
    <w:rsid w:val="00024ED4"/>
    <w:rsid w:val="00025DC7"/>
    <w:rsid w:val="000327DD"/>
    <w:rsid w:val="00035F09"/>
    <w:rsid w:val="00037950"/>
    <w:rsid w:val="00044ECC"/>
    <w:rsid w:val="00046B36"/>
    <w:rsid w:val="000531D3"/>
    <w:rsid w:val="00053989"/>
    <w:rsid w:val="0005646B"/>
    <w:rsid w:val="000631DD"/>
    <w:rsid w:val="000800D0"/>
    <w:rsid w:val="0008102D"/>
    <w:rsid w:val="00086B26"/>
    <w:rsid w:val="00094C0E"/>
    <w:rsid w:val="000A146D"/>
    <w:rsid w:val="000B0D2D"/>
    <w:rsid w:val="000D2A2F"/>
    <w:rsid w:val="000D7091"/>
    <w:rsid w:val="000F0C22"/>
    <w:rsid w:val="000F6B09"/>
    <w:rsid w:val="000F6FDC"/>
    <w:rsid w:val="00104567"/>
    <w:rsid w:val="00104916"/>
    <w:rsid w:val="0010499E"/>
    <w:rsid w:val="00104AA7"/>
    <w:rsid w:val="0012732D"/>
    <w:rsid w:val="00133A94"/>
    <w:rsid w:val="00143858"/>
    <w:rsid w:val="00143F25"/>
    <w:rsid w:val="00145555"/>
    <w:rsid w:val="00152682"/>
    <w:rsid w:val="00154FC9"/>
    <w:rsid w:val="0016022E"/>
    <w:rsid w:val="0016263D"/>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2C39"/>
    <w:rsid w:val="00233111"/>
    <w:rsid w:val="00265FA8"/>
    <w:rsid w:val="00266AEC"/>
    <w:rsid w:val="002C4E29"/>
    <w:rsid w:val="002F460C"/>
    <w:rsid w:val="002F48D6"/>
    <w:rsid w:val="00317391"/>
    <w:rsid w:val="00326216"/>
    <w:rsid w:val="00336580"/>
    <w:rsid w:val="00354899"/>
    <w:rsid w:val="00355FD6"/>
    <w:rsid w:val="00364A5C"/>
    <w:rsid w:val="00373FB1"/>
    <w:rsid w:val="00396C76"/>
    <w:rsid w:val="003B30D8"/>
    <w:rsid w:val="003B7EF2"/>
    <w:rsid w:val="003C28E7"/>
    <w:rsid w:val="003C3FA4"/>
    <w:rsid w:val="003C6860"/>
    <w:rsid w:val="003D0BA1"/>
    <w:rsid w:val="003F0012"/>
    <w:rsid w:val="003F2B0C"/>
    <w:rsid w:val="004105B2"/>
    <w:rsid w:val="0041145A"/>
    <w:rsid w:val="00412054"/>
    <w:rsid w:val="00412900"/>
    <w:rsid w:val="00414963"/>
    <w:rsid w:val="00417F51"/>
    <w:rsid w:val="00421463"/>
    <w:rsid w:val="004221E4"/>
    <w:rsid w:val="00425404"/>
    <w:rsid w:val="0042675E"/>
    <w:rsid w:val="004273F8"/>
    <w:rsid w:val="004355A3"/>
    <w:rsid w:val="004366B5"/>
    <w:rsid w:val="00444BBF"/>
    <w:rsid w:val="00446546"/>
    <w:rsid w:val="0044783D"/>
    <w:rsid w:val="00452769"/>
    <w:rsid w:val="00454F78"/>
    <w:rsid w:val="00454FA7"/>
    <w:rsid w:val="00465348"/>
    <w:rsid w:val="004979A5"/>
    <w:rsid w:val="004A25E0"/>
    <w:rsid w:val="004B1CCB"/>
    <w:rsid w:val="004B632F"/>
    <w:rsid w:val="004C3615"/>
    <w:rsid w:val="004D3FB1"/>
    <w:rsid w:val="004D6F21"/>
    <w:rsid w:val="004D73A5"/>
    <w:rsid w:val="00512423"/>
    <w:rsid w:val="005128F7"/>
    <w:rsid w:val="005160F1"/>
    <w:rsid w:val="005223FE"/>
    <w:rsid w:val="00524F2F"/>
    <w:rsid w:val="00527E5C"/>
    <w:rsid w:val="00532CF5"/>
    <w:rsid w:val="005341B8"/>
    <w:rsid w:val="005345B3"/>
    <w:rsid w:val="005528CB"/>
    <w:rsid w:val="00563E4B"/>
    <w:rsid w:val="00566771"/>
    <w:rsid w:val="0057128E"/>
    <w:rsid w:val="00581E2E"/>
    <w:rsid w:val="00582B77"/>
    <w:rsid w:val="00584F15"/>
    <w:rsid w:val="0059514B"/>
    <w:rsid w:val="005A1B0F"/>
    <w:rsid w:val="005B434C"/>
    <w:rsid w:val="005B5EFE"/>
    <w:rsid w:val="005C3C6A"/>
    <w:rsid w:val="005C6BA3"/>
    <w:rsid w:val="005D04EE"/>
    <w:rsid w:val="005E28AF"/>
    <w:rsid w:val="005F1392"/>
    <w:rsid w:val="005F2563"/>
    <w:rsid w:val="0061633C"/>
    <w:rsid w:val="006163F7"/>
    <w:rsid w:val="00627C63"/>
    <w:rsid w:val="0063350B"/>
    <w:rsid w:val="006417EF"/>
    <w:rsid w:val="00652606"/>
    <w:rsid w:val="00670716"/>
    <w:rsid w:val="00673496"/>
    <w:rsid w:val="00673C01"/>
    <w:rsid w:val="0067450F"/>
    <w:rsid w:val="0069073B"/>
    <w:rsid w:val="00691B76"/>
    <w:rsid w:val="006946EE"/>
    <w:rsid w:val="006A1626"/>
    <w:rsid w:val="006A58A9"/>
    <w:rsid w:val="006A5D76"/>
    <w:rsid w:val="006A606D"/>
    <w:rsid w:val="006C0371"/>
    <w:rsid w:val="006C08B6"/>
    <w:rsid w:val="006C0B1A"/>
    <w:rsid w:val="006C6065"/>
    <w:rsid w:val="006C7F9F"/>
    <w:rsid w:val="006E2F6D"/>
    <w:rsid w:val="006E58F6"/>
    <w:rsid w:val="006E77E1"/>
    <w:rsid w:val="006F131D"/>
    <w:rsid w:val="00711642"/>
    <w:rsid w:val="00732A28"/>
    <w:rsid w:val="007507C6"/>
    <w:rsid w:val="00751E0B"/>
    <w:rsid w:val="00752BCD"/>
    <w:rsid w:val="00766570"/>
    <w:rsid w:val="00766DA1"/>
    <w:rsid w:val="00780D94"/>
    <w:rsid w:val="007866A6"/>
    <w:rsid w:val="007A130D"/>
    <w:rsid w:val="007D1A2D"/>
    <w:rsid w:val="007D4102"/>
    <w:rsid w:val="007E54A7"/>
    <w:rsid w:val="007E6C8A"/>
    <w:rsid w:val="007F43B7"/>
    <w:rsid w:val="0081311D"/>
    <w:rsid w:val="00821FFC"/>
    <w:rsid w:val="00822575"/>
    <w:rsid w:val="008271CA"/>
    <w:rsid w:val="008340A7"/>
    <w:rsid w:val="00835A8B"/>
    <w:rsid w:val="00840307"/>
    <w:rsid w:val="008467D5"/>
    <w:rsid w:val="0087508F"/>
    <w:rsid w:val="008A4DC4"/>
    <w:rsid w:val="008B438C"/>
    <w:rsid w:val="008D06CA"/>
    <w:rsid w:val="008D0AA1"/>
    <w:rsid w:val="008D3A46"/>
    <w:rsid w:val="008D7D73"/>
    <w:rsid w:val="008F2385"/>
    <w:rsid w:val="009067A4"/>
    <w:rsid w:val="00910F01"/>
    <w:rsid w:val="00915E4B"/>
    <w:rsid w:val="00930885"/>
    <w:rsid w:val="00932A27"/>
    <w:rsid w:val="00933D68"/>
    <w:rsid w:val="009340DB"/>
    <w:rsid w:val="009341FF"/>
    <w:rsid w:val="0094618C"/>
    <w:rsid w:val="009548BB"/>
    <w:rsid w:val="0095684B"/>
    <w:rsid w:val="00965CF6"/>
    <w:rsid w:val="00972498"/>
    <w:rsid w:val="0097481F"/>
    <w:rsid w:val="00974CC6"/>
    <w:rsid w:val="00976AD4"/>
    <w:rsid w:val="00995547"/>
    <w:rsid w:val="009A2A5B"/>
    <w:rsid w:val="009A312F"/>
    <w:rsid w:val="009A5348"/>
    <w:rsid w:val="009A5731"/>
    <w:rsid w:val="009B0AB7"/>
    <w:rsid w:val="009B5053"/>
    <w:rsid w:val="009C76D5"/>
    <w:rsid w:val="009F544D"/>
    <w:rsid w:val="009F7AA4"/>
    <w:rsid w:val="00A01A19"/>
    <w:rsid w:val="00A02D6D"/>
    <w:rsid w:val="00A10AD7"/>
    <w:rsid w:val="00A23116"/>
    <w:rsid w:val="00A559DB"/>
    <w:rsid w:val="00A569EA"/>
    <w:rsid w:val="00A676A0"/>
    <w:rsid w:val="00A871D2"/>
    <w:rsid w:val="00A872E1"/>
    <w:rsid w:val="00AA5DAC"/>
    <w:rsid w:val="00AC6FDC"/>
    <w:rsid w:val="00AD23FD"/>
    <w:rsid w:val="00AE391B"/>
    <w:rsid w:val="00AF35FC"/>
    <w:rsid w:val="00AF5556"/>
    <w:rsid w:val="00B0318F"/>
    <w:rsid w:val="00B03639"/>
    <w:rsid w:val="00B0652A"/>
    <w:rsid w:val="00B1044B"/>
    <w:rsid w:val="00B312BD"/>
    <w:rsid w:val="00B40937"/>
    <w:rsid w:val="00B423EF"/>
    <w:rsid w:val="00B453DE"/>
    <w:rsid w:val="00B62497"/>
    <w:rsid w:val="00B64987"/>
    <w:rsid w:val="00B72597"/>
    <w:rsid w:val="00B73599"/>
    <w:rsid w:val="00B8332A"/>
    <w:rsid w:val="00B87DC0"/>
    <w:rsid w:val="00B901F9"/>
    <w:rsid w:val="00BC233E"/>
    <w:rsid w:val="00BC4D98"/>
    <w:rsid w:val="00BD6EFB"/>
    <w:rsid w:val="00BE3DF5"/>
    <w:rsid w:val="00BF5EAB"/>
    <w:rsid w:val="00C02410"/>
    <w:rsid w:val="00C1549B"/>
    <w:rsid w:val="00C1584D"/>
    <w:rsid w:val="00C15BE2"/>
    <w:rsid w:val="00C3447F"/>
    <w:rsid w:val="00C44714"/>
    <w:rsid w:val="00C67102"/>
    <w:rsid w:val="00C807E6"/>
    <w:rsid w:val="00C81491"/>
    <w:rsid w:val="00C81676"/>
    <w:rsid w:val="00C85C5D"/>
    <w:rsid w:val="00C86692"/>
    <w:rsid w:val="00C92CC4"/>
    <w:rsid w:val="00CA0AFB"/>
    <w:rsid w:val="00CA2CE1"/>
    <w:rsid w:val="00CA3976"/>
    <w:rsid w:val="00CA4F33"/>
    <w:rsid w:val="00CA50E3"/>
    <w:rsid w:val="00CA757B"/>
    <w:rsid w:val="00CB31F1"/>
    <w:rsid w:val="00CC1787"/>
    <w:rsid w:val="00CC182C"/>
    <w:rsid w:val="00CC3E52"/>
    <w:rsid w:val="00CD0824"/>
    <w:rsid w:val="00CD17D7"/>
    <w:rsid w:val="00CD2908"/>
    <w:rsid w:val="00D03A82"/>
    <w:rsid w:val="00D13667"/>
    <w:rsid w:val="00D15344"/>
    <w:rsid w:val="00D23F57"/>
    <w:rsid w:val="00D24453"/>
    <w:rsid w:val="00D26D53"/>
    <w:rsid w:val="00D31BEC"/>
    <w:rsid w:val="00D32E3D"/>
    <w:rsid w:val="00D629AE"/>
    <w:rsid w:val="00D63150"/>
    <w:rsid w:val="00D636BA"/>
    <w:rsid w:val="00D64A32"/>
    <w:rsid w:val="00D64EFC"/>
    <w:rsid w:val="00D7155F"/>
    <w:rsid w:val="00D72F29"/>
    <w:rsid w:val="00D75295"/>
    <w:rsid w:val="00D76CE9"/>
    <w:rsid w:val="00D92DE6"/>
    <w:rsid w:val="00D97F12"/>
    <w:rsid w:val="00DA50EE"/>
    <w:rsid w:val="00DA6095"/>
    <w:rsid w:val="00DB1E7D"/>
    <w:rsid w:val="00DB42E7"/>
    <w:rsid w:val="00DB57FE"/>
    <w:rsid w:val="00DC09D8"/>
    <w:rsid w:val="00DC0D50"/>
    <w:rsid w:val="00DE01A6"/>
    <w:rsid w:val="00DE2FD8"/>
    <w:rsid w:val="00DE5C48"/>
    <w:rsid w:val="00DE7A98"/>
    <w:rsid w:val="00DF32C2"/>
    <w:rsid w:val="00E37A86"/>
    <w:rsid w:val="00E471A7"/>
    <w:rsid w:val="00E635CF"/>
    <w:rsid w:val="00E75028"/>
    <w:rsid w:val="00E91694"/>
    <w:rsid w:val="00E938F8"/>
    <w:rsid w:val="00E94783"/>
    <w:rsid w:val="00E9639D"/>
    <w:rsid w:val="00EB1E3B"/>
    <w:rsid w:val="00EC6E0A"/>
    <w:rsid w:val="00ED4E18"/>
    <w:rsid w:val="00ED7922"/>
    <w:rsid w:val="00EE02C4"/>
    <w:rsid w:val="00EE1F37"/>
    <w:rsid w:val="00EE337E"/>
    <w:rsid w:val="00F0159C"/>
    <w:rsid w:val="00F1042C"/>
    <w:rsid w:val="00F105B7"/>
    <w:rsid w:val="00F13220"/>
    <w:rsid w:val="00F17A21"/>
    <w:rsid w:val="00F22205"/>
    <w:rsid w:val="00F360FE"/>
    <w:rsid w:val="00F37B27"/>
    <w:rsid w:val="00F4307C"/>
    <w:rsid w:val="00F460CF"/>
    <w:rsid w:val="00F46556"/>
    <w:rsid w:val="00F50E91"/>
    <w:rsid w:val="00F57D29"/>
    <w:rsid w:val="00F60786"/>
    <w:rsid w:val="00F8118E"/>
    <w:rsid w:val="00F91BC7"/>
    <w:rsid w:val="00F9399B"/>
    <w:rsid w:val="00F96201"/>
    <w:rsid w:val="00FA1BBC"/>
    <w:rsid w:val="00FB6C44"/>
    <w:rsid w:val="00FB6FA3"/>
    <w:rsid w:val="00FC05F7"/>
    <w:rsid w:val="00FD0B18"/>
    <w:rsid w:val="00FD2FAD"/>
    <w:rsid w:val="00FD611B"/>
    <w:rsid w:val="00FE714F"/>
    <w:rsid w:val="00FF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145555"/>
    <w:rPr>
      <w:color w:val="605E5C"/>
      <w:shd w:val="clear" w:color="auto" w:fill="E1DFDD"/>
    </w:rPr>
  </w:style>
  <w:style w:type="character" w:customStyle="1" w:styleId="UnresolvedMention2">
    <w:name w:val="Unresolved Mention2"/>
    <w:basedOn w:val="DefaultParagraphFont"/>
    <w:uiPriority w:val="99"/>
    <w:semiHidden/>
    <w:unhideWhenUsed/>
    <w:rsid w:val="00F22205"/>
    <w:rPr>
      <w:color w:val="605E5C"/>
      <w:shd w:val="clear" w:color="auto" w:fill="E1DFDD"/>
    </w:rPr>
  </w:style>
  <w:style w:type="character" w:customStyle="1" w:styleId="UnresolvedMention3">
    <w:name w:val="Unresolved Mention3"/>
    <w:basedOn w:val="DefaultParagraphFont"/>
    <w:uiPriority w:val="99"/>
    <w:semiHidden/>
    <w:unhideWhenUsed/>
    <w:rsid w:val="00CA4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CqZ3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428A1-98B1-4769-83DC-EF504268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4211</Words>
  <Characters>24004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2018-12-19T19:39:00Z</dcterms:created>
  <dcterms:modified xsi:type="dcterms:W3CDTF">2019-01-25T15:17:00Z</dcterms:modified>
</cp:coreProperties>
</file>