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A2D" w:rsidRDefault="00A569EA" w:rsidP="008467D5">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GB" w:eastAsia="en-GB"/>
        </w:rPr>
        <w:drawing>
          <wp:inline distT="0" distB="0" distL="0" distR="0" wp14:anchorId="1EB74339" wp14:editId="779AA211">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F13220" w:rsidRDefault="00F13220" w:rsidP="008467D5">
      <w:pPr>
        <w:pBdr>
          <w:bottom w:val="single" w:sz="18" w:space="1" w:color="auto"/>
        </w:pBdr>
        <w:tabs>
          <w:tab w:val="left" w:pos="-1440"/>
          <w:tab w:val="left" w:pos="-720"/>
          <w:tab w:val="left" w:pos="1"/>
        </w:tabs>
        <w:jc w:val="both"/>
        <w:rPr>
          <w:rFonts w:ascii="Arial" w:hAnsi="Arial"/>
          <w:b/>
          <w:sz w:val="24"/>
        </w:rPr>
      </w:pPr>
    </w:p>
    <w:p w:rsidR="00D75295" w:rsidRDefault="000E18C9" w:rsidP="00F105B7">
      <w:pPr>
        <w:pStyle w:val="ProductNumber"/>
      </w:pPr>
      <w:r>
        <w:t>9B18N001</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013360" w:rsidRDefault="000E18C9" w:rsidP="00013360">
      <w:pPr>
        <w:pStyle w:val="CaseTitle"/>
        <w:spacing w:after="0" w:line="240" w:lineRule="auto"/>
        <w:rPr>
          <w:sz w:val="20"/>
          <w:szCs w:val="20"/>
        </w:rPr>
      </w:pPr>
      <w:r>
        <w:rPr>
          <w:rFonts w:eastAsia="Times New Roman"/>
          <w:szCs w:val="20"/>
        </w:rPr>
        <w:t>note on how to analyze a bank</w:t>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0E18C9" w:rsidP="00627C63">
      <w:pPr>
        <w:pStyle w:val="StyleCopyrightStatementAfter0ptBottomSinglesolidline1"/>
      </w:pPr>
      <w:r>
        <w:t>Professor Michael R. King</w:t>
      </w:r>
      <w:r w:rsidR="001C7777">
        <w:t xml:space="preserve"> </w:t>
      </w:r>
      <w:r w:rsidR="004B632F" w:rsidRPr="00104567">
        <w:t>wrote this</w:t>
      </w:r>
      <w:r w:rsidR="004B632F">
        <w:t xml:space="preserve"> </w:t>
      </w:r>
      <w:r>
        <w:t>note</w:t>
      </w:r>
      <w:r w:rsidR="004B632F">
        <w:t xml:space="preserve"> </w:t>
      </w:r>
      <w:r w:rsidR="00152682" w:rsidRPr="00104567">
        <w:t>solely to provide material for class discussion. The</w:t>
      </w:r>
      <w:r w:rsidR="001C7777">
        <w:t xml:space="preserve"> author</w:t>
      </w:r>
      <w:r w:rsidR="00152682">
        <w:t xml:space="preserve"> do</w:t>
      </w:r>
      <w:r>
        <w:t>es</w:t>
      </w:r>
      <w:r w:rsidR="00152682">
        <w:t xml:space="preserve"> not intend to </w:t>
      </w:r>
      <w:r>
        <w:t>provide legal, tax, accounting or other professional advice. Such advice should be obtained from a qualified professional.</w:t>
      </w:r>
    </w:p>
    <w:p w:rsidR="00751E0B" w:rsidRDefault="00751E0B" w:rsidP="00751E0B">
      <w:pPr>
        <w:pStyle w:val="StyleCopyrightStatementAfter0ptBottomSinglesolidline1"/>
      </w:pPr>
    </w:p>
    <w:p w:rsidR="00A569EA" w:rsidRPr="00E23AB7" w:rsidRDefault="00A569EA" w:rsidP="000E18C9">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sidR="00024ED4">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0" w:history="1">
        <w:r w:rsidRPr="00E23AB7">
          <w:rPr>
            <w:rFonts w:ascii="Arial" w:hAnsi="Arial"/>
            <w:i/>
            <w:iCs/>
            <w:color w:val="000000"/>
            <w:sz w:val="16"/>
          </w:rPr>
          <w:t>www.iveycases.com</w:t>
        </w:r>
      </w:hyperlink>
      <w:r w:rsidRPr="00E23AB7">
        <w:rPr>
          <w:rFonts w:ascii="Arial" w:hAnsi="Arial"/>
          <w:i/>
          <w:iCs/>
          <w:color w:val="000000"/>
          <w:sz w:val="16"/>
        </w:rPr>
        <w:t>.</w:t>
      </w:r>
    </w:p>
    <w:p w:rsidR="00A569EA" w:rsidRPr="00E23AB7" w:rsidRDefault="00A569EA" w:rsidP="000E18C9">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rsidR="00751E0B" w:rsidRDefault="00A569EA" w:rsidP="00751E0B">
      <w:pPr>
        <w:pStyle w:val="StyleStyleCopyrightStatementAfter0ptBottomSinglesolid"/>
      </w:pPr>
      <w:r w:rsidRPr="00E23AB7">
        <w:rPr>
          <w:rFonts w:cs="Arial"/>
          <w:szCs w:val="16"/>
        </w:rPr>
        <w:t>Copyright © 201</w:t>
      </w:r>
      <w:r w:rsidR="008D06CA">
        <w:rPr>
          <w:rFonts w:cs="Arial"/>
          <w:szCs w:val="16"/>
        </w:rPr>
        <w:t>8</w:t>
      </w:r>
      <w:r w:rsidRPr="00E23AB7">
        <w:rPr>
          <w:rFonts w:cs="Arial"/>
          <w:szCs w:val="16"/>
        </w:rPr>
        <w:t xml:space="preserve">, </w:t>
      </w:r>
      <w:r w:rsidRPr="00E23AB7">
        <w:rPr>
          <w:rFonts w:cs="Arial"/>
          <w:szCs w:val="16"/>
          <w:lang w:val="en-CA"/>
        </w:rPr>
        <w:t xml:space="preserve">Ivey </w:t>
      </w:r>
      <w:r w:rsidR="00780D94">
        <w:rPr>
          <w:rFonts w:cs="Arial"/>
          <w:szCs w:val="16"/>
          <w:lang w:val="en-CA"/>
        </w:rPr>
        <w:t xml:space="preserve">Business </w:t>
      </w:r>
      <w:r w:rsidRPr="00E23AB7">
        <w:rPr>
          <w:rFonts w:cs="Arial"/>
          <w:szCs w:val="16"/>
          <w:lang w:val="en-CA"/>
        </w:rPr>
        <w:t>School Foundation</w:t>
      </w:r>
      <w:r>
        <w:rPr>
          <w:rFonts w:cs="Arial"/>
          <w:szCs w:val="16"/>
          <w:lang w:val="en-CA"/>
        </w:rPr>
        <w:tab/>
      </w:r>
      <w:r w:rsidR="00751E0B">
        <w:t xml:space="preserve">Version: </w:t>
      </w:r>
      <w:r w:rsidR="000E18C9">
        <w:t>2018</w:t>
      </w:r>
      <w:r w:rsidR="001C7777">
        <w:t>-</w:t>
      </w:r>
      <w:r w:rsidR="000E18C9">
        <w:t>01</w:t>
      </w:r>
      <w:r w:rsidR="00751E0B">
        <w:t>-</w:t>
      </w:r>
      <w:r w:rsidR="008C3C26">
        <w:t>11</w:t>
      </w:r>
    </w:p>
    <w:p w:rsidR="00751E0B" w:rsidRPr="005D45D2" w:rsidRDefault="00751E0B" w:rsidP="00751E0B">
      <w:pPr>
        <w:pStyle w:val="StyleCopyrightStatementAfter0ptBottomSinglesolidline1"/>
        <w:rPr>
          <w:rFonts w:ascii="Times New Roman" w:hAnsi="Times New Roman"/>
          <w:i w:val="0"/>
          <w:szCs w:val="16"/>
        </w:rPr>
      </w:pPr>
    </w:p>
    <w:p w:rsidR="004B632F" w:rsidRPr="005D45D2" w:rsidRDefault="004B632F" w:rsidP="004B632F">
      <w:pPr>
        <w:pStyle w:val="StyleCopyrightStatementAfter0ptBottomSinglesolidline1"/>
        <w:rPr>
          <w:rFonts w:ascii="Times New Roman" w:hAnsi="Times New Roman"/>
          <w:i w:val="0"/>
          <w:szCs w:val="16"/>
        </w:rPr>
      </w:pPr>
    </w:p>
    <w:p w:rsidR="000E18C9" w:rsidRPr="000E18C9" w:rsidRDefault="000E18C9" w:rsidP="000E18C9">
      <w:pPr>
        <w:jc w:val="both"/>
        <w:rPr>
          <w:rFonts w:eastAsia="Calibri"/>
          <w:sz w:val="22"/>
          <w:lang w:val="en-GB" w:eastAsia="ja-JP"/>
        </w:rPr>
      </w:pPr>
      <w:r w:rsidRPr="000E18C9">
        <w:rPr>
          <w:rFonts w:eastAsia="Calibri"/>
          <w:sz w:val="22"/>
          <w:lang w:val="en-GB" w:eastAsia="ja-JP"/>
        </w:rPr>
        <w:t>By the end of 2016, the global banking sector was being hit by two major waves</w:t>
      </w:r>
      <w:r w:rsidR="008C3C26">
        <w:rPr>
          <w:rFonts w:eastAsia="Calibri"/>
          <w:sz w:val="22"/>
          <w:lang w:val="en-GB" w:eastAsia="ja-JP"/>
        </w:rPr>
        <w:t xml:space="preserve">: </w:t>
      </w:r>
      <w:r w:rsidRPr="000E18C9">
        <w:rPr>
          <w:rFonts w:eastAsia="Calibri"/>
          <w:sz w:val="22"/>
          <w:lang w:val="en-GB" w:eastAsia="ja-JP"/>
        </w:rPr>
        <w:t xml:space="preserve">a wave of post-crisis regulations and a wave of digital disruption. The first wave of higher capital requirements and more expensive compliance had increased bank costs and lowered profitability, pushing traditional lending into the shadow banking sector—a mass of under-regulated, non-bank financial firms that provided credit to businesses and households. In the second wave, technology and e-commerce start-ups were capitalizing on the weakness of incumbent banks to launch a variety of Internet-based, financial technology start-ups, targeting lucrative segments of banks’ business. In short, banks around the world were facing lower growth prospects, rising costs, emerging competitors, and shrinking profit margins. In this environment, many banks had lowered their targets for return on equity (ROE) while increasing their emphasis on cutting costs and improving efficiency ratios, reflecting the more regulated and competitive environment. </w:t>
      </w:r>
    </w:p>
    <w:p w:rsidR="000E18C9" w:rsidRPr="000E18C9" w:rsidRDefault="000E18C9" w:rsidP="000E18C9">
      <w:pPr>
        <w:jc w:val="both"/>
        <w:rPr>
          <w:rFonts w:eastAsia="Calibri"/>
          <w:sz w:val="22"/>
          <w:lang w:val="en-GB" w:eastAsia="ja-JP"/>
        </w:rPr>
      </w:pPr>
    </w:p>
    <w:p w:rsidR="000E18C9" w:rsidRPr="000E18C9" w:rsidRDefault="000E18C9" w:rsidP="000E18C9">
      <w:pPr>
        <w:jc w:val="both"/>
        <w:rPr>
          <w:rFonts w:eastAsia="Calibri"/>
          <w:sz w:val="22"/>
          <w:lang w:val="en-GB" w:eastAsia="ja-JP"/>
        </w:rPr>
      </w:pPr>
      <w:r w:rsidRPr="000E18C9">
        <w:rPr>
          <w:rFonts w:eastAsia="Calibri"/>
          <w:sz w:val="22"/>
          <w:lang w:val="en-GB" w:eastAsia="ja-JP"/>
        </w:rPr>
        <w:t xml:space="preserve">This note discusses how to </w:t>
      </w:r>
      <w:proofErr w:type="spellStart"/>
      <w:r w:rsidRPr="000E18C9">
        <w:rPr>
          <w:rFonts w:eastAsia="Calibri"/>
          <w:sz w:val="22"/>
          <w:lang w:val="en-GB" w:eastAsia="ja-JP"/>
        </w:rPr>
        <w:t>analyze</w:t>
      </w:r>
      <w:proofErr w:type="spellEnd"/>
      <w:r w:rsidRPr="000E18C9">
        <w:rPr>
          <w:rFonts w:eastAsia="Calibri"/>
          <w:sz w:val="22"/>
          <w:lang w:val="en-GB" w:eastAsia="ja-JP"/>
        </w:rPr>
        <w:t xml:space="preserve"> a bank from the point of view of an equity analyst or investor. It begins by reviewing the evolution of North American banks from narrow to diversified financial institutions. A description follows of the financial ratios used to evaluate a bank’s operating and financial performance. The final section provides examples of these ratios applied to a North American bank, TD Bank Group, and a set of Canadian and U.S. banks. Appendix A provides a glossary of terms. Appendix B provides definitions for all financial ratios. </w:t>
      </w:r>
    </w:p>
    <w:p w:rsidR="000E18C9" w:rsidRPr="000E18C9" w:rsidRDefault="000E18C9" w:rsidP="000E18C9">
      <w:pPr>
        <w:jc w:val="both"/>
        <w:rPr>
          <w:rFonts w:eastAsia="Calibri"/>
          <w:sz w:val="22"/>
          <w:lang w:val="en-GB" w:eastAsia="ja-JP"/>
        </w:rPr>
      </w:pPr>
    </w:p>
    <w:p w:rsidR="000E18C9" w:rsidRPr="000E18C9" w:rsidRDefault="000E18C9" w:rsidP="000E18C9">
      <w:pPr>
        <w:jc w:val="both"/>
        <w:rPr>
          <w:rFonts w:eastAsia="Calibri"/>
          <w:sz w:val="22"/>
          <w:lang w:val="en-GB" w:eastAsia="ja-JP"/>
        </w:rPr>
      </w:pPr>
    </w:p>
    <w:p w:rsidR="000E18C9" w:rsidRPr="000E18C9" w:rsidRDefault="000E18C9" w:rsidP="000E18C9">
      <w:pPr>
        <w:jc w:val="both"/>
        <w:rPr>
          <w:rFonts w:ascii="Arial" w:eastAsia="Calibri" w:hAnsi="Arial"/>
          <w:b/>
          <w:caps/>
          <w:lang w:val="en-GB" w:eastAsia="ja-JP"/>
        </w:rPr>
      </w:pPr>
      <w:r w:rsidRPr="000E18C9">
        <w:rPr>
          <w:rFonts w:ascii="Arial" w:eastAsia="Calibri" w:hAnsi="Arial"/>
          <w:b/>
          <w:caps/>
          <w:lang w:val="en-GB" w:eastAsia="ja-JP"/>
        </w:rPr>
        <w:t>FROM NARROW TO DIVERSIFIED BANKING</w:t>
      </w:r>
    </w:p>
    <w:p w:rsidR="000E18C9" w:rsidRPr="000E18C9" w:rsidRDefault="000E18C9" w:rsidP="000E18C9">
      <w:pPr>
        <w:jc w:val="both"/>
        <w:rPr>
          <w:rFonts w:eastAsia="Calibri"/>
          <w:sz w:val="22"/>
          <w:lang w:val="en-GB" w:eastAsia="ja-JP"/>
        </w:rPr>
      </w:pPr>
    </w:p>
    <w:p w:rsidR="000E18C9" w:rsidRPr="000E18C9" w:rsidRDefault="000E18C9" w:rsidP="000E18C9">
      <w:pPr>
        <w:jc w:val="both"/>
        <w:rPr>
          <w:rFonts w:eastAsia="Calibri"/>
          <w:sz w:val="22"/>
          <w:lang w:val="en-GB" w:eastAsia="ja-JP"/>
        </w:rPr>
      </w:pPr>
      <w:r w:rsidRPr="000E18C9">
        <w:rPr>
          <w:rFonts w:eastAsia="Calibri"/>
          <w:sz w:val="22"/>
          <w:lang w:val="en-GB" w:eastAsia="ja-JP"/>
        </w:rPr>
        <w:t>Following the 1930s’ Great Depression, banks in the United States and Canada were narrow, with their functions restricted by domestic regulations. During the 1980s and 1990s, deregulation led to the emergence of the large, diversified financial institutions that are common today, which coexist with a variety of smaller, retail and commercial banks, savings institutions, trust companies, and securities dealers.</w:t>
      </w:r>
    </w:p>
    <w:p w:rsidR="000E18C9" w:rsidRDefault="000E18C9" w:rsidP="000E18C9">
      <w:pPr>
        <w:jc w:val="both"/>
        <w:rPr>
          <w:rFonts w:eastAsia="Calibri"/>
          <w:sz w:val="22"/>
          <w:lang w:val="en-GB" w:eastAsia="ja-JP"/>
        </w:rPr>
      </w:pPr>
    </w:p>
    <w:p w:rsidR="005D45D2" w:rsidRDefault="005D45D2" w:rsidP="000E18C9">
      <w:pPr>
        <w:jc w:val="both"/>
        <w:rPr>
          <w:rFonts w:eastAsia="Calibri"/>
          <w:sz w:val="22"/>
          <w:lang w:val="en-GB" w:eastAsia="ja-JP"/>
        </w:rPr>
      </w:pPr>
    </w:p>
    <w:p w:rsidR="005D45D2" w:rsidRPr="000E18C9" w:rsidRDefault="005D45D2" w:rsidP="000E18C9">
      <w:pPr>
        <w:jc w:val="both"/>
        <w:rPr>
          <w:rFonts w:eastAsia="Calibri"/>
          <w:sz w:val="22"/>
          <w:lang w:val="en-GB" w:eastAsia="ja-JP"/>
        </w:rPr>
      </w:pPr>
    </w:p>
    <w:p w:rsidR="000E18C9" w:rsidRPr="000E18C9" w:rsidRDefault="000E18C9" w:rsidP="000E18C9">
      <w:pPr>
        <w:jc w:val="both"/>
        <w:rPr>
          <w:rFonts w:eastAsia="Calibri"/>
          <w:sz w:val="22"/>
          <w:lang w:val="en-GB" w:eastAsia="ja-JP"/>
        </w:rPr>
      </w:pPr>
    </w:p>
    <w:p w:rsidR="000E18C9" w:rsidRPr="000E18C9" w:rsidRDefault="000E18C9" w:rsidP="000E18C9">
      <w:pPr>
        <w:jc w:val="both"/>
        <w:rPr>
          <w:rFonts w:ascii="Arial" w:eastAsia="Calibri" w:hAnsi="Arial"/>
          <w:b/>
          <w:noProof/>
          <w:lang w:val="en-GB" w:eastAsia="ja-JP"/>
        </w:rPr>
      </w:pPr>
      <w:r w:rsidRPr="000E18C9">
        <w:rPr>
          <w:rFonts w:ascii="Arial" w:eastAsia="Calibri" w:hAnsi="Arial"/>
          <w:b/>
          <w:noProof/>
          <w:lang w:val="en-GB" w:eastAsia="ja-JP"/>
        </w:rPr>
        <w:lastRenderedPageBreak/>
        <w:t>United States: From Glass–Steagall to Dodd–Frank</w:t>
      </w:r>
      <w:r w:rsidRPr="000E18C9">
        <w:rPr>
          <w:rFonts w:ascii="Arial" w:eastAsia="Calibri" w:hAnsi="Arial"/>
          <w:b/>
          <w:noProof/>
          <w:spacing w:val="-1"/>
          <w:vertAlign w:val="superscript"/>
          <w:lang w:val="en-GB" w:eastAsia="ja-JP"/>
        </w:rPr>
        <w:footnoteReference w:id="1"/>
      </w:r>
    </w:p>
    <w:p w:rsidR="000E18C9" w:rsidRPr="000E18C9" w:rsidRDefault="000E18C9" w:rsidP="000E18C9">
      <w:pPr>
        <w:jc w:val="both"/>
        <w:rPr>
          <w:rFonts w:eastAsia="Calibri"/>
          <w:sz w:val="22"/>
          <w:lang w:val="en-GB" w:eastAsia="ja-JP"/>
        </w:rPr>
      </w:pPr>
    </w:p>
    <w:p w:rsidR="000E18C9" w:rsidRPr="000E18C9" w:rsidRDefault="000E18C9" w:rsidP="000E18C9">
      <w:pPr>
        <w:jc w:val="both"/>
        <w:rPr>
          <w:rFonts w:eastAsia="Calibri"/>
          <w:sz w:val="22"/>
          <w:lang w:val="en-GB" w:eastAsia="ja-JP"/>
        </w:rPr>
      </w:pPr>
      <w:r w:rsidRPr="000E18C9">
        <w:rPr>
          <w:rFonts w:eastAsia="Calibri"/>
          <w:sz w:val="22"/>
          <w:lang w:val="en-GB" w:eastAsia="ja-JP"/>
        </w:rPr>
        <w:t xml:space="preserve">In the United States, the passage of the 1933 </w:t>
      </w:r>
      <w:r w:rsidRPr="000E18C9">
        <w:rPr>
          <w:rFonts w:eastAsia="Calibri"/>
          <w:i/>
          <w:sz w:val="22"/>
          <w:lang w:val="en-GB" w:eastAsia="ja-JP"/>
        </w:rPr>
        <w:t>Glass–Steagall Act</w:t>
      </w:r>
      <w:r w:rsidRPr="000E18C9">
        <w:rPr>
          <w:rFonts w:eastAsia="Calibri"/>
          <w:sz w:val="22"/>
          <w:lang w:val="en-GB" w:eastAsia="ja-JP"/>
        </w:rPr>
        <w:t xml:space="preserve"> (</w:t>
      </w:r>
      <w:r w:rsidRPr="000E18C9">
        <w:rPr>
          <w:rFonts w:eastAsia="Calibri"/>
          <w:i/>
          <w:sz w:val="22"/>
          <w:lang w:val="en-GB" w:eastAsia="ja-JP"/>
        </w:rPr>
        <w:t>Glass–Steagall</w:t>
      </w:r>
      <w:r w:rsidRPr="000E18C9">
        <w:rPr>
          <w:rFonts w:eastAsia="Calibri"/>
          <w:sz w:val="22"/>
          <w:lang w:val="en-GB" w:eastAsia="ja-JP"/>
        </w:rPr>
        <w:t xml:space="preserve">)—formally known as the </w:t>
      </w:r>
      <w:r w:rsidRPr="000E18C9">
        <w:rPr>
          <w:rFonts w:eastAsia="Calibri"/>
          <w:i/>
          <w:sz w:val="22"/>
          <w:lang w:val="en-GB" w:eastAsia="ja-JP"/>
        </w:rPr>
        <w:t>Banking Act of 1933</w:t>
      </w:r>
      <w:r w:rsidRPr="000E18C9">
        <w:rPr>
          <w:rFonts w:eastAsia="Calibri"/>
          <w:sz w:val="22"/>
          <w:lang w:val="en-GB" w:eastAsia="ja-JP"/>
        </w:rPr>
        <w:t xml:space="preserve">—prohibited commercial banks from underwriting and dealing in many classes of securities, such as equities and corporate bonds. </w:t>
      </w:r>
      <w:r w:rsidRPr="000E18C9">
        <w:rPr>
          <w:rFonts w:eastAsia="Calibri"/>
          <w:i/>
          <w:sz w:val="22"/>
          <w:lang w:val="en-GB" w:eastAsia="ja-JP"/>
        </w:rPr>
        <w:t>Glass–Steagall</w:t>
      </w:r>
      <w:r w:rsidRPr="000E18C9">
        <w:rPr>
          <w:rFonts w:eastAsia="Calibri"/>
          <w:sz w:val="22"/>
          <w:lang w:val="en-GB" w:eastAsia="ja-JP"/>
        </w:rPr>
        <w:t xml:space="preserve"> also prohibited affiliations between chartered banks that held insured consumer deposits and securities firms that engaged in corporate advisory, merchant banking, underwriting, and trading. This Act effectively led to the creation of stand-alone investment banks that were distinct from retail and commercial banks, which held deposits insured by the newly created Federal Deposit Insurance Corporation.</w:t>
      </w:r>
      <w:r w:rsidRPr="000E18C9">
        <w:rPr>
          <w:rFonts w:eastAsia="Calibri"/>
          <w:sz w:val="22"/>
          <w:vertAlign w:val="superscript"/>
          <w:lang w:val="en-GB" w:eastAsia="ja-JP"/>
        </w:rPr>
        <w:footnoteReference w:id="2"/>
      </w:r>
      <w:r w:rsidRPr="000E18C9">
        <w:rPr>
          <w:rFonts w:eastAsia="Calibri"/>
          <w:sz w:val="22"/>
          <w:lang w:val="en-GB" w:eastAsia="ja-JP"/>
        </w:rPr>
        <w:t xml:space="preserve"> This separation was reinforced by the passage of the 1956 </w:t>
      </w:r>
      <w:r w:rsidRPr="000E18C9">
        <w:rPr>
          <w:rFonts w:eastAsia="Calibri"/>
          <w:i/>
          <w:sz w:val="22"/>
          <w:lang w:val="en-GB" w:eastAsia="ja-JP"/>
        </w:rPr>
        <w:t>Bank Holding Company Act</w:t>
      </w:r>
      <w:r w:rsidRPr="000E18C9">
        <w:rPr>
          <w:rFonts w:eastAsia="Calibri"/>
          <w:sz w:val="22"/>
          <w:lang w:val="en-GB" w:eastAsia="ja-JP"/>
        </w:rPr>
        <w:t>, which eliminated the possibility that holding companies owning banks could own or control insurance companies, real estate companies, securities firms, or any non-financial company. As a result, the U.S. financial system during this period featured numerous narrow financial institutions that operated in distinct businesses under national or state charters, including retail banks, community banks, savings banks, commercial banks, and money-centre banks. Federally charted banks were supervised by the Federal Reserve and the Comptroller of the Currency at the federal level, while state-chartered banks were supervised by state bank regulators. Meanwhile securities dealers and investment banks were supervised by the Securities and Exchange Commission.</w:t>
      </w:r>
    </w:p>
    <w:p w:rsidR="000E18C9" w:rsidRPr="000E18C9" w:rsidRDefault="000E18C9" w:rsidP="000E18C9">
      <w:pPr>
        <w:jc w:val="both"/>
        <w:rPr>
          <w:rFonts w:eastAsia="Calibri"/>
          <w:sz w:val="22"/>
          <w:lang w:val="en-GB" w:eastAsia="ja-JP"/>
        </w:rPr>
      </w:pPr>
    </w:p>
    <w:p w:rsidR="000E18C9" w:rsidRPr="000E18C9" w:rsidRDefault="000E18C9" w:rsidP="000E18C9">
      <w:pPr>
        <w:jc w:val="both"/>
        <w:rPr>
          <w:rFonts w:eastAsia="Calibri"/>
          <w:sz w:val="22"/>
          <w:lang w:val="en-GB" w:eastAsia="ja-JP"/>
        </w:rPr>
      </w:pPr>
      <w:r w:rsidRPr="000E18C9">
        <w:rPr>
          <w:rFonts w:eastAsia="Calibri"/>
          <w:sz w:val="22"/>
          <w:lang w:val="en-GB" w:eastAsia="ja-JP"/>
        </w:rPr>
        <w:t xml:space="preserve">The legal separation of banks and securities firms formally ended with the passage of the 1999 </w:t>
      </w:r>
      <w:r w:rsidRPr="000E18C9">
        <w:rPr>
          <w:rFonts w:eastAsia="Calibri"/>
          <w:i/>
          <w:sz w:val="22"/>
          <w:lang w:val="en-GB" w:eastAsia="ja-JP"/>
        </w:rPr>
        <w:t>Gramm–Leach–Bliley Act</w:t>
      </w:r>
      <w:r w:rsidRPr="000E18C9">
        <w:rPr>
          <w:rFonts w:eastAsia="Calibri"/>
          <w:sz w:val="22"/>
          <w:lang w:val="en-GB" w:eastAsia="ja-JP"/>
        </w:rPr>
        <w:t>—formally known as t</w:t>
      </w:r>
      <w:bookmarkStart w:id="0" w:name="_GoBack"/>
      <w:bookmarkEnd w:id="0"/>
      <w:r w:rsidRPr="000E18C9">
        <w:rPr>
          <w:rFonts w:eastAsia="Calibri"/>
          <w:sz w:val="22"/>
          <w:lang w:val="en-GB" w:eastAsia="ja-JP"/>
        </w:rPr>
        <w:t xml:space="preserve">he </w:t>
      </w:r>
      <w:r w:rsidRPr="000E18C9">
        <w:rPr>
          <w:rFonts w:eastAsia="Calibri"/>
          <w:i/>
          <w:sz w:val="22"/>
          <w:lang w:val="en-GB" w:eastAsia="ja-JP"/>
        </w:rPr>
        <w:t>Financial Services Modernization Act of 1999</w:t>
      </w:r>
      <w:r w:rsidRPr="000E18C9">
        <w:rPr>
          <w:rFonts w:eastAsia="Calibri"/>
          <w:sz w:val="22"/>
          <w:lang w:val="en-GB" w:eastAsia="ja-JP"/>
        </w:rPr>
        <w:t xml:space="preserve">—although this separation had begun to break down beginning in the 1970s. The restrictions imposed by </w:t>
      </w:r>
      <w:r w:rsidRPr="000E18C9">
        <w:rPr>
          <w:rFonts w:eastAsia="Calibri"/>
          <w:i/>
          <w:sz w:val="22"/>
          <w:lang w:val="en-GB" w:eastAsia="ja-JP"/>
        </w:rPr>
        <w:t>Glass–Steagall</w:t>
      </w:r>
      <w:r w:rsidRPr="000E18C9">
        <w:rPr>
          <w:rFonts w:eastAsia="Calibri"/>
          <w:sz w:val="22"/>
          <w:lang w:val="en-GB" w:eastAsia="ja-JP"/>
        </w:rPr>
        <w:t xml:space="preserve"> were effectively loosened over time to allow commercial banks to earn an increasing percentage of revenues from securities businesses through Section 20 subsidiaries held by a bank holding company.</w:t>
      </w:r>
      <w:r w:rsidRPr="000E18C9">
        <w:rPr>
          <w:rFonts w:eastAsia="Calibri"/>
          <w:sz w:val="22"/>
          <w:vertAlign w:val="superscript"/>
          <w:lang w:val="en-GB" w:eastAsia="ja-JP"/>
        </w:rPr>
        <w:footnoteReference w:id="3"/>
      </w:r>
      <w:r w:rsidRPr="000E18C9">
        <w:rPr>
          <w:rFonts w:eastAsia="Calibri"/>
          <w:sz w:val="22"/>
          <w:lang w:val="en-GB" w:eastAsia="ja-JP"/>
        </w:rPr>
        <w:t xml:space="preserve"> The </w:t>
      </w:r>
      <w:r w:rsidR="008C3C26">
        <w:rPr>
          <w:rFonts w:eastAsia="Calibri"/>
          <w:sz w:val="22"/>
          <w:lang w:val="en-GB" w:eastAsia="ja-JP"/>
        </w:rPr>
        <w:t>final blow</w:t>
      </w:r>
      <w:r w:rsidRPr="000E18C9">
        <w:rPr>
          <w:rFonts w:eastAsia="Calibri"/>
          <w:sz w:val="22"/>
          <w:lang w:val="en-GB" w:eastAsia="ja-JP"/>
        </w:rPr>
        <w:t xml:space="preserve"> for </w:t>
      </w:r>
      <w:r w:rsidRPr="000E18C9">
        <w:rPr>
          <w:rFonts w:eastAsia="Calibri"/>
          <w:i/>
          <w:sz w:val="22"/>
          <w:lang w:val="en-GB" w:eastAsia="ja-JP"/>
        </w:rPr>
        <w:t>Glass–Steagall</w:t>
      </w:r>
      <w:r w:rsidRPr="000E18C9">
        <w:rPr>
          <w:rFonts w:eastAsia="Calibri"/>
          <w:sz w:val="22"/>
          <w:lang w:val="en-GB" w:eastAsia="ja-JP"/>
        </w:rPr>
        <w:t xml:space="preserve"> was the 1998 merger of Citicorp and Travelers Group to form Citigroup, a fully diversified financial institution offering retail and commercial banking, investment banking, insurance, and asset management. Citigroup epitomized the trend toward U.S. bank holding companies becoming financial supermarkets offering a full range of products and services. When this merger was allowed to proceed, </w:t>
      </w:r>
      <w:r w:rsidRPr="000E18C9">
        <w:rPr>
          <w:rFonts w:eastAsia="Calibri"/>
          <w:i/>
          <w:sz w:val="22"/>
          <w:lang w:val="en-GB" w:eastAsia="ja-JP"/>
        </w:rPr>
        <w:t>Glass–Steagall</w:t>
      </w:r>
      <w:r w:rsidRPr="000E18C9">
        <w:rPr>
          <w:rFonts w:eastAsia="Calibri"/>
          <w:sz w:val="22"/>
          <w:lang w:val="en-GB" w:eastAsia="ja-JP"/>
        </w:rPr>
        <w:t xml:space="preserve"> was unofficially dead. This diversified financial model was common in Europe and Asia, where it was known as universal banking or </w:t>
      </w:r>
      <w:proofErr w:type="spellStart"/>
      <w:r w:rsidRPr="000E18C9">
        <w:rPr>
          <w:rFonts w:eastAsia="Calibri"/>
          <w:sz w:val="22"/>
          <w:lang w:val="en-GB" w:eastAsia="ja-JP"/>
        </w:rPr>
        <w:t>bancassurance</w:t>
      </w:r>
      <w:proofErr w:type="spellEnd"/>
      <w:r w:rsidRPr="000E18C9">
        <w:rPr>
          <w:rFonts w:eastAsia="Calibri"/>
          <w:sz w:val="22"/>
          <w:lang w:val="en-GB" w:eastAsia="ja-JP"/>
        </w:rPr>
        <w:t>.</w:t>
      </w:r>
    </w:p>
    <w:p w:rsidR="000E18C9" w:rsidRPr="000E18C9" w:rsidRDefault="000E18C9" w:rsidP="000E18C9">
      <w:pPr>
        <w:jc w:val="both"/>
        <w:rPr>
          <w:rFonts w:eastAsia="Calibri"/>
          <w:sz w:val="22"/>
          <w:lang w:val="en-GB" w:eastAsia="ja-JP"/>
        </w:rPr>
      </w:pPr>
    </w:p>
    <w:p w:rsidR="000E18C9" w:rsidRPr="000E18C9" w:rsidRDefault="000E18C9" w:rsidP="000E18C9">
      <w:pPr>
        <w:jc w:val="both"/>
        <w:rPr>
          <w:rFonts w:eastAsia="Calibri"/>
          <w:sz w:val="22"/>
          <w:lang w:val="en-GB" w:eastAsia="ja-JP"/>
        </w:rPr>
      </w:pPr>
      <w:r w:rsidRPr="000E18C9">
        <w:rPr>
          <w:rFonts w:eastAsia="Calibri"/>
          <w:sz w:val="22"/>
          <w:lang w:val="en-GB" w:eastAsia="ja-JP"/>
        </w:rPr>
        <w:t xml:space="preserve">The passage of the 2010 </w:t>
      </w:r>
      <w:r w:rsidRPr="000E18C9">
        <w:rPr>
          <w:rFonts w:eastAsia="Calibri"/>
          <w:i/>
          <w:sz w:val="22"/>
          <w:lang w:val="en-GB" w:eastAsia="ja-JP"/>
        </w:rPr>
        <w:t>Dodd–Frank Wall Street Reform and Consumer Protection Act</w:t>
      </w:r>
      <w:r w:rsidRPr="000E18C9">
        <w:rPr>
          <w:rFonts w:eastAsia="Calibri"/>
          <w:sz w:val="22"/>
          <w:lang w:val="en-GB" w:eastAsia="ja-JP"/>
        </w:rPr>
        <w:t xml:space="preserve"> (</w:t>
      </w:r>
      <w:r w:rsidRPr="000E18C9">
        <w:rPr>
          <w:rFonts w:eastAsia="Calibri"/>
          <w:i/>
          <w:sz w:val="22"/>
          <w:lang w:val="en-GB" w:eastAsia="ja-JP"/>
        </w:rPr>
        <w:t>Dodd–Frank</w:t>
      </w:r>
      <w:r w:rsidRPr="000E18C9">
        <w:rPr>
          <w:rFonts w:eastAsia="Calibri"/>
          <w:sz w:val="22"/>
          <w:lang w:val="en-GB" w:eastAsia="ja-JP"/>
        </w:rPr>
        <w:t xml:space="preserve">) was an attempt to reintroduce restrictions on many bank activities. While the 2,300 pages of </w:t>
      </w:r>
      <w:r w:rsidRPr="000E18C9">
        <w:rPr>
          <w:rFonts w:eastAsia="Calibri"/>
          <w:i/>
          <w:sz w:val="22"/>
          <w:lang w:val="en-GB" w:eastAsia="ja-JP"/>
        </w:rPr>
        <w:t>Dodd–Frank</w:t>
      </w:r>
      <w:r w:rsidRPr="000E18C9">
        <w:rPr>
          <w:rFonts w:eastAsia="Calibri"/>
          <w:sz w:val="22"/>
          <w:lang w:val="en-GB" w:eastAsia="ja-JP"/>
        </w:rPr>
        <w:t xml:space="preserve"> introduced many regulations and restrictions on banks, one of the best known is the prohibition against proprietary trading contained in Section 619 of </w:t>
      </w:r>
      <w:r w:rsidRPr="000E18C9">
        <w:rPr>
          <w:rFonts w:eastAsia="Calibri"/>
          <w:i/>
          <w:sz w:val="22"/>
          <w:lang w:val="en-GB" w:eastAsia="ja-JP"/>
        </w:rPr>
        <w:t>Dodd–Frank</w:t>
      </w:r>
      <w:r w:rsidRPr="000E18C9">
        <w:rPr>
          <w:rFonts w:eastAsia="Calibri"/>
          <w:sz w:val="22"/>
          <w:lang w:val="en-GB" w:eastAsia="ja-JP"/>
        </w:rPr>
        <w:t xml:space="preserve">, known as the Volcker Rule. This section also imposed restrictions on investment in hedge funds and private equity vehicles. Following the 2017 inauguration of President Donald Trump, </w:t>
      </w:r>
      <w:r w:rsidRPr="000E18C9">
        <w:rPr>
          <w:rFonts w:eastAsia="Calibri"/>
          <w:i/>
          <w:sz w:val="22"/>
          <w:lang w:val="en-GB" w:eastAsia="ja-JP"/>
        </w:rPr>
        <w:t>Dodd–Frank</w:t>
      </w:r>
      <w:r w:rsidRPr="000E18C9">
        <w:rPr>
          <w:rFonts w:eastAsia="Calibri"/>
          <w:sz w:val="22"/>
          <w:lang w:val="en-GB" w:eastAsia="ja-JP"/>
        </w:rPr>
        <w:t xml:space="preserve"> and the Volcker Rule were likely to be modified or repealed although the details and timing remained uncertain.</w:t>
      </w:r>
    </w:p>
    <w:p w:rsidR="000E18C9" w:rsidRDefault="000E18C9" w:rsidP="000E18C9">
      <w:pPr>
        <w:jc w:val="both"/>
        <w:rPr>
          <w:rFonts w:eastAsia="Calibri"/>
          <w:sz w:val="22"/>
          <w:lang w:val="en-GB" w:eastAsia="ja-JP"/>
        </w:rPr>
      </w:pPr>
    </w:p>
    <w:p w:rsidR="005D45D2" w:rsidRDefault="005D45D2" w:rsidP="000E18C9">
      <w:pPr>
        <w:jc w:val="both"/>
        <w:rPr>
          <w:rFonts w:eastAsia="Calibri"/>
          <w:sz w:val="22"/>
          <w:lang w:val="en-GB" w:eastAsia="ja-JP"/>
        </w:rPr>
      </w:pPr>
    </w:p>
    <w:p w:rsidR="005D45D2" w:rsidRDefault="005D45D2" w:rsidP="000E18C9">
      <w:pPr>
        <w:jc w:val="both"/>
        <w:rPr>
          <w:rFonts w:eastAsia="Calibri"/>
          <w:sz w:val="22"/>
          <w:lang w:val="en-GB" w:eastAsia="ja-JP"/>
        </w:rPr>
      </w:pPr>
    </w:p>
    <w:p w:rsidR="005D45D2" w:rsidRPr="000E18C9" w:rsidRDefault="005D45D2" w:rsidP="000E18C9">
      <w:pPr>
        <w:jc w:val="both"/>
        <w:rPr>
          <w:rFonts w:eastAsia="Calibri"/>
          <w:sz w:val="22"/>
          <w:lang w:val="en-GB" w:eastAsia="ja-JP"/>
        </w:rPr>
      </w:pPr>
    </w:p>
    <w:p w:rsidR="000E18C9" w:rsidRPr="000E18C9" w:rsidRDefault="000E18C9" w:rsidP="000E18C9">
      <w:pPr>
        <w:jc w:val="both"/>
        <w:rPr>
          <w:rFonts w:eastAsia="Calibri"/>
          <w:sz w:val="22"/>
          <w:lang w:val="en-GB" w:eastAsia="ja-JP"/>
        </w:rPr>
      </w:pPr>
    </w:p>
    <w:p w:rsidR="000E18C9" w:rsidRPr="000E18C9" w:rsidRDefault="000E18C9" w:rsidP="000E18C9">
      <w:pPr>
        <w:jc w:val="both"/>
        <w:rPr>
          <w:rFonts w:ascii="Arial" w:eastAsia="Calibri" w:hAnsi="Arial"/>
          <w:b/>
          <w:noProof/>
          <w:lang w:val="en-GB" w:eastAsia="ja-JP"/>
        </w:rPr>
      </w:pPr>
      <w:r w:rsidRPr="000E18C9">
        <w:rPr>
          <w:rFonts w:ascii="Arial" w:eastAsia="Calibri" w:hAnsi="Arial"/>
          <w:b/>
          <w:noProof/>
          <w:lang w:val="en-GB" w:eastAsia="ja-JP"/>
        </w:rPr>
        <w:lastRenderedPageBreak/>
        <w:t>Canada: From Four Pillars to Globally Diversified Banks</w:t>
      </w:r>
    </w:p>
    <w:p w:rsidR="000E18C9" w:rsidRPr="000E18C9" w:rsidRDefault="000E18C9" w:rsidP="000E18C9">
      <w:pPr>
        <w:jc w:val="both"/>
        <w:rPr>
          <w:rFonts w:eastAsia="Calibri"/>
          <w:sz w:val="22"/>
          <w:lang w:val="en-GB" w:eastAsia="ja-JP"/>
        </w:rPr>
      </w:pPr>
    </w:p>
    <w:p w:rsidR="000E18C9" w:rsidRDefault="000E18C9" w:rsidP="000E18C9">
      <w:pPr>
        <w:jc w:val="both"/>
        <w:rPr>
          <w:rFonts w:eastAsia="Calibri"/>
          <w:sz w:val="22"/>
          <w:lang w:val="en-GB" w:eastAsia="ja-JP"/>
        </w:rPr>
      </w:pPr>
      <w:r w:rsidRPr="000E18C9">
        <w:rPr>
          <w:rFonts w:eastAsia="Calibri"/>
          <w:sz w:val="22"/>
          <w:lang w:val="en-GB" w:eastAsia="ja-JP"/>
        </w:rPr>
        <w:t xml:space="preserve">During the </w:t>
      </w:r>
      <w:proofErr w:type="spellStart"/>
      <w:r w:rsidRPr="000E18C9">
        <w:rPr>
          <w:rFonts w:eastAsia="Calibri"/>
          <w:sz w:val="22"/>
          <w:lang w:val="en-GB" w:eastAsia="ja-JP"/>
        </w:rPr>
        <w:t>postwar</w:t>
      </w:r>
      <w:proofErr w:type="spellEnd"/>
      <w:r w:rsidRPr="000E18C9">
        <w:rPr>
          <w:rFonts w:eastAsia="Calibri"/>
          <w:sz w:val="22"/>
          <w:lang w:val="en-GB" w:eastAsia="ja-JP"/>
        </w:rPr>
        <w:t xml:space="preserve"> period, Canada’s financial system was separated by regulation into four distinct pillars—chartered banks, trust companies, insurers, and securities dealers—each with distinct market functions, legislative control, and ownership. Chartered banks specialized in raising deposits, making loans, and providing other banking services. By 1987, this strict separation had been removed, leading to rapid consolidation across the pillars in the late 1980s and 1990s. For example, Toronto-Dominion Bank moved into investment banking and wealth management through the acquisition of two independent securities dealers: Waterhouse Investor Services in 1996 and Newcrest Capital in 2000.</w:t>
      </w:r>
      <w:r w:rsidRPr="000E18C9">
        <w:rPr>
          <w:rFonts w:eastAsia="Calibri"/>
          <w:sz w:val="22"/>
          <w:vertAlign w:val="superscript"/>
          <w:lang w:val="en-GB" w:eastAsia="ja-JP"/>
        </w:rPr>
        <w:footnoteReference w:id="4"/>
      </w:r>
      <w:r w:rsidRPr="000E18C9">
        <w:rPr>
          <w:rFonts w:eastAsia="Calibri"/>
          <w:sz w:val="22"/>
          <w:lang w:val="en-GB" w:eastAsia="ja-JP"/>
        </w:rPr>
        <w:t xml:space="preserve"> Toronto-Dominion Bank also acquired two trust companies: Central Guaranty Trust in 1992 and Canada Trust in 2000, which included the insurance business of Meloche Monnex. Toronto-Dominion Bank also expanded into the U.S. market by acquiring Maine-based </w:t>
      </w:r>
      <w:proofErr w:type="spellStart"/>
      <w:r w:rsidRPr="000E18C9">
        <w:rPr>
          <w:rFonts w:eastAsia="Calibri"/>
          <w:sz w:val="22"/>
          <w:lang w:val="en-GB" w:eastAsia="ja-JP"/>
        </w:rPr>
        <w:t>Banknorth</w:t>
      </w:r>
      <w:proofErr w:type="spellEnd"/>
      <w:r w:rsidRPr="000E18C9">
        <w:rPr>
          <w:rFonts w:eastAsia="Calibri"/>
          <w:sz w:val="22"/>
          <w:lang w:val="en-GB" w:eastAsia="ja-JP"/>
        </w:rPr>
        <w:t xml:space="preserve"> in 2005 and New Jersey-based Commerce Bancorp in 2007 to create TD Bank North America, its U.S. retail bank. Reflecting its North American footprint and diversified business model, Toronto-Dominion Bank was rebranded as TD Bank Group in 2009. These acquisitions transformed TD Bank from a narrow domestic chartered bank into a diversified global financial institution offering a range of services to retail and wholesale customers. Other Canadian banks followed a similar path of acquisition and diversification, expanding domestically and globally, with their names changing along the way to provide less prominence to their Canadian roots. </w:t>
      </w:r>
    </w:p>
    <w:p w:rsidR="005D45D2" w:rsidRDefault="005D45D2" w:rsidP="000E18C9">
      <w:pPr>
        <w:jc w:val="both"/>
        <w:rPr>
          <w:rFonts w:eastAsia="Calibri"/>
          <w:sz w:val="22"/>
          <w:lang w:val="en-GB" w:eastAsia="ja-JP"/>
        </w:rPr>
      </w:pPr>
    </w:p>
    <w:p w:rsidR="005D45D2" w:rsidRPr="000E18C9" w:rsidRDefault="005D45D2" w:rsidP="000E18C9">
      <w:pPr>
        <w:jc w:val="both"/>
        <w:rPr>
          <w:rFonts w:eastAsia="Calibri"/>
          <w:sz w:val="22"/>
          <w:lang w:val="en-GB" w:eastAsia="ja-JP"/>
        </w:rPr>
      </w:pPr>
    </w:p>
    <w:p w:rsidR="000E18C9" w:rsidRPr="000E18C9" w:rsidRDefault="000E18C9" w:rsidP="000E18C9">
      <w:pPr>
        <w:jc w:val="both"/>
        <w:rPr>
          <w:rFonts w:ascii="Arial" w:eastAsia="Calibri" w:hAnsi="Arial"/>
          <w:b/>
          <w:caps/>
          <w:noProof/>
          <w:lang w:val="en-GB" w:eastAsia="ja-JP"/>
        </w:rPr>
      </w:pPr>
      <w:r w:rsidRPr="000E18C9">
        <w:rPr>
          <w:rFonts w:ascii="Arial" w:eastAsia="Calibri" w:hAnsi="Arial"/>
          <w:b/>
          <w:caps/>
          <w:noProof/>
          <w:lang w:val="en-GB" w:eastAsia="ja-JP"/>
        </w:rPr>
        <w:t>EVALUATING BANK OPERATING AND FINANCIAL PERFORMANCE</w:t>
      </w:r>
    </w:p>
    <w:p w:rsidR="000E18C9" w:rsidRPr="000E18C9" w:rsidRDefault="000E18C9" w:rsidP="000E18C9">
      <w:pPr>
        <w:jc w:val="both"/>
        <w:rPr>
          <w:rFonts w:eastAsia="Calibri"/>
          <w:noProof/>
          <w:sz w:val="22"/>
          <w:lang w:val="en-GB" w:eastAsia="ja-JP"/>
        </w:rPr>
      </w:pPr>
    </w:p>
    <w:p w:rsidR="000E18C9" w:rsidRPr="000E18C9" w:rsidRDefault="000E18C9" w:rsidP="000E18C9">
      <w:pPr>
        <w:jc w:val="both"/>
        <w:rPr>
          <w:rFonts w:eastAsia="Calibri"/>
          <w:noProof/>
          <w:sz w:val="22"/>
          <w:lang w:val="en-GB" w:eastAsia="ja-JP"/>
        </w:rPr>
      </w:pPr>
      <w:r w:rsidRPr="000E18C9">
        <w:rPr>
          <w:rFonts w:eastAsia="Calibri"/>
          <w:noProof/>
          <w:sz w:val="22"/>
          <w:lang w:val="en-GB" w:eastAsia="ja-JP"/>
        </w:rPr>
        <w:t xml:space="preserve">The traditional narrow banking model is relatively straightforward for investors to evaluate. A bank is founded with an initial equity investment, with the proceeds used to set up and staff the bank’s headquarters and branches. These branches accept deposits from retail and commercial customers, who open chequing or savings accounts. Banks may also borrow short-term funds from other banks through the interbank market or longer-term funds by issuing bonds to investors through the capital markets. These capital sources finance the asset side of a bank’s balance sheet, which consists primarily of loans, mortgages, and other forms of credit to households and businesses. For this reason, banks are described as financial intermediaries who match savers (depositors) with investors (borrowers). </w:t>
      </w:r>
    </w:p>
    <w:p w:rsidR="000E18C9" w:rsidRPr="000E18C9" w:rsidRDefault="000E18C9" w:rsidP="000E18C9">
      <w:pPr>
        <w:jc w:val="both"/>
        <w:rPr>
          <w:rFonts w:eastAsia="Calibri"/>
          <w:noProof/>
          <w:sz w:val="22"/>
          <w:lang w:val="en-GB" w:eastAsia="ja-JP"/>
        </w:rPr>
      </w:pPr>
    </w:p>
    <w:p w:rsidR="000E18C9" w:rsidRPr="000E18C9" w:rsidRDefault="000E18C9" w:rsidP="000E18C9">
      <w:pPr>
        <w:jc w:val="both"/>
        <w:rPr>
          <w:rFonts w:eastAsia="Calibri"/>
          <w:noProof/>
          <w:sz w:val="22"/>
          <w:lang w:val="en-GB" w:eastAsia="ja-JP"/>
        </w:rPr>
      </w:pPr>
      <w:r w:rsidRPr="000E18C9">
        <w:rPr>
          <w:rFonts w:eastAsia="Calibri"/>
          <w:noProof/>
          <w:sz w:val="22"/>
          <w:lang w:val="en-GB" w:eastAsia="ja-JP"/>
        </w:rPr>
        <w:t xml:space="preserve">Retail and commercial banks make a profit by charging a higher interest rate on loans to customers than they pay on deposits to savers. The main source of bank profits—the difference between the interest income earned on loans and the interest expense paid on deposits—is net interest income. Banks may also earn interest income from holdings of securities, such as bonds and dividend-paying equities. When net interest income is expressed as a ratio of the bank’s interest earning assets, it is called net interest margin (NIM) or the loan spread. The typical NIM for a North American bank varies from 1 per cent to 3 per cent. </w:t>
      </w:r>
    </w:p>
    <w:p w:rsidR="000E18C9" w:rsidRPr="000E18C9" w:rsidRDefault="000E18C9" w:rsidP="000E18C9">
      <w:pPr>
        <w:jc w:val="both"/>
        <w:rPr>
          <w:rFonts w:eastAsia="Calibri"/>
          <w:noProof/>
          <w:sz w:val="22"/>
          <w:lang w:val="en-GB" w:eastAsia="ja-JP"/>
        </w:rPr>
      </w:pPr>
    </w:p>
    <w:p w:rsidR="000E18C9" w:rsidRPr="000E18C9" w:rsidRDefault="000E18C9" w:rsidP="000E18C9">
      <w:pPr>
        <w:jc w:val="both"/>
        <w:rPr>
          <w:rFonts w:eastAsia="Calibri"/>
          <w:noProof/>
          <w:sz w:val="22"/>
          <w:lang w:val="en-GB" w:eastAsia="ja-JP"/>
        </w:rPr>
      </w:pPr>
      <w:r w:rsidRPr="000E18C9">
        <w:rPr>
          <w:rFonts w:eastAsia="Calibri"/>
          <w:noProof/>
          <w:sz w:val="22"/>
          <w:lang w:val="en-GB" w:eastAsia="ja-JP"/>
        </w:rPr>
        <w:t>Banks earn income from other sources that are not priced with reference to interest rates, called non-interest income. Many sources of non-interest income typically generate fees and commissions. Sources of non-interest income include banking fees and fiduciary activities, credit cards, underwriting and advisory mandates, originating and servicing mortgages, managing assets, and profits (and losses) from trading. When a bank is engaged in insurance, non-interest income includes income from insurance activities such as premiums and fees due to the sale of credit protection and stand-alone vanilla insurance products as well as automobile insurance. Insurance expense is reported separately.</w:t>
      </w:r>
    </w:p>
    <w:p w:rsidR="000E18C9" w:rsidRPr="000E18C9" w:rsidRDefault="000E18C9" w:rsidP="000E18C9">
      <w:pPr>
        <w:jc w:val="both"/>
        <w:rPr>
          <w:rFonts w:eastAsia="Calibri"/>
          <w:noProof/>
          <w:sz w:val="22"/>
          <w:lang w:val="en-GB" w:eastAsia="ja-JP"/>
        </w:rPr>
      </w:pPr>
      <w:r w:rsidRPr="000E18C9">
        <w:rPr>
          <w:rFonts w:eastAsia="Calibri"/>
          <w:noProof/>
          <w:sz w:val="22"/>
          <w:lang w:val="en-GB" w:eastAsia="ja-JP"/>
        </w:rPr>
        <w:lastRenderedPageBreak/>
        <w:t xml:space="preserve">A bank’s total revenue is the sum of net interest income and non-interest income. Total revenue is analogous to a non-financial corporation’s gross profit, as it deducts the cost of producing the good or service from the price paid by the consumer. Bank revenues do not consider expenses related to overhead or other fixed costs such as employee salaries and marketing. These expenses are called non-interest expenses. The key measure of a bank’s ability to manage its costs is the efficiency ratio, which is the ratio of non-interest expense to total revenues. An efficiency ratio of 50 per cent means that for every dollar of revenues, the bank is paying 50 cents of non-interest expenses. Efficiency ratios for banks typically range from 45 per cent to 60 per cent, with higher ratios for banks focused on capital markets or wealth management. </w:t>
      </w:r>
    </w:p>
    <w:p w:rsidR="000E18C9" w:rsidRPr="000E18C9" w:rsidRDefault="000E18C9" w:rsidP="000E18C9">
      <w:pPr>
        <w:jc w:val="both"/>
        <w:rPr>
          <w:rFonts w:eastAsia="Calibri"/>
          <w:noProof/>
          <w:sz w:val="22"/>
          <w:lang w:val="en-GB" w:eastAsia="ja-JP"/>
        </w:rPr>
      </w:pPr>
    </w:p>
    <w:p w:rsidR="000E18C9" w:rsidRPr="000E18C9" w:rsidRDefault="000E18C9" w:rsidP="000E18C9">
      <w:pPr>
        <w:jc w:val="both"/>
        <w:rPr>
          <w:rFonts w:eastAsia="Calibri"/>
          <w:noProof/>
          <w:sz w:val="22"/>
          <w:lang w:val="en-GB" w:eastAsia="ja-JP"/>
        </w:rPr>
      </w:pPr>
      <w:r w:rsidRPr="000E18C9">
        <w:rPr>
          <w:rFonts w:eastAsia="Calibri"/>
          <w:noProof/>
          <w:sz w:val="22"/>
          <w:lang w:val="en-GB" w:eastAsia="ja-JP"/>
        </w:rPr>
        <w:t>Investors often evaluate the profitability of banks using two ratios: return on assets (ROA) and return on equity (ROE). ROA is the ratio of net income to total assets. Given that bank balance sheets are large and the level of competition among banks is high, ROA ratios are low and typically below 2 per cent. Bank shareholders tend to focus on ROE, which is the ratio of net income available to common shareholders divided by common equity (at book value).</w:t>
      </w:r>
      <w:r w:rsidRPr="000E18C9">
        <w:rPr>
          <w:rFonts w:eastAsia="Calibri"/>
          <w:noProof/>
          <w:spacing w:val="-1"/>
          <w:sz w:val="22"/>
          <w:szCs w:val="22"/>
          <w:vertAlign w:val="superscript"/>
          <w:lang w:val="en-GB" w:eastAsia="ja-JP"/>
        </w:rPr>
        <w:footnoteReference w:id="5"/>
      </w:r>
      <w:r w:rsidRPr="000E18C9">
        <w:rPr>
          <w:rFonts w:eastAsia="Calibri"/>
          <w:noProof/>
          <w:sz w:val="22"/>
          <w:lang w:val="en-GB" w:eastAsia="ja-JP"/>
        </w:rPr>
        <w:t xml:space="preserve"> ROE provides a measure of the return earned in a given year for every dollar of common equity invested in the bank. ROEs typically average from 8 per cent to 18 per cent, with the levels sensitive to the degree of financial leverage measured as the ratio of total asset to common equity. The relationship between ROE, ROA, and financial leverage can be illustrated using the following relationship:</w:t>
      </w:r>
    </w:p>
    <w:p w:rsidR="000E18C9" w:rsidRPr="000E18C9" w:rsidRDefault="000E18C9" w:rsidP="000E18C9">
      <w:pPr>
        <w:jc w:val="both"/>
        <w:rPr>
          <w:rFonts w:eastAsia="Calibri"/>
          <w:noProof/>
          <w:sz w:val="22"/>
          <w:lang w:val="en-GB" w:eastAsia="ja-JP"/>
        </w:rPr>
      </w:pPr>
    </w:p>
    <w:p w:rsidR="000E18C9" w:rsidRPr="000E18C9" w:rsidRDefault="000E18C9" w:rsidP="000E18C9">
      <w:pPr>
        <w:tabs>
          <w:tab w:val="right" w:pos="9360"/>
        </w:tabs>
        <w:jc w:val="center"/>
        <w:rPr>
          <w:rFonts w:eastAsia="Calibri"/>
          <w:noProof/>
          <w:spacing w:val="-1"/>
          <w:sz w:val="22"/>
          <w:szCs w:val="22"/>
          <w:lang w:val="en-GB" w:eastAsia="ja-JP"/>
        </w:rPr>
      </w:pPr>
      <m:oMathPara>
        <m:oMath>
          <m:r>
            <m:rPr>
              <m:sty m:val="bi"/>
            </m:rPr>
            <w:rPr>
              <w:rFonts w:ascii="Cambria Math" w:eastAsia="Calibri" w:hAnsi="Cambria Math"/>
              <w:caps/>
              <w:noProof/>
              <w:spacing w:val="-1"/>
              <w:sz w:val="22"/>
              <w:szCs w:val="22"/>
              <w:lang w:val="en-GB" w:eastAsia="ja-JP"/>
            </w:rPr>
            <m:t xml:space="preserve">ROE= </m:t>
          </m:r>
          <m:f>
            <m:fPr>
              <m:ctrlPr>
                <w:rPr>
                  <w:rFonts w:ascii="Cambria Math" w:eastAsia="Calibri" w:hAnsi="Cambria Math"/>
                  <w:i/>
                  <w:caps/>
                  <w:noProof/>
                  <w:spacing w:val="-1"/>
                  <w:sz w:val="22"/>
                  <w:szCs w:val="22"/>
                  <w:lang w:val="en-GB" w:eastAsia="ja-JP"/>
                </w:rPr>
              </m:ctrlPr>
            </m:fPr>
            <m:num>
              <m:r>
                <m:rPr>
                  <m:sty m:val="bi"/>
                </m:rPr>
                <w:rPr>
                  <w:rFonts w:ascii="Cambria Math" w:eastAsia="Calibri" w:hAnsi="Cambria Math"/>
                  <w:caps/>
                  <w:noProof/>
                  <w:spacing w:val="-1"/>
                  <w:sz w:val="22"/>
                  <w:szCs w:val="22"/>
                  <w:lang w:val="en-GB" w:eastAsia="ja-JP"/>
                </w:rPr>
                <m:t>Net Income</m:t>
              </m:r>
            </m:num>
            <m:den>
              <m:r>
                <m:rPr>
                  <m:sty m:val="bi"/>
                </m:rPr>
                <w:rPr>
                  <w:rFonts w:ascii="Cambria Math" w:eastAsia="Calibri" w:hAnsi="Cambria Math"/>
                  <w:caps/>
                  <w:noProof/>
                  <w:spacing w:val="-1"/>
                  <w:sz w:val="22"/>
                  <w:szCs w:val="22"/>
                  <w:lang w:val="en-GB" w:eastAsia="ja-JP"/>
                </w:rPr>
                <m:t>Common Equity</m:t>
              </m:r>
            </m:den>
          </m:f>
          <m:r>
            <m:rPr>
              <m:sty m:val="bi"/>
            </m:rPr>
            <w:rPr>
              <w:rFonts w:ascii="Cambria Math" w:eastAsia="Calibri" w:hAnsi="Cambria Math"/>
              <w:caps/>
              <w:noProof/>
              <w:spacing w:val="-1"/>
              <w:sz w:val="22"/>
              <w:szCs w:val="22"/>
              <w:lang w:val="en-GB" w:eastAsia="ja-JP"/>
            </w:rPr>
            <m:t xml:space="preserve">= </m:t>
          </m:r>
          <m:f>
            <m:fPr>
              <m:ctrlPr>
                <w:rPr>
                  <w:rFonts w:ascii="Cambria Math" w:eastAsia="Calibri" w:hAnsi="Cambria Math"/>
                  <w:i/>
                  <w:caps/>
                  <w:noProof/>
                  <w:spacing w:val="-1"/>
                  <w:sz w:val="22"/>
                  <w:szCs w:val="22"/>
                  <w:lang w:val="en-GB" w:eastAsia="ja-JP"/>
                </w:rPr>
              </m:ctrlPr>
            </m:fPr>
            <m:num>
              <m:r>
                <m:rPr>
                  <m:sty m:val="bi"/>
                </m:rPr>
                <w:rPr>
                  <w:rFonts w:ascii="Cambria Math" w:eastAsia="Calibri" w:hAnsi="Cambria Math"/>
                  <w:caps/>
                  <w:noProof/>
                  <w:spacing w:val="-1"/>
                  <w:sz w:val="22"/>
                  <w:szCs w:val="22"/>
                  <w:lang w:val="en-GB" w:eastAsia="ja-JP"/>
                </w:rPr>
                <m:t>Net Income</m:t>
              </m:r>
            </m:num>
            <m:den>
              <m:r>
                <m:rPr>
                  <m:sty m:val="bi"/>
                </m:rPr>
                <w:rPr>
                  <w:rFonts w:ascii="Cambria Math" w:eastAsia="Calibri" w:hAnsi="Cambria Math"/>
                  <w:caps/>
                  <w:noProof/>
                  <w:spacing w:val="-1"/>
                  <w:sz w:val="22"/>
                  <w:szCs w:val="22"/>
                  <w:lang w:val="en-GB" w:eastAsia="ja-JP"/>
                </w:rPr>
                <m:t>Assets</m:t>
              </m:r>
            </m:den>
          </m:f>
          <m:r>
            <m:rPr>
              <m:sty m:val="bi"/>
            </m:rPr>
            <w:rPr>
              <w:rFonts w:ascii="Cambria Math" w:eastAsia="Calibri" w:hAnsi="Cambria Math"/>
              <w:caps/>
              <w:noProof/>
              <w:spacing w:val="-1"/>
              <w:sz w:val="22"/>
              <w:szCs w:val="22"/>
              <w:lang w:val="en-GB" w:eastAsia="ja-JP"/>
            </w:rPr>
            <m:t>x</m:t>
          </m:r>
          <m:f>
            <m:fPr>
              <m:ctrlPr>
                <w:rPr>
                  <w:rFonts w:ascii="Cambria Math" w:eastAsia="Calibri" w:hAnsi="Cambria Math"/>
                  <w:i/>
                  <w:caps/>
                  <w:noProof/>
                  <w:spacing w:val="-1"/>
                  <w:sz w:val="22"/>
                  <w:szCs w:val="22"/>
                  <w:lang w:val="en-GB" w:eastAsia="ja-JP"/>
                </w:rPr>
              </m:ctrlPr>
            </m:fPr>
            <m:num>
              <m:r>
                <m:rPr>
                  <m:sty m:val="bi"/>
                </m:rPr>
                <w:rPr>
                  <w:rFonts w:ascii="Cambria Math" w:eastAsia="Calibri" w:hAnsi="Cambria Math"/>
                  <w:caps/>
                  <w:noProof/>
                  <w:spacing w:val="-1"/>
                  <w:sz w:val="22"/>
                  <w:szCs w:val="22"/>
                  <w:lang w:val="en-GB" w:eastAsia="ja-JP"/>
                </w:rPr>
                <m:t>Assets</m:t>
              </m:r>
            </m:num>
            <m:den>
              <m:r>
                <m:rPr>
                  <m:sty m:val="bi"/>
                </m:rPr>
                <w:rPr>
                  <w:rFonts w:ascii="Cambria Math" w:eastAsia="Calibri" w:hAnsi="Cambria Math"/>
                  <w:caps/>
                  <w:noProof/>
                  <w:spacing w:val="-1"/>
                  <w:sz w:val="22"/>
                  <w:szCs w:val="22"/>
                  <w:lang w:val="en-GB" w:eastAsia="ja-JP"/>
                </w:rPr>
                <m:t>Common Equity</m:t>
              </m:r>
            </m:den>
          </m:f>
          <m:r>
            <m:rPr>
              <m:sty m:val="bi"/>
            </m:rPr>
            <w:rPr>
              <w:rFonts w:ascii="Cambria Math" w:eastAsia="Calibri" w:hAnsi="Cambria Math"/>
              <w:caps/>
              <w:noProof/>
              <w:spacing w:val="-1"/>
              <w:sz w:val="22"/>
              <w:szCs w:val="22"/>
              <w:lang w:val="en-GB" w:eastAsia="ja-JP"/>
            </w:rPr>
            <m:t>=ROA x Financial L</m:t>
          </m:r>
          <m:r>
            <m:rPr>
              <m:sty m:val="bi"/>
            </m:rPr>
            <w:rPr>
              <w:rFonts w:ascii="Cambria Math" w:eastAsia="Calibri" w:hAnsi="Cambria Math"/>
              <w:caps/>
              <w:noProof/>
              <w:spacing w:val="-1"/>
              <w:sz w:val="22"/>
              <w:szCs w:val="22"/>
              <w:lang w:val="en-GB" w:eastAsia="ja-JP"/>
            </w:rPr>
            <m:t>everage</m:t>
          </m:r>
        </m:oMath>
      </m:oMathPara>
    </w:p>
    <w:p w:rsidR="000E18C9" w:rsidRPr="000E18C9" w:rsidRDefault="000E18C9" w:rsidP="000E18C9">
      <w:pPr>
        <w:jc w:val="both"/>
        <w:rPr>
          <w:rFonts w:eastAsia="Calibri"/>
          <w:noProof/>
          <w:sz w:val="22"/>
          <w:lang w:val="en-GB" w:eastAsia="ja-JP"/>
        </w:rPr>
      </w:pPr>
    </w:p>
    <w:p w:rsidR="000E18C9" w:rsidRPr="000E18C9" w:rsidRDefault="000E18C9" w:rsidP="000E18C9">
      <w:pPr>
        <w:jc w:val="both"/>
        <w:rPr>
          <w:rFonts w:eastAsia="Calibri"/>
          <w:noProof/>
          <w:sz w:val="22"/>
          <w:lang w:val="en-GB" w:eastAsia="ja-JP"/>
        </w:rPr>
      </w:pPr>
      <w:r w:rsidRPr="000E18C9">
        <w:rPr>
          <w:rFonts w:eastAsia="Calibri"/>
          <w:noProof/>
          <w:sz w:val="22"/>
          <w:lang w:val="en-GB" w:eastAsia="ja-JP"/>
        </w:rPr>
        <w:t xml:space="preserve">This relationship shows that a bank can transform low ROA into high ROE using financial leverage. For example, when a bank with total assets of $100 is funded using $10 of common equity, then an ROA of 1 per cent equates to an ROE of 10 per cent: 1 per cent × (100 ÷ 10). One obvious way to increase ROA is to take greater risks on loans, which may lead to higher profitability in the short run but larger losses in the long run. Investors, therefore, monitor the degree of risk-taking carefully. </w:t>
      </w:r>
    </w:p>
    <w:p w:rsidR="000E18C9" w:rsidRPr="000E18C9" w:rsidRDefault="000E18C9" w:rsidP="000E18C9">
      <w:pPr>
        <w:jc w:val="both"/>
        <w:rPr>
          <w:rFonts w:eastAsia="Calibri"/>
          <w:noProof/>
          <w:sz w:val="22"/>
          <w:lang w:val="en-GB" w:eastAsia="ja-JP"/>
        </w:rPr>
      </w:pPr>
    </w:p>
    <w:p w:rsidR="000E18C9" w:rsidRPr="000E18C9" w:rsidRDefault="000E18C9" w:rsidP="000E18C9">
      <w:pPr>
        <w:jc w:val="both"/>
        <w:rPr>
          <w:rFonts w:eastAsia="Calibri"/>
          <w:noProof/>
          <w:sz w:val="22"/>
          <w:lang w:val="en-GB" w:eastAsia="ja-JP"/>
        </w:rPr>
      </w:pPr>
      <w:r w:rsidRPr="000E18C9">
        <w:rPr>
          <w:rFonts w:eastAsia="Calibri"/>
          <w:noProof/>
          <w:sz w:val="22"/>
          <w:lang w:val="en-GB" w:eastAsia="ja-JP"/>
        </w:rPr>
        <w:t xml:space="preserve">While banks face many risks, two primary ones monitored by investors are credit risk and liquidity risk. </w:t>
      </w:r>
    </w:p>
    <w:p w:rsidR="000E18C9" w:rsidRPr="000E18C9" w:rsidRDefault="000E18C9" w:rsidP="000E18C9">
      <w:pPr>
        <w:jc w:val="both"/>
        <w:rPr>
          <w:rFonts w:eastAsia="Calibri"/>
          <w:noProof/>
          <w:sz w:val="22"/>
          <w:lang w:val="en-GB" w:eastAsia="ja-JP"/>
        </w:rPr>
      </w:pPr>
    </w:p>
    <w:p w:rsidR="000E18C9" w:rsidRPr="000E18C9" w:rsidRDefault="000E18C9" w:rsidP="000E18C9">
      <w:pPr>
        <w:jc w:val="both"/>
        <w:rPr>
          <w:rFonts w:eastAsia="Calibri"/>
          <w:noProof/>
          <w:sz w:val="22"/>
          <w:lang w:val="en-GB" w:eastAsia="ja-JP"/>
        </w:rPr>
      </w:pPr>
      <w:r w:rsidRPr="000E18C9">
        <w:rPr>
          <w:rFonts w:eastAsia="Calibri"/>
          <w:noProof/>
          <w:sz w:val="22"/>
          <w:lang w:val="en-GB" w:eastAsia="ja-JP"/>
        </w:rPr>
        <w:t xml:space="preserve">Credit risk is the risk that a borrower defaults on a loan and cannot repay the bank. Banks understand that some loans and credit will not be repaid despite efforts to screen and monitor customers. These </w:t>
      </w:r>
      <w:r w:rsidRPr="000E18C9">
        <w:rPr>
          <w:rFonts w:eastAsia="Calibri"/>
          <w:i/>
          <w:noProof/>
          <w:sz w:val="22"/>
          <w:lang w:val="en-GB" w:eastAsia="ja-JP"/>
        </w:rPr>
        <w:t>expected</w:t>
      </w:r>
      <w:r w:rsidRPr="000E18C9">
        <w:rPr>
          <w:rFonts w:eastAsia="Calibri"/>
          <w:noProof/>
          <w:sz w:val="22"/>
          <w:lang w:val="en-GB" w:eastAsia="ja-JP"/>
        </w:rPr>
        <w:t xml:space="preserve"> losses are included in the pricing of the original loan and recorded on the balance sheet as allowance for credit losses (ACLs). The amount of net loans shown under assets is equal to gross loans minus ACLs. When a bank faces </w:t>
      </w:r>
      <w:r w:rsidRPr="000E18C9">
        <w:rPr>
          <w:rFonts w:eastAsia="Calibri"/>
          <w:i/>
          <w:noProof/>
          <w:sz w:val="22"/>
          <w:lang w:val="en-GB" w:eastAsia="ja-JP"/>
        </w:rPr>
        <w:t>unexpected</w:t>
      </w:r>
      <w:r w:rsidRPr="000E18C9">
        <w:rPr>
          <w:rFonts w:eastAsia="Calibri"/>
          <w:noProof/>
          <w:sz w:val="22"/>
          <w:lang w:val="en-GB" w:eastAsia="ja-JP"/>
        </w:rPr>
        <w:t xml:space="preserve"> losses from an impaired loan, it recognizes this loss by taking a charge against current earnings called provision for credit losses (PCLs). PCLs are an expense that appears on the bank’s income statement, reducing taxable income. Investors can judge the quality of a bank’s loan portfolio using the ratio of PCLs/net average loans or the ratio of ACLs/gross average loans. </w:t>
      </w:r>
    </w:p>
    <w:p w:rsidR="000E18C9" w:rsidRPr="000E18C9" w:rsidRDefault="000E18C9" w:rsidP="000E18C9">
      <w:pPr>
        <w:jc w:val="both"/>
        <w:rPr>
          <w:rFonts w:eastAsia="Calibri"/>
          <w:noProof/>
          <w:sz w:val="22"/>
          <w:lang w:val="en-GB" w:eastAsia="ja-JP"/>
        </w:rPr>
      </w:pPr>
    </w:p>
    <w:p w:rsidR="000E18C9" w:rsidRPr="000E18C9" w:rsidRDefault="000E18C9" w:rsidP="000E18C9">
      <w:pPr>
        <w:jc w:val="both"/>
        <w:rPr>
          <w:rFonts w:eastAsia="Calibri"/>
          <w:noProof/>
          <w:sz w:val="22"/>
          <w:lang w:val="en-GB" w:eastAsia="ja-JP"/>
        </w:rPr>
      </w:pPr>
      <w:r w:rsidRPr="000E18C9">
        <w:rPr>
          <w:rFonts w:eastAsia="Calibri"/>
          <w:noProof/>
          <w:sz w:val="22"/>
          <w:lang w:val="en-GB" w:eastAsia="ja-JP"/>
        </w:rPr>
        <w:t xml:space="preserve">Liquidity risk is the risk of a bank not having sufficient cash available to meet cash payments. These cash payments may be due to unexpected withdrawals by depositors concerned about the financial viability of a bank (i.e., a bank run) or due to maturing bonds that need to be repaid. A bank typically holds less than 5 per cent of its total assets in cash, given this asset does not generate any income. But deposits may account for 40 per cent to 80 per cent of a bank’s total balance sheet. Clearly, a bank cannot repay all these depositors in a short time, as the funds have been invested in other non-liquid assets such as loans and mortgages. </w:t>
      </w:r>
    </w:p>
    <w:p w:rsidR="000E18C9" w:rsidRPr="000E18C9" w:rsidRDefault="000E18C9" w:rsidP="000E18C9">
      <w:pPr>
        <w:jc w:val="both"/>
        <w:rPr>
          <w:rFonts w:eastAsia="Calibri"/>
          <w:noProof/>
          <w:sz w:val="22"/>
          <w:lang w:val="en-GB" w:eastAsia="ja-JP"/>
        </w:rPr>
      </w:pPr>
      <w:r w:rsidRPr="000E18C9">
        <w:rPr>
          <w:rFonts w:eastAsia="Calibri"/>
          <w:noProof/>
          <w:sz w:val="22"/>
          <w:lang w:val="en-GB" w:eastAsia="ja-JP"/>
        </w:rPr>
        <w:lastRenderedPageBreak/>
        <w:t>The second approach to increase bank profitability is to increase financial leverage. Higher leverage, however, increases the risk of default. Given the history of bank failures and the cost of banking crises for the economy, bank supervisors globally have introduced minimum capital requirements and other measures to limit leverage to acceptable levels. The current version of global regulations, known as Basel III, focuses on three minimum capital requirements: a common equity tier 1 (CET1) capital ratio of 7 per cent, a tier 1 capital ratio of 8.5 per cent, and a total capital ratio of 10.5 per cent.</w:t>
      </w:r>
      <w:r w:rsidRPr="000E18C9">
        <w:rPr>
          <w:rFonts w:eastAsia="Calibri"/>
          <w:noProof/>
          <w:spacing w:val="-1"/>
          <w:sz w:val="22"/>
          <w:szCs w:val="22"/>
          <w:vertAlign w:val="superscript"/>
          <w:lang w:val="en-GB" w:eastAsia="ja-JP"/>
        </w:rPr>
        <w:footnoteReference w:id="6"/>
      </w:r>
      <w:r w:rsidRPr="000E18C9">
        <w:rPr>
          <w:rFonts w:eastAsia="Calibri"/>
          <w:noProof/>
          <w:sz w:val="22"/>
          <w:lang w:val="en-GB" w:eastAsia="ja-JP"/>
        </w:rPr>
        <w:t xml:space="preserve"> </w:t>
      </w:r>
    </w:p>
    <w:p w:rsidR="000E18C9" w:rsidRPr="000E18C9" w:rsidRDefault="000E18C9" w:rsidP="000E18C9">
      <w:pPr>
        <w:jc w:val="both"/>
        <w:rPr>
          <w:rFonts w:eastAsia="Calibri"/>
          <w:noProof/>
          <w:sz w:val="22"/>
          <w:lang w:val="en-GB" w:eastAsia="ja-JP"/>
        </w:rPr>
      </w:pPr>
    </w:p>
    <w:p w:rsidR="000E18C9" w:rsidRPr="000E18C9" w:rsidRDefault="000E18C9" w:rsidP="000E18C9">
      <w:pPr>
        <w:jc w:val="both"/>
        <w:rPr>
          <w:rFonts w:eastAsia="Calibri"/>
          <w:noProof/>
          <w:sz w:val="22"/>
          <w:lang w:val="en-GB" w:eastAsia="ja-JP"/>
        </w:rPr>
      </w:pPr>
    </w:p>
    <w:p w:rsidR="000E18C9" w:rsidRPr="000E18C9" w:rsidRDefault="000E18C9" w:rsidP="000E18C9">
      <w:pPr>
        <w:jc w:val="both"/>
        <w:rPr>
          <w:rFonts w:ascii="Arial" w:eastAsia="Calibri" w:hAnsi="Arial"/>
          <w:b/>
          <w:caps/>
          <w:noProof/>
          <w:lang w:val="en-GB" w:eastAsia="ja-JP"/>
        </w:rPr>
      </w:pPr>
      <w:r w:rsidRPr="000E18C9">
        <w:rPr>
          <w:rFonts w:ascii="Arial" w:eastAsia="Calibri" w:hAnsi="Arial"/>
          <w:b/>
          <w:caps/>
          <w:noProof/>
          <w:lang w:val="en-GB" w:eastAsia="ja-JP"/>
        </w:rPr>
        <w:t>COMPARING NORTH AMERICAN BANKS</w:t>
      </w:r>
    </w:p>
    <w:p w:rsidR="000E18C9" w:rsidRPr="000E18C9" w:rsidRDefault="000E18C9" w:rsidP="000E18C9">
      <w:pPr>
        <w:jc w:val="both"/>
        <w:rPr>
          <w:rFonts w:eastAsia="Calibri"/>
          <w:noProof/>
          <w:sz w:val="22"/>
          <w:lang w:val="en-GB" w:eastAsia="ja-JP"/>
        </w:rPr>
      </w:pPr>
    </w:p>
    <w:p w:rsidR="000E18C9" w:rsidRPr="000E18C9" w:rsidRDefault="000E18C9" w:rsidP="000E18C9">
      <w:pPr>
        <w:jc w:val="both"/>
        <w:rPr>
          <w:rFonts w:eastAsia="Calibri"/>
          <w:sz w:val="22"/>
          <w:lang w:val="en-GB" w:eastAsia="ja-JP"/>
        </w:rPr>
      </w:pPr>
      <w:r w:rsidRPr="000E18C9">
        <w:rPr>
          <w:rFonts w:eastAsia="Calibri"/>
          <w:noProof/>
          <w:sz w:val="22"/>
          <w:lang w:val="en-GB" w:eastAsia="ja-JP"/>
        </w:rPr>
        <w:t>Financial ratios take on meaning when looking at (1) variation over time for a given bank and (2) variation across banks at a given point in time.</w:t>
      </w:r>
      <w:r w:rsidRPr="000E18C9">
        <w:rPr>
          <w:rFonts w:eastAsia="Calibri"/>
          <w:noProof/>
          <w:spacing w:val="-1"/>
          <w:sz w:val="22"/>
          <w:szCs w:val="22"/>
          <w:vertAlign w:val="superscript"/>
          <w:lang w:val="en-GB" w:eastAsia="ja-JP"/>
        </w:rPr>
        <w:footnoteReference w:id="7"/>
      </w:r>
      <w:r w:rsidRPr="000E18C9">
        <w:rPr>
          <w:rFonts w:eastAsia="Calibri"/>
          <w:noProof/>
          <w:sz w:val="22"/>
          <w:lang w:val="en-GB" w:eastAsia="ja-JP"/>
        </w:rPr>
        <w:t xml:space="preserve"> These two dimensions can be illustrated by examining the consolidated financial statements and the financial ratios for a single bank, TD Bank Group (TD). The financial </w:t>
      </w:r>
      <w:r w:rsidRPr="000E18C9">
        <w:rPr>
          <w:rFonts w:eastAsia="Calibri"/>
          <w:sz w:val="22"/>
          <w:lang w:val="en-GB" w:eastAsia="ja-JP"/>
        </w:rPr>
        <w:t xml:space="preserve">ratios can then be compared across three groups of banks: six Canadian banks, four large and diversified U.S. banks (Bank of America, Citigroup, JPMorgan, and Wells Fargo), and 11 smaller U.S. regional banks. </w:t>
      </w:r>
    </w:p>
    <w:p w:rsidR="000E18C9" w:rsidRPr="000E18C9" w:rsidRDefault="000E18C9" w:rsidP="000E18C9">
      <w:pPr>
        <w:jc w:val="both"/>
        <w:rPr>
          <w:rFonts w:eastAsia="Calibri"/>
          <w:sz w:val="22"/>
          <w:lang w:val="en-GB" w:eastAsia="ja-JP"/>
        </w:rPr>
      </w:pPr>
    </w:p>
    <w:p w:rsidR="000E18C9" w:rsidRPr="000E18C9" w:rsidRDefault="000E18C9" w:rsidP="000E18C9">
      <w:pPr>
        <w:jc w:val="both"/>
        <w:rPr>
          <w:rFonts w:eastAsia="Calibri"/>
          <w:sz w:val="22"/>
          <w:lang w:val="en-GB" w:eastAsia="ja-JP"/>
        </w:rPr>
      </w:pPr>
      <w:r w:rsidRPr="000E18C9">
        <w:rPr>
          <w:rFonts w:eastAsia="Calibri"/>
          <w:sz w:val="22"/>
          <w:lang w:val="en-GB" w:eastAsia="ja-JP"/>
        </w:rPr>
        <w:t xml:space="preserve">Exhibit 1 shows TD’s consolidated balance sheet and income statement at the end of fiscal year 2016. Despite having a large U.S. presence, TD reports its accounts in Canadian dollars according to International Financial Reporting Standards. The first column in Exhibit 1 shows the financial statement categories, the second column shows the totals in millions of Canadian dollars, and the third column shows the common-sized ratios. The use of common-sized financial statements facilitates a comparison across banks of different sizes and over time. By convention, balance sheet items are shown as a percentage of total assets, while income statement items are shown as a percentage of net revenues. </w:t>
      </w:r>
    </w:p>
    <w:p w:rsidR="000E18C9" w:rsidRPr="000E18C9" w:rsidRDefault="000E18C9" w:rsidP="000E18C9">
      <w:pPr>
        <w:jc w:val="both"/>
        <w:rPr>
          <w:rFonts w:eastAsia="Calibri"/>
          <w:sz w:val="22"/>
          <w:lang w:val="en-GB" w:eastAsia="ja-JP"/>
        </w:rPr>
      </w:pPr>
    </w:p>
    <w:p w:rsidR="000E18C9" w:rsidRPr="000E18C9" w:rsidRDefault="000E18C9" w:rsidP="000E18C9">
      <w:pPr>
        <w:jc w:val="both"/>
        <w:rPr>
          <w:rFonts w:eastAsia="Calibri"/>
          <w:sz w:val="22"/>
          <w:lang w:val="en-GB" w:eastAsia="ja-JP"/>
        </w:rPr>
      </w:pPr>
      <w:r w:rsidRPr="000E18C9">
        <w:rPr>
          <w:rFonts w:eastAsia="Calibri"/>
          <w:sz w:val="22"/>
          <w:lang w:val="en-GB" w:eastAsia="ja-JP"/>
        </w:rPr>
        <w:t>Exhibit 1 illustrates that around 50 per cent of TD’s assets consist of loans and mortgages, with 16.3 per cent in long-term investments and 8.4 per cent in short-term trading securities. TD held close to $4 billion in cash, but this cash represented only 0.3 per cent of total assets. Similarly, premises and equipment—consisting of all branches, buildings, computers and other fixed assets—represent only 0.5 per cent of total assets. TD is carrying a large amount of goodwill and intangible assets representing 20 per cent of total assets, no doubt due to the number of acquisitions made over the years. These assets are funded largely by deposits, which represent 72.5 per cent of total assets. Other forms of short-term borrowing plus notes and debentures represent 7.5 per cent of total assets. Common equity represents 5.8 per cent of total assets, with preferred shares and non-controlling interests increasing shareholders’ equity to 6.3 per cent of total assets.</w:t>
      </w:r>
    </w:p>
    <w:p w:rsidR="000E18C9" w:rsidRPr="000E18C9" w:rsidRDefault="000E18C9" w:rsidP="000E18C9">
      <w:pPr>
        <w:jc w:val="both"/>
        <w:rPr>
          <w:rFonts w:eastAsia="Calibri"/>
          <w:sz w:val="22"/>
          <w:lang w:val="en-GB" w:eastAsia="ja-JP"/>
        </w:rPr>
      </w:pPr>
    </w:p>
    <w:p w:rsidR="000E18C9" w:rsidRPr="000E18C9" w:rsidRDefault="000E18C9" w:rsidP="000E18C9">
      <w:pPr>
        <w:jc w:val="both"/>
        <w:rPr>
          <w:rFonts w:eastAsia="Calibri"/>
          <w:sz w:val="22"/>
          <w:lang w:val="en-GB" w:eastAsia="ja-JP"/>
        </w:rPr>
      </w:pPr>
      <w:r w:rsidRPr="000E18C9">
        <w:rPr>
          <w:rFonts w:eastAsia="Calibri"/>
          <w:sz w:val="22"/>
          <w:lang w:val="en-GB" w:eastAsia="ja-JP"/>
        </w:rPr>
        <w:t xml:space="preserve">Turning to the income statement, TD earned 58.1 per cent of total revenues from net interest income and the remaining 41.9 per cent from non-interest income. Non-interest expenses represented 55 per cent of total revenues, which is the efficiency ratio. Provisions for credit losses in 2016 were 6.8 per cent of total revenues with insurance claims and related expenses representing another 7.2 per cent. Net income adjusted for </w:t>
      </w:r>
      <w:proofErr w:type="gramStart"/>
      <w:r w:rsidRPr="000E18C9">
        <w:rPr>
          <w:rFonts w:eastAsia="Calibri"/>
          <w:sz w:val="22"/>
          <w:lang w:val="en-GB" w:eastAsia="ja-JP"/>
        </w:rPr>
        <w:t>items of note was</w:t>
      </w:r>
      <w:proofErr w:type="gramEnd"/>
      <w:r w:rsidRPr="000E18C9">
        <w:rPr>
          <w:rFonts w:eastAsia="Calibri"/>
          <w:sz w:val="22"/>
          <w:lang w:val="en-GB" w:eastAsia="ja-JP"/>
        </w:rPr>
        <w:t xml:space="preserve"> 27.1 per cent of net revenues—a healthy profit margin. </w:t>
      </w:r>
    </w:p>
    <w:p w:rsidR="000E18C9" w:rsidRPr="000E18C9" w:rsidRDefault="000E18C9" w:rsidP="000E18C9">
      <w:pPr>
        <w:jc w:val="both"/>
        <w:rPr>
          <w:rFonts w:eastAsia="Calibri"/>
          <w:sz w:val="22"/>
          <w:lang w:val="en-GB" w:eastAsia="ja-JP"/>
        </w:rPr>
      </w:pPr>
    </w:p>
    <w:p w:rsidR="000E18C9" w:rsidRPr="000E18C9" w:rsidRDefault="000E18C9" w:rsidP="000E18C9">
      <w:pPr>
        <w:jc w:val="both"/>
        <w:rPr>
          <w:rFonts w:eastAsia="Calibri"/>
          <w:sz w:val="22"/>
          <w:lang w:val="en-GB" w:eastAsia="ja-JP"/>
        </w:rPr>
      </w:pPr>
      <w:r w:rsidRPr="000E18C9">
        <w:rPr>
          <w:rFonts w:eastAsia="Calibri"/>
          <w:sz w:val="22"/>
          <w:lang w:val="en-GB" w:eastAsia="ja-JP"/>
        </w:rPr>
        <w:t xml:space="preserve">Exhibit 2 summarizes TD’s operating and leverage ratios over the five years from 2012 to 2016. TD’s NIM declined over this period to 2.01 per cent in 2016. TD’s adjusted efficiency ratio remained stable </w:t>
      </w:r>
      <w:r w:rsidRPr="000E18C9">
        <w:rPr>
          <w:rFonts w:eastAsia="Calibri"/>
          <w:sz w:val="22"/>
          <w:lang w:val="en-GB" w:eastAsia="ja-JP"/>
        </w:rPr>
        <w:lastRenderedPageBreak/>
        <w:t xml:space="preserve">between 53 and 54 per cent, but ROE had declined steadily from 16.5 per cent in 2012 to 13.9 per cent in 2016. PCLs as a percentage of net average loans were low at 0.41 per cent of net average loans. TD exhibited an intermediate amount of financial leverage, with common equity-to-total assets of 5.8 per cent. All TD’s Basel III capital ratios (expressed on a fully phased-in basis) were above regulatory minimums at year-end 2016. In terms of valuation metrics, TD consistently paid out more than 44 per cent of earnings as dividends. Total shareholder return (TSR) for 2016 was an impressive 17.9 per cent. TD’s stock traded at a price-to-earnings multiple of 12.5 times and a price-to-book multiple of 1.7 times at the end of fiscal year 2016. </w:t>
      </w:r>
    </w:p>
    <w:p w:rsidR="000E18C9" w:rsidRPr="000E18C9" w:rsidRDefault="000E18C9" w:rsidP="000E18C9">
      <w:pPr>
        <w:jc w:val="both"/>
        <w:rPr>
          <w:rFonts w:eastAsia="Calibri"/>
          <w:sz w:val="22"/>
          <w:lang w:val="en-GB" w:eastAsia="ja-JP"/>
        </w:rPr>
      </w:pPr>
    </w:p>
    <w:p w:rsidR="000E18C9" w:rsidRPr="000E18C9" w:rsidRDefault="000E18C9" w:rsidP="000E18C9">
      <w:pPr>
        <w:jc w:val="both"/>
        <w:rPr>
          <w:rFonts w:eastAsia="Calibri"/>
          <w:sz w:val="22"/>
          <w:lang w:val="en-GB" w:eastAsia="ja-JP"/>
        </w:rPr>
      </w:pPr>
      <w:r w:rsidRPr="000E18C9">
        <w:rPr>
          <w:rFonts w:eastAsia="Calibri"/>
          <w:sz w:val="22"/>
          <w:lang w:val="en-GB" w:eastAsia="ja-JP"/>
        </w:rPr>
        <w:t>Exhibit 3 compares the operati</w:t>
      </w:r>
      <w:r w:rsidRPr="000E18C9">
        <w:rPr>
          <w:rFonts w:eastAsia="Calibri"/>
          <w:noProof/>
          <w:sz w:val="22"/>
          <w:lang w:val="en-GB" w:eastAsia="ja-JP"/>
        </w:rPr>
        <w:t>ng performance and leverage of the six Canadian banks, four large and diversified U.S. banks (Bank of America, Citigroup, JPMorgan, and Wells Fargo), and 11 U.S. regional banks. The data for the six Canadian banks are for the fiscal year ending October 2016, while the U.S. bank data are for the 12 months ending September 2016. The bottom of the table provides the averages for the three categories of banks. The loans-to-assets ratio provides an indication of the degree of diversification of each bank’s business, with narrow banks featuring higher ratios. TD’s ratio of loans to assets was 50 per cent, similar to the other Canadian banks, higher than the U.S. diversified banks, and lower than the U.S. regional banks. Around 69 per cent of TD’s loans were funded by deposits, lower than the Canadian banks, U.S. diversified banks, and U.S. regional banks. TD featured high asset growth of 6.6 per cent in the most recent fiscal year, lower than its Canadian peers but similar to U.S. regional banks. TD’s NIM was above the average for the Canadian banks but below the U.S. banks, consistent with its presence in both markets. While TD’s ROA was similar to other Canadian banks, TD’s ROE was lower due to lower financial leverage (i.e., assets-to-common equity). TD’s ROE and financial leverage were significantly higher than its peer U.S. banks. TD’s provisions for loan losses were in line with the peer average of Canadian banks, lower than the average of U.S. diversified banks and higher than U.S. regional banks. Finally, TD’s CET1 ratio was similar to its peers at 10.4 per cent.</w:t>
      </w:r>
    </w:p>
    <w:p w:rsidR="000E18C9" w:rsidRPr="000E18C9" w:rsidRDefault="000E18C9" w:rsidP="000E18C9">
      <w:pPr>
        <w:jc w:val="both"/>
        <w:rPr>
          <w:rFonts w:eastAsia="Calibri"/>
          <w:sz w:val="22"/>
          <w:lang w:val="en-GB" w:eastAsia="ja-JP"/>
        </w:rPr>
      </w:pPr>
    </w:p>
    <w:p w:rsidR="000E18C9" w:rsidRPr="000E18C9" w:rsidRDefault="000E18C9" w:rsidP="000E18C9">
      <w:pPr>
        <w:jc w:val="both"/>
        <w:rPr>
          <w:rFonts w:eastAsia="Calibri"/>
          <w:sz w:val="22"/>
          <w:lang w:val="en-GB" w:eastAsia="ja-JP"/>
        </w:rPr>
      </w:pPr>
      <w:r w:rsidRPr="000E18C9">
        <w:rPr>
          <w:rFonts w:eastAsia="Calibri"/>
          <w:noProof/>
          <w:sz w:val="22"/>
          <w:lang w:val="en-GB" w:eastAsia="ja-JP"/>
        </w:rPr>
        <w:t>Exhibit 4 provides an indication of how financial markets valued these North American peers. TD delivered attractive returns to its shareholders over the past three-year horizon, outperforming the TSR of its Canadian and U.S. peers. Viewed from a five-year horizon, TD had underperformed the U.S. banks, which had bounced back strongly in 2010–11. TD paid out a lower share of earnings as dividends than the other Canadian banks but significantly more than the U.S. banks. TD’s stock was valued at a higher multiple of earnings than other Canadian banks but less than the U.S. regional and diversified banks. TD’s price-to-book ratio, however, was similar to other Canadian banks and much higher than that of the U.S. banks. Finally, TD’s credit rating was the highest of its North American peers at Aa1/AA–.</w:t>
      </w:r>
    </w:p>
    <w:p w:rsidR="000E18C9" w:rsidRPr="000E18C9" w:rsidRDefault="000E18C9" w:rsidP="000E18C9">
      <w:pPr>
        <w:jc w:val="both"/>
        <w:rPr>
          <w:rFonts w:eastAsia="Calibri"/>
          <w:sz w:val="22"/>
          <w:lang w:val="en-GB" w:eastAsia="ja-JP"/>
        </w:rPr>
      </w:pPr>
    </w:p>
    <w:p w:rsidR="000E18C9" w:rsidRPr="000E18C9" w:rsidRDefault="000E18C9" w:rsidP="000E18C9">
      <w:pPr>
        <w:rPr>
          <w:rFonts w:eastAsia="Calibri"/>
          <w:noProof/>
          <w:sz w:val="22"/>
          <w:lang w:val="en-GB" w:eastAsia="ja-JP"/>
        </w:rPr>
      </w:pPr>
      <w:r w:rsidRPr="000E18C9">
        <w:rPr>
          <w:noProof/>
          <w:lang w:val="en-GB"/>
        </w:rPr>
        <w:br w:type="page"/>
      </w:r>
    </w:p>
    <w:p w:rsidR="000E18C9" w:rsidRPr="000E18C9" w:rsidRDefault="000E18C9" w:rsidP="000E18C9">
      <w:pPr>
        <w:jc w:val="center"/>
        <w:rPr>
          <w:rFonts w:ascii="Arial" w:hAnsi="Arial"/>
          <w:b/>
          <w:caps/>
          <w:noProof/>
          <w:lang w:val="en-GB" w:eastAsia="en-CA"/>
        </w:rPr>
      </w:pPr>
      <w:r w:rsidRPr="000E18C9">
        <w:rPr>
          <w:rFonts w:ascii="Arial" w:hAnsi="Arial"/>
          <w:b/>
          <w:caps/>
          <w:noProof/>
          <w:lang w:val="en-GB" w:eastAsia="en-CA"/>
        </w:rPr>
        <w:lastRenderedPageBreak/>
        <w:t>Exhibit 1: 2016 Consolidated FINANCIAL STATEMENTS OF TD BANK GROUP</w:t>
      </w:r>
    </w:p>
    <w:p w:rsidR="000E18C9" w:rsidRPr="000E18C9" w:rsidRDefault="000E18C9" w:rsidP="000E18C9">
      <w:pPr>
        <w:jc w:val="both"/>
        <w:rPr>
          <w:rFonts w:eastAsia="Calibri"/>
          <w:noProof/>
          <w:sz w:val="22"/>
          <w:lang w:val="en-GB" w:eastAsia="ja-JP"/>
        </w:rPr>
      </w:pPr>
    </w:p>
    <w:tbl>
      <w:tblPr>
        <w:tblW w:w="5000" w:type="pct"/>
        <w:tblLayout w:type="fixed"/>
        <w:tblCellMar>
          <w:left w:w="115" w:type="dxa"/>
          <w:right w:w="115" w:type="dxa"/>
        </w:tblCellMar>
        <w:tblLook w:val="00A0" w:firstRow="1" w:lastRow="0" w:firstColumn="1" w:lastColumn="0" w:noHBand="0" w:noVBand="0"/>
      </w:tblPr>
      <w:tblGrid>
        <w:gridCol w:w="5525"/>
        <w:gridCol w:w="2013"/>
        <w:gridCol w:w="2052"/>
      </w:tblGrid>
      <w:tr w:rsidR="000E18C9" w:rsidRPr="005D45D2" w:rsidTr="000E18C9">
        <w:tc>
          <w:tcPr>
            <w:tcW w:w="5392" w:type="dxa"/>
            <w:tcBorders>
              <w:top w:val="nil"/>
              <w:left w:val="nil"/>
              <w:bottom w:val="nil"/>
              <w:right w:val="nil"/>
            </w:tcBorders>
            <w:noWrap/>
            <w:vAlign w:val="bottom"/>
          </w:tcPr>
          <w:p w:rsidR="000E18C9" w:rsidRPr="005D45D2" w:rsidRDefault="000E18C9" w:rsidP="000E18C9">
            <w:pPr>
              <w:jc w:val="center"/>
              <w:rPr>
                <w:rFonts w:ascii="Arial" w:hAnsi="Arial" w:cs="Arial"/>
                <w:b/>
                <w:bCs/>
                <w:noProof/>
                <w:color w:val="000000"/>
                <w:lang w:val="en-GB"/>
              </w:rPr>
            </w:pPr>
            <w:r w:rsidRPr="005D45D2">
              <w:rPr>
                <w:rFonts w:ascii="Arial" w:hAnsi="Arial" w:cs="Arial"/>
                <w:b/>
                <w:bCs/>
                <w:noProof/>
                <w:color w:val="000000"/>
                <w:lang w:val="en-GB"/>
              </w:rPr>
              <w:t>Balance Sheet</w:t>
            </w:r>
          </w:p>
        </w:tc>
        <w:tc>
          <w:tcPr>
            <w:tcW w:w="1965" w:type="dxa"/>
            <w:tcBorders>
              <w:top w:val="nil"/>
              <w:left w:val="nil"/>
              <w:bottom w:val="nil"/>
              <w:right w:val="nil"/>
            </w:tcBorders>
            <w:noWrap/>
            <w:vAlign w:val="bottom"/>
          </w:tcPr>
          <w:p w:rsidR="000E18C9" w:rsidRPr="005D45D2" w:rsidRDefault="000E18C9" w:rsidP="000E18C9">
            <w:pPr>
              <w:jc w:val="center"/>
              <w:rPr>
                <w:rFonts w:ascii="Arial" w:hAnsi="Arial" w:cs="Arial"/>
                <w:b/>
                <w:bCs/>
                <w:noProof/>
                <w:color w:val="000000"/>
                <w:u w:val="single"/>
                <w:lang w:val="en-GB"/>
              </w:rPr>
            </w:pPr>
            <w:r w:rsidRPr="005D45D2">
              <w:rPr>
                <w:rFonts w:ascii="Arial" w:hAnsi="Arial" w:cs="Arial"/>
                <w:b/>
                <w:bCs/>
                <w:noProof/>
                <w:color w:val="000000"/>
                <w:u w:val="single"/>
                <w:lang w:val="en-GB"/>
              </w:rPr>
              <w:t>CA$ Millions</w:t>
            </w:r>
          </w:p>
        </w:tc>
        <w:tc>
          <w:tcPr>
            <w:tcW w:w="2003" w:type="dxa"/>
            <w:tcBorders>
              <w:top w:val="nil"/>
              <w:left w:val="nil"/>
              <w:bottom w:val="nil"/>
              <w:right w:val="nil"/>
            </w:tcBorders>
            <w:noWrap/>
            <w:vAlign w:val="bottom"/>
          </w:tcPr>
          <w:p w:rsidR="000E18C9" w:rsidRPr="005D45D2" w:rsidRDefault="000E18C9" w:rsidP="000E18C9">
            <w:pPr>
              <w:jc w:val="center"/>
              <w:rPr>
                <w:rFonts w:ascii="Arial" w:hAnsi="Arial" w:cs="Arial"/>
                <w:b/>
                <w:bCs/>
                <w:noProof/>
                <w:color w:val="000000"/>
                <w:u w:val="single"/>
                <w:lang w:val="en-GB"/>
              </w:rPr>
            </w:pPr>
            <w:r w:rsidRPr="005D45D2">
              <w:rPr>
                <w:rFonts w:ascii="Arial" w:hAnsi="Arial" w:cs="Arial"/>
                <w:b/>
                <w:bCs/>
                <w:noProof/>
                <w:color w:val="000000"/>
                <w:u w:val="single"/>
                <w:lang w:val="en-GB"/>
              </w:rPr>
              <w:t>% of Assets</w:t>
            </w:r>
          </w:p>
        </w:tc>
      </w:tr>
      <w:tr w:rsidR="000E18C9" w:rsidRPr="005D45D2" w:rsidTr="000E18C9">
        <w:tc>
          <w:tcPr>
            <w:tcW w:w="5392" w:type="dxa"/>
            <w:tcBorders>
              <w:top w:val="nil"/>
              <w:left w:val="nil"/>
              <w:bottom w:val="nil"/>
              <w:right w:val="nil"/>
            </w:tcBorders>
            <w:noWrap/>
            <w:vAlign w:val="center"/>
          </w:tcPr>
          <w:p w:rsidR="000E18C9" w:rsidRPr="005D45D2" w:rsidRDefault="000E18C9" w:rsidP="000E18C9">
            <w:pPr>
              <w:rPr>
                <w:rFonts w:ascii="Arial" w:hAnsi="Arial" w:cs="Arial"/>
                <w:noProof/>
                <w:color w:val="000000"/>
                <w:lang w:val="en-GB"/>
              </w:rPr>
            </w:pPr>
            <w:r w:rsidRPr="005D45D2">
              <w:rPr>
                <w:rFonts w:ascii="Arial" w:hAnsi="Arial" w:cs="Arial"/>
                <w:noProof/>
                <w:color w:val="000000"/>
                <w:lang w:val="en-GB"/>
              </w:rPr>
              <w:t>Cash</w:t>
            </w:r>
          </w:p>
        </w:tc>
        <w:tc>
          <w:tcPr>
            <w:tcW w:w="1965" w:type="dxa"/>
            <w:tcBorders>
              <w:top w:val="nil"/>
              <w:left w:val="nil"/>
              <w:bottom w:val="nil"/>
              <w:right w:val="nil"/>
            </w:tcBorders>
            <w:noWrap/>
            <w:vAlign w:val="center"/>
          </w:tcPr>
          <w:p w:rsidR="000E18C9" w:rsidRPr="005D45D2" w:rsidRDefault="000E18C9" w:rsidP="000E18C9">
            <w:pPr>
              <w:tabs>
                <w:tab w:val="decimal" w:pos="1421"/>
              </w:tabs>
              <w:rPr>
                <w:rFonts w:ascii="Arial" w:hAnsi="Arial" w:cs="Arial"/>
                <w:noProof/>
                <w:color w:val="000000"/>
                <w:lang w:val="en-GB"/>
              </w:rPr>
            </w:pPr>
            <w:r w:rsidRPr="005D45D2">
              <w:rPr>
                <w:rFonts w:ascii="Arial" w:hAnsi="Arial" w:cs="Arial"/>
                <w:noProof/>
                <w:color w:val="000000"/>
                <w:lang w:val="en-GB"/>
              </w:rPr>
              <w:t>3,907</w:t>
            </w:r>
          </w:p>
        </w:tc>
        <w:tc>
          <w:tcPr>
            <w:tcW w:w="2003" w:type="dxa"/>
            <w:tcBorders>
              <w:top w:val="nil"/>
              <w:left w:val="nil"/>
              <w:bottom w:val="nil"/>
              <w:right w:val="nil"/>
            </w:tcBorders>
            <w:noWrap/>
            <w:vAlign w:val="center"/>
          </w:tcPr>
          <w:p w:rsidR="000E18C9" w:rsidRPr="005D45D2" w:rsidRDefault="000E18C9" w:rsidP="000E18C9">
            <w:pPr>
              <w:tabs>
                <w:tab w:val="decimal" w:pos="1109"/>
              </w:tabs>
              <w:rPr>
                <w:rFonts w:ascii="Arial" w:hAnsi="Arial" w:cs="Arial"/>
                <w:noProof/>
                <w:color w:val="000000"/>
                <w:lang w:val="en-GB"/>
              </w:rPr>
            </w:pPr>
            <w:r w:rsidRPr="005D45D2">
              <w:rPr>
                <w:rFonts w:ascii="Arial" w:hAnsi="Arial" w:cs="Arial"/>
                <w:noProof/>
                <w:color w:val="000000"/>
                <w:lang w:val="en-GB"/>
              </w:rPr>
              <w:t>0.3</w:t>
            </w:r>
          </w:p>
        </w:tc>
      </w:tr>
      <w:tr w:rsidR="000E18C9" w:rsidRPr="005D45D2" w:rsidTr="000E18C9">
        <w:tc>
          <w:tcPr>
            <w:tcW w:w="5392" w:type="dxa"/>
            <w:tcBorders>
              <w:top w:val="nil"/>
              <w:left w:val="nil"/>
              <w:bottom w:val="nil"/>
              <w:right w:val="nil"/>
            </w:tcBorders>
            <w:noWrap/>
            <w:vAlign w:val="center"/>
          </w:tcPr>
          <w:p w:rsidR="000E18C9" w:rsidRPr="005D45D2" w:rsidRDefault="000E18C9" w:rsidP="000E18C9">
            <w:pPr>
              <w:rPr>
                <w:rFonts w:ascii="Arial" w:hAnsi="Arial" w:cs="Arial"/>
                <w:noProof/>
                <w:color w:val="000000"/>
                <w:lang w:val="en-GB"/>
              </w:rPr>
            </w:pPr>
            <w:r w:rsidRPr="005D45D2">
              <w:rPr>
                <w:rFonts w:ascii="Arial" w:hAnsi="Arial" w:cs="Arial"/>
                <w:noProof/>
                <w:color w:val="000000"/>
                <w:lang w:val="en-GB"/>
              </w:rPr>
              <w:t>Interbank assets</w:t>
            </w:r>
          </w:p>
        </w:tc>
        <w:tc>
          <w:tcPr>
            <w:tcW w:w="1965" w:type="dxa"/>
            <w:tcBorders>
              <w:top w:val="nil"/>
              <w:left w:val="nil"/>
              <w:bottom w:val="nil"/>
              <w:right w:val="nil"/>
            </w:tcBorders>
            <w:noWrap/>
            <w:vAlign w:val="center"/>
          </w:tcPr>
          <w:p w:rsidR="000E18C9" w:rsidRPr="005D45D2" w:rsidRDefault="000E18C9" w:rsidP="000E18C9">
            <w:pPr>
              <w:tabs>
                <w:tab w:val="decimal" w:pos="1421"/>
              </w:tabs>
              <w:rPr>
                <w:rFonts w:ascii="Arial" w:hAnsi="Arial" w:cs="Arial"/>
                <w:noProof/>
                <w:color w:val="000000"/>
                <w:lang w:val="en-GB"/>
              </w:rPr>
            </w:pPr>
            <w:r w:rsidRPr="005D45D2">
              <w:rPr>
                <w:rFonts w:ascii="Arial" w:hAnsi="Arial" w:cs="Arial"/>
                <w:noProof/>
                <w:color w:val="000000"/>
                <w:lang w:val="en-GB"/>
              </w:rPr>
              <w:t>53,714</w:t>
            </w:r>
          </w:p>
        </w:tc>
        <w:tc>
          <w:tcPr>
            <w:tcW w:w="2003" w:type="dxa"/>
            <w:tcBorders>
              <w:top w:val="nil"/>
              <w:left w:val="nil"/>
              <w:bottom w:val="nil"/>
              <w:right w:val="nil"/>
            </w:tcBorders>
            <w:noWrap/>
            <w:vAlign w:val="center"/>
          </w:tcPr>
          <w:p w:rsidR="000E18C9" w:rsidRPr="005D45D2" w:rsidRDefault="000E18C9" w:rsidP="000E18C9">
            <w:pPr>
              <w:tabs>
                <w:tab w:val="decimal" w:pos="1109"/>
              </w:tabs>
              <w:rPr>
                <w:rFonts w:ascii="Arial" w:hAnsi="Arial" w:cs="Arial"/>
                <w:noProof/>
                <w:color w:val="000000"/>
                <w:lang w:val="en-GB"/>
              </w:rPr>
            </w:pPr>
            <w:r w:rsidRPr="005D45D2">
              <w:rPr>
                <w:rFonts w:ascii="Arial" w:hAnsi="Arial" w:cs="Arial"/>
                <w:noProof/>
                <w:color w:val="000000"/>
                <w:lang w:val="en-GB"/>
              </w:rPr>
              <w:t>4.6</w:t>
            </w:r>
          </w:p>
        </w:tc>
      </w:tr>
      <w:tr w:rsidR="000E18C9" w:rsidRPr="005D45D2" w:rsidTr="000E18C9">
        <w:tc>
          <w:tcPr>
            <w:tcW w:w="5392" w:type="dxa"/>
            <w:tcBorders>
              <w:top w:val="nil"/>
              <w:left w:val="nil"/>
              <w:bottom w:val="nil"/>
              <w:right w:val="nil"/>
            </w:tcBorders>
            <w:noWrap/>
            <w:vAlign w:val="center"/>
          </w:tcPr>
          <w:p w:rsidR="000E18C9" w:rsidRPr="005D45D2" w:rsidRDefault="000E18C9" w:rsidP="000E18C9">
            <w:pPr>
              <w:rPr>
                <w:rFonts w:ascii="Arial" w:hAnsi="Arial" w:cs="Arial"/>
                <w:noProof/>
                <w:color w:val="000000"/>
                <w:lang w:val="en-GB"/>
              </w:rPr>
            </w:pPr>
            <w:r w:rsidRPr="005D45D2">
              <w:rPr>
                <w:rFonts w:ascii="Arial" w:hAnsi="Arial" w:cs="Arial"/>
                <w:noProof/>
                <w:color w:val="000000"/>
                <w:lang w:val="en-GB"/>
              </w:rPr>
              <w:t>Trading loans, securities, and other</w:t>
            </w:r>
          </w:p>
        </w:tc>
        <w:tc>
          <w:tcPr>
            <w:tcW w:w="1965" w:type="dxa"/>
            <w:tcBorders>
              <w:top w:val="nil"/>
              <w:left w:val="nil"/>
              <w:bottom w:val="nil"/>
              <w:right w:val="nil"/>
            </w:tcBorders>
            <w:noWrap/>
            <w:vAlign w:val="center"/>
          </w:tcPr>
          <w:p w:rsidR="000E18C9" w:rsidRPr="005D45D2" w:rsidRDefault="000E18C9" w:rsidP="000E18C9">
            <w:pPr>
              <w:tabs>
                <w:tab w:val="decimal" w:pos="1421"/>
              </w:tabs>
              <w:rPr>
                <w:rFonts w:ascii="Arial" w:hAnsi="Arial" w:cs="Arial"/>
                <w:noProof/>
                <w:color w:val="000000"/>
                <w:lang w:val="en-GB"/>
              </w:rPr>
            </w:pPr>
            <w:r w:rsidRPr="005D45D2">
              <w:rPr>
                <w:rFonts w:ascii="Arial" w:hAnsi="Arial" w:cs="Arial"/>
                <w:noProof/>
                <w:color w:val="000000"/>
                <w:lang w:val="en-GB"/>
              </w:rPr>
              <w:t>99,257</w:t>
            </w:r>
          </w:p>
        </w:tc>
        <w:tc>
          <w:tcPr>
            <w:tcW w:w="2003" w:type="dxa"/>
            <w:tcBorders>
              <w:top w:val="nil"/>
              <w:left w:val="nil"/>
              <w:bottom w:val="nil"/>
              <w:right w:val="nil"/>
            </w:tcBorders>
            <w:noWrap/>
            <w:vAlign w:val="center"/>
          </w:tcPr>
          <w:p w:rsidR="000E18C9" w:rsidRPr="005D45D2" w:rsidRDefault="000E18C9" w:rsidP="000E18C9">
            <w:pPr>
              <w:tabs>
                <w:tab w:val="decimal" w:pos="1109"/>
              </w:tabs>
              <w:rPr>
                <w:rFonts w:ascii="Arial" w:hAnsi="Arial" w:cs="Arial"/>
                <w:noProof/>
                <w:color w:val="000000"/>
                <w:lang w:val="en-GB"/>
              </w:rPr>
            </w:pPr>
            <w:r w:rsidRPr="005D45D2">
              <w:rPr>
                <w:rFonts w:ascii="Arial" w:hAnsi="Arial" w:cs="Arial"/>
                <w:noProof/>
                <w:color w:val="000000"/>
                <w:lang w:val="en-GB"/>
              </w:rPr>
              <w:t>8.4</w:t>
            </w:r>
          </w:p>
        </w:tc>
      </w:tr>
      <w:tr w:rsidR="000E18C9" w:rsidRPr="005D45D2" w:rsidTr="000E18C9">
        <w:tc>
          <w:tcPr>
            <w:tcW w:w="5392" w:type="dxa"/>
            <w:tcBorders>
              <w:top w:val="nil"/>
              <w:left w:val="nil"/>
              <w:bottom w:val="nil"/>
              <w:right w:val="nil"/>
            </w:tcBorders>
            <w:noWrap/>
            <w:vAlign w:val="center"/>
          </w:tcPr>
          <w:p w:rsidR="000E18C9" w:rsidRPr="005D45D2" w:rsidRDefault="000E18C9" w:rsidP="000E18C9">
            <w:pPr>
              <w:rPr>
                <w:rFonts w:ascii="Arial" w:hAnsi="Arial" w:cs="Arial"/>
                <w:noProof/>
                <w:color w:val="000000"/>
                <w:lang w:val="en-GB"/>
              </w:rPr>
            </w:pPr>
            <w:r w:rsidRPr="005D45D2">
              <w:rPr>
                <w:rFonts w:ascii="Arial" w:hAnsi="Arial" w:cs="Arial"/>
                <w:noProof/>
                <w:color w:val="000000"/>
                <w:lang w:val="en-GB"/>
              </w:rPr>
              <w:t>Gross loans and mortgages</w:t>
            </w:r>
          </w:p>
        </w:tc>
        <w:tc>
          <w:tcPr>
            <w:tcW w:w="1965" w:type="dxa"/>
            <w:tcBorders>
              <w:top w:val="nil"/>
              <w:left w:val="nil"/>
              <w:bottom w:val="nil"/>
              <w:right w:val="nil"/>
            </w:tcBorders>
            <w:noWrap/>
            <w:vAlign w:val="center"/>
          </w:tcPr>
          <w:p w:rsidR="000E18C9" w:rsidRPr="005D45D2" w:rsidRDefault="000E18C9" w:rsidP="000E18C9">
            <w:pPr>
              <w:tabs>
                <w:tab w:val="decimal" w:pos="1421"/>
              </w:tabs>
              <w:rPr>
                <w:rFonts w:ascii="Arial" w:hAnsi="Arial" w:cs="Arial"/>
                <w:noProof/>
                <w:color w:val="000000"/>
                <w:lang w:val="en-GB"/>
              </w:rPr>
            </w:pPr>
            <w:r w:rsidRPr="005D45D2">
              <w:rPr>
                <w:rFonts w:ascii="Arial" w:hAnsi="Arial" w:cs="Arial"/>
                <w:noProof/>
                <w:color w:val="000000"/>
                <w:lang w:val="en-GB"/>
              </w:rPr>
              <w:t>589,529</w:t>
            </w:r>
          </w:p>
        </w:tc>
        <w:tc>
          <w:tcPr>
            <w:tcW w:w="2003" w:type="dxa"/>
            <w:tcBorders>
              <w:top w:val="nil"/>
              <w:left w:val="nil"/>
              <w:bottom w:val="nil"/>
              <w:right w:val="nil"/>
            </w:tcBorders>
            <w:noWrap/>
            <w:vAlign w:val="center"/>
          </w:tcPr>
          <w:p w:rsidR="000E18C9" w:rsidRPr="005D45D2" w:rsidRDefault="000E18C9" w:rsidP="000E18C9">
            <w:pPr>
              <w:tabs>
                <w:tab w:val="decimal" w:pos="1109"/>
              </w:tabs>
              <w:rPr>
                <w:rFonts w:ascii="Arial" w:hAnsi="Arial" w:cs="Arial"/>
                <w:noProof/>
                <w:color w:val="000000"/>
                <w:lang w:val="en-GB"/>
              </w:rPr>
            </w:pPr>
            <w:r w:rsidRPr="005D45D2">
              <w:rPr>
                <w:rFonts w:ascii="Arial" w:hAnsi="Arial" w:cs="Arial"/>
                <w:noProof/>
                <w:color w:val="000000"/>
                <w:lang w:val="en-GB"/>
              </w:rPr>
              <w:t>50.1</w:t>
            </w:r>
          </w:p>
        </w:tc>
      </w:tr>
      <w:tr w:rsidR="000E18C9" w:rsidRPr="005D45D2" w:rsidTr="000E18C9">
        <w:tc>
          <w:tcPr>
            <w:tcW w:w="5392" w:type="dxa"/>
            <w:tcBorders>
              <w:top w:val="nil"/>
              <w:left w:val="nil"/>
              <w:bottom w:val="nil"/>
              <w:right w:val="nil"/>
            </w:tcBorders>
            <w:noWrap/>
            <w:vAlign w:val="center"/>
          </w:tcPr>
          <w:p w:rsidR="000E18C9" w:rsidRPr="005D45D2" w:rsidRDefault="000E18C9" w:rsidP="000E18C9">
            <w:pPr>
              <w:rPr>
                <w:rFonts w:ascii="Arial" w:hAnsi="Arial" w:cs="Arial"/>
                <w:noProof/>
                <w:color w:val="000000"/>
                <w:lang w:val="en-GB"/>
              </w:rPr>
            </w:pPr>
            <w:r w:rsidRPr="005D45D2">
              <w:rPr>
                <w:rFonts w:ascii="Arial" w:hAnsi="Arial" w:cs="Arial"/>
                <w:noProof/>
                <w:color w:val="000000"/>
                <w:lang w:val="en-GB"/>
              </w:rPr>
              <w:t>Less: reserves for credit losses</w:t>
            </w:r>
          </w:p>
        </w:tc>
        <w:tc>
          <w:tcPr>
            <w:tcW w:w="1965" w:type="dxa"/>
            <w:tcBorders>
              <w:top w:val="nil"/>
              <w:left w:val="nil"/>
              <w:bottom w:val="nil"/>
              <w:right w:val="nil"/>
            </w:tcBorders>
            <w:noWrap/>
            <w:vAlign w:val="center"/>
          </w:tcPr>
          <w:p w:rsidR="000E18C9" w:rsidRPr="005D45D2" w:rsidRDefault="000E18C9" w:rsidP="000E18C9">
            <w:pPr>
              <w:tabs>
                <w:tab w:val="decimal" w:pos="1421"/>
              </w:tabs>
              <w:rPr>
                <w:rFonts w:ascii="Arial" w:hAnsi="Arial" w:cs="Arial"/>
                <w:noProof/>
                <w:color w:val="000000"/>
                <w:u w:val="single"/>
                <w:lang w:val="en-GB"/>
              </w:rPr>
            </w:pPr>
            <w:r w:rsidRPr="005D45D2">
              <w:rPr>
                <w:rFonts w:ascii="Arial" w:hAnsi="Arial" w:cs="Arial"/>
                <w:noProof/>
                <w:color w:val="000000"/>
                <w:u w:val="single"/>
                <w:lang w:val="en-GB"/>
              </w:rPr>
              <w:t xml:space="preserve">  –3,873</w:t>
            </w:r>
          </w:p>
        </w:tc>
        <w:tc>
          <w:tcPr>
            <w:tcW w:w="2003" w:type="dxa"/>
            <w:tcBorders>
              <w:top w:val="nil"/>
              <w:left w:val="nil"/>
              <w:bottom w:val="nil"/>
              <w:right w:val="nil"/>
            </w:tcBorders>
            <w:noWrap/>
            <w:vAlign w:val="center"/>
          </w:tcPr>
          <w:p w:rsidR="000E18C9" w:rsidRPr="005D45D2" w:rsidRDefault="000E18C9" w:rsidP="000E18C9">
            <w:pPr>
              <w:tabs>
                <w:tab w:val="decimal" w:pos="1109"/>
              </w:tabs>
              <w:rPr>
                <w:rFonts w:ascii="Arial" w:hAnsi="Arial" w:cs="Arial"/>
                <w:noProof/>
                <w:color w:val="000000"/>
                <w:u w:val="single"/>
                <w:lang w:val="en-GB"/>
              </w:rPr>
            </w:pPr>
            <w:r w:rsidRPr="005D45D2">
              <w:rPr>
                <w:rFonts w:ascii="Arial" w:hAnsi="Arial" w:cs="Arial"/>
                <w:noProof/>
                <w:color w:val="000000"/>
                <w:u w:val="single"/>
                <w:lang w:val="en-GB"/>
              </w:rPr>
              <w:t>–0.3</w:t>
            </w:r>
          </w:p>
        </w:tc>
      </w:tr>
      <w:tr w:rsidR="000E18C9" w:rsidRPr="005D45D2" w:rsidTr="000E18C9">
        <w:tc>
          <w:tcPr>
            <w:tcW w:w="5392" w:type="dxa"/>
            <w:tcBorders>
              <w:top w:val="nil"/>
              <w:left w:val="nil"/>
              <w:bottom w:val="nil"/>
              <w:right w:val="nil"/>
            </w:tcBorders>
            <w:noWrap/>
            <w:vAlign w:val="center"/>
          </w:tcPr>
          <w:p w:rsidR="000E18C9" w:rsidRPr="005D45D2" w:rsidRDefault="000E18C9" w:rsidP="000E18C9">
            <w:pPr>
              <w:rPr>
                <w:rFonts w:ascii="Arial" w:hAnsi="Arial" w:cs="Arial"/>
                <w:noProof/>
                <w:color w:val="000000"/>
                <w:lang w:val="en-GB"/>
              </w:rPr>
            </w:pPr>
            <w:r w:rsidRPr="005D45D2">
              <w:rPr>
                <w:rFonts w:ascii="Arial" w:hAnsi="Arial" w:cs="Arial"/>
                <w:noProof/>
                <w:color w:val="000000"/>
                <w:lang w:val="en-GB"/>
              </w:rPr>
              <w:t>Net loans and mortgages</w:t>
            </w:r>
          </w:p>
        </w:tc>
        <w:tc>
          <w:tcPr>
            <w:tcW w:w="1965" w:type="dxa"/>
            <w:tcBorders>
              <w:top w:val="nil"/>
              <w:left w:val="nil"/>
              <w:bottom w:val="nil"/>
              <w:right w:val="nil"/>
            </w:tcBorders>
            <w:noWrap/>
            <w:vAlign w:val="center"/>
          </w:tcPr>
          <w:p w:rsidR="000E18C9" w:rsidRPr="005D45D2" w:rsidRDefault="000E18C9" w:rsidP="000E18C9">
            <w:pPr>
              <w:tabs>
                <w:tab w:val="decimal" w:pos="1421"/>
              </w:tabs>
              <w:rPr>
                <w:rFonts w:ascii="Arial" w:hAnsi="Arial" w:cs="Arial"/>
                <w:noProof/>
                <w:color w:val="000000"/>
                <w:lang w:val="en-GB"/>
              </w:rPr>
            </w:pPr>
            <w:r w:rsidRPr="005D45D2">
              <w:rPr>
                <w:rFonts w:ascii="Arial" w:hAnsi="Arial" w:cs="Arial"/>
                <w:noProof/>
                <w:color w:val="000000"/>
                <w:lang w:val="en-GB"/>
              </w:rPr>
              <w:t>585,656</w:t>
            </w:r>
          </w:p>
        </w:tc>
        <w:tc>
          <w:tcPr>
            <w:tcW w:w="2003" w:type="dxa"/>
            <w:tcBorders>
              <w:top w:val="nil"/>
              <w:left w:val="nil"/>
              <w:bottom w:val="nil"/>
              <w:right w:val="nil"/>
            </w:tcBorders>
            <w:noWrap/>
            <w:vAlign w:val="center"/>
          </w:tcPr>
          <w:p w:rsidR="000E18C9" w:rsidRPr="005D45D2" w:rsidRDefault="000E18C9" w:rsidP="000E18C9">
            <w:pPr>
              <w:tabs>
                <w:tab w:val="decimal" w:pos="1109"/>
              </w:tabs>
              <w:rPr>
                <w:rFonts w:ascii="Arial" w:hAnsi="Arial" w:cs="Arial"/>
                <w:noProof/>
                <w:color w:val="000000"/>
                <w:lang w:val="en-GB"/>
              </w:rPr>
            </w:pPr>
            <w:r w:rsidRPr="005D45D2">
              <w:rPr>
                <w:rFonts w:ascii="Arial" w:hAnsi="Arial" w:cs="Arial"/>
                <w:noProof/>
                <w:color w:val="000000"/>
                <w:lang w:val="en-GB"/>
              </w:rPr>
              <w:t>49.8</w:t>
            </w:r>
          </w:p>
        </w:tc>
      </w:tr>
      <w:tr w:rsidR="000E18C9" w:rsidRPr="005D45D2" w:rsidTr="000E18C9">
        <w:tc>
          <w:tcPr>
            <w:tcW w:w="5392" w:type="dxa"/>
            <w:tcBorders>
              <w:top w:val="nil"/>
              <w:left w:val="nil"/>
              <w:bottom w:val="nil"/>
              <w:right w:val="nil"/>
            </w:tcBorders>
            <w:noWrap/>
            <w:vAlign w:val="center"/>
          </w:tcPr>
          <w:p w:rsidR="000E18C9" w:rsidRPr="005D45D2" w:rsidRDefault="000E18C9" w:rsidP="000E18C9">
            <w:pPr>
              <w:rPr>
                <w:rFonts w:ascii="Arial" w:hAnsi="Arial" w:cs="Arial"/>
                <w:noProof/>
                <w:color w:val="000000"/>
                <w:lang w:val="en-GB"/>
              </w:rPr>
            </w:pPr>
            <w:r w:rsidRPr="005D45D2">
              <w:rPr>
                <w:rFonts w:ascii="Arial" w:hAnsi="Arial" w:cs="Arial"/>
                <w:noProof/>
                <w:color w:val="000000"/>
                <w:lang w:val="en-GB"/>
              </w:rPr>
              <w:t>Investments: available for sale and held to maturity</w:t>
            </w:r>
          </w:p>
        </w:tc>
        <w:tc>
          <w:tcPr>
            <w:tcW w:w="1965" w:type="dxa"/>
            <w:tcBorders>
              <w:top w:val="nil"/>
              <w:left w:val="nil"/>
              <w:bottom w:val="nil"/>
              <w:right w:val="nil"/>
            </w:tcBorders>
            <w:noWrap/>
            <w:vAlign w:val="center"/>
          </w:tcPr>
          <w:p w:rsidR="000E18C9" w:rsidRPr="005D45D2" w:rsidRDefault="000E18C9" w:rsidP="000E18C9">
            <w:pPr>
              <w:tabs>
                <w:tab w:val="decimal" w:pos="1421"/>
              </w:tabs>
              <w:rPr>
                <w:rFonts w:ascii="Arial" w:hAnsi="Arial" w:cs="Arial"/>
                <w:noProof/>
                <w:color w:val="000000"/>
                <w:lang w:val="en-GB"/>
              </w:rPr>
            </w:pPr>
            <w:r w:rsidRPr="005D45D2">
              <w:rPr>
                <w:rFonts w:ascii="Arial" w:hAnsi="Arial" w:cs="Arial"/>
                <w:noProof/>
                <w:color w:val="000000"/>
                <w:lang w:val="en-GB"/>
              </w:rPr>
              <w:t>191,966</w:t>
            </w:r>
          </w:p>
        </w:tc>
        <w:tc>
          <w:tcPr>
            <w:tcW w:w="2003" w:type="dxa"/>
            <w:tcBorders>
              <w:top w:val="nil"/>
              <w:left w:val="nil"/>
              <w:bottom w:val="nil"/>
              <w:right w:val="nil"/>
            </w:tcBorders>
            <w:noWrap/>
            <w:vAlign w:val="center"/>
          </w:tcPr>
          <w:p w:rsidR="000E18C9" w:rsidRPr="005D45D2" w:rsidRDefault="000E18C9" w:rsidP="000E18C9">
            <w:pPr>
              <w:tabs>
                <w:tab w:val="decimal" w:pos="1109"/>
              </w:tabs>
              <w:rPr>
                <w:rFonts w:ascii="Arial" w:hAnsi="Arial" w:cs="Arial"/>
                <w:noProof/>
                <w:color w:val="000000"/>
                <w:lang w:val="en-GB"/>
              </w:rPr>
            </w:pPr>
            <w:r w:rsidRPr="005D45D2">
              <w:rPr>
                <w:rFonts w:ascii="Arial" w:hAnsi="Arial" w:cs="Arial"/>
                <w:noProof/>
                <w:color w:val="000000"/>
                <w:lang w:val="en-GB"/>
              </w:rPr>
              <w:t>16.3</w:t>
            </w:r>
          </w:p>
        </w:tc>
      </w:tr>
      <w:tr w:rsidR="000E18C9" w:rsidRPr="005D45D2" w:rsidTr="000E18C9">
        <w:tc>
          <w:tcPr>
            <w:tcW w:w="5392" w:type="dxa"/>
            <w:tcBorders>
              <w:top w:val="nil"/>
              <w:left w:val="nil"/>
              <w:bottom w:val="nil"/>
              <w:right w:val="nil"/>
            </w:tcBorders>
            <w:noWrap/>
            <w:vAlign w:val="center"/>
          </w:tcPr>
          <w:p w:rsidR="000E18C9" w:rsidRPr="005D45D2" w:rsidRDefault="000E18C9" w:rsidP="000E18C9">
            <w:pPr>
              <w:rPr>
                <w:rFonts w:ascii="Arial" w:hAnsi="Arial" w:cs="Arial"/>
                <w:noProof/>
                <w:color w:val="000000"/>
                <w:lang w:val="en-GB"/>
              </w:rPr>
            </w:pPr>
            <w:r w:rsidRPr="005D45D2">
              <w:rPr>
                <w:rFonts w:ascii="Arial" w:hAnsi="Arial" w:cs="Arial"/>
                <w:noProof/>
                <w:color w:val="000000"/>
                <w:lang w:val="en-GB"/>
              </w:rPr>
              <w:t>Premises and equipment</w:t>
            </w:r>
          </w:p>
        </w:tc>
        <w:tc>
          <w:tcPr>
            <w:tcW w:w="1965" w:type="dxa"/>
            <w:tcBorders>
              <w:top w:val="nil"/>
              <w:left w:val="nil"/>
              <w:bottom w:val="nil"/>
              <w:right w:val="nil"/>
            </w:tcBorders>
            <w:noWrap/>
            <w:vAlign w:val="center"/>
          </w:tcPr>
          <w:p w:rsidR="000E18C9" w:rsidRPr="005D45D2" w:rsidRDefault="000E18C9" w:rsidP="000E18C9">
            <w:pPr>
              <w:tabs>
                <w:tab w:val="decimal" w:pos="1421"/>
              </w:tabs>
              <w:rPr>
                <w:rFonts w:ascii="Arial" w:hAnsi="Arial" w:cs="Arial"/>
                <w:noProof/>
                <w:color w:val="000000"/>
                <w:lang w:val="en-GB"/>
              </w:rPr>
            </w:pPr>
            <w:r w:rsidRPr="005D45D2">
              <w:rPr>
                <w:rFonts w:ascii="Arial" w:hAnsi="Arial" w:cs="Arial"/>
                <w:noProof/>
                <w:color w:val="000000"/>
                <w:lang w:val="en-GB"/>
              </w:rPr>
              <w:t>5,482</w:t>
            </w:r>
          </w:p>
        </w:tc>
        <w:tc>
          <w:tcPr>
            <w:tcW w:w="2003" w:type="dxa"/>
            <w:tcBorders>
              <w:top w:val="nil"/>
              <w:left w:val="nil"/>
              <w:bottom w:val="nil"/>
              <w:right w:val="nil"/>
            </w:tcBorders>
            <w:noWrap/>
            <w:vAlign w:val="center"/>
          </w:tcPr>
          <w:p w:rsidR="000E18C9" w:rsidRPr="005D45D2" w:rsidRDefault="000E18C9" w:rsidP="000E18C9">
            <w:pPr>
              <w:tabs>
                <w:tab w:val="decimal" w:pos="1109"/>
              </w:tabs>
              <w:rPr>
                <w:rFonts w:ascii="Arial" w:hAnsi="Arial" w:cs="Arial"/>
                <w:noProof/>
                <w:color w:val="000000"/>
                <w:lang w:val="en-GB"/>
              </w:rPr>
            </w:pPr>
            <w:r w:rsidRPr="005D45D2">
              <w:rPr>
                <w:rFonts w:ascii="Arial" w:hAnsi="Arial" w:cs="Arial"/>
                <w:noProof/>
                <w:color w:val="000000"/>
                <w:lang w:val="en-GB"/>
              </w:rPr>
              <w:t>0.5</w:t>
            </w:r>
          </w:p>
        </w:tc>
      </w:tr>
      <w:tr w:rsidR="000E18C9" w:rsidRPr="005D45D2" w:rsidTr="000E18C9">
        <w:tc>
          <w:tcPr>
            <w:tcW w:w="5392" w:type="dxa"/>
            <w:tcBorders>
              <w:top w:val="nil"/>
              <w:left w:val="nil"/>
              <w:bottom w:val="nil"/>
              <w:right w:val="nil"/>
            </w:tcBorders>
            <w:noWrap/>
            <w:vAlign w:val="center"/>
          </w:tcPr>
          <w:p w:rsidR="000E18C9" w:rsidRPr="005D45D2" w:rsidRDefault="000E18C9" w:rsidP="000E18C9">
            <w:pPr>
              <w:rPr>
                <w:rFonts w:ascii="Arial" w:hAnsi="Arial" w:cs="Arial"/>
                <w:noProof/>
                <w:color w:val="000000"/>
                <w:lang w:val="en-GB"/>
              </w:rPr>
            </w:pPr>
            <w:r w:rsidRPr="005D45D2">
              <w:rPr>
                <w:rFonts w:ascii="Arial" w:hAnsi="Arial" w:cs="Arial"/>
                <w:noProof/>
                <w:color w:val="000000"/>
                <w:lang w:val="en-GB"/>
              </w:rPr>
              <w:t>Other assets (including goodwill)</w:t>
            </w:r>
          </w:p>
        </w:tc>
        <w:tc>
          <w:tcPr>
            <w:tcW w:w="1965" w:type="dxa"/>
            <w:tcBorders>
              <w:top w:val="nil"/>
              <w:left w:val="nil"/>
              <w:bottom w:val="nil"/>
              <w:right w:val="nil"/>
            </w:tcBorders>
            <w:noWrap/>
            <w:vAlign w:val="center"/>
          </w:tcPr>
          <w:p w:rsidR="000E18C9" w:rsidRPr="005D45D2" w:rsidRDefault="000E18C9" w:rsidP="000E18C9">
            <w:pPr>
              <w:tabs>
                <w:tab w:val="decimal" w:pos="1421"/>
              </w:tabs>
              <w:rPr>
                <w:rFonts w:ascii="Arial" w:hAnsi="Arial" w:cs="Arial"/>
                <w:noProof/>
                <w:color w:val="000000"/>
                <w:u w:val="single"/>
                <w:lang w:val="en-GB"/>
              </w:rPr>
            </w:pPr>
            <w:r w:rsidRPr="005D45D2">
              <w:rPr>
                <w:rFonts w:ascii="Arial" w:hAnsi="Arial" w:cs="Arial"/>
                <w:noProof/>
                <w:color w:val="000000"/>
                <w:u w:val="single"/>
                <w:lang w:val="en-GB"/>
              </w:rPr>
              <w:t xml:space="preserve"> 236,985</w:t>
            </w:r>
          </w:p>
        </w:tc>
        <w:tc>
          <w:tcPr>
            <w:tcW w:w="2003" w:type="dxa"/>
            <w:tcBorders>
              <w:top w:val="nil"/>
              <w:left w:val="nil"/>
              <w:bottom w:val="nil"/>
              <w:right w:val="nil"/>
            </w:tcBorders>
            <w:noWrap/>
            <w:vAlign w:val="center"/>
          </w:tcPr>
          <w:p w:rsidR="000E18C9" w:rsidRPr="005D45D2" w:rsidRDefault="000E18C9" w:rsidP="000E18C9">
            <w:pPr>
              <w:tabs>
                <w:tab w:val="decimal" w:pos="1109"/>
              </w:tabs>
              <w:rPr>
                <w:rFonts w:ascii="Arial" w:hAnsi="Arial" w:cs="Arial"/>
                <w:noProof/>
                <w:color w:val="000000"/>
                <w:u w:val="single"/>
                <w:lang w:val="en-GB"/>
              </w:rPr>
            </w:pPr>
            <w:r w:rsidRPr="005D45D2">
              <w:rPr>
                <w:rFonts w:ascii="Arial" w:hAnsi="Arial" w:cs="Arial"/>
                <w:noProof/>
                <w:color w:val="000000"/>
                <w:u w:val="single"/>
                <w:lang w:val="en-GB"/>
              </w:rPr>
              <w:t>20.1</w:t>
            </w:r>
          </w:p>
        </w:tc>
      </w:tr>
      <w:tr w:rsidR="000E18C9" w:rsidRPr="005D45D2" w:rsidTr="000E18C9">
        <w:tc>
          <w:tcPr>
            <w:tcW w:w="5392" w:type="dxa"/>
            <w:tcBorders>
              <w:top w:val="nil"/>
              <w:left w:val="nil"/>
              <w:bottom w:val="nil"/>
              <w:right w:val="nil"/>
            </w:tcBorders>
            <w:noWrap/>
            <w:vAlign w:val="center"/>
          </w:tcPr>
          <w:p w:rsidR="000E18C9" w:rsidRPr="005D45D2" w:rsidRDefault="000E18C9" w:rsidP="000E18C9">
            <w:pPr>
              <w:tabs>
                <w:tab w:val="left" w:pos="284"/>
              </w:tabs>
              <w:rPr>
                <w:rFonts w:ascii="Arial" w:hAnsi="Arial" w:cs="Arial"/>
                <w:noProof/>
                <w:color w:val="000000"/>
                <w:lang w:val="en-GB"/>
              </w:rPr>
            </w:pPr>
            <w:r w:rsidRPr="005D45D2">
              <w:rPr>
                <w:rFonts w:ascii="Arial" w:hAnsi="Arial" w:cs="Arial"/>
                <w:noProof/>
                <w:color w:val="000000"/>
                <w:lang w:val="en-GB"/>
              </w:rPr>
              <w:tab/>
              <w:t>Total Assets</w:t>
            </w:r>
          </w:p>
        </w:tc>
        <w:tc>
          <w:tcPr>
            <w:tcW w:w="1965" w:type="dxa"/>
            <w:tcBorders>
              <w:top w:val="nil"/>
              <w:left w:val="nil"/>
              <w:bottom w:val="nil"/>
              <w:right w:val="nil"/>
            </w:tcBorders>
            <w:noWrap/>
            <w:vAlign w:val="center"/>
          </w:tcPr>
          <w:p w:rsidR="000E18C9" w:rsidRPr="005D45D2" w:rsidRDefault="000E18C9" w:rsidP="000E18C9">
            <w:pPr>
              <w:tabs>
                <w:tab w:val="decimal" w:pos="1421"/>
              </w:tabs>
              <w:rPr>
                <w:rFonts w:ascii="Arial" w:hAnsi="Arial" w:cs="Arial"/>
                <w:noProof/>
                <w:color w:val="000000"/>
                <w:lang w:val="en-GB"/>
              </w:rPr>
            </w:pPr>
            <w:r w:rsidRPr="005D45D2">
              <w:rPr>
                <w:rFonts w:ascii="Arial" w:hAnsi="Arial" w:cs="Arial"/>
                <w:noProof/>
                <w:color w:val="000000"/>
                <w:lang w:val="en-GB"/>
              </w:rPr>
              <w:t>1,176,967</w:t>
            </w:r>
          </w:p>
        </w:tc>
        <w:tc>
          <w:tcPr>
            <w:tcW w:w="2003" w:type="dxa"/>
            <w:tcBorders>
              <w:top w:val="nil"/>
              <w:left w:val="nil"/>
              <w:bottom w:val="nil"/>
              <w:right w:val="nil"/>
            </w:tcBorders>
            <w:noWrap/>
            <w:vAlign w:val="center"/>
          </w:tcPr>
          <w:p w:rsidR="000E18C9" w:rsidRPr="005D45D2" w:rsidRDefault="000E18C9" w:rsidP="000E18C9">
            <w:pPr>
              <w:tabs>
                <w:tab w:val="decimal" w:pos="1109"/>
              </w:tabs>
              <w:rPr>
                <w:rFonts w:ascii="Arial" w:hAnsi="Arial" w:cs="Arial"/>
                <w:noProof/>
                <w:color w:val="000000"/>
                <w:lang w:val="en-GB"/>
              </w:rPr>
            </w:pPr>
            <w:r w:rsidRPr="005D45D2">
              <w:rPr>
                <w:rFonts w:ascii="Arial" w:hAnsi="Arial" w:cs="Arial"/>
                <w:noProof/>
                <w:color w:val="000000"/>
                <w:lang w:val="en-GB"/>
              </w:rPr>
              <w:t>100.0</w:t>
            </w:r>
          </w:p>
        </w:tc>
      </w:tr>
      <w:tr w:rsidR="000E18C9" w:rsidRPr="005D45D2" w:rsidTr="000E18C9">
        <w:tc>
          <w:tcPr>
            <w:tcW w:w="5392" w:type="dxa"/>
            <w:tcBorders>
              <w:top w:val="nil"/>
              <w:left w:val="nil"/>
              <w:bottom w:val="nil"/>
              <w:right w:val="nil"/>
            </w:tcBorders>
            <w:noWrap/>
            <w:vAlign w:val="bottom"/>
          </w:tcPr>
          <w:p w:rsidR="000E18C9" w:rsidRPr="005D45D2" w:rsidRDefault="000E18C9" w:rsidP="000E18C9">
            <w:pPr>
              <w:jc w:val="right"/>
              <w:rPr>
                <w:rFonts w:ascii="Arial" w:hAnsi="Arial" w:cs="Arial"/>
                <w:noProof/>
                <w:color w:val="000000"/>
                <w:lang w:val="en-GB"/>
              </w:rPr>
            </w:pPr>
          </w:p>
        </w:tc>
        <w:tc>
          <w:tcPr>
            <w:tcW w:w="1965" w:type="dxa"/>
            <w:tcBorders>
              <w:top w:val="nil"/>
              <w:left w:val="nil"/>
              <w:bottom w:val="nil"/>
              <w:right w:val="nil"/>
            </w:tcBorders>
            <w:noWrap/>
            <w:vAlign w:val="bottom"/>
          </w:tcPr>
          <w:p w:rsidR="000E18C9" w:rsidRPr="005D45D2" w:rsidRDefault="000E18C9" w:rsidP="000E18C9">
            <w:pPr>
              <w:tabs>
                <w:tab w:val="decimal" w:pos="1421"/>
              </w:tabs>
              <w:rPr>
                <w:rFonts w:ascii="Arial" w:hAnsi="Arial" w:cs="Arial"/>
                <w:noProof/>
                <w:lang w:val="en-GB"/>
              </w:rPr>
            </w:pPr>
          </w:p>
        </w:tc>
        <w:tc>
          <w:tcPr>
            <w:tcW w:w="2003" w:type="dxa"/>
            <w:tcBorders>
              <w:top w:val="nil"/>
              <w:left w:val="nil"/>
              <w:bottom w:val="nil"/>
              <w:right w:val="nil"/>
            </w:tcBorders>
            <w:noWrap/>
            <w:vAlign w:val="bottom"/>
          </w:tcPr>
          <w:p w:rsidR="000E18C9" w:rsidRPr="005D45D2" w:rsidRDefault="000E18C9" w:rsidP="000E18C9">
            <w:pPr>
              <w:tabs>
                <w:tab w:val="decimal" w:pos="1109"/>
              </w:tabs>
              <w:jc w:val="right"/>
              <w:rPr>
                <w:rFonts w:ascii="Arial" w:hAnsi="Arial" w:cs="Arial"/>
                <w:noProof/>
                <w:lang w:val="en-GB"/>
              </w:rPr>
            </w:pPr>
          </w:p>
        </w:tc>
      </w:tr>
      <w:tr w:rsidR="000E18C9" w:rsidRPr="005D45D2" w:rsidTr="000E18C9">
        <w:tc>
          <w:tcPr>
            <w:tcW w:w="5392" w:type="dxa"/>
            <w:tcBorders>
              <w:top w:val="nil"/>
              <w:left w:val="nil"/>
              <w:bottom w:val="nil"/>
              <w:right w:val="nil"/>
            </w:tcBorders>
            <w:noWrap/>
            <w:vAlign w:val="center"/>
          </w:tcPr>
          <w:p w:rsidR="000E18C9" w:rsidRPr="005D45D2" w:rsidRDefault="000E18C9" w:rsidP="000E18C9">
            <w:pPr>
              <w:rPr>
                <w:rFonts w:ascii="Arial" w:hAnsi="Arial" w:cs="Arial"/>
                <w:noProof/>
                <w:color w:val="000000"/>
                <w:lang w:val="en-GB"/>
              </w:rPr>
            </w:pPr>
            <w:r w:rsidRPr="005D45D2">
              <w:rPr>
                <w:rFonts w:ascii="Arial" w:hAnsi="Arial" w:cs="Arial"/>
                <w:noProof/>
                <w:color w:val="000000"/>
                <w:lang w:val="en-GB"/>
              </w:rPr>
              <w:t>Deposits</w:t>
            </w:r>
          </w:p>
        </w:tc>
        <w:tc>
          <w:tcPr>
            <w:tcW w:w="1965" w:type="dxa"/>
            <w:tcBorders>
              <w:top w:val="nil"/>
              <w:left w:val="nil"/>
              <w:bottom w:val="nil"/>
              <w:right w:val="nil"/>
            </w:tcBorders>
            <w:noWrap/>
            <w:vAlign w:val="center"/>
          </w:tcPr>
          <w:p w:rsidR="000E18C9" w:rsidRPr="005D45D2" w:rsidRDefault="000E18C9" w:rsidP="000E18C9">
            <w:pPr>
              <w:tabs>
                <w:tab w:val="decimal" w:pos="1421"/>
              </w:tabs>
              <w:rPr>
                <w:rFonts w:ascii="Arial" w:hAnsi="Arial" w:cs="Arial"/>
                <w:noProof/>
                <w:color w:val="000000"/>
                <w:lang w:val="en-GB"/>
              </w:rPr>
            </w:pPr>
            <w:r w:rsidRPr="005D45D2">
              <w:rPr>
                <w:rFonts w:ascii="Arial" w:hAnsi="Arial" w:cs="Arial"/>
                <w:noProof/>
                <w:color w:val="000000"/>
                <w:lang w:val="en-GB"/>
              </w:rPr>
              <w:t>853,446</w:t>
            </w:r>
          </w:p>
        </w:tc>
        <w:tc>
          <w:tcPr>
            <w:tcW w:w="2003" w:type="dxa"/>
            <w:tcBorders>
              <w:top w:val="nil"/>
              <w:left w:val="nil"/>
              <w:bottom w:val="nil"/>
              <w:right w:val="nil"/>
            </w:tcBorders>
            <w:noWrap/>
            <w:vAlign w:val="center"/>
          </w:tcPr>
          <w:p w:rsidR="000E18C9" w:rsidRPr="005D45D2" w:rsidRDefault="000E18C9" w:rsidP="000E18C9">
            <w:pPr>
              <w:tabs>
                <w:tab w:val="decimal" w:pos="1109"/>
              </w:tabs>
              <w:rPr>
                <w:rFonts w:ascii="Arial" w:hAnsi="Arial" w:cs="Arial"/>
                <w:noProof/>
                <w:color w:val="000000"/>
                <w:lang w:val="en-GB"/>
              </w:rPr>
            </w:pPr>
            <w:r w:rsidRPr="005D45D2">
              <w:rPr>
                <w:rFonts w:ascii="Arial" w:hAnsi="Arial" w:cs="Arial"/>
                <w:noProof/>
                <w:color w:val="000000"/>
                <w:lang w:val="en-GB"/>
              </w:rPr>
              <w:t>72.5</w:t>
            </w:r>
          </w:p>
        </w:tc>
      </w:tr>
      <w:tr w:rsidR="000E18C9" w:rsidRPr="005D45D2" w:rsidTr="000E18C9">
        <w:tc>
          <w:tcPr>
            <w:tcW w:w="5392" w:type="dxa"/>
            <w:tcBorders>
              <w:top w:val="nil"/>
              <w:left w:val="nil"/>
              <w:bottom w:val="nil"/>
              <w:right w:val="nil"/>
            </w:tcBorders>
            <w:noWrap/>
            <w:vAlign w:val="center"/>
          </w:tcPr>
          <w:p w:rsidR="000E18C9" w:rsidRPr="005D45D2" w:rsidRDefault="000E18C9" w:rsidP="000E18C9">
            <w:pPr>
              <w:rPr>
                <w:rFonts w:ascii="Arial" w:hAnsi="Arial" w:cs="Arial"/>
                <w:noProof/>
                <w:color w:val="000000"/>
                <w:lang w:val="en-GB"/>
              </w:rPr>
            </w:pPr>
            <w:r w:rsidRPr="005D45D2">
              <w:rPr>
                <w:rFonts w:ascii="Arial" w:hAnsi="Arial" w:cs="Arial"/>
                <w:noProof/>
                <w:color w:val="000000"/>
                <w:lang w:val="en-GB"/>
              </w:rPr>
              <w:t>Short-term borrowing</w:t>
            </w:r>
          </w:p>
        </w:tc>
        <w:tc>
          <w:tcPr>
            <w:tcW w:w="1965" w:type="dxa"/>
            <w:tcBorders>
              <w:top w:val="nil"/>
              <w:left w:val="nil"/>
              <w:bottom w:val="nil"/>
              <w:right w:val="nil"/>
            </w:tcBorders>
            <w:noWrap/>
            <w:vAlign w:val="center"/>
          </w:tcPr>
          <w:p w:rsidR="000E18C9" w:rsidRPr="005D45D2" w:rsidRDefault="000E18C9" w:rsidP="000E18C9">
            <w:pPr>
              <w:tabs>
                <w:tab w:val="decimal" w:pos="1421"/>
              </w:tabs>
              <w:rPr>
                <w:rFonts w:ascii="Arial" w:hAnsi="Arial" w:cs="Arial"/>
                <w:noProof/>
                <w:color w:val="000000"/>
                <w:lang w:val="en-GB"/>
              </w:rPr>
            </w:pPr>
            <w:r w:rsidRPr="005D45D2">
              <w:rPr>
                <w:rFonts w:ascii="Arial" w:hAnsi="Arial" w:cs="Arial"/>
                <w:noProof/>
                <w:color w:val="000000"/>
                <w:lang w:val="en-GB"/>
              </w:rPr>
              <w:t>78,105</w:t>
            </w:r>
          </w:p>
        </w:tc>
        <w:tc>
          <w:tcPr>
            <w:tcW w:w="2003" w:type="dxa"/>
            <w:tcBorders>
              <w:top w:val="nil"/>
              <w:left w:val="nil"/>
              <w:bottom w:val="nil"/>
              <w:right w:val="nil"/>
            </w:tcBorders>
            <w:noWrap/>
            <w:vAlign w:val="center"/>
          </w:tcPr>
          <w:p w:rsidR="000E18C9" w:rsidRPr="005D45D2" w:rsidRDefault="000E18C9" w:rsidP="000E18C9">
            <w:pPr>
              <w:tabs>
                <w:tab w:val="decimal" w:pos="1109"/>
              </w:tabs>
              <w:rPr>
                <w:rFonts w:ascii="Arial" w:hAnsi="Arial" w:cs="Arial"/>
                <w:noProof/>
                <w:color w:val="000000"/>
                <w:lang w:val="en-GB"/>
              </w:rPr>
            </w:pPr>
            <w:r w:rsidRPr="005D45D2">
              <w:rPr>
                <w:rFonts w:ascii="Arial" w:hAnsi="Arial" w:cs="Arial"/>
                <w:noProof/>
                <w:color w:val="000000"/>
                <w:lang w:val="en-GB"/>
              </w:rPr>
              <w:t>6.6</w:t>
            </w:r>
          </w:p>
        </w:tc>
      </w:tr>
      <w:tr w:rsidR="000E18C9" w:rsidRPr="005D45D2" w:rsidTr="000E18C9">
        <w:tc>
          <w:tcPr>
            <w:tcW w:w="5392" w:type="dxa"/>
            <w:tcBorders>
              <w:top w:val="nil"/>
              <w:left w:val="nil"/>
              <w:bottom w:val="nil"/>
              <w:right w:val="nil"/>
            </w:tcBorders>
            <w:noWrap/>
            <w:vAlign w:val="center"/>
          </w:tcPr>
          <w:p w:rsidR="000E18C9" w:rsidRPr="005D45D2" w:rsidRDefault="000E18C9" w:rsidP="000E18C9">
            <w:pPr>
              <w:rPr>
                <w:rFonts w:ascii="Arial" w:hAnsi="Arial" w:cs="Arial"/>
                <w:noProof/>
                <w:color w:val="000000"/>
                <w:lang w:val="en-GB"/>
              </w:rPr>
            </w:pPr>
            <w:r w:rsidRPr="005D45D2">
              <w:rPr>
                <w:rFonts w:ascii="Arial" w:hAnsi="Arial" w:cs="Arial"/>
                <w:noProof/>
                <w:color w:val="000000"/>
                <w:lang w:val="en-GB"/>
              </w:rPr>
              <w:t>Subordinated notes and debentures</w:t>
            </w:r>
          </w:p>
        </w:tc>
        <w:tc>
          <w:tcPr>
            <w:tcW w:w="1965" w:type="dxa"/>
            <w:tcBorders>
              <w:top w:val="nil"/>
              <w:left w:val="nil"/>
              <w:bottom w:val="nil"/>
              <w:right w:val="nil"/>
            </w:tcBorders>
            <w:noWrap/>
            <w:vAlign w:val="center"/>
          </w:tcPr>
          <w:p w:rsidR="000E18C9" w:rsidRPr="005D45D2" w:rsidRDefault="000E18C9" w:rsidP="000E18C9">
            <w:pPr>
              <w:tabs>
                <w:tab w:val="decimal" w:pos="1421"/>
              </w:tabs>
              <w:rPr>
                <w:rFonts w:ascii="Arial" w:hAnsi="Arial" w:cs="Arial"/>
                <w:noProof/>
                <w:color w:val="000000"/>
                <w:lang w:val="en-GB"/>
              </w:rPr>
            </w:pPr>
            <w:r w:rsidRPr="005D45D2">
              <w:rPr>
                <w:rFonts w:ascii="Arial" w:hAnsi="Arial" w:cs="Arial"/>
                <w:noProof/>
                <w:color w:val="000000"/>
                <w:lang w:val="en-GB"/>
              </w:rPr>
              <w:t>10,891</w:t>
            </w:r>
          </w:p>
        </w:tc>
        <w:tc>
          <w:tcPr>
            <w:tcW w:w="2003" w:type="dxa"/>
            <w:tcBorders>
              <w:top w:val="nil"/>
              <w:left w:val="nil"/>
              <w:bottom w:val="nil"/>
              <w:right w:val="nil"/>
            </w:tcBorders>
            <w:noWrap/>
            <w:vAlign w:val="center"/>
          </w:tcPr>
          <w:p w:rsidR="000E18C9" w:rsidRPr="005D45D2" w:rsidRDefault="000E18C9" w:rsidP="000E18C9">
            <w:pPr>
              <w:tabs>
                <w:tab w:val="decimal" w:pos="1109"/>
              </w:tabs>
              <w:rPr>
                <w:rFonts w:ascii="Arial" w:hAnsi="Arial" w:cs="Arial"/>
                <w:noProof/>
                <w:color w:val="000000"/>
                <w:lang w:val="en-GB"/>
              </w:rPr>
            </w:pPr>
            <w:r w:rsidRPr="005D45D2">
              <w:rPr>
                <w:rFonts w:ascii="Arial" w:hAnsi="Arial" w:cs="Arial"/>
                <w:noProof/>
                <w:color w:val="000000"/>
                <w:lang w:val="en-GB"/>
              </w:rPr>
              <w:t>0.9</w:t>
            </w:r>
          </w:p>
        </w:tc>
      </w:tr>
      <w:tr w:rsidR="000E18C9" w:rsidRPr="005D45D2" w:rsidTr="000E18C9">
        <w:trPr>
          <w:trHeight w:val="262"/>
        </w:trPr>
        <w:tc>
          <w:tcPr>
            <w:tcW w:w="5392" w:type="dxa"/>
            <w:tcBorders>
              <w:top w:val="nil"/>
              <w:left w:val="nil"/>
              <w:bottom w:val="nil"/>
              <w:right w:val="nil"/>
            </w:tcBorders>
            <w:noWrap/>
            <w:vAlign w:val="center"/>
          </w:tcPr>
          <w:p w:rsidR="000E18C9" w:rsidRPr="005D45D2" w:rsidRDefault="000E18C9" w:rsidP="000E18C9">
            <w:pPr>
              <w:rPr>
                <w:rFonts w:ascii="Arial" w:hAnsi="Arial" w:cs="Arial"/>
                <w:noProof/>
                <w:color w:val="000000"/>
                <w:lang w:val="en-GB"/>
              </w:rPr>
            </w:pPr>
            <w:r w:rsidRPr="005D45D2">
              <w:rPr>
                <w:rFonts w:ascii="Arial" w:hAnsi="Arial" w:cs="Arial"/>
                <w:noProof/>
                <w:color w:val="000000"/>
                <w:lang w:val="en-GB"/>
              </w:rPr>
              <w:t>Other liabilities</w:t>
            </w:r>
          </w:p>
        </w:tc>
        <w:tc>
          <w:tcPr>
            <w:tcW w:w="1965" w:type="dxa"/>
            <w:tcBorders>
              <w:top w:val="nil"/>
              <w:left w:val="nil"/>
              <w:bottom w:val="nil"/>
              <w:right w:val="nil"/>
            </w:tcBorders>
            <w:noWrap/>
            <w:vAlign w:val="center"/>
          </w:tcPr>
          <w:p w:rsidR="000E18C9" w:rsidRPr="005D45D2" w:rsidRDefault="000E18C9" w:rsidP="000E18C9">
            <w:pPr>
              <w:tabs>
                <w:tab w:val="decimal" w:pos="1421"/>
              </w:tabs>
              <w:rPr>
                <w:rFonts w:ascii="Arial" w:hAnsi="Arial" w:cs="Arial"/>
                <w:noProof/>
                <w:color w:val="000000"/>
                <w:u w:val="single"/>
                <w:lang w:val="en-GB"/>
              </w:rPr>
            </w:pPr>
            <w:r w:rsidRPr="005D45D2">
              <w:rPr>
                <w:rFonts w:ascii="Arial" w:hAnsi="Arial" w:cs="Arial"/>
                <w:noProof/>
                <w:color w:val="000000"/>
                <w:u w:val="single"/>
                <w:lang w:val="en-GB"/>
              </w:rPr>
              <w:t>160,311</w:t>
            </w:r>
          </w:p>
        </w:tc>
        <w:tc>
          <w:tcPr>
            <w:tcW w:w="2003" w:type="dxa"/>
            <w:tcBorders>
              <w:top w:val="nil"/>
              <w:left w:val="nil"/>
              <w:bottom w:val="nil"/>
              <w:right w:val="nil"/>
            </w:tcBorders>
            <w:noWrap/>
            <w:vAlign w:val="center"/>
          </w:tcPr>
          <w:p w:rsidR="000E18C9" w:rsidRPr="005D45D2" w:rsidRDefault="000E18C9" w:rsidP="000E18C9">
            <w:pPr>
              <w:tabs>
                <w:tab w:val="decimal" w:pos="1109"/>
              </w:tabs>
              <w:rPr>
                <w:rFonts w:ascii="Arial" w:hAnsi="Arial" w:cs="Arial"/>
                <w:noProof/>
                <w:color w:val="000000"/>
                <w:u w:val="single"/>
                <w:lang w:val="en-GB"/>
              </w:rPr>
            </w:pPr>
            <w:r w:rsidRPr="005D45D2">
              <w:rPr>
                <w:rFonts w:ascii="Arial" w:hAnsi="Arial" w:cs="Arial"/>
                <w:noProof/>
                <w:color w:val="000000"/>
                <w:u w:val="single"/>
                <w:lang w:val="en-GB"/>
              </w:rPr>
              <w:t>13.6</w:t>
            </w:r>
          </w:p>
        </w:tc>
      </w:tr>
      <w:tr w:rsidR="000E18C9" w:rsidRPr="005D45D2" w:rsidTr="000E18C9">
        <w:tc>
          <w:tcPr>
            <w:tcW w:w="5392" w:type="dxa"/>
            <w:tcBorders>
              <w:top w:val="nil"/>
              <w:left w:val="nil"/>
              <w:bottom w:val="nil"/>
              <w:right w:val="nil"/>
            </w:tcBorders>
            <w:noWrap/>
            <w:vAlign w:val="center"/>
          </w:tcPr>
          <w:p w:rsidR="000E18C9" w:rsidRPr="005D45D2" w:rsidRDefault="000E18C9" w:rsidP="000E18C9">
            <w:pPr>
              <w:tabs>
                <w:tab w:val="left" w:pos="284"/>
              </w:tabs>
              <w:rPr>
                <w:rFonts w:ascii="Arial" w:hAnsi="Arial" w:cs="Arial"/>
                <w:noProof/>
                <w:color w:val="000000"/>
                <w:lang w:val="en-GB"/>
              </w:rPr>
            </w:pPr>
            <w:r w:rsidRPr="005D45D2">
              <w:rPr>
                <w:rFonts w:ascii="Arial" w:hAnsi="Arial" w:cs="Arial"/>
                <w:noProof/>
                <w:color w:val="000000"/>
                <w:lang w:val="en-GB"/>
              </w:rPr>
              <w:tab/>
              <w:t>Total Liabilities</w:t>
            </w:r>
          </w:p>
        </w:tc>
        <w:tc>
          <w:tcPr>
            <w:tcW w:w="1965" w:type="dxa"/>
            <w:tcBorders>
              <w:top w:val="nil"/>
              <w:left w:val="nil"/>
              <w:bottom w:val="nil"/>
              <w:right w:val="nil"/>
            </w:tcBorders>
            <w:noWrap/>
            <w:vAlign w:val="center"/>
          </w:tcPr>
          <w:p w:rsidR="000E18C9" w:rsidRPr="005D45D2" w:rsidRDefault="000E18C9" w:rsidP="000E18C9">
            <w:pPr>
              <w:tabs>
                <w:tab w:val="decimal" w:pos="1421"/>
              </w:tabs>
              <w:rPr>
                <w:rFonts w:ascii="Arial" w:hAnsi="Arial" w:cs="Arial"/>
                <w:noProof/>
                <w:color w:val="000000"/>
                <w:lang w:val="en-GB"/>
              </w:rPr>
            </w:pPr>
            <w:r w:rsidRPr="005D45D2">
              <w:rPr>
                <w:rFonts w:ascii="Arial" w:hAnsi="Arial" w:cs="Arial"/>
                <w:noProof/>
                <w:color w:val="000000"/>
                <w:lang w:val="en-GB"/>
              </w:rPr>
              <w:t>1,102,753</w:t>
            </w:r>
          </w:p>
        </w:tc>
        <w:tc>
          <w:tcPr>
            <w:tcW w:w="2003" w:type="dxa"/>
            <w:tcBorders>
              <w:top w:val="nil"/>
              <w:left w:val="nil"/>
              <w:bottom w:val="nil"/>
              <w:right w:val="nil"/>
            </w:tcBorders>
            <w:noWrap/>
            <w:vAlign w:val="center"/>
          </w:tcPr>
          <w:p w:rsidR="000E18C9" w:rsidRPr="005D45D2" w:rsidRDefault="000E18C9" w:rsidP="000E18C9">
            <w:pPr>
              <w:tabs>
                <w:tab w:val="decimal" w:pos="1109"/>
              </w:tabs>
              <w:rPr>
                <w:rFonts w:ascii="Arial" w:hAnsi="Arial" w:cs="Arial"/>
                <w:noProof/>
                <w:color w:val="000000"/>
                <w:lang w:val="en-GB"/>
              </w:rPr>
            </w:pPr>
            <w:r w:rsidRPr="005D45D2">
              <w:rPr>
                <w:rFonts w:ascii="Arial" w:hAnsi="Arial" w:cs="Arial"/>
                <w:noProof/>
                <w:color w:val="000000"/>
                <w:lang w:val="en-GB"/>
              </w:rPr>
              <w:t>93.7</w:t>
            </w:r>
          </w:p>
        </w:tc>
      </w:tr>
      <w:tr w:rsidR="000E18C9" w:rsidRPr="005D45D2" w:rsidTr="000E18C9">
        <w:tc>
          <w:tcPr>
            <w:tcW w:w="5392" w:type="dxa"/>
            <w:tcBorders>
              <w:top w:val="nil"/>
              <w:left w:val="nil"/>
              <w:bottom w:val="nil"/>
              <w:right w:val="nil"/>
            </w:tcBorders>
            <w:noWrap/>
            <w:vAlign w:val="center"/>
          </w:tcPr>
          <w:p w:rsidR="000E18C9" w:rsidRPr="005D45D2" w:rsidRDefault="000E18C9" w:rsidP="000E18C9">
            <w:pPr>
              <w:rPr>
                <w:rFonts w:ascii="Arial" w:hAnsi="Arial" w:cs="Arial"/>
                <w:noProof/>
                <w:color w:val="000000"/>
                <w:lang w:val="en-GB"/>
              </w:rPr>
            </w:pPr>
            <w:r w:rsidRPr="005D45D2">
              <w:rPr>
                <w:rFonts w:ascii="Arial" w:hAnsi="Arial" w:cs="Arial"/>
                <w:noProof/>
                <w:color w:val="000000"/>
                <w:lang w:val="en-GB"/>
              </w:rPr>
              <w:t>Preferred shares</w:t>
            </w:r>
          </w:p>
        </w:tc>
        <w:tc>
          <w:tcPr>
            <w:tcW w:w="1965" w:type="dxa"/>
            <w:tcBorders>
              <w:top w:val="nil"/>
              <w:left w:val="nil"/>
              <w:bottom w:val="nil"/>
              <w:right w:val="nil"/>
            </w:tcBorders>
            <w:noWrap/>
            <w:vAlign w:val="center"/>
          </w:tcPr>
          <w:p w:rsidR="000E18C9" w:rsidRPr="005D45D2" w:rsidRDefault="000E18C9" w:rsidP="000E18C9">
            <w:pPr>
              <w:tabs>
                <w:tab w:val="decimal" w:pos="1421"/>
              </w:tabs>
              <w:rPr>
                <w:rFonts w:ascii="Arial" w:hAnsi="Arial" w:cs="Arial"/>
                <w:noProof/>
                <w:color w:val="000000"/>
                <w:lang w:val="en-GB"/>
              </w:rPr>
            </w:pPr>
            <w:r w:rsidRPr="005D45D2">
              <w:rPr>
                <w:rFonts w:ascii="Arial" w:hAnsi="Arial" w:cs="Arial"/>
                <w:noProof/>
                <w:color w:val="000000"/>
                <w:lang w:val="en-GB"/>
              </w:rPr>
              <w:t>4,400</w:t>
            </w:r>
          </w:p>
        </w:tc>
        <w:tc>
          <w:tcPr>
            <w:tcW w:w="2003" w:type="dxa"/>
            <w:tcBorders>
              <w:top w:val="nil"/>
              <w:left w:val="nil"/>
              <w:bottom w:val="nil"/>
              <w:right w:val="nil"/>
            </w:tcBorders>
            <w:noWrap/>
            <w:vAlign w:val="center"/>
          </w:tcPr>
          <w:p w:rsidR="000E18C9" w:rsidRPr="005D45D2" w:rsidRDefault="000E18C9" w:rsidP="000E18C9">
            <w:pPr>
              <w:tabs>
                <w:tab w:val="decimal" w:pos="1109"/>
              </w:tabs>
              <w:rPr>
                <w:rFonts w:ascii="Arial" w:hAnsi="Arial" w:cs="Arial"/>
                <w:noProof/>
                <w:color w:val="000000"/>
                <w:lang w:val="en-GB"/>
              </w:rPr>
            </w:pPr>
            <w:r w:rsidRPr="005D45D2">
              <w:rPr>
                <w:rFonts w:ascii="Arial" w:hAnsi="Arial" w:cs="Arial"/>
                <w:noProof/>
                <w:color w:val="000000"/>
                <w:lang w:val="en-GB"/>
              </w:rPr>
              <w:t>0.4</w:t>
            </w:r>
          </w:p>
        </w:tc>
      </w:tr>
      <w:tr w:rsidR="000E18C9" w:rsidRPr="005D45D2" w:rsidTr="000E18C9">
        <w:tc>
          <w:tcPr>
            <w:tcW w:w="5392" w:type="dxa"/>
            <w:tcBorders>
              <w:top w:val="nil"/>
              <w:left w:val="nil"/>
              <w:bottom w:val="nil"/>
              <w:right w:val="nil"/>
            </w:tcBorders>
            <w:noWrap/>
            <w:vAlign w:val="center"/>
          </w:tcPr>
          <w:p w:rsidR="000E18C9" w:rsidRPr="005D45D2" w:rsidRDefault="000E18C9" w:rsidP="000E18C9">
            <w:pPr>
              <w:rPr>
                <w:rFonts w:ascii="Arial" w:hAnsi="Arial" w:cs="Arial"/>
                <w:noProof/>
                <w:color w:val="000000"/>
                <w:lang w:val="en-GB"/>
              </w:rPr>
            </w:pPr>
            <w:r w:rsidRPr="005D45D2">
              <w:rPr>
                <w:rFonts w:ascii="Arial" w:hAnsi="Arial" w:cs="Arial"/>
                <w:noProof/>
                <w:color w:val="000000"/>
                <w:lang w:val="en-GB"/>
              </w:rPr>
              <w:t>Non-controlling interests in subsidiaries</w:t>
            </w:r>
          </w:p>
        </w:tc>
        <w:tc>
          <w:tcPr>
            <w:tcW w:w="1965" w:type="dxa"/>
            <w:tcBorders>
              <w:top w:val="nil"/>
              <w:left w:val="nil"/>
              <w:bottom w:val="nil"/>
              <w:right w:val="nil"/>
            </w:tcBorders>
            <w:noWrap/>
            <w:vAlign w:val="center"/>
          </w:tcPr>
          <w:p w:rsidR="000E18C9" w:rsidRPr="005D45D2" w:rsidRDefault="000E18C9" w:rsidP="000E18C9">
            <w:pPr>
              <w:tabs>
                <w:tab w:val="decimal" w:pos="1421"/>
              </w:tabs>
              <w:rPr>
                <w:rFonts w:ascii="Arial" w:hAnsi="Arial" w:cs="Arial"/>
                <w:noProof/>
                <w:color w:val="000000"/>
                <w:lang w:val="en-GB"/>
              </w:rPr>
            </w:pPr>
            <w:r w:rsidRPr="005D45D2">
              <w:rPr>
                <w:rFonts w:ascii="Arial" w:hAnsi="Arial" w:cs="Arial"/>
                <w:noProof/>
                <w:color w:val="000000"/>
                <w:lang w:val="en-GB"/>
              </w:rPr>
              <w:t>1,650</w:t>
            </w:r>
          </w:p>
        </w:tc>
        <w:tc>
          <w:tcPr>
            <w:tcW w:w="2003" w:type="dxa"/>
            <w:tcBorders>
              <w:top w:val="nil"/>
              <w:left w:val="nil"/>
              <w:bottom w:val="nil"/>
              <w:right w:val="nil"/>
            </w:tcBorders>
            <w:noWrap/>
            <w:vAlign w:val="center"/>
          </w:tcPr>
          <w:p w:rsidR="000E18C9" w:rsidRPr="005D45D2" w:rsidRDefault="000E18C9" w:rsidP="000E18C9">
            <w:pPr>
              <w:tabs>
                <w:tab w:val="decimal" w:pos="1109"/>
              </w:tabs>
              <w:rPr>
                <w:rFonts w:ascii="Arial" w:hAnsi="Arial" w:cs="Arial"/>
                <w:noProof/>
                <w:color w:val="000000"/>
                <w:lang w:val="en-GB"/>
              </w:rPr>
            </w:pPr>
            <w:r w:rsidRPr="005D45D2">
              <w:rPr>
                <w:rFonts w:ascii="Arial" w:hAnsi="Arial" w:cs="Arial"/>
                <w:noProof/>
                <w:color w:val="000000"/>
                <w:lang w:val="en-GB"/>
              </w:rPr>
              <w:t>0.1</w:t>
            </w:r>
          </w:p>
        </w:tc>
      </w:tr>
      <w:tr w:rsidR="000E18C9" w:rsidRPr="005D45D2" w:rsidTr="000E18C9">
        <w:tc>
          <w:tcPr>
            <w:tcW w:w="5392" w:type="dxa"/>
            <w:tcBorders>
              <w:top w:val="nil"/>
              <w:left w:val="nil"/>
              <w:bottom w:val="nil"/>
              <w:right w:val="nil"/>
            </w:tcBorders>
            <w:noWrap/>
            <w:vAlign w:val="center"/>
          </w:tcPr>
          <w:p w:rsidR="000E18C9" w:rsidRPr="005D45D2" w:rsidRDefault="000E18C9" w:rsidP="000E18C9">
            <w:pPr>
              <w:rPr>
                <w:rFonts w:ascii="Arial" w:hAnsi="Arial" w:cs="Arial"/>
                <w:noProof/>
                <w:color w:val="000000"/>
                <w:lang w:val="en-GB"/>
              </w:rPr>
            </w:pPr>
            <w:r w:rsidRPr="005D45D2">
              <w:rPr>
                <w:rFonts w:ascii="Arial" w:hAnsi="Arial" w:cs="Arial"/>
                <w:noProof/>
                <w:color w:val="000000"/>
                <w:lang w:val="en-GB"/>
              </w:rPr>
              <w:t>Common equity</w:t>
            </w:r>
          </w:p>
        </w:tc>
        <w:tc>
          <w:tcPr>
            <w:tcW w:w="1965" w:type="dxa"/>
            <w:tcBorders>
              <w:top w:val="nil"/>
              <w:left w:val="nil"/>
              <w:bottom w:val="nil"/>
              <w:right w:val="nil"/>
            </w:tcBorders>
            <w:noWrap/>
            <w:vAlign w:val="center"/>
          </w:tcPr>
          <w:p w:rsidR="000E18C9" w:rsidRPr="005D45D2" w:rsidRDefault="000E18C9" w:rsidP="000E18C9">
            <w:pPr>
              <w:tabs>
                <w:tab w:val="decimal" w:pos="1421"/>
              </w:tabs>
              <w:rPr>
                <w:rFonts w:ascii="Arial" w:hAnsi="Arial" w:cs="Arial"/>
                <w:noProof/>
                <w:color w:val="000000"/>
                <w:u w:val="single"/>
                <w:lang w:val="en-GB"/>
              </w:rPr>
            </w:pPr>
            <w:r w:rsidRPr="005D45D2">
              <w:rPr>
                <w:rFonts w:ascii="Arial" w:hAnsi="Arial" w:cs="Arial"/>
                <w:noProof/>
                <w:color w:val="000000"/>
                <w:u w:val="single"/>
                <w:lang w:val="en-GB"/>
              </w:rPr>
              <w:t>68,164</w:t>
            </w:r>
          </w:p>
        </w:tc>
        <w:tc>
          <w:tcPr>
            <w:tcW w:w="2003" w:type="dxa"/>
            <w:tcBorders>
              <w:top w:val="nil"/>
              <w:left w:val="nil"/>
              <w:bottom w:val="nil"/>
              <w:right w:val="nil"/>
            </w:tcBorders>
            <w:noWrap/>
            <w:vAlign w:val="center"/>
          </w:tcPr>
          <w:p w:rsidR="000E18C9" w:rsidRPr="005D45D2" w:rsidRDefault="000E18C9" w:rsidP="000E18C9">
            <w:pPr>
              <w:tabs>
                <w:tab w:val="decimal" w:pos="1109"/>
              </w:tabs>
              <w:rPr>
                <w:rFonts w:ascii="Arial" w:hAnsi="Arial" w:cs="Arial"/>
                <w:noProof/>
                <w:color w:val="000000"/>
                <w:u w:val="single"/>
                <w:lang w:val="en-GB"/>
              </w:rPr>
            </w:pPr>
            <w:r w:rsidRPr="005D45D2">
              <w:rPr>
                <w:rFonts w:ascii="Arial" w:hAnsi="Arial" w:cs="Arial"/>
                <w:noProof/>
                <w:color w:val="000000"/>
                <w:u w:val="single"/>
                <w:lang w:val="en-GB"/>
              </w:rPr>
              <w:t>5.8</w:t>
            </w:r>
          </w:p>
        </w:tc>
      </w:tr>
      <w:tr w:rsidR="000E18C9" w:rsidRPr="005D45D2" w:rsidTr="000E18C9">
        <w:tc>
          <w:tcPr>
            <w:tcW w:w="5392" w:type="dxa"/>
            <w:tcBorders>
              <w:top w:val="nil"/>
              <w:left w:val="nil"/>
              <w:bottom w:val="nil"/>
              <w:right w:val="nil"/>
            </w:tcBorders>
            <w:noWrap/>
            <w:vAlign w:val="center"/>
          </w:tcPr>
          <w:p w:rsidR="000E18C9" w:rsidRPr="005D45D2" w:rsidRDefault="000E18C9" w:rsidP="000E18C9">
            <w:pPr>
              <w:rPr>
                <w:rFonts w:ascii="Arial" w:hAnsi="Arial" w:cs="Arial"/>
                <w:noProof/>
                <w:color w:val="000000"/>
                <w:lang w:val="en-GB"/>
              </w:rPr>
            </w:pPr>
            <w:r w:rsidRPr="005D45D2">
              <w:rPr>
                <w:rFonts w:ascii="Arial" w:hAnsi="Arial" w:cs="Arial"/>
                <w:noProof/>
                <w:color w:val="000000"/>
                <w:lang w:val="en-GB"/>
              </w:rPr>
              <w:t>Total shareholders’ equity</w:t>
            </w:r>
          </w:p>
        </w:tc>
        <w:tc>
          <w:tcPr>
            <w:tcW w:w="1965" w:type="dxa"/>
            <w:tcBorders>
              <w:top w:val="nil"/>
              <w:left w:val="nil"/>
              <w:bottom w:val="nil"/>
              <w:right w:val="nil"/>
            </w:tcBorders>
            <w:noWrap/>
            <w:vAlign w:val="center"/>
          </w:tcPr>
          <w:p w:rsidR="000E18C9" w:rsidRPr="005D45D2" w:rsidRDefault="000E18C9" w:rsidP="000E18C9">
            <w:pPr>
              <w:tabs>
                <w:tab w:val="decimal" w:pos="1421"/>
              </w:tabs>
              <w:rPr>
                <w:rFonts w:ascii="Arial" w:hAnsi="Arial" w:cs="Arial"/>
                <w:noProof/>
                <w:color w:val="000000"/>
                <w:lang w:val="en-GB"/>
              </w:rPr>
            </w:pPr>
            <w:r w:rsidRPr="005D45D2">
              <w:rPr>
                <w:rFonts w:ascii="Arial" w:hAnsi="Arial" w:cs="Arial"/>
                <w:noProof/>
                <w:color w:val="000000"/>
                <w:lang w:val="en-GB"/>
              </w:rPr>
              <w:t>74,214</w:t>
            </w:r>
          </w:p>
        </w:tc>
        <w:tc>
          <w:tcPr>
            <w:tcW w:w="2003" w:type="dxa"/>
            <w:tcBorders>
              <w:top w:val="nil"/>
              <w:left w:val="nil"/>
              <w:bottom w:val="nil"/>
              <w:right w:val="nil"/>
            </w:tcBorders>
            <w:noWrap/>
            <w:vAlign w:val="center"/>
          </w:tcPr>
          <w:p w:rsidR="000E18C9" w:rsidRPr="005D45D2" w:rsidRDefault="000E18C9" w:rsidP="000E18C9">
            <w:pPr>
              <w:tabs>
                <w:tab w:val="decimal" w:pos="1109"/>
              </w:tabs>
              <w:rPr>
                <w:rFonts w:ascii="Arial" w:hAnsi="Arial" w:cs="Arial"/>
                <w:noProof/>
                <w:color w:val="000000"/>
                <w:lang w:val="en-GB"/>
              </w:rPr>
            </w:pPr>
            <w:r w:rsidRPr="005D45D2">
              <w:rPr>
                <w:rFonts w:ascii="Arial" w:hAnsi="Arial" w:cs="Arial"/>
                <w:noProof/>
                <w:color w:val="000000"/>
                <w:lang w:val="en-GB"/>
              </w:rPr>
              <w:t>6.3</w:t>
            </w:r>
          </w:p>
        </w:tc>
      </w:tr>
      <w:tr w:rsidR="000E18C9" w:rsidRPr="005D45D2" w:rsidTr="000E18C9">
        <w:tc>
          <w:tcPr>
            <w:tcW w:w="5392" w:type="dxa"/>
            <w:tcBorders>
              <w:top w:val="nil"/>
              <w:left w:val="nil"/>
              <w:bottom w:val="nil"/>
              <w:right w:val="nil"/>
            </w:tcBorders>
            <w:noWrap/>
            <w:vAlign w:val="center"/>
          </w:tcPr>
          <w:p w:rsidR="000E18C9" w:rsidRPr="005D45D2" w:rsidRDefault="000E18C9" w:rsidP="000E18C9">
            <w:pPr>
              <w:tabs>
                <w:tab w:val="left" w:pos="284"/>
              </w:tabs>
              <w:rPr>
                <w:rFonts w:ascii="Arial" w:hAnsi="Arial" w:cs="Arial"/>
                <w:noProof/>
                <w:color w:val="000000"/>
                <w:lang w:val="en-GB"/>
              </w:rPr>
            </w:pPr>
            <w:r w:rsidRPr="005D45D2">
              <w:rPr>
                <w:rFonts w:ascii="Arial" w:hAnsi="Arial" w:cs="Arial"/>
                <w:noProof/>
                <w:color w:val="000000"/>
                <w:lang w:val="en-GB"/>
              </w:rPr>
              <w:tab/>
              <w:t>Total Liabilities + Equity</w:t>
            </w:r>
          </w:p>
        </w:tc>
        <w:tc>
          <w:tcPr>
            <w:tcW w:w="1965" w:type="dxa"/>
            <w:tcBorders>
              <w:top w:val="nil"/>
              <w:left w:val="nil"/>
              <w:bottom w:val="nil"/>
              <w:right w:val="nil"/>
            </w:tcBorders>
            <w:noWrap/>
            <w:vAlign w:val="center"/>
          </w:tcPr>
          <w:p w:rsidR="000E18C9" w:rsidRPr="005D45D2" w:rsidRDefault="000E18C9" w:rsidP="000E18C9">
            <w:pPr>
              <w:tabs>
                <w:tab w:val="decimal" w:pos="1421"/>
              </w:tabs>
              <w:rPr>
                <w:rFonts w:ascii="Arial" w:hAnsi="Arial" w:cs="Arial"/>
                <w:noProof/>
                <w:color w:val="000000"/>
                <w:lang w:val="en-GB"/>
              </w:rPr>
            </w:pPr>
            <w:r w:rsidRPr="005D45D2">
              <w:rPr>
                <w:rFonts w:ascii="Arial" w:hAnsi="Arial" w:cs="Arial"/>
                <w:noProof/>
                <w:color w:val="000000"/>
                <w:lang w:val="en-GB"/>
              </w:rPr>
              <w:t>1,176,967</w:t>
            </w:r>
          </w:p>
        </w:tc>
        <w:tc>
          <w:tcPr>
            <w:tcW w:w="2003" w:type="dxa"/>
            <w:tcBorders>
              <w:top w:val="nil"/>
              <w:left w:val="nil"/>
              <w:bottom w:val="nil"/>
              <w:right w:val="nil"/>
            </w:tcBorders>
            <w:noWrap/>
            <w:vAlign w:val="center"/>
          </w:tcPr>
          <w:p w:rsidR="000E18C9" w:rsidRPr="005D45D2" w:rsidRDefault="000E18C9" w:rsidP="000E18C9">
            <w:pPr>
              <w:tabs>
                <w:tab w:val="decimal" w:pos="1109"/>
              </w:tabs>
              <w:rPr>
                <w:rFonts w:ascii="Arial" w:hAnsi="Arial" w:cs="Arial"/>
                <w:noProof/>
                <w:color w:val="000000"/>
                <w:lang w:val="en-GB"/>
              </w:rPr>
            </w:pPr>
            <w:r w:rsidRPr="005D45D2">
              <w:rPr>
                <w:rFonts w:ascii="Arial" w:hAnsi="Arial" w:cs="Arial"/>
                <w:noProof/>
                <w:color w:val="000000"/>
                <w:lang w:val="en-GB"/>
              </w:rPr>
              <w:t>100.0</w:t>
            </w:r>
          </w:p>
        </w:tc>
      </w:tr>
      <w:tr w:rsidR="000E18C9" w:rsidRPr="005D45D2" w:rsidTr="000E18C9">
        <w:tc>
          <w:tcPr>
            <w:tcW w:w="5392" w:type="dxa"/>
            <w:tcBorders>
              <w:top w:val="nil"/>
              <w:left w:val="nil"/>
              <w:bottom w:val="nil"/>
              <w:right w:val="nil"/>
            </w:tcBorders>
            <w:noWrap/>
            <w:vAlign w:val="center"/>
          </w:tcPr>
          <w:p w:rsidR="000E18C9" w:rsidRPr="005D45D2" w:rsidRDefault="000E18C9" w:rsidP="000E18C9">
            <w:pPr>
              <w:rPr>
                <w:rFonts w:ascii="Arial" w:hAnsi="Arial" w:cs="Arial"/>
                <w:i/>
                <w:iCs/>
                <w:noProof/>
                <w:color w:val="000000"/>
                <w:lang w:val="en-GB"/>
              </w:rPr>
            </w:pPr>
            <w:r w:rsidRPr="005D45D2">
              <w:rPr>
                <w:rFonts w:ascii="Arial" w:hAnsi="Arial" w:cs="Arial"/>
                <w:i/>
                <w:iCs/>
                <w:noProof/>
                <w:color w:val="000000"/>
                <w:lang w:val="en-GB"/>
              </w:rPr>
              <w:t>Average Interest Earning Assets</w:t>
            </w:r>
          </w:p>
        </w:tc>
        <w:tc>
          <w:tcPr>
            <w:tcW w:w="1965" w:type="dxa"/>
            <w:tcBorders>
              <w:top w:val="nil"/>
              <w:left w:val="nil"/>
              <w:bottom w:val="nil"/>
              <w:right w:val="nil"/>
            </w:tcBorders>
            <w:noWrap/>
            <w:vAlign w:val="center"/>
          </w:tcPr>
          <w:p w:rsidR="000E18C9" w:rsidRPr="005D45D2" w:rsidRDefault="000E18C9" w:rsidP="000E18C9">
            <w:pPr>
              <w:tabs>
                <w:tab w:val="decimal" w:pos="1421"/>
              </w:tabs>
              <w:rPr>
                <w:rFonts w:ascii="Arial" w:hAnsi="Arial" w:cs="Arial"/>
                <w:i/>
                <w:iCs/>
                <w:noProof/>
                <w:color w:val="000000"/>
                <w:lang w:val="en-GB"/>
              </w:rPr>
            </w:pPr>
            <w:r w:rsidRPr="005D45D2">
              <w:rPr>
                <w:rFonts w:ascii="Arial" w:hAnsi="Arial" w:cs="Arial"/>
                <w:i/>
                <w:iCs/>
                <w:noProof/>
                <w:color w:val="000000"/>
                <w:lang w:val="en-GB"/>
              </w:rPr>
              <w:t>990,983</w:t>
            </w:r>
          </w:p>
        </w:tc>
        <w:tc>
          <w:tcPr>
            <w:tcW w:w="2003" w:type="dxa"/>
            <w:tcBorders>
              <w:top w:val="nil"/>
              <w:left w:val="nil"/>
              <w:bottom w:val="nil"/>
              <w:right w:val="nil"/>
            </w:tcBorders>
            <w:noWrap/>
            <w:vAlign w:val="center"/>
          </w:tcPr>
          <w:p w:rsidR="000E18C9" w:rsidRPr="005D45D2" w:rsidRDefault="000E18C9" w:rsidP="000E18C9">
            <w:pPr>
              <w:tabs>
                <w:tab w:val="decimal" w:pos="1109"/>
              </w:tabs>
              <w:rPr>
                <w:rFonts w:ascii="Arial" w:hAnsi="Arial" w:cs="Arial"/>
                <w:i/>
                <w:noProof/>
                <w:color w:val="000000"/>
                <w:lang w:val="en-GB"/>
              </w:rPr>
            </w:pPr>
            <w:r w:rsidRPr="005D45D2">
              <w:rPr>
                <w:rFonts w:ascii="Arial" w:hAnsi="Arial" w:cs="Arial"/>
                <w:i/>
                <w:noProof/>
                <w:color w:val="000000"/>
                <w:lang w:val="en-GB"/>
              </w:rPr>
              <w:t>84.2</w:t>
            </w:r>
          </w:p>
        </w:tc>
      </w:tr>
      <w:tr w:rsidR="000E18C9" w:rsidRPr="005D45D2" w:rsidTr="000E18C9">
        <w:tc>
          <w:tcPr>
            <w:tcW w:w="5392" w:type="dxa"/>
            <w:tcBorders>
              <w:top w:val="nil"/>
              <w:left w:val="nil"/>
              <w:bottom w:val="nil"/>
              <w:right w:val="nil"/>
            </w:tcBorders>
            <w:noWrap/>
            <w:vAlign w:val="center"/>
          </w:tcPr>
          <w:p w:rsidR="000E18C9" w:rsidRPr="005D45D2" w:rsidRDefault="000E18C9" w:rsidP="000E18C9">
            <w:pPr>
              <w:rPr>
                <w:rFonts w:ascii="Arial" w:hAnsi="Arial" w:cs="Arial"/>
                <w:i/>
                <w:iCs/>
                <w:noProof/>
                <w:color w:val="000000"/>
                <w:lang w:val="en-GB"/>
              </w:rPr>
            </w:pPr>
          </w:p>
        </w:tc>
        <w:tc>
          <w:tcPr>
            <w:tcW w:w="1965" w:type="dxa"/>
            <w:tcBorders>
              <w:top w:val="nil"/>
              <w:left w:val="nil"/>
              <w:bottom w:val="nil"/>
              <w:right w:val="nil"/>
            </w:tcBorders>
            <w:noWrap/>
            <w:vAlign w:val="center"/>
          </w:tcPr>
          <w:p w:rsidR="000E18C9" w:rsidRPr="005D45D2" w:rsidRDefault="000E18C9" w:rsidP="000E18C9">
            <w:pPr>
              <w:jc w:val="right"/>
              <w:rPr>
                <w:rFonts w:ascii="Arial" w:hAnsi="Arial" w:cs="Arial"/>
                <w:i/>
                <w:iCs/>
                <w:noProof/>
                <w:color w:val="000000"/>
                <w:lang w:val="en-GB"/>
              </w:rPr>
            </w:pPr>
          </w:p>
        </w:tc>
        <w:tc>
          <w:tcPr>
            <w:tcW w:w="2003" w:type="dxa"/>
            <w:tcBorders>
              <w:top w:val="nil"/>
              <w:left w:val="nil"/>
              <w:bottom w:val="nil"/>
              <w:right w:val="nil"/>
            </w:tcBorders>
            <w:noWrap/>
            <w:vAlign w:val="center"/>
          </w:tcPr>
          <w:p w:rsidR="000E18C9" w:rsidRPr="005D45D2" w:rsidRDefault="000E18C9" w:rsidP="000E18C9">
            <w:pPr>
              <w:jc w:val="right"/>
              <w:rPr>
                <w:rFonts w:ascii="Arial" w:hAnsi="Arial" w:cs="Arial"/>
                <w:noProof/>
                <w:color w:val="000000"/>
                <w:lang w:val="en-GB"/>
              </w:rPr>
            </w:pPr>
          </w:p>
        </w:tc>
      </w:tr>
      <w:tr w:rsidR="000E18C9" w:rsidRPr="005D45D2" w:rsidTr="000E18C9">
        <w:tc>
          <w:tcPr>
            <w:tcW w:w="5392" w:type="dxa"/>
            <w:tcBorders>
              <w:top w:val="nil"/>
              <w:left w:val="nil"/>
              <w:bottom w:val="nil"/>
              <w:right w:val="nil"/>
            </w:tcBorders>
            <w:noWrap/>
            <w:vAlign w:val="bottom"/>
          </w:tcPr>
          <w:p w:rsidR="000E18C9" w:rsidRPr="005D45D2" w:rsidRDefault="000E18C9" w:rsidP="000E18C9">
            <w:pPr>
              <w:jc w:val="center"/>
              <w:rPr>
                <w:rFonts w:ascii="Arial" w:hAnsi="Arial" w:cs="Arial"/>
                <w:b/>
                <w:bCs/>
                <w:noProof/>
                <w:color w:val="000000"/>
                <w:lang w:val="en-GB"/>
              </w:rPr>
            </w:pPr>
            <w:r w:rsidRPr="005D45D2">
              <w:rPr>
                <w:rFonts w:ascii="Arial" w:hAnsi="Arial" w:cs="Arial"/>
                <w:b/>
                <w:bCs/>
                <w:noProof/>
                <w:color w:val="000000"/>
                <w:lang w:val="en-GB"/>
              </w:rPr>
              <w:t>Income Statement</w:t>
            </w:r>
          </w:p>
        </w:tc>
        <w:tc>
          <w:tcPr>
            <w:tcW w:w="1965" w:type="dxa"/>
            <w:tcBorders>
              <w:top w:val="nil"/>
              <w:left w:val="nil"/>
              <w:bottom w:val="nil"/>
              <w:right w:val="nil"/>
            </w:tcBorders>
            <w:noWrap/>
            <w:vAlign w:val="bottom"/>
          </w:tcPr>
          <w:p w:rsidR="000E18C9" w:rsidRPr="005D45D2" w:rsidRDefault="000E18C9" w:rsidP="000E18C9">
            <w:pPr>
              <w:jc w:val="center"/>
              <w:rPr>
                <w:rFonts w:ascii="Arial" w:hAnsi="Arial" w:cs="Arial"/>
                <w:b/>
                <w:bCs/>
                <w:noProof/>
                <w:color w:val="000000"/>
                <w:u w:val="single"/>
                <w:lang w:val="en-GB"/>
              </w:rPr>
            </w:pPr>
            <w:r w:rsidRPr="005D45D2">
              <w:rPr>
                <w:rFonts w:ascii="Arial" w:hAnsi="Arial" w:cs="Arial"/>
                <w:b/>
                <w:bCs/>
                <w:noProof/>
                <w:color w:val="000000"/>
                <w:u w:val="single"/>
                <w:lang w:val="en-GB"/>
              </w:rPr>
              <w:t>CA$ Millions</w:t>
            </w:r>
          </w:p>
        </w:tc>
        <w:tc>
          <w:tcPr>
            <w:tcW w:w="2003" w:type="dxa"/>
            <w:tcBorders>
              <w:top w:val="nil"/>
              <w:left w:val="nil"/>
              <w:bottom w:val="nil"/>
              <w:right w:val="nil"/>
            </w:tcBorders>
            <w:noWrap/>
            <w:vAlign w:val="bottom"/>
          </w:tcPr>
          <w:p w:rsidR="000E18C9" w:rsidRPr="005D45D2" w:rsidRDefault="000E18C9" w:rsidP="000E18C9">
            <w:pPr>
              <w:jc w:val="center"/>
              <w:rPr>
                <w:rFonts w:ascii="Arial" w:hAnsi="Arial" w:cs="Arial"/>
                <w:b/>
                <w:bCs/>
                <w:noProof/>
                <w:color w:val="000000"/>
                <w:u w:val="single"/>
                <w:lang w:val="en-GB"/>
              </w:rPr>
            </w:pPr>
            <w:r w:rsidRPr="005D45D2">
              <w:rPr>
                <w:rFonts w:ascii="Arial" w:hAnsi="Arial" w:cs="Arial"/>
                <w:b/>
                <w:bCs/>
                <w:noProof/>
                <w:color w:val="000000"/>
                <w:u w:val="single"/>
                <w:lang w:val="en-GB"/>
              </w:rPr>
              <w:t>% of Revenues</w:t>
            </w:r>
          </w:p>
        </w:tc>
      </w:tr>
      <w:tr w:rsidR="000E18C9" w:rsidRPr="005D45D2" w:rsidTr="000E18C9">
        <w:tc>
          <w:tcPr>
            <w:tcW w:w="5392" w:type="dxa"/>
            <w:tcBorders>
              <w:top w:val="nil"/>
              <w:left w:val="nil"/>
              <w:bottom w:val="nil"/>
              <w:right w:val="nil"/>
            </w:tcBorders>
            <w:noWrap/>
            <w:vAlign w:val="center"/>
          </w:tcPr>
          <w:p w:rsidR="000E18C9" w:rsidRPr="005D45D2" w:rsidRDefault="000E18C9" w:rsidP="000E18C9">
            <w:pPr>
              <w:rPr>
                <w:rFonts w:ascii="Arial" w:hAnsi="Arial" w:cs="Arial"/>
                <w:noProof/>
                <w:color w:val="000000"/>
                <w:lang w:val="en-GB"/>
              </w:rPr>
            </w:pPr>
            <w:r w:rsidRPr="005D45D2">
              <w:rPr>
                <w:rFonts w:ascii="Arial" w:hAnsi="Arial" w:cs="Arial"/>
                <w:noProof/>
                <w:color w:val="000000"/>
                <w:lang w:val="en-GB"/>
              </w:rPr>
              <w:t>Interest income</w:t>
            </w:r>
          </w:p>
        </w:tc>
        <w:tc>
          <w:tcPr>
            <w:tcW w:w="1965" w:type="dxa"/>
            <w:tcBorders>
              <w:top w:val="nil"/>
              <w:left w:val="nil"/>
              <w:bottom w:val="nil"/>
              <w:right w:val="nil"/>
            </w:tcBorders>
            <w:noWrap/>
            <w:vAlign w:val="center"/>
          </w:tcPr>
          <w:p w:rsidR="000E18C9" w:rsidRPr="005D45D2" w:rsidRDefault="000E18C9" w:rsidP="000E18C9">
            <w:pPr>
              <w:tabs>
                <w:tab w:val="decimal" w:pos="1421"/>
              </w:tabs>
              <w:rPr>
                <w:rFonts w:ascii="Arial" w:hAnsi="Arial" w:cs="Arial"/>
                <w:noProof/>
                <w:color w:val="000000"/>
                <w:lang w:val="en-GB"/>
              </w:rPr>
            </w:pPr>
            <w:r w:rsidRPr="005D45D2">
              <w:rPr>
                <w:rFonts w:ascii="Arial" w:hAnsi="Arial" w:cs="Arial"/>
                <w:noProof/>
                <w:color w:val="000000"/>
                <w:lang w:val="en-GB"/>
              </w:rPr>
              <w:t>26,560</w:t>
            </w:r>
          </w:p>
        </w:tc>
        <w:tc>
          <w:tcPr>
            <w:tcW w:w="2003" w:type="dxa"/>
            <w:tcBorders>
              <w:top w:val="nil"/>
              <w:left w:val="nil"/>
              <w:bottom w:val="nil"/>
              <w:right w:val="nil"/>
            </w:tcBorders>
            <w:noWrap/>
            <w:vAlign w:val="center"/>
          </w:tcPr>
          <w:p w:rsidR="000E18C9" w:rsidRPr="005D45D2" w:rsidRDefault="000E18C9" w:rsidP="000E18C9">
            <w:pPr>
              <w:tabs>
                <w:tab w:val="decimal" w:pos="1109"/>
              </w:tabs>
              <w:rPr>
                <w:rFonts w:ascii="Arial" w:hAnsi="Arial" w:cs="Arial"/>
                <w:noProof/>
                <w:color w:val="000000"/>
                <w:lang w:val="en-GB"/>
              </w:rPr>
            </w:pPr>
            <w:r w:rsidRPr="005D45D2">
              <w:rPr>
                <w:rFonts w:ascii="Arial" w:hAnsi="Arial" w:cs="Arial"/>
                <w:noProof/>
                <w:color w:val="000000"/>
                <w:lang w:val="en-GB"/>
              </w:rPr>
              <w:t>77.4</w:t>
            </w:r>
          </w:p>
        </w:tc>
      </w:tr>
      <w:tr w:rsidR="000E18C9" w:rsidRPr="005D45D2" w:rsidTr="000E18C9">
        <w:tc>
          <w:tcPr>
            <w:tcW w:w="5392" w:type="dxa"/>
            <w:tcBorders>
              <w:top w:val="nil"/>
              <w:left w:val="nil"/>
              <w:bottom w:val="nil"/>
              <w:right w:val="nil"/>
            </w:tcBorders>
            <w:noWrap/>
            <w:vAlign w:val="center"/>
          </w:tcPr>
          <w:p w:rsidR="000E18C9" w:rsidRPr="005D45D2" w:rsidRDefault="000E18C9" w:rsidP="000E18C9">
            <w:pPr>
              <w:rPr>
                <w:rFonts w:ascii="Arial" w:hAnsi="Arial" w:cs="Arial"/>
                <w:noProof/>
                <w:color w:val="000000"/>
                <w:lang w:val="en-GB"/>
              </w:rPr>
            </w:pPr>
            <w:r w:rsidRPr="005D45D2">
              <w:rPr>
                <w:rFonts w:ascii="Arial" w:hAnsi="Arial" w:cs="Arial"/>
                <w:noProof/>
                <w:color w:val="000000"/>
                <w:lang w:val="en-GB"/>
              </w:rPr>
              <w:t>Less: Interest expense</w:t>
            </w:r>
          </w:p>
        </w:tc>
        <w:tc>
          <w:tcPr>
            <w:tcW w:w="1965" w:type="dxa"/>
            <w:tcBorders>
              <w:top w:val="nil"/>
              <w:left w:val="nil"/>
              <w:bottom w:val="nil"/>
              <w:right w:val="nil"/>
            </w:tcBorders>
            <w:noWrap/>
            <w:vAlign w:val="center"/>
          </w:tcPr>
          <w:p w:rsidR="000E18C9" w:rsidRPr="005D45D2" w:rsidRDefault="000E18C9" w:rsidP="000E18C9">
            <w:pPr>
              <w:tabs>
                <w:tab w:val="decimal" w:pos="1421"/>
              </w:tabs>
              <w:rPr>
                <w:rFonts w:ascii="Arial" w:hAnsi="Arial" w:cs="Arial"/>
                <w:noProof/>
                <w:color w:val="000000"/>
                <w:u w:val="single"/>
                <w:lang w:val="en-GB"/>
              </w:rPr>
            </w:pPr>
            <w:r w:rsidRPr="005D45D2">
              <w:rPr>
                <w:rFonts w:ascii="Arial" w:hAnsi="Arial" w:cs="Arial"/>
                <w:noProof/>
                <w:color w:val="000000"/>
                <w:u w:val="single"/>
                <w:lang w:val="en-GB"/>
              </w:rPr>
              <w:t xml:space="preserve"> 6,637</w:t>
            </w:r>
          </w:p>
        </w:tc>
        <w:tc>
          <w:tcPr>
            <w:tcW w:w="2003" w:type="dxa"/>
            <w:tcBorders>
              <w:top w:val="nil"/>
              <w:left w:val="nil"/>
              <w:bottom w:val="nil"/>
              <w:right w:val="nil"/>
            </w:tcBorders>
            <w:noWrap/>
            <w:vAlign w:val="center"/>
          </w:tcPr>
          <w:p w:rsidR="000E18C9" w:rsidRPr="005D45D2" w:rsidRDefault="000E18C9" w:rsidP="000E18C9">
            <w:pPr>
              <w:tabs>
                <w:tab w:val="decimal" w:pos="1109"/>
              </w:tabs>
              <w:rPr>
                <w:rFonts w:ascii="Arial" w:hAnsi="Arial" w:cs="Arial"/>
                <w:noProof/>
                <w:color w:val="000000"/>
                <w:u w:val="single"/>
                <w:lang w:val="en-GB"/>
              </w:rPr>
            </w:pPr>
            <w:r w:rsidRPr="005D45D2">
              <w:rPr>
                <w:rFonts w:ascii="Arial" w:hAnsi="Arial" w:cs="Arial"/>
                <w:noProof/>
                <w:color w:val="000000"/>
                <w:u w:val="single"/>
                <w:lang w:val="en-GB"/>
              </w:rPr>
              <w:t>19.3</w:t>
            </w:r>
          </w:p>
        </w:tc>
      </w:tr>
      <w:tr w:rsidR="000E18C9" w:rsidRPr="005D45D2" w:rsidTr="000E18C9">
        <w:tc>
          <w:tcPr>
            <w:tcW w:w="5392" w:type="dxa"/>
            <w:tcBorders>
              <w:top w:val="nil"/>
              <w:left w:val="nil"/>
              <w:bottom w:val="nil"/>
              <w:right w:val="nil"/>
            </w:tcBorders>
            <w:noWrap/>
            <w:vAlign w:val="center"/>
          </w:tcPr>
          <w:p w:rsidR="000E18C9" w:rsidRPr="005D45D2" w:rsidRDefault="000E18C9" w:rsidP="000E18C9">
            <w:pPr>
              <w:tabs>
                <w:tab w:val="left" w:pos="284"/>
              </w:tabs>
              <w:rPr>
                <w:rFonts w:ascii="Arial" w:hAnsi="Arial" w:cs="Arial"/>
                <w:noProof/>
                <w:color w:val="000000"/>
                <w:lang w:val="en-GB"/>
              </w:rPr>
            </w:pPr>
            <w:r w:rsidRPr="005D45D2">
              <w:rPr>
                <w:rFonts w:ascii="Arial" w:hAnsi="Arial" w:cs="Arial"/>
                <w:noProof/>
                <w:color w:val="000000"/>
                <w:lang w:val="en-GB"/>
              </w:rPr>
              <w:tab/>
              <w:t>Net Interest Income (NII)</w:t>
            </w:r>
          </w:p>
        </w:tc>
        <w:tc>
          <w:tcPr>
            <w:tcW w:w="1965" w:type="dxa"/>
            <w:tcBorders>
              <w:top w:val="nil"/>
              <w:left w:val="nil"/>
              <w:bottom w:val="nil"/>
              <w:right w:val="nil"/>
            </w:tcBorders>
            <w:noWrap/>
            <w:vAlign w:val="center"/>
          </w:tcPr>
          <w:p w:rsidR="000E18C9" w:rsidRPr="005D45D2" w:rsidRDefault="000E18C9" w:rsidP="000E18C9">
            <w:pPr>
              <w:tabs>
                <w:tab w:val="decimal" w:pos="1421"/>
              </w:tabs>
              <w:rPr>
                <w:rFonts w:ascii="Arial" w:hAnsi="Arial" w:cs="Arial"/>
                <w:noProof/>
                <w:color w:val="000000"/>
                <w:lang w:val="en-GB"/>
              </w:rPr>
            </w:pPr>
            <w:r w:rsidRPr="005D45D2">
              <w:rPr>
                <w:rFonts w:ascii="Arial" w:hAnsi="Arial" w:cs="Arial"/>
                <w:noProof/>
                <w:color w:val="000000"/>
                <w:lang w:val="en-GB"/>
              </w:rPr>
              <w:t>19,923</w:t>
            </w:r>
          </w:p>
        </w:tc>
        <w:tc>
          <w:tcPr>
            <w:tcW w:w="2003" w:type="dxa"/>
            <w:tcBorders>
              <w:top w:val="nil"/>
              <w:left w:val="nil"/>
              <w:bottom w:val="nil"/>
              <w:right w:val="nil"/>
            </w:tcBorders>
            <w:noWrap/>
            <w:vAlign w:val="center"/>
          </w:tcPr>
          <w:p w:rsidR="000E18C9" w:rsidRPr="005D45D2" w:rsidRDefault="000E18C9" w:rsidP="000E18C9">
            <w:pPr>
              <w:tabs>
                <w:tab w:val="decimal" w:pos="1109"/>
              </w:tabs>
              <w:rPr>
                <w:rFonts w:ascii="Arial" w:hAnsi="Arial" w:cs="Arial"/>
                <w:noProof/>
                <w:color w:val="000000"/>
                <w:lang w:val="en-GB"/>
              </w:rPr>
            </w:pPr>
            <w:r w:rsidRPr="005D45D2">
              <w:rPr>
                <w:rFonts w:ascii="Arial" w:hAnsi="Arial" w:cs="Arial"/>
                <w:noProof/>
                <w:color w:val="000000"/>
                <w:lang w:val="en-GB"/>
              </w:rPr>
              <w:t>58.1</w:t>
            </w:r>
          </w:p>
        </w:tc>
      </w:tr>
      <w:tr w:rsidR="000E18C9" w:rsidRPr="005D45D2" w:rsidTr="000E18C9">
        <w:tc>
          <w:tcPr>
            <w:tcW w:w="5392" w:type="dxa"/>
            <w:tcBorders>
              <w:top w:val="nil"/>
              <w:left w:val="nil"/>
              <w:bottom w:val="nil"/>
              <w:right w:val="nil"/>
            </w:tcBorders>
            <w:noWrap/>
            <w:vAlign w:val="center"/>
          </w:tcPr>
          <w:p w:rsidR="000E18C9" w:rsidRPr="005D45D2" w:rsidRDefault="000E18C9" w:rsidP="000E18C9">
            <w:pPr>
              <w:rPr>
                <w:rFonts w:ascii="Arial" w:hAnsi="Arial" w:cs="Arial"/>
                <w:noProof/>
                <w:color w:val="000000"/>
                <w:lang w:val="en-GB"/>
              </w:rPr>
            </w:pPr>
            <w:r w:rsidRPr="005D45D2">
              <w:rPr>
                <w:rFonts w:ascii="Arial" w:hAnsi="Arial" w:cs="Arial"/>
                <w:noProof/>
                <w:color w:val="000000"/>
                <w:lang w:val="en-GB"/>
              </w:rPr>
              <w:t>Plus: Non-interest income</w:t>
            </w:r>
          </w:p>
        </w:tc>
        <w:tc>
          <w:tcPr>
            <w:tcW w:w="1965" w:type="dxa"/>
            <w:tcBorders>
              <w:top w:val="nil"/>
              <w:left w:val="nil"/>
              <w:bottom w:val="nil"/>
              <w:right w:val="nil"/>
            </w:tcBorders>
            <w:noWrap/>
            <w:vAlign w:val="center"/>
          </w:tcPr>
          <w:p w:rsidR="000E18C9" w:rsidRPr="005D45D2" w:rsidRDefault="000E18C9" w:rsidP="000E18C9">
            <w:pPr>
              <w:tabs>
                <w:tab w:val="decimal" w:pos="1421"/>
              </w:tabs>
              <w:rPr>
                <w:rFonts w:ascii="Arial" w:hAnsi="Arial" w:cs="Arial"/>
                <w:noProof/>
                <w:color w:val="000000"/>
                <w:u w:val="single"/>
                <w:lang w:val="en-GB"/>
              </w:rPr>
            </w:pPr>
            <w:r w:rsidRPr="005D45D2">
              <w:rPr>
                <w:rFonts w:ascii="Arial" w:hAnsi="Arial" w:cs="Arial"/>
                <w:noProof/>
                <w:color w:val="000000"/>
                <w:u w:val="single"/>
                <w:lang w:val="en-GB"/>
              </w:rPr>
              <w:t>14,392</w:t>
            </w:r>
          </w:p>
        </w:tc>
        <w:tc>
          <w:tcPr>
            <w:tcW w:w="2003" w:type="dxa"/>
            <w:tcBorders>
              <w:top w:val="nil"/>
              <w:left w:val="nil"/>
              <w:bottom w:val="nil"/>
              <w:right w:val="nil"/>
            </w:tcBorders>
            <w:noWrap/>
            <w:vAlign w:val="center"/>
          </w:tcPr>
          <w:p w:rsidR="000E18C9" w:rsidRPr="005D45D2" w:rsidRDefault="000E18C9" w:rsidP="000E18C9">
            <w:pPr>
              <w:tabs>
                <w:tab w:val="decimal" w:pos="1109"/>
              </w:tabs>
              <w:rPr>
                <w:rFonts w:ascii="Arial" w:hAnsi="Arial" w:cs="Arial"/>
                <w:noProof/>
                <w:color w:val="000000"/>
                <w:u w:val="single"/>
                <w:lang w:val="en-GB"/>
              </w:rPr>
            </w:pPr>
            <w:r w:rsidRPr="005D45D2">
              <w:rPr>
                <w:rFonts w:ascii="Arial" w:hAnsi="Arial" w:cs="Arial"/>
                <w:noProof/>
                <w:color w:val="000000"/>
                <w:u w:val="single"/>
                <w:lang w:val="en-GB"/>
              </w:rPr>
              <w:t xml:space="preserve">  41.9</w:t>
            </w:r>
          </w:p>
        </w:tc>
      </w:tr>
      <w:tr w:rsidR="000E18C9" w:rsidRPr="005D45D2" w:rsidTr="000E18C9">
        <w:tc>
          <w:tcPr>
            <w:tcW w:w="5392" w:type="dxa"/>
            <w:tcBorders>
              <w:top w:val="nil"/>
              <w:left w:val="nil"/>
              <w:bottom w:val="nil"/>
              <w:right w:val="nil"/>
            </w:tcBorders>
            <w:noWrap/>
            <w:vAlign w:val="center"/>
          </w:tcPr>
          <w:p w:rsidR="000E18C9" w:rsidRPr="005D45D2" w:rsidRDefault="000E18C9" w:rsidP="000E18C9">
            <w:pPr>
              <w:tabs>
                <w:tab w:val="left" w:pos="284"/>
              </w:tabs>
              <w:rPr>
                <w:rFonts w:ascii="Arial" w:hAnsi="Arial" w:cs="Arial"/>
                <w:noProof/>
                <w:color w:val="000000"/>
                <w:lang w:val="en-GB"/>
              </w:rPr>
            </w:pPr>
            <w:r w:rsidRPr="005D45D2">
              <w:rPr>
                <w:rFonts w:ascii="Arial" w:hAnsi="Arial" w:cs="Arial"/>
                <w:noProof/>
                <w:color w:val="000000"/>
                <w:lang w:val="en-GB"/>
              </w:rPr>
              <w:tab/>
              <w:t>Net Revenues</w:t>
            </w:r>
          </w:p>
        </w:tc>
        <w:tc>
          <w:tcPr>
            <w:tcW w:w="1965" w:type="dxa"/>
            <w:tcBorders>
              <w:top w:val="nil"/>
              <w:left w:val="nil"/>
              <w:bottom w:val="nil"/>
              <w:right w:val="nil"/>
            </w:tcBorders>
            <w:noWrap/>
            <w:vAlign w:val="center"/>
          </w:tcPr>
          <w:p w:rsidR="000E18C9" w:rsidRPr="005D45D2" w:rsidRDefault="000E18C9" w:rsidP="000E18C9">
            <w:pPr>
              <w:tabs>
                <w:tab w:val="decimal" w:pos="1421"/>
              </w:tabs>
              <w:rPr>
                <w:rFonts w:ascii="Arial" w:hAnsi="Arial" w:cs="Arial"/>
                <w:noProof/>
                <w:color w:val="000000"/>
                <w:lang w:val="en-GB"/>
              </w:rPr>
            </w:pPr>
            <w:r w:rsidRPr="005D45D2">
              <w:rPr>
                <w:rFonts w:ascii="Arial" w:hAnsi="Arial" w:cs="Arial"/>
                <w:noProof/>
                <w:color w:val="000000"/>
                <w:lang w:val="en-GB"/>
              </w:rPr>
              <w:t>34,315</w:t>
            </w:r>
          </w:p>
        </w:tc>
        <w:tc>
          <w:tcPr>
            <w:tcW w:w="2003" w:type="dxa"/>
            <w:tcBorders>
              <w:top w:val="nil"/>
              <w:left w:val="nil"/>
              <w:bottom w:val="nil"/>
              <w:right w:val="nil"/>
            </w:tcBorders>
            <w:noWrap/>
            <w:vAlign w:val="center"/>
          </w:tcPr>
          <w:p w:rsidR="000E18C9" w:rsidRPr="005D45D2" w:rsidRDefault="000E18C9" w:rsidP="000E18C9">
            <w:pPr>
              <w:tabs>
                <w:tab w:val="decimal" w:pos="1109"/>
              </w:tabs>
              <w:rPr>
                <w:rFonts w:ascii="Arial" w:hAnsi="Arial" w:cs="Arial"/>
                <w:noProof/>
                <w:color w:val="000000"/>
                <w:lang w:val="en-GB"/>
              </w:rPr>
            </w:pPr>
            <w:r w:rsidRPr="005D45D2">
              <w:rPr>
                <w:rFonts w:ascii="Arial" w:hAnsi="Arial" w:cs="Arial"/>
                <w:noProof/>
                <w:color w:val="000000"/>
                <w:lang w:val="en-GB"/>
              </w:rPr>
              <w:t>100.0</w:t>
            </w:r>
          </w:p>
        </w:tc>
      </w:tr>
      <w:tr w:rsidR="000E18C9" w:rsidRPr="005D45D2" w:rsidTr="000E18C9">
        <w:tc>
          <w:tcPr>
            <w:tcW w:w="5392" w:type="dxa"/>
            <w:tcBorders>
              <w:top w:val="nil"/>
              <w:left w:val="nil"/>
              <w:bottom w:val="nil"/>
              <w:right w:val="nil"/>
            </w:tcBorders>
            <w:noWrap/>
            <w:vAlign w:val="center"/>
          </w:tcPr>
          <w:p w:rsidR="000E18C9" w:rsidRPr="005D45D2" w:rsidRDefault="000E18C9" w:rsidP="000E18C9">
            <w:pPr>
              <w:rPr>
                <w:rFonts w:ascii="Arial" w:hAnsi="Arial" w:cs="Arial"/>
                <w:noProof/>
                <w:color w:val="000000"/>
                <w:lang w:val="en-GB"/>
              </w:rPr>
            </w:pPr>
            <w:r w:rsidRPr="005D45D2">
              <w:rPr>
                <w:rFonts w:ascii="Arial" w:hAnsi="Arial" w:cs="Arial"/>
                <w:noProof/>
                <w:color w:val="000000"/>
                <w:lang w:val="en-GB"/>
              </w:rPr>
              <w:t>Less: Non-interest expense</w:t>
            </w:r>
          </w:p>
        </w:tc>
        <w:tc>
          <w:tcPr>
            <w:tcW w:w="1965" w:type="dxa"/>
            <w:tcBorders>
              <w:top w:val="nil"/>
              <w:left w:val="nil"/>
              <w:bottom w:val="nil"/>
              <w:right w:val="nil"/>
            </w:tcBorders>
            <w:noWrap/>
            <w:vAlign w:val="center"/>
          </w:tcPr>
          <w:p w:rsidR="000E18C9" w:rsidRPr="005D45D2" w:rsidRDefault="000E18C9" w:rsidP="000E18C9">
            <w:pPr>
              <w:tabs>
                <w:tab w:val="decimal" w:pos="1421"/>
              </w:tabs>
              <w:rPr>
                <w:rFonts w:ascii="Arial" w:hAnsi="Arial" w:cs="Arial"/>
                <w:noProof/>
                <w:color w:val="000000"/>
                <w:lang w:val="en-GB"/>
              </w:rPr>
            </w:pPr>
            <w:r w:rsidRPr="005D45D2">
              <w:rPr>
                <w:rFonts w:ascii="Arial" w:hAnsi="Arial" w:cs="Arial"/>
                <w:noProof/>
                <w:color w:val="000000"/>
                <w:lang w:val="en-GB"/>
              </w:rPr>
              <w:t>18,877</w:t>
            </w:r>
          </w:p>
        </w:tc>
        <w:tc>
          <w:tcPr>
            <w:tcW w:w="2003" w:type="dxa"/>
            <w:tcBorders>
              <w:top w:val="nil"/>
              <w:left w:val="nil"/>
              <w:bottom w:val="nil"/>
              <w:right w:val="nil"/>
            </w:tcBorders>
            <w:noWrap/>
            <w:vAlign w:val="center"/>
          </w:tcPr>
          <w:p w:rsidR="000E18C9" w:rsidRPr="005D45D2" w:rsidRDefault="000E18C9" w:rsidP="000E18C9">
            <w:pPr>
              <w:tabs>
                <w:tab w:val="decimal" w:pos="1109"/>
              </w:tabs>
              <w:rPr>
                <w:rFonts w:ascii="Arial" w:hAnsi="Arial" w:cs="Arial"/>
                <w:noProof/>
                <w:color w:val="000000"/>
                <w:lang w:val="en-GB"/>
              </w:rPr>
            </w:pPr>
            <w:r w:rsidRPr="005D45D2">
              <w:rPr>
                <w:rFonts w:ascii="Arial" w:hAnsi="Arial" w:cs="Arial"/>
                <w:noProof/>
                <w:color w:val="000000"/>
                <w:lang w:val="en-GB"/>
              </w:rPr>
              <w:t>55.0</w:t>
            </w:r>
          </w:p>
        </w:tc>
      </w:tr>
      <w:tr w:rsidR="000E18C9" w:rsidRPr="005D45D2" w:rsidTr="000E18C9">
        <w:tc>
          <w:tcPr>
            <w:tcW w:w="5392" w:type="dxa"/>
            <w:tcBorders>
              <w:top w:val="nil"/>
              <w:left w:val="nil"/>
              <w:bottom w:val="nil"/>
              <w:right w:val="nil"/>
            </w:tcBorders>
            <w:noWrap/>
            <w:vAlign w:val="center"/>
          </w:tcPr>
          <w:p w:rsidR="000E18C9" w:rsidRPr="005D45D2" w:rsidRDefault="000E18C9" w:rsidP="000E18C9">
            <w:pPr>
              <w:rPr>
                <w:rFonts w:ascii="Arial" w:hAnsi="Arial" w:cs="Arial"/>
                <w:noProof/>
                <w:color w:val="000000"/>
                <w:lang w:val="en-GB"/>
              </w:rPr>
            </w:pPr>
            <w:r w:rsidRPr="005D45D2">
              <w:rPr>
                <w:rFonts w:ascii="Arial" w:hAnsi="Arial" w:cs="Arial"/>
                <w:noProof/>
                <w:color w:val="000000"/>
                <w:lang w:val="en-GB"/>
              </w:rPr>
              <w:t>Less: Provision for credit losses (PCLs)</w:t>
            </w:r>
          </w:p>
        </w:tc>
        <w:tc>
          <w:tcPr>
            <w:tcW w:w="1965" w:type="dxa"/>
            <w:tcBorders>
              <w:top w:val="nil"/>
              <w:left w:val="nil"/>
              <w:bottom w:val="nil"/>
              <w:right w:val="nil"/>
            </w:tcBorders>
            <w:noWrap/>
            <w:vAlign w:val="center"/>
          </w:tcPr>
          <w:p w:rsidR="000E18C9" w:rsidRPr="005D45D2" w:rsidRDefault="000E18C9" w:rsidP="000E18C9">
            <w:pPr>
              <w:tabs>
                <w:tab w:val="decimal" w:pos="1421"/>
              </w:tabs>
              <w:rPr>
                <w:rFonts w:ascii="Arial" w:hAnsi="Arial" w:cs="Arial"/>
                <w:noProof/>
                <w:color w:val="000000"/>
                <w:lang w:val="en-GB"/>
              </w:rPr>
            </w:pPr>
            <w:r w:rsidRPr="005D45D2">
              <w:rPr>
                <w:rFonts w:ascii="Arial" w:hAnsi="Arial" w:cs="Arial"/>
                <w:noProof/>
                <w:color w:val="000000"/>
                <w:lang w:val="en-GB"/>
              </w:rPr>
              <w:t>2,330</w:t>
            </w:r>
          </w:p>
        </w:tc>
        <w:tc>
          <w:tcPr>
            <w:tcW w:w="2003" w:type="dxa"/>
            <w:tcBorders>
              <w:top w:val="nil"/>
              <w:left w:val="nil"/>
              <w:bottom w:val="nil"/>
              <w:right w:val="nil"/>
            </w:tcBorders>
            <w:noWrap/>
            <w:vAlign w:val="center"/>
          </w:tcPr>
          <w:p w:rsidR="000E18C9" w:rsidRPr="005D45D2" w:rsidRDefault="000E18C9" w:rsidP="000E18C9">
            <w:pPr>
              <w:tabs>
                <w:tab w:val="decimal" w:pos="1109"/>
              </w:tabs>
              <w:rPr>
                <w:rFonts w:ascii="Arial" w:hAnsi="Arial" w:cs="Arial"/>
                <w:noProof/>
                <w:color w:val="000000"/>
                <w:lang w:val="en-GB"/>
              </w:rPr>
            </w:pPr>
            <w:r w:rsidRPr="005D45D2">
              <w:rPr>
                <w:rFonts w:ascii="Arial" w:hAnsi="Arial" w:cs="Arial"/>
                <w:noProof/>
                <w:color w:val="000000"/>
                <w:lang w:val="en-GB"/>
              </w:rPr>
              <w:t>6.8</w:t>
            </w:r>
          </w:p>
        </w:tc>
      </w:tr>
      <w:tr w:rsidR="000E18C9" w:rsidRPr="005D45D2" w:rsidTr="000E18C9">
        <w:tc>
          <w:tcPr>
            <w:tcW w:w="5392" w:type="dxa"/>
            <w:tcBorders>
              <w:top w:val="nil"/>
              <w:left w:val="nil"/>
              <w:bottom w:val="nil"/>
              <w:right w:val="nil"/>
            </w:tcBorders>
            <w:noWrap/>
            <w:vAlign w:val="center"/>
          </w:tcPr>
          <w:p w:rsidR="000E18C9" w:rsidRPr="005D45D2" w:rsidRDefault="000E18C9" w:rsidP="000E18C9">
            <w:pPr>
              <w:rPr>
                <w:rFonts w:ascii="Arial" w:hAnsi="Arial" w:cs="Arial"/>
                <w:noProof/>
                <w:color w:val="000000"/>
                <w:lang w:val="en-GB"/>
              </w:rPr>
            </w:pPr>
            <w:r w:rsidRPr="005D45D2">
              <w:rPr>
                <w:rFonts w:ascii="Arial" w:hAnsi="Arial" w:cs="Arial"/>
                <w:noProof/>
                <w:color w:val="000000"/>
                <w:lang w:val="en-GB"/>
              </w:rPr>
              <w:t>Less: Insurance claims and related expenses</w:t>
            </w:r>
          </w:p>
        </w:tc>
        <w:tc>
          <w:tcPr>
            <w:tcW w:w="1965" w:type="dxa"/>
            <w:tcBorders>
              <w:top w:val="nil"/>
              <w:left w:val="nil"/>
              <w:bottom w:val="nil"/>
              <w:right w:val="nil"/>
            </w:tcBorders>
            <w:noWrap/>
            <w:vAlign w:val="center"/>
          </w:tcPr>
          <w:p w:rsidR="000E18C9" w:rsidRPr="005D45D2" w:rsidRDefault="000E18C9" w:rsidP="000E18C9">
            <w:pPr>
              <w:tabs>
                <w:tab w:val="decimal" w:pos="1421"/>
              </w:tabs>
              <w:rPr>
                <w:rFonts w:ascii="Arial" w:hAnsi="Arial" w:cs="Arial"/>
                <w:noProof/>
                <w:color w:val="000000"/>
                <w:u w:val="single"/>
                <w:lang w:val="en-GB"/>
              </w:rPr>
            </w:pPr>
            <w:r w:rsidRPr="005D45D2">
              <w:rPr>
                <w:rFonts w:ascii="Arial" w:hAnsi="Arial" w:cs="Arial"/>
                <w:noProof/>
                <w:color w:val="000000"/>
                <w:u w:val="single"/>
                <w:lang w:val="en-GB"/>
              </w:rPr>
              <w:t xml:space="preserve">  2,462</w:t>
            </w:r>
          </w:p>
        </w:tc>
        <w:tc>
          <w:tcPr>
            <w:tcW w:w="2003" w:type="dxa"/>
            <w:tcBorders>
              <w:top w:val="nil"/>
              <w:left w:val="nil"/>
              <w:bottom w:val="nil"/>
              <w:right w:val="nil"/>
            </w:tcBorders>
            <w:noWrap/>
            <w:vAlign w:val="center"/>
          </w:tcPr>
          <w:p w:rsidR="000E18C9" w:rsidRPr="005D45D2" w:rsidRDefault="000E18C9" w:rsidP="000E18C9">
            <w:pPr>
              <w:tabs>
                <w:tab w:val="decimal" w:pos="1109"/>
              </w:tabs>
              <w:rPr>
                <w:rFonts w:ascii="Arial" w:hAnsi="Arial" w:cs="Arial"/>
                <w:noProof/>
                <w:color w:val="000000"/>
                <w:u w:val="single"/>
                <w:lang w:val="en-GB"/>
              </w:rPr>
            </w:pPr>
            <w:r w:rsidRPr="005D45D2">
              <w:rPr>
                <w:rFonts w:ascii="Arial" w:hAnsi="Arial" w:cs="Arial"/>
                <w:noProof/>
                <w:color w:val="000000"/>
                <w:u w:val="single"/>
                <w:lang w:val="en-GB"/>
              </w:rPr>
              <w:t xml:space="preserve">  7.2</w:t>
            </w:r>
          </w:p>
        </w:tc>
      </w:tr>
      <w:tr w:rsidR="000E18C9" w:rsidRPr="005D45D2" w:rsidTr="000E18C9">
        <w:tc>
          <w:tcPr>
            <w:tcW w:w="5392" w:type="dxa"/>
            <w:tcBorders>
              <w:top w:val="nil"/>
              <w:left w:val="nil"/>
              <w:bottom w:val="nil"/>
              <w:right w:val="nil"/>
            </w:tcBorders>
            <w:noWrap/>
            <w:vAlign w:val="center"/>
          </w:tcPr>
          <w:p w:rsidR="000E18C9" w:rsidRPr="005D45D2" w:rsidRDefault="000E18C9" w:rsidP="000E18C9">
            <w:pPr>
              <w:tabs>
                <w:tab w:val="left" w:pos="284"/>
              </w:tabs>
              <w:rPr>
                <w:rFonts w:ascii="Arial" w:hAnsi="Arial" w:cs="Arial"/>
                <w:noProof/>
                <w:color w:val="000000"/>
                <w:lang w:val="en-GB"/>
              </w:rPr>
            </w:pPr>
            <w:r w:rsidRPr="005D45D2">
              <w:rPr>
                <w:rFonts w:ascii="Arial" w:hAnsi="Arial" w:cs="Arial"/>
                <w:noProof/>
                <w:color w:val="000000"/>
                <w:lang w:val="en-GB"/>
              </w:rPr>
              <w:tab/>
              <w:t>Pretax Income</w:t>
            </w:r>
          </w:p>
        </w:tc>
        <w:tc>
          <w:tcPr>
            <w:tcW w:w="1965" w:type="dxa"/>
            <w:tcBorders>
              <w:top w:val="nil"/>
              <w:left w:val="nil"/>
              <w:bottom w:val="nil"/>
              <w:right w:val="nil"/>
            </w:tcBorders>
            <w:noWrap/>
            <w:vAlign w:val="center"/>
          </w:tcPr>
          <w:p w:rsidR="000E18C9" w:rsidRPr="005D45D2" w:rsidRDefault="000E18C9" w:rsidP="000E18C9">
            <w:pPr>
              <w:tabs>
                <w:tab w:val="decimal" w:pos="1421"/>
              </w:tabs>
              <w:rPr>
                <w:rFonts w:ascii="Arial" w:hAnsi="Arial" w:cs="Arial"/>
                <w:noProof/>
                <w:color w:val="000000"/>
                <w:lang w:val="en-GB"/>
              </w:rPr>
            </w:pPr>
            <w:r w:rsidRPr="005D45D2">
              <w:rPr>
                <w:rFonts w:ascii="Arial" w:hAnsi="Arial" w:cs="Arial"/>
                <w:noProof/>
                <w:color w:val="000000"/>
                <w:lang w:val="en-GB"/>
              </w:rPr>
              <w:t>10,646</w:t>
            </w:r>
          </w:p>
        </w:tc>
        <w:tc>
          <w:tcPr>
            <w:tcW w:w="2003" w:type="dxa"/>
            <w:tcBorders>
              <w:top w:val="nil"/>
              <w:left w:val="nil"/>
              <w:bottom w:val="nil"/>
              <w:right w:val="nil"/>
            </w:tcBorders>
            <w:noWrap/>
            <w:vAlign w:val="center"/>
          </w:tcPr>
          <w:p w:rsidR="000E18C9" w:rsidRPr="005D45D2" w:rsidRDefault="000E18C9" w:rsidP="000E18C9">
            <w:pPr>
              <w:tabs>
                <w:tab w:val="decimal" w:pos="1109"/>
              </w:tabs>
              <w:rPr>
                <w:rFonts w:ascii="Arial" w:hAnsi="Arial" w:cs="Arial"/>
                <w:noProof/>
                <w:color w:val="000000"/>
                <w:lang w:val="en-GB"/>
              </w:rPr>
            </w:pPr>
            <w:r w:rsidRPr="005D45D2">
              <w:rPr>
                <w:rFonts w:ascii="Arial" w:hAnsi="Arial" w:cs="Arial"/>
                <w:noProof/>
                <w:color w:val="000000"/>
                <w:lang w:val="en-GB"/>
              </w:rPr>
              <w:t>31.0</w:t>
            </w:r>
          </w:p>
        </w:tc>
      </w:tr>
      <w:tr w:rsidR="000E18C9" w:rsidRPr="005D45D2" w:rsidTr="000E18C9">
        <w:tc>
          <w:tcPr>
            <w:tcW w:w="5392" w:type="dxa"/>
            <w:tcBorders>
              <w:top w:val="nil"/>
              <w:left w:val="nil"/>
              <w:bottom w:val="nil"/>
              <w:right w:val="nil"/>
            </w:tcBorders>
            <w:noWrap/>
            <w:vAlign w:val="center"/>
          </w:tcPr>
          <w:p w:rsidR="000E18C9" w:rsidRPr="005D45D2" w:rsidRDefault="000E18C9" w:rsidP="000E18C9">
            <w:pPr>
              <w:rPr>
                <w:rFonts w:ascii="Arial" w:hAnsi="Arial" w:cs="Arial"/>
                <w:noProof/>
                <w:color w:val="000000"/>
                <w:lang w:val="en-GB"/>
              </w:rPr>
            </w:pPr>
            <w:r w:rsidRPr="005D45D2">
              <w:rPr>
                <w:rFonts w:ascii="Arial" w:hAnsi="Arial" w:cs="Arial"/>
                <w:noProof/>
                <w:color w:val="000000"/>
                <w:lang w:val="en-GB"/>
              </w:rPr>
              <w:t>Less: Provision for income taxes</w:t>
            </w:r>
          </w:p>
        </w:tc>
        <w:tc>
          <w:tcPr>
            <w:tcW w:w="1965" w:type="dxa"/>
            <w:tcBorders>
              <w:top w:val="nil"/>
              <w:left w:val="nil"/>
              <w:bottom w:val="nil"/>
              <w:right w:val="nil"/>
            </w:tcBorders>
            <w:noWrap/>
            <w:vAlign w:val="center"/>
          </w:tcPr>
          <w:p w:rsidR="000E18C9" w:rsidRPr="005D45D2" w:rsidRDefault="000E18C9" w:rsidP="000E18C9">
            <w:pPr>
              <w:tabs>
                <w:tab w:val="decimal" w:pos="1421"/>
              </w:tabs>
              <w:rPr>
                <w:rFonts w:ascii="Arial" w:hAnsi="Arial" w:cs="Arial"/>
                <w:noProof/>
                <w:color w:val="000000"/>
                <w:lang w:val="en-GB"/>
              </w:rPr>
            </w:pPr>
            <w:r w:rsidRPr="005D45D2">
              <w:rPr>
                <w:rFonts w:ascii="Arial" w:hAnsi="Arial" w:cs="Arial"/>
                <w:noProof/>
                <w:color w:val="000000"/>
                <w:lang w:val="en-GB"/>
              </w:rPr>
              <w:t>2,143</w:t>
            </w:r>
          </w:p>
        </w:tc>
        <w:tc>
          <w:tcPr>
            <w:tcW w:w="2003" w:type="dxa"/>
            <w:tcBorders>
              <w:top w:val="nil"/>
              <w:left w:val="nil"/>
              <w:bottom w:val="nil"/>
              <w:right w:val="nil"/>
            </w:tcBorders>
            <w:noWrap/>
            <w:vAlign w:val="center"/>
          </w:tcPr>
          <w:p w:rsidR="000E18C9" w:rsidRPr="005D45D2" w:rsidRDefault="000E18C9" w:rsidP="000E18C9">
            <w:pPr>
              <w:tabs>
                <w:tab w:val="decimal" w:pos="1109"/>
              </w:tabs>
              <w:rPr>
                <w:rFonts w:ascii="Arial" w:hAnsi="Arial" w:cs="Arial"/>
                <w:noProof/>
                <w:color w:val="000000"/>
                <w:lang w:val="en-GB"/>
              </w:rPr>
            </w:pPr>
            <w:r w:rsidRPr="005D45D2">
              <w:rPr>
                <w:rFonts w:ascii="Arial" w:hAnsi="Arial" w:cs="Arial"/>
                <w:noProof/>
                <w:color w:val="000000"/>
                <w:lang w:val="en-GB"/>
              </w:rPr>
              <w:t>6.2</w:t>
            </w:r>
          </w:p>
        </w:tc>
      </w:tr>
      <w:tr w:rsidR="000E18C9" w:rsidRPr="005D45D2" w:rsidTr="000E18C9">
        <w:tc>
          <w:tcPr>
            <w:tcW w:w="5392" w:type="dxa"/>
            <w:tcBorders>
              <w:top w:val="nil"/>
              <w:left w:val="nil"/>
              <w:bottom w:val="nil"/>
              <w:right w:val="nil"/>
            </w:tcBorders>
            <w:noWrap/>
            <w:vAlign w:val="center"/>
          </w:tcPr>
          <w:p w:rsidR="000E18C9" w:rsidRPr="005D45D2" w:rsidRDefault="000E18C9" w:rsidP="000E18C9">
            <w:pPr>
              <w:rPr>
                <w:rFonts w:ascii="Arial" w:hAnsi="Arial" w:cs="Arial"/>
                <w:noProof/>
                <w:color w:val="000000"/>
                <w:lang w:val="en-GB"/>
              </w:rPr>
            </w:pPr>
            <w:r w:rsidRPr="005D45D2">
              <w:rPr>
                <w:rFonts w:ascii="Arial" w:hAnsi="Arial" w:cs="Arial"/>
                <w:noProof/>
                <w:color w:val="000000"/>
                <w:lang w:val="en-GB"/>
              </w:rPr>
              <w:t>Plus: Equity in net income of TD Ameritrade</w:t>
            </w:r>
          </w:p>
        </w:tc>
        <w:tc>
          <w:tcPr>
            <w:tcW w:w="1965" w:type="dxa"/>
            <w:tcBorders>
              <w:top w:val="nil"/>
              <w:left w:val="nil"/>
              <w:bottom w:val="nil"/>
              <w:right w:val="nil"/>
            </w:tcBorders>
            <w:noWrap/>
            <w:vAlign w:val="center"/>
          </w:tcPr>
          <w:p w:rsidR="000E18C9" w:rsidRPr="005D45D2" w:rsidRDefault="000E18C9" w:rsidP="000E18C9">
            <w:pPr>
              <w:tabs>
                <w:tab w:val="decimal" w:pos="1421"/>
              </w:tabs>
              <w:rPr>
                <w:rFonts w:ascii="Arial" w:hAnsi="Arial" w:cs="Arial"/>
                <w:noProof/>
                <w:color w:val="000000"/>
                <w:u w:val="single"/>
                <w:lang w:val="en-GB"/>
              </w:rPr>
            </w:pPr>
            <w:r w:rsidRPr="005D45D2">
              <w:rPr>
                <w:rFonts w:ascii="Arial" w:hAnsi="Arial" w:cs="Arial"/>
                <w:noProof/>
                <w:color w:val="000000"/>
                <w:u w:val="single"/>
                <w:lang w:val="en-GB"/>
              </w:rPr>
              <w:t xml:space="preserve">   433</w:t>
            </w:r>
          </w:p>
        </w:tc>
        <w:tc>
          <w:tcPr>
            <w:tcW w:w="2003" w:type="dxa"/>
            <w:tcBorders>
              <w:top w:val="nil"/>
              <w:left w:val="nil"/>
              <w:bottom w:val="nil"/>
              <w:right w:val="nil"/>
            </w:tcBorders>
            <w:noWrap/>
            <w:vAlign w:val="center"/>
          </w:tcPr>
          <w:p w:rsidR="000E18C9" w:rsidRPr="005D45D2" w:rsidRDefault="000E18C9" w:rsidP="000E18C9">
            <w:pPr>
              <w:tabs>
                <w:tab w:val="decimal" w:pos="1109"/>
              </w:tabs>
              <w:rPr>
                <w:rFonts w:ascii="Arial" w:hAnsi="Arial" w:cs="Arial"/>
                <w:noProof/>
                <w:color w:val="000000"/>
                <w:u w:val="single"/>
                <w:lang w:val="en-GB"/>
              </w:rPr>
            </w:pPr>
            <w:r w:rsidRPr="005D45D2">
              <w:rPr>
                <w:rFonts w:ascii="Arial" w:hAnsi="Arial" w:cs="Arial"/>
                <w:noProof/>
                <w:color w:val="000000"/>
                <w:u w:val="single"/>
                <w:lang w:val="en-GB"/>
              </w:rPr>
              <w:t xml:space="preserve">  1.3</w:t>
            </w:r>
          </w:p>
        </w:tc>
      </w:tr>
      <w:tr w:rsidR="000E18C9" w:rsidRPr="005D45D2" w:rsidTr="000E18C9">
        <w:tc>
          <w:tcPr>
            <w:tcW w:w="5392" w:type="dxa"/>
            <w:tcBorders>
              <w:top w:val="nil"/>
              <w:left w:val="nil"/>
              <w:bottom w:val="nil"/>
              <w:right w:val="nil"/>
            </w:tcBorders>
            <w:noWrap/>
            <w:vAlign w:val="center"/>
          </w:tcPr>
          <w:p w:rsidR="000E18C9" w:rsidRPr="005D45D2" w:rsidRDefault="000E18C9" w:rsidP="000E18C9">
            <w:pPr>
              <w:tabs>
                <w:tab w:val="left" w:pos="284"/>
              </w:tabs>
              <w:rPr>
                <w:rFonts w:ascii="Arial" w:hAnsi="Arial" w:cs="Arial"/>
                <w:noProof/>
                <w:color w:val="000000"/>
                <w:lang w:val="en-GB"/>
              </w:rPr>
            </w:pPr>
            <w:r w:rsidRPr="005D45D2">
              <w:rPr>
                <w:rFonts w:ascii="Arial" w:hAnsi="Arial" w:cs="Arial"/>
                <w:noProof/>
                <w:color w:val="000000"/>
                <w:lang w:val="en-GB"/>
              </w:rPr>
              <w:tab/>
              <w:t>Net Income (Reported)</w:t>
            </w:r>
          </w:p>
        </w:tc>
        <w:tc>
          <w:tcPr>
            <w:tcW w:w="1965" w:type="dxa"/>
            <w:tcBorders>
              <w:top w:val="nil"/>
              <w:left w:val="nil"/>
              <w:bottom w:val="nil"/>
              <w:right w:val="nil"/>
            </w:tcBorders>
            <w:noWrap/>
            <w:vAlign w:val="center"/>
          </w:tcPr>
          <w:p w:rsidR="000E18C9" w:rsidRPr="005D45D2" w:rsidRDefault="000E18C9" w:rsidP="000E18C9">
            <w:pPr>
              <w:tabs>
                <w:tab w:val="decimal" w:pos="1421"/>
              </w:tabs>
              <w:rPr>
                <w:rFonts w:ascii="Arial" w:hAnsi="Arial" w:cs="Arial"/>
                <w:noProof/>
                <w:color w:val="000000"/>
                <w:lang w:val="en-GB"/>
              </w:rPr>
            </w:pPr>
            <w:r w:rsidRPr="005D45D2">
              <w:rPr>
                <w:rFonts w:ascii="Arial" w:hAnsi="Arial" w:cs="Arial"/>
                <w:noProof/>
                <w:color w:val="000000"/>
                <w:lang w:val="en-GB"/>
              </w:rPr>
              <w:t>8,936</w:t>
            </w:r>
          </w:p>
        </w:tc>
        <w:tc>
          <w:tcPr>
            <w:tcW w:w="2003" w:type="dxa"/>
            <w:tcBorders>
              <w:top w:val="nil"/>
              <w:left w:val="nil"/>
              <w:bottom w:val="nil"/>
              <w:right w:val="nil"/>
            </w:tcBorders>
            <w:noWrap/>
            <w:vAlign w:val="center"/>
          </w:tcPr>
          <w:p w:rsidR="000E18C9" w:rsidRPr="005D45D2" w:rsidRDefault="000E18C9" w:rsidP="000E18C9">
            <w:pPr>
              <w:tabs>
                <w:tab w:val="decimal" w:pos="1109"/>
              </w:tabs>
              <w:rPr>
                <w:rFonts w:ascii="Arial" w:hAnsi="Arial" w:cs="Arial"/>
                <w:noProof/>
                <w:color w:val="000000"/>
                <w:lang w:val="en-GB"/>
              </w:rPr>
            </w:pPr>
            <w:r w:rsidRPr="005D45D2">
              <w:rPr>
                <w:rFonts w:ascii="Arial" w:hAnsi="Arial" w:cs="Arial"/>
                <w:noProof/>
                <w:color w:val="000000"/>
                <w:lang w:val="en-GB"/>
              </w:rPr>
              <w:t>26.0</w:t>
            </w:r>
          </w:p>
        </w:tc>
      </w:tr>
      <w:tr w:rsidR="000E18C9" w:rsidRPr="005D45D2" w:rsidTr="000E18C9">
        <w:tc>
          <w:tcPr>
            <w:tcW w:w="5392" w:type="dxa"/>
            <w:tcBorders>
              <w:top w:val="nil"/>
              <w:left w:val="nil"/>
              <w:bottom w:val="nil"/>
              <w:right w:val="nil"/>
            </w:tcBorders>
            <w:noWrap/>
            <w:vAlign w:val="center"/>
          </w:tcPr>
          <w:p w:rsidR="000E18C9" w:rsidRPr="005D45D2" w:rsidRDefault="000E18C9" w:rsidP="000E18C9">
            <w:pPr>
              <w:rPr>
                <w:rFonts w:ascii="Arial" w:hAnsi="Arial" w:cs="Arial"/>
                <w:noProof/>
                <w:color w:val="000000"/>
                <w:lang w:val="en-GB"/>
              </w:rPr>
            </w:pPr>
            <w:r w:rsidRPr="005D45D2">
              <w:rPr>
                <w:rFonts w:ascii="Arial" w:hAnsi="Arial" w:cs="Arial"/>
                <w:noProof/>
                <w:color w:val="000000"/>
                <w:lang w:val="en-GB"/>
              </w:rPr>
              <w:t>Plus: Adjustments for items of note, net of income taxes</w:t>
            </w:r>
          </w:p>
        </w:tc>
        <w:tc>
          <w:tcPr>
            <w:tcW w:w="1965" w:type="dxa"/>
            <w:tcBorders>
              <w:top w:val="nil"/>
              <w:left w:val="nil"/>
              <w:bottom w:val="nil"/>
              <w:right w:val="nil"/>
            </w:tcBorders>
            <w:noWrap/>
            <w:vAlign w:val="center"/>
          </w:tcPr>
          <w:p w:rsidR="000E18C9" w:rsidRPr="005D45D2" w:rsidRDefault="000E18C9" w:rsidP="000E18C9">
            <w:pPr>
              <w:tabs>
                <w:tab w:val="decimal" w:pos="1421"/>
              </w:tabs>
              <w:rPr>
                <w:rFonts w:ascii="Arial" w:hAnsi="Arial" w:cs="Arial"/>
                <w:noProof/>
                <w:color w:val="000000"/>
                <w:lang w:val="en-GB"/>
              </w:rPr>
            </w:pPr>
            <w:r w:rsidRPr="005D45D2">
              <w:rPr>
                <w:rFonts w:ascii="Arial" w:hAnsi="Arial" w:cs="Arial"/>
                <w:noProof/>
                <w:color w:val="000000"/>
                <w:u w:val="single"/>
                <w:lang w:val="en-GB"/>
              </w:rPr>
              <w:t>356</w:t>
            </w:r>
          </w:p>
        </w:tc>
        <w:tc>
          <w:tcPr>
            <w:tcW w:w="2003" w:type="dxa"/>
            <w:tcBorders>
              <w:top w:val="nil"/>
              <w:left w:val="nil"/>
              <w:bottom w:val="nil"/>
              <w:right w:val="nil"/>
            </w:tcBorders>
            <w:noWrap/>
            <w:vAlign w:val="center"/>
          </w:tcPr>
          <w:p w:rsidR="000E18C9" w:rsidRPr="005D45D2" w:rsidRDefault="000E18C9" w:rsidP="000E18C9">
            <w:pPr>
              <w:tabs>
                <w:tab w:val="decimal" w:pos="1109"/>
              </w:tabs>
              <w:rPr>
                <w:rFonts w:ascii="Arial" w:hAnsi="Arial" w:cs="Arial"/>
                <w:noProof/>
                <w:color w:val="000000"/>
                <w:u w:val="single"/>
                <w:lang w:val="en-GB"/>
              </w:rPr>
            </w:pPr>
            <w:r w:rsidRPr="005D45D2">
              <w:rPr>
                <w:rFonts w:ascii="Arial" w:hAnsi="Arial" w:cs="Arial"/>
                <w:noProof/>
                <w:color w:val="000000"/>
                <w:u w:val="single"/>
                <w:lang w:val="en-GB"/>
              </w:rPr>
              <w:t xml:space="preserve">  1.0</w:t>
            </w:r>
          </w:p>
        </w:tc>
      </w:tr>
      <w:tr w:rsidR="000E18C9" w:rsidRPr="005D45D2" w:rsidTr="000E18C9">
        <w:tc>
          <w:tcPr>
            <w:tcW w:w="5392" w:type="dxa"/>
            <w:tcBorders>
              <w:top w:val="nil"/>
              <w:left w:val="nil"/>
              <w:bottom w:val="nil"/>
              <w:right w:val="nil"/>
            </w:tcBorders>
            <w:noWrap/>
            <w:vAlign w:val="center"/>
          </w:tcPr>
          <w:p w:rsidR="000E18C9" w:rsidRPr="005D45D2" w:rsidRDefault="000E18C9" w:rsidP="000E18C9">
            <w:pPr>
              <w:tabs>
                <w:tab w:val="left" w:pos="284"/>
              </w:tabs>
              <w:rPr>
                <w:rFonts w:ascii="Arial" w:hAnsi="Arial" w:cs="Arial"/>
                <w:noProof/>
                <w:color w:val="000000"/>
                <w:lang w:val="en-GB"/>
              </w:rPr>
            </w:pPr>
            <w:r w:rsidRPr="005D45D2">
              <w:rPr>
                <w:rFonts w:ascii="Arial" w:hAnsi="Arial" w:cs="Arial"/>
                <w:noProof/>
                <w:color w:val="000000"/>
                <w:lang w:val="en-GB"/>
              </w:rPr>
              <w:tab/>
              <w:t>Net Income (Adjusted)</w:t>
            </w:r>
          </w:p>
        </w:tc>
        <w:tc>
          <w:tcPr>
            <w:tcW w:w="1965" w:type="dxa"/>
            <w:tcBorders>
              <w:top w:val="nil"/>
              <w:left w:val="nil"/>
              <w:bottom w:val="nil"/>
              <w:right w:val="nil"/>
            </w:tcBorders>
            <w:noWrap/>
            <w:vAlign w:val="center"/>
          </w:tcPr>
          <w:p w:rsidR="000E18C9" w:rsidRPr="005D45D2" w:rsidRDefault="000E18C9" w:rsidP="000E18C9">
            <w:pPr>
              <w:tabs>
                <w:tab w:val="decimal" w:pos="1421"/>
              </w:tabs>
              <w:rPr>
                <w:rFonts w:ascii="Arial" w:hAnsi="Arial" w:cs="Arial"/>
                <w:noProof/>
                <w:color w:val="000000"/>
                <w:lang w:val="en-GB"/>
              </w:rPr>
            </w:pPr>
            <w:r w:rsidRPr="005D45D2">
              <w:rPr>
                <w:rFonts w:ascii="Arial" w:hAnsi="Arial" w:cs="Arial"/>
                <w:noProof/>
                <w:color w:val="000000"/>
                <w:lang w:val="en-GB"/>
              </w:rPr>
              <w:t>9,292</w:t>
            </w:r>
          </w:p>
        </w:tc>
        <w:tc>
          <w:tcPr>
            <w:tcW w:w="2003" w:type="dxa"/>
            <w:tcBorders>
              <w:top w:val="nil"/>
              <w:left w:val="nil"/>
              <w:bottom w:val="nil"/>
              <w:right w:val="nil"/>
            </w:tcBorders>
            <w:noWrap/>
            <w:vAlign w:val="center"/>
          </w:tcPr>
          <w:p w:rsidR="000E18C9" w:rsidRPr="005D45D2" w:rsidRDefault="000E18C9" w:rsidP="000E18C9">
            <w:pPr>
              <w:tabs>
                <w:tab w:val="decimal" w:pos="1109"/>
              </w:tabs>
              <w:rPr>
                <w:rFonts w:ascii="Arial" w:hAnsi="Arial" w:cs="Arial"/>
                <w:noProof/>
                <w:color w:val="000000"/>
                <w:lang w:val="en-GB"/>
              </w:rPr>
            </w:pPr>
            <w:r w:rsidRPr="005D45D2">
              <w:rPr>
                <w:rFonts w:ascii="Arial" w:hAnsi="Arial" w:cs="Arial"/>
                <w:noProof/>
                <w:color w:val="000000"/>
                <w:lang w:val="en-GB"/>
              </w:rPr>
              <w:t>27.1</w:t>
            </w:r>
          </w:p>
        </w:tc>
      </w:tr>
      <w:tr w:rsidR="000E18C9" w:rsidRPr="005D45D2" w:rsidTr="000E18C9">
        <w:tc>
          <w:tcPr>
            <w:tcW w:w="5392" w:type="dxa"/>
            <w:tcBorders>
              <w:top w:val="nil"/>
              <w:left w:val="nil"/>
              <w:bottom w:val="nil"/>
              <w:right w:val="nil"/>
            </w:tcBorders>
            <w:noWrap/>
            <w:vAlign w:val="center"/>
          </w:tcPr>
          <w:p w:rsidR="000E18C9" w:rsidRPr="005D45D2" w:rsidRDefault="000E18C9" w:rsidP="000E18C9">
            <w:pPr>
              <w:rPr>
                <w:rFonts w:ascii="Arial" w:hAnsi="Arial" w:cs="Arial"/>
                <w:noProof/>
                <w:color w:val="000000"/>
                <w:lang w:val="en-GB"/>
              </w:rPr>
            </w:pPr>
            <w:r w:rsidRPr="005D45D2">
              <w:rPr>
                <w:rFonts w:ascii="Arial" w:hAnsi="Arial" w:cs="Arial"/>
                <w:noProof/>
                <w:color w:val="000000"/>
                <w:lang w:val="en-GB"/>
              </w:rPr>
              <w:t>Less: Preferred dividends</w:t>
            </w:r>
          </w:p>
        </w:tc>
        <w:tc>
          <w:tcPr>
            <w:tcW w:w="1965" w:type="dxa"/>
            <w:tcBorders>
              <w:top w:val="nil"/>
              <w:left w:val="nil"/>
              <w:bottom w:val="nil"/>
              <w:right w:val="nil"/>
            </w:tcBorders>
            <w:noWrap/>
            <w:vAlign w:val="center"/>
          </w:tcPr>
          <w:p w:rsidR="000E18C9" w:rsidRPr="005D45D2" w:rsidRDefault="000E18C9" w:rsidP="000E18C9">
            <w:pPr>
              <w:tabs>
                <w:tab w:val="decimal" w:pos="1421"/>
              </w:tabs>
              <w:rPr>
                <w:rFonts w:ascii="Arial" w:hAnsi="Arial" w:cs="Arial"/>
                <w:noProof/>
                <w:color w:val="000000"/>
                <w:lang w:val="en-GB"/>
              </w:rPr>
            </w:pPr>
            <w:r w:rsidRPr="005D45D2">
              <w:rPr>
                <w:rFonts w:ascii="Arial" w:hAnsi="Arial" w:cs="Arial"/>
                <w:noProof/>
                <w:color w:val="000000"/>
                <w:lang w:val="en-GB"/>
              </w:rPr>
              <w:t>141</w:t>
            </w:r>
          </w:p>
        </w:tc>
        <w:tc>
          <w:tcPr>
            <w:tcW w:w="2003" w:type="dxa"/>
            <w:tcBorders>
              <w:top w:val="nil"/>
              <w:left w:val="nil"/>
              <w:bottom w:val="nil"/>
              <w:right w:val="nil"/>
            </w:tcBorders>
            <w:noWrap/>
            <w:vAlign w:val="center"/>
          </w:tcPr>
          <w:p w:rsidR="000E18C9" w:rsidRPr="005D45D2" w:rsidRDefault="000E18C9" w:rsidP="000E18C9">
            <w:pPr>
              <w:tabs>
                <w:tab w:val="decimal" w:pos="1109"/>
              </w:tabs>
              <w:rPr>
                <w:rFonts w:ascii="Arial" w:hAnsi="Arial" w:cs="Arial"/>
                <w:noProof/>
                <w:color w:val="000000"/>
                <w:lang w:val="en-GB"/>
              </w:rPr>
            </w:pPr>
            <w:r w:rsidRPr="005D45D2">
              <w:rPr>
                <w:rFonts w:ascii="Arial" w:hAnsi="Arial" w:cs="Arial"/>
                <w:noProof/>
                <w:color w:val="000000"/>
                <w:lang w:val="en-GB"/>
              </w:rPr>
              <w:t>0.4</w:t>
            </w:r>
          </w:p>
        </w:tc>
      </w:tr>
      <w:tr w:rsidR="000E18C9" w:rsidRPr="005D45D2" w:rsidTr="000E18C9">
        <w:tc>
          <w:tcPr>
            <w:tcW w:w="5392" w:type="dxa"/>
            <w:tcBorders>
              <w:top w:val="nil"/>
              <w:left w:val="nil"/>
              <w:bottom w:val="nil"/>
              <w:right w:val="nil"/>
            </w:tcBorders>
            <w:noWrap/>
            <w:vAlign w:val="center"/>
          </w:tcPr>
          <w:p w:rsidR="000E18C9" w:rsidRPr="005D45D2" w:rsidRDefault="000E18C9" w:rsidP="000E18C9">
            <w:pPr>
              <w:rPr>
                <w:rFonts w:ascii="Arial" w:hAnsi="Arial" w:cs="Arial"/>
                <w:noProof/>
                <w:color w:val="000000"/>
                <w:lang w:val="en-GB"/>
              </w:rPr>
            </w:pPr>
            <w:r w:rsidRPr="005D45D2">
              <w:rPr>
                <w:rFonts w:ascii="Arial" w:hAnsi="Arial" w:cs="Arial"/>
                <w:noProof/>
                <w:color w:val="000000"/>
                <w:lang w:val="en-GB"/>
              </w:rPr>
              <w:t>Less: Net income to non-controlling interests</w:t>
            </w:r>
          </w:p>
        </w:tc>
        <w:tc>
          <w:tcPr>
            <w:tcW w:w="1965" w:type="dxa"/>
            <w:tcBorders>
              <w:top w:val="nil"/>
              <w:left w:val="nil"/>
              <w:bottom w:val="nil"/>
              <w:right w:val="nil"/>
            </w:tcBorders>
            <w:noWrap/>
            <w:vAlign w:val="center"/>
          </w:tcPr>
          <w:p w:rsidR="000E18C9" w:rsidRPr="005D45D2" w:rsidRDefault="000E18C9" w:rsidP="000E18C9">
            <w:pPr>
              <w:tabs>
                <w:tab w:val="decimal" w:pos="1421"/>
              </w:tabs>
              <w:rPr>
                <w:rFonts w:ascii="Arial" w:hAnsi="Arial" w:cs="Arial"/>
                <w:noProof/>
                <w:color w:val="000000"/>
                <w:u w:val="single"/>
                <w:lang w:val="en-GB"/>
              </w:rPr>
            </w:pPr>
            <w:r w:rsidRPr="005D45D2">
              <w:rPr>
                <w:rFonts w:ascii="Arial" w:hAnsi="Arial" w:cs="Arial"/>
                <w:noProof/>
                <w:color w:val="000000"/>
                <w:u w:val="single"/>
                <w:lang w:val="en-GB"/>
              </w:rPr>
              <w:t xml:space="preserve">   115</w:t>
            </w:r>
          </w:p>
        </w:tc>
        <w:tc>
          <w:tcPr>
            <w:tcW w:w="2003" w:type="dxa"/>
            <w:tcBorders>
              <w:top w:val="nil"/>
              <w:left w:val="nil"/>
              <w:bottom w:val="nil"/>
              <w:right w:val="nil"/>
            </w:tcBorders>
            <w:noWrap/>
            <w:vAlign w:val="center"/>
          </w:tcPr>
          <w:p w:rsidR="000E18C9" w:rsidRPr="005D45D2" w:rsidRDefault="000E18C9" w:rsidP="000E18C9">
            <w:pPr>
              <w:tabs>
                <w:tab w:val="decimal" w:pos="1109"/>
              </w:tabs>
              <w:rPr>
                <w:rFonts w:ascii="Arial" w:hAnsi="Arial" w:cs="Arial"/>
                <w:noProof/>
                <w:color w:val="000000"/>
                <w:u w:val="single"/>
                <w:lang w:val="en-GB"/>
              </w:rPr>
            </w:pPr>
            <w:r w:rsidRPr="005D45D2">
              <w:rPr>
                <w:rFonts w:ascii="Arial" w:hAnsi="Arial" w:cs="Arial"/>
                <w:noProof/>
                <w:color w:val="000000"/>
                <w:u w:val="single"/>
                <w:lang w:val="en-GB"/>
              </w:rPr>
              <w:t xml:space="preserve">  0.3</w:t>
            </w:r>
          </w:p>
        </w:tc>
      </w:tr>
      <w:tr w:rsidR="000E18C9" w:rsidRPr="005D45D2" w:rsidTr="000E18C9">
        <w:tc>
          <w:tcPr>
            <w:tcW w:w="5392" w:type="dxa"/>
            <w:tcBorders>
              <w:top w:val="nil"/>
              <w:left w:val="nil"/>
              <w:bottom w:val="nil"/>
              <w:right w:val="nil"/>
            </w:tcBorders>
            <w:noWrap/>
            <w:vAlign w:val="center"/>
          </w:tcPr>
          <w:p w:rsidR="000E18C9" w:rsidRPr="005D45D2" w:rsidRDefault="000E18C9" w:rsidP="000E18C9">
            <w:pPr>
              <w:rPr>
                <w:rFonts w:ascii="Arial" w:hAnsi="Arial" w:cs="Arial"/>
                <w:noProof/>
                <w:color w:val="000000"/>
                <w:lang w:val="en-GB"/>
              </w:rPr>
            </w:pPr>
            <w:r w:rsidRPr="005D45D2">
              <w:rPr>
                <w:rFonts w:ascii="Arial" w:hAnsi="Arial" w:cs="Arial"/>
                <w:noProof/>
                <w:color w:val="000000"/>
                <w:lang w:val="en-GB"/>
              </w:rPr>
              <w:t>Net income available to common shareholders (adjusted)</w:t>
            </w:r>
          </w:p>
        </w:tc>
        <w:tc>
          <w:tcPr>
            <w:tcW w:w="1965" w:type="dxa"/>
            <w:tcBorders>
              <w:top w:val="nil"/>
              <w:left w:val="nil"/>
              <w:bottom w:val="nil"/>
              <w:right w:val="nil"/>
            </w:tcBorders>
            <w:noWrap/>
            <w:vAlign w:val="center"/>
          </w:tcPr>
          <w:p w:rsidR="000E18C9" w:rsidRPr="005D45D2" w:rsidRDefault="000E18C9" w:rsidP="000E18C9">
            <w:pPr>
              <w:tabs>
                <w:tab w:val="decimal" w:pos="1421"/>
              </w:tabs>
              <w:rPr>
                <w:rFonts w:ascii="Arial" w:hAnsi="Arial" w:cs="Arial"/>
                <w:noProof/>
                <w:color w:val="000000"/>
                <w:lang w:val="en-GB"/>
              </w:rPr>
            </w:pPr>
            <w:r w:rsidRPr="005D45D2">
              <w:rPr>
                <w:rFonts w:ascii="Arial" w:hAnsi="Arial" w:cs="Arial"/>
                <w:noProof/>
                <w:color w:val="000000"/>
                <w:lang w:val="en-GB"/>
              </w:rPr>
              <w:t>9,036</w:t>
            </w:r>
          </w:p>
        </w:tc>
        <w:tc>
          <w:tcPr>
            <w:tcW w:w="2003" w:type="dxa"/>
            <w:tcBorders>
              <w:top w:val="nil"/>
              <w:left w:val="nil"/>
              <w:bottom w:val="nil"/>
              <w:right w:val="nil"/>
            </w:tcBorders>
            <w:noWrap/>
            <w:vAlign w:val="center"/>
          </w:tcPr>
          <w:p w:rsidR="000E18C9" w:rsidRPr="005D45D2" w:rsidRDefault="000E18C9" w:rsidP="000E18C9">
            <w:pPr>
              <w:tabs>
                <w:tab w:val="decimal" w:pos="1109"/>
              </w:tabs>
              <w:rPr>
                <w:rFonts w:ascii="Arial" w:hAnsi="Arial" w:cs="Arial"/>
                <w:noProof/>
                <w:color w:val="000000"/>
                <w:lang w:val="en-GB"/>
              </w:rPr>
            </w:pPr>
            <w:r w:rsidRPr="005D45D2">
              <w:rPr>
                <w:rFonts w:ascii="Arial" w:hAnsi="Arial" w:cs="Arial"/>
                <w:noProof/>
                <w:color w:val="000000"/>
                <w:lang w:val="en-GB"/>
              </w:rPr>
              <w:t>26.3</w:t>
            </w:r>
          </w:p>
        </w:tc>
      </w:tr>
    </w:tbl>
    <w:p w:rsidR="000E18C9" w:rsidRPr="000E18C9" w:rsidRDefault="000E18C9" w:rsidP="000E18C9">
      <w:pPr>
        <w:tabs>
          <w:tab w:val="left" w:pos="-1440"/>
          <w:tab w:val="left" w:pos="-720"/>
          <w:tab w:val="left" w:pos="1"/>
          <w:tab w:val="right" w:pos="9000"/>
        </w:tabs>
        <w:jc w:val="both"/>
        <w:rPr>
          <w:rFonts w:ascii="Arial" w:hAnsi="Arial" w:cs="Arial"/>
          <w:iCs/>
          <w:sz w:val="17"/>
          <w:szCs w:val="17"/>
          <w:lang w:val="en-GB"/>
        </w:rPr>
      </w:pPr>
    </w:p>
    <w:p w:rsidR="000E18C9" w:rsidRDefault="000E18C9" w:rsidP="000E18C9">
      <w:pPr>
        <w:tabs>
          <w:tab w:val="left" w:pos="-1440"/>
          <w:tab w:val="left" w:pos="-720"/>
          <w:tab w:val="left" w:pos="1"/>
          <w:tab w:val="right" w:pos="9000"/>
        </w:tabs>
        <w:jc w:val="both"/>
        <w:rPr>
          <w:rFonts w:ascii="Arial" w:hAnsi="Arial" w:cs="Arial"/>
          <w:iCs/>
          <w:sz w:val="17"/>
          <w:szCs w:val="17"/>
          <w:lang w:val="en-GB"/>
        </w:rPr>
      </w:pPr>
      <w:r w:rsidRPr="000E18C9">
        <w:rPr>
          <w:rFonts w:ascii="Arial" w:hAnsi="Arial" w:cs="Arial"/>
          <w:iCs/>
          <w:sz w:val="17"/>
          <w:szCs w:val="17"/>
          <w:lang w:val="en-GB"/>
        </w:rPr>
        <w:t>Source: TD Bank Group 2016 Annual Report, author’s calculations.</w:t>
      </w:r>
    </w:p>
    <w:p w:rsidR="000E18C9" w:rsidRDefault="000E18C9" w:rsidP="005D45D2">
      <w:pPr>
        <w:pStyle w:val="BodyTextMain"/>
        <w:rPr>
          <w:rFonts w:eastAsia="Calibri"/>
          <w:lang w:val="en-GB"/>
        </w:rPr>
      </w:pPr>
    </w:p>
    <w:p w:rsidR="005D45D2" w:rsidRPr="000E18C9" w:rsidRDefault="005D45D2" w:rsidP="005D45D2">
      <w:pPr>
        <w:pStyle w:val="BodyTextMain"/>
        <w:rPr>
          <w:rFonts w:eastAsia="Calibri"/>
          <w:lang w:val="en-GB"/>
        </w:rPr>
      </w:pPr>
    </w:p>
    <w:p w:rsidR="005D45D2" w:rsidRDefault="005D45D2">
      <w:pPr>
        <w:spacing w:after="200" w:line="276" w:lineRule="auto"/>
        <w:rPr>
          <w:rFonts w:eastAsia="Calibri"/>
          <w:lang w:val="en-GB"/>
        </w:rPr>
      </w:pPr>
      <w:r>
        <w:rPr>
          <w:rFonts w:eastAsia="Calibri"/>
          <w:lang w:val="en-GB"/>
        </w:rPr>
        <w:br w:type="page"/>
      </w:r>
    </w:p>
    <w:p w:rsidR="000E18C9" w:rsidRPr="000E18C9" w:rsidRDefault="000E18C9" w:rsidP="000E18C9">
      <w:pPr>
        <w:spacing w:after="120"/>
        <w:rPr>
          <w:rFonts w:eastAsia="Calibri"/>
          <w:lang w:val="en-GB"/>
        </w:rPr>
        <w:sectPr w:rsidR="000E18C9" w:rsidRPr="000E18C9" w:rsidSect="000C4AFD">
          <w:headerReference w:type="default" r:id="rId11"/>
          <w:endnotePr>
            <w:numFmt w:val="decimal"/>
          </w:endnotePr>
          <w:type w:val="continuous"/>
          <w:pgSz w:w="12240" w:h="15840" w:code="1"/>
          <w:pgMar w:top="1080" w:right="1440" w:bottom="1440" w:left="1440" w:header="1080" w:footer="720" w:gutter="0"/>
          <w:cols w:space="720"/>
          <w:formProt w:val="0"/>
          <w:titlePg/>
          <w:docGrid w:linePitch="272"/>
        </w:sectPr>
      </w:pPr>
    </w:p>
    <w:p w:rsidR="000E18C9" w:rsidRPr="000E18C9" w:rsidRDefault="000E18C9" w:rsidP="000E18C9">
      <w:pPr>
        <w:jc w:val="center"/>
        <w:rPr>
          <w:rFonts w:ascii="Arial" w:hAnsi="Arial"/>
          <w:b/>
          <w:caps/>
          <w:noProof/>
          <w:lang w:val="en-GB" w:eastAsia="en-CA"/>
        </w:rPr>
      </w:pPr>
      <w:r w:rsidRPr="000E18C9">
        <w:rPr>
          <w:rFonts w:ascii="Arial" w:hAnsi="Arial"/>
          <w:b/>
          <w:caps/>
          <w:noProof/>
          <w:lang w:val="en-GB" w:eastAsia="en-CA"/>
        </w:rPr>
        <w:lastRenderedPageBreak/>
        <w:t>Exhibit 2: KEY FINANCIAL METRICS FOR CANADA’S TD BANK GROUP, 2012–2016</w:t>
      </w:r>
    </w:p>
    <w:p w:rsidR="000E18C9" w:rsidRPr="000E18C9" w:rsidRDefault="000E18C9" w:rsidP="000E18C9">
      <w:pPr>
        <w:jc w:val="both"/>
        <w:rPr>
          <w:rFonts w:eastAsia="Calibri"/>
          <w:noProof/>
          <w:sz w:val="22"/>
          <w:lang w:val="en-GB" w:eastAsia="ja-JP"/>
        </w:rPr>
      </w:pPr>
    </w:p>
    <w:tbl>
      <w:tblPr>
        <w:tblW w:w="5000" w:type="pct"/>
        <w:tblCellMar>
          <w:left w:w="115" w:type="dxa"/>
          <w:right w:w="115" w:type="dxa"/>
        </w:tblCellMar>
        <w:tblLook w:val="00A0" w:firstRow="1" w:lastRow="0" w:firstColumn="1" w:lastColumn="0" w:noHBand="0" w:noVBand="0"/>
      </w:tblPr>
      <w:tblGrid>
        <w:gridCol w:w="3689"/>
        <w:gridCol w:w="977"/>
        <w:gridCol w:w="976"/>
        <w:gridCol w:w="976"/>
        <w:gridCol w:w="976"/>
        <w:gridCol w:w="976"/>
        <w:gridCol w:w="1020"/>
      </w:tblGrid>
      <w:tr w:rsidR="000E18C9" w:rsidRPr="000E18C9" w:rsidTr="000E18C9">
        <w:tc>
          <w:tcPr>
            <w:tcW w:w="3688" w:type="dxa"/>
            <w:tcBorders>
              <w:top w:val="single" w:sz="4" w:space="0" w:color="auto"/>
              <w:bottom w:val="single" w:sz="4" w:space="0" w:color="auto"/>
            </w:tcBorders>
            <w:noWrap/>
            <w:vAlign w:val="bottom"/>
          </w:tcPr>
          <w:p w:rsidR="000E18C9" w:rsidRPr="000E18C9" w:rsidRDefault="000E18C9" w:rsidP="000E18C9">
            <w:pPr>
              <w:rPr>
                <w:rFonts w:ascii="Arial" w:hAnsi="Arial" w:cs="Arial"/>
                <w:b/>
                <w:noProof/>
                <w:color w:val="000000"/>
                <w:lang w:val="en-GB"/>
              </w:rPr>
            </w:pPr>
          </w:p>
        </w:tc>
        <w:tc>
          <w:tcPr>
            <w:tcW w:w="1008" w:type="dxa"/>
            <w:tcBorders>
              <w:top w:val="single" w:sz="4" w:space="0" w:color="auto"/>
              <w:bottom w:val="single" w:sz="4" w:space="0" w:color="auto"/>
            </w:tcBorders>
            <w:vAlign w:val="center"/>
          </w:tcPr>
          <w:p w:rsidR="000E18C9" w:rsidRPr="000E18C9" w:rsidRDefault="000E18C9" w:rsidP="000E18C9">
            <w:pPr>
              <w:jc w:val="right"/>
              <w:rPr>
                <w:rFonts w:ascii="Arial" w:hAnsi="Arial" w:cs="Arial"/>
                <w:b/>
                <w:noProof/>
                <w:color w:val="000000"/>
                <w:lang w:val="en-GB"/>
              </w:rPr>
            </w:pPr>
            <w:r w:rsidRPr="000E18C9">
              <w:rPr>
                <w:rFonts w:ascii="Arial" w:hAnsi="Arial" w:cs="Arial"/>
                <w:b/>
                <w:bCs/>
                <w:noProof/>
                <w:color w:val="000000"/>
                <w:lang w:val="en-GB"/>
              </w:rPr>
              <w:t>2016</w:t>
            </w:r>
          </w:p>
        </w:tc>
        <w:tc>
          <w:tcPr>
            <w:tcW w:w="1008" w:type="dxa"/>
            <w:tcBorders>
              <w:top w:val="single" w:sz="4" w:space="0" w:color="auto"/>
              <w:bottom w:val="single" w:sz="4" w:space="0" w:color="auto"/>
            </w:tcBorders>
            <w:vAlign w:val="center"/>
          </w:tcPr>
          <w:p w:rsidR="000E18C9" w:rsidRPr="000E18C9" w:rsidRDefault="000E18C9" w:rsidP="000E18C9">
            <w:pPr>
              <w:jc w:val="right"/>
              <w:rPr>
                <w:rFonts w:ascii="Arial" w:hAnsi="Arial" w:cs="Arial"/>
                <w:b/>
                <w:noProof/>
                <w:color w:val="000000"/>
                <w:lang w:val="en-GB"/>
              </w:rPr>
            </w:pPr>
            <w:r w:rsidRPr="000E18C9">
              <w:rPr>
                <w:rFonts w:ascii="Arial" w:hAnsi="Arial" w:cs="Arial"/>
                <w:b/>
                <w:bCs/>
                <w:noProof/>
                <w:color w:val="000000"/>
                <w:lang w:val="en-GB"/>
              </w:rPr>
              <w:t>2015</w:t>
            </w:r>
          </w:p>
        </w:tc>
        <w:tc>
          <w:tcPr>
            <w:tcW w:w="1008" w:type="dxa"/>
            <w:tcBorders>
              <w:top w:val="single" w:sz="4" w:space="0" w:color="auto"/>
              <w:bottom w:val="single" w:sz="4" w:space="0" w:color="auto"/>
            </w:tcBorders>
            <w:vAlign w:val="center"/>
          </w:tcPr>
          <w:p w:rsidR="000E18C9" w:rsidRPr="000E18C9" w:rsidRDefault="000E18C9" w:rsidP="000E18C9">
            <w:pPr>
              <w:jc w:val="right"/>
              <w:rPr>
                <w:rFonts w:ascii="Arial" w:hAnsi="Arial" w:cs="Arial"/>
                <w:b/>
                <w:noProof/>
                <w:color w:val="000000"/>
                <w:lang w:val="en-GB"/>
              </w:rPr>
            </w:pPr>
            <w:r w:rsidRPr="000E18C9">
              <w:rPr>
                <w:rFonts w:ascii="Arial" w:hAnsi="Arial" w:cs="Arial"/>
                <w:b/>
                <w:bCs/>
                <w:noProof/>
                <w:color w:val="000000"/>
                <w:lang w:val="en-GB"/>
              </w:rPr>
              <w:t>2014</w:t>
            </w:r>
          </w:p>
        </w:tc>
        <w:tc>
          <w:tcPr>
            <w:tcW w:w="1008" w:type="dxa"/>
            <w:tcBorders>
              <w:top w:val="single" w:sz="4" w:space="0" w:color="auto"/>
              <w:bottom w:val="single" w:sz="4" w:space="0" w:color="auto"/>
            </w:tcBorders>
            <w:vAlign w:val="center"/>
          </w:tcPr>
          <w:p w:rsidR="000E18C9" w:rsidRPr="000E18C9" w:rsidRDefault="000E18C9" w:rsidP="000E18C9">
            <w:pPr>
              <w:jc w:val="right"/>
              <w:rPr>
                <w:rFonts w:ascii="Arial" w:hAnsi="Arial" w:cs="Arial"/>
                <w:b/>
                <w:noProof/>
                <w:color w:val="000000"/>
                <w:lang w:val="en-GB"/>
              </w:rPr>
            </w:pPr>
            <w:r w:rsidRPr="000E18C9">
              <w:rPr>
                <w:rFonts w:ascii="Arial" w:hAnsi="Arial" w:cs="Arial"/>
                <w:b/>
                <w:bCs/>
                <w:noProof/>
                <w:color w:val="000000"/>
                <w:lang w:val="en-GB"/>
              </w:rPr>
              <w:t>2013</w:t>
            </w:r>
          </w:p>
        </w:tc>
        <w:tc>
          <w:tcPr>
            <w:tcW w:w="1008" w:type="dxa"/>
            <w:tcBorders>
              <w:top w:val="single" w:sz="4" w:space="0" w:color="auto"/>
              <w:bottom w:val="single" w:sz="4" w:space="0" w:color="auto"/>
            </w:tcBorders>
            <w:vAlign w:val="center"/>
          </w:tcPr>
          <w:p w:rsidR="000E18C9" w:rsidRPr="000E18C9" w:rsidRDefault="000E18C9" w:rsidP="000E18C9">
            <w:pPr>
              <w:jc w:val="right"/>
              <w:rPr>
                <w:rFonts w:ascii="Arial" w:hAnsi="Arial" w:cs="Arial"/>
                <w:b/>
                <w:bCs/>
                <w:noProof/>
                <w:color w:val="000000"/>
                <w:lang w:val="en-GB"/>
              </w:rPr>
            </w:pPr>
            <w:r w:rsidRPr="000E18C9">
              <w:rPr>
                <w:rFonts w:ascii="Arial" w:hAnsi="Arial" w:cs="Arial"/>
                <w:b/>
                <w:bCs/>
                <w:noProof/>
                <w:color w:val="000000"/>
                <w:lang w:val="en-GB"/>
              </w:rPr>
              <w:t>2012</w:t>
            </w:r>
          </w:p>
        </w:tc>
        <w:tc>
          <w:tcPr>
            <w:tcW w:w="1008" w:type="dxa"/>
            <w:tcBorders>
              <w:top w:val="single" w:sz="4" w:space="0" w:color="auto"/>
              <w:bottom w:val="single" w:sz="4" w:space="0" w:color="auto"/>
            </w:tcBorders>
          </w:tcPr>
          <w:p w:rsidR="000E18C9" w:rsidRPr="000E18C9" w:rsidRDefault="000E18C9" w:rsidP="000E18C9">
            <w:pPr>
              <w:jc w:val="right"/>
              <w:rPr>
                <w:rFonts w:ascii="Arial" w:hAnsi="Arial" w:cs="Arial"/>
                <w:b/>
                <w:bCs/>
                <w:noProof/>
                <w:color w:val="000000"/>
                <w:lang w:val="en-GB"/>
              </w:rPr>
            </w:pPr>
            <w:r w:rsidRPr="000E18C9">
              <w:rPr>
                <w:rFonts w:ascii="Arial" w:hAnsi="Arial" w:cs="Arial"/>
                <w:b/>
                <w:bCs/>
                <w:noProof/>
                <w:color w:val="000000"/>
                <w:lang w:val="en-GB"/>
              </w:rPr>
              <w:t>Average</w:t>
            </w:r>
          </w:p>
        </w:tc>
      </w:tr>
      <w:tr w:rsidR="000E18C9" w:rsidRPr="000E18C9" w:rsidTr="000E18C9">
        <w:tc>
          <w:tcPr>
            <w:tcW w:w="3688" w:type="dxa"/>
            <w:tcBorders>
              <w:top w:val="single" w:sz="4" w:space="0" w:color="auto"/>
            </w:tcBorders>
            <w:noWrap/>
            <w:vAlign w:val="bottom"/>
          </w:tcPr>
          <w:p w:rsidR="000E18C9" w:rsidRPr="000E18C9" w:rsidRDefault="000E18C9" w:rsidP="000E18C9">
            <w:pPr>
              <w:rPr>
                <w:rFonts w:ascii="Arial" w:hAnsi="Arial" w:cs="Arial"/>
                <w:b/>
                <w:noProof/>
                <w:color w:val="000000"/>
                <w:lang w:val="en-GB"/>
              </w:rPr>
            </w:pPr>
            <w:r w:rsidRPr="000E18C9">
              <w:rPr>
                <w:rFonts w:ascii="Arial" w:hAnsi="Arial" w:cs="Arial"/>
                <w:b/>
                <w:noProof/>
                <w:color w:val="000000"/>
                <w:lang w:val="en-GB"/>
              </w:rPr>
              <w:t>OPERATING PERFORMANCE:</w:t>
            </w:r>
          </w:p>
        </w:tc>
        <w:tc>
          <w:tcPr>
            <w:tcW w:w="1008" w:type="dxa"/>
            <w:tcBorders>
              <w:top w:val="single" w:sz="4" w:space="0" w:color="auto"/>
            </w:tcBorders>
            <w:vAlign w:val="center"/>
          </w:tcPr>
          <w:p w:rsidR="000E18C9" w:rsidRPr="000E18C9" w:rsidRDefault="000E18C9" w:rsidP="000E18C9">
            <w:pPr>
              <w:jc w:val="right"/>
              <w:rPr>
                <w:rFonts w:ascii="Arial" w:hAnsi="Arial" w:cs="Arial"/>
                <w:b/>
                <w:noProof/>
                <w:color w:val="000000"/>
                <w:lang w:val="en-GB"/>
              </w:rPr>
            </w:pPr>
          </w:p>
        </w:tc>
        <w:tc>
          <w:tcPr>
            <w:tcW w:w="1008" w:type="dxa"/>
            <w:tcBorders>
              <w:top w:val="single" w:sz="4" w:space="0" w:color="auto"/>
            </w:tcBorders>
            <w:vAlign w:val="center"/>
          </w:tcPr>
          <w:p w:rsidR="000E18C9" w:rsidRPr="000E18C9" w:rsidRDefault="000E18C9" w:rsidP="000E18C9">
            <w:pPr>
              <w:jc w:val="right"/>
              <w:rPr>
                <w:rFonts w:ascii="Arial" w:hAnsi="Arial" w:cs="Arial"/>
                <w:b/>
                <w:noProof/>
                <w:color w:val="000000"/>
                <w:lang w:val="en-GB"/>
              </w:rPr>
            </w:pPr>
          </w:p>
        </w:tc>
        <w:tc>
          <w:tcPr>
            <w:tcW w:w="1008" w:type="dxa"/>
            <w:tcBorders>
              <w:top w:val="single" w:sz="4" w:space="0" w:color="auto"/>
            </w:tcBorders>
            <w:vAlign w:val="center"/>
          </w:tcPr>
          <w:p w:rsidR="000E18C9" w:rsidRPr="000E18C9" w:rsidRDefault="000E18C9" w:rsidP="000E18C9">
            <w:pPr>
              <w:jc w:val="right"/>
              <w:rPr>
                <w:rFonts w:ascii="Arial" w:hAnsi="Arial" w:cs="Arial"/>
                <w:b/>
                <w:noProof/>
                <w:color w:val="000000"/>
                <w:lang w:val="en-GB"/>
              </w:rPr>
            </w:pPr>
          </w:p>
        </w:tc>
        <w:tc>
          <w:tcPr>
            <w:tcW w:w="1008" w:type="dxa"/>
            <w:tcBorders>
              <w:top w:val="single" w:sz="4" w:space="0" w:color="auto"/>
            </w:tcBorders>
            <w:vAlign w:val="center"/>
          </w:tcPr>
          <w:p w:rsidR="000E18C9" w:rsidRPr="000E18C9" w:rsidRDefault="000E18C9" w:rsidP="000E18C9">
            <w:pPr>
              <w:jc w:val="right"/>
              <w:rPr>
                <w:rFonts w:ascii="Arial" w:hAnsi="Arial" w:cs="Arial"/>
                <w:noProof/>
                <w:color w:val="000000"/>
                <w:lang w:val="en-GB"/>
              </w:rPr>
            </w:pPr>
          </w:p>
        </w:tc>
        <w:tc>
          <w:tcPr>
            <w:tcW w:w="1008" w:type="dxa"/>
            <w:tcBorders>
              <w:top w:val="single" w:sz="4" w:space="0" w:color="auto"/>
            </w:tcBorders>
            <w:vAlign w:val="center"/>
          </w:tcPr>
          <w:p w:rsidR="000E18C9" w:rsidRPr="000E18C9" w:rsidRDefault="000E18C9" w:rsidP="000E18C9">
            <w:pPr>
              <w:jc w:val="right"/>
              <w:rPr>
                <w:rFonts w:ascii="Arial" w:hAnsi="Arial" w:cs="Arial"/>
                <w:noProof/>
                <w:color w:val="000000"/>
                <w:lang w:val="en-GB"/>
              </w:rPr>
            </w:pPr>
          </w:p>
        </w:tc>
        <w:tc>
          <w:tcPr>
            <w:tcW w:w="1008" w:type="dxa"/>
            <w:tcBorders>
              <w:top w:val="single" w:sz="4" w:space="0" w:color="auto"/>
            </w:tcBorders>
          </w:tcPr>
          <w:p w:rsidR="000E18C9" w:rsidRPr="000E18C9" w:rsidRDefault="000E18C9" w:rsidP="000E18C9">
            <w:pPr>
              <w:jc w:val="right"/>
              <w:rPr>
                <w:rFonts w:ascii="Arial" w:hAnsi="Arial" w:cs="Arial"/>
                <w:b/>
                <w:bCs/>
                <w:noProof/>
                <w:color w:val="000000"/>
                <w:lang w:val="en-GB"/>
              </w:rPr>
            </w:pPr>
          </w:p>
        </w:tc>
      </w:tr>
      <w:tr w:rsidR="000E18C9" w:rsidRPr="000E18C9" w:rsidTr="000E18C9">
        <w:tc>
          <w:tcPr>
            <w:tcW w:w="3688" w:type="dxa"/>
            <w:noWrap/>
            <w:vAlign w:val="bottom"/>
          </w:tcPr>
          <w:p w:rsidR="000E18C9" w:rsidRPr="000E18C9" w:rsidRDefault="000E18C9" w:rsidP="000E18C9">
            <w:pPr>
              <w:rPr>
                <w:rFonts w:ascii="Arial" w:hAnsi="Arial" w:cs="Arial"/>
                <w:noProof/>
                <w:color w:val="000000"/>
                <w:lang w:val="en-GB"/>
              </w:rPr>
            </w:pPr>
            <w:r w:rsidRPr="000E18C9">
              <w:rPr>
                <w:rFonts w:ascii="Arial" w:hAnsi="Arial" w:cs="Arial"/>
                <w:noProof/>
                <w:color w:val="000000"/>
                <w:lang w:val="en-GB"/>
              </w:rPr>
              <w:t>Net interest margin (NIM) (%)</w:t>
            </w:r>
          </w:p>
        </w:tc>
        <w:tc>
          <w:tcPr>
            <w:tcW w:w="1008" w:type="dxa"/>
            <w:vAlign w:val="center"/>
          </w:tcPr>
          <w:p w:rsidR="000E18C9" w:rsidRPr="000E18C9" w:rsidRDefault="000E18C9" w:rsidP="000E18C9">
            <w:pPr>
              <w:jc w:val="right"/>
              <w:rPr>
                <w:rFonts w:ascii="Arial" w:hAnsi="Arial" w:cs="Arial"/>
                <w:noProof/>
                <w:color w:val="000000"/>
                <w:lang w:val="en-GB"/>
              </w:rPr>
            </w:pPr>
            <w:r w:rsidRPr="000E18C9">
              <w:rPr>
                <w:rFonts w:ascii="Arial" w:hAnsi="Arial" w:cs="Arial"/>
                <w:noProof/>
                <w:color w:val="000000"/>
                <w:lang w:val="en-GB"/>
              </w:rPr>
              <w:t>2.01</w:t>
            </w:r>
          </w:p>
        </w:tc>
        <w:tc>
          <w:tcPr>
            <w:tcW w:w="1008" w:type="dxa"/>
            <w:vAlign w:val="center"/>
          </w:tcPr>
          <w:p w:rsidR="000E18C9" w:rsidRPr="000E18C9" w:rsidRDefault="000E18C9" w:rsidP="000E18C9">
            <w:pPr>
              <w:jc w:val="right"/>
              <w:rPr>
                <w:rFonts w:ascii="Arial" w:hAnsi="Arial" w:cs="Arial"/>
                <w:noProof/>
                <w:color w:val="000000"/>
                <w:lang w:val="en-GB"/>
              </w:rPr>
            </w:pPr>
            <w:r w:rsidRPr="000E18C9">
              <w:rPr>
                <w:rFonts w:ascii="Arial" w:hAnsi="Arial" w:cs="Arial"/>
                <w:noProof/>
                <w:color w:val="000000"/>
                <w:lang w:val="en-GB"/>
              </w:rPr>
              <w:t>2.05</w:t>
            </w:r>
          </w:p>
        </w:tc>
        <w:tc>
          <w:tcPr>
            <w:tcW w:w="1008" w:type="dxa"/>
            <w:vAlign w:val="center"/>
          </w:tcPr>
          <w:p w:rsidR="000E18C9" w:rsidRPr="000E18C9" w:rsidRDefault="000E18C9" w:rsidP="000E18C9">
            <w:pPr>
              <w:jc w:val="right"/>
              <w:rPr>
                <w:rFonts w:ascii="Arial" w:hAnsi="Arial" w:cs="Arial"/>
                <w:noProof/>
                <w:color w:val="000000"/>
                <w:lang w:val="en-GB"/>
              </w:rPr>
            </w:pPr>
            <w:r w:rsidRPr="000E18C9">
              <w:rPr>
                <w:rFonts w:ascii="Arial" w:hAnsi="Arial" w:cs="Arial"/>
                <w:noProof/>
                <w:color w:val="000000"/>
                <w:lang w:val="en-GB"/>
              </w:rPr>
              <w:t>2.18</w:t>
            </w:r>
          </w:p>
        </w:tc>
        <w:tc>
          <w:tcPr>
            <w:tcW w:w="1008" w:type="dxa"/>
            <w:vAlign w:val="center"/>
          </w:tcPr>
          <w:p w:rsidR="000E18C9" w:rsidRPr="000E18C9" w:rsidRDefault="000E18C9" w:rsidP="000E18C9">
            <w:pPr>
              <w:jc w:val="right"/>
              <w:rPr>
                <w:rFonts w:ascii="Arial" w:hAnsi="Arial" w:cs="Arial"/>
                <w:noProof/>
                <w:color w:val="000000"/>
                <w:lang w:val="en-GB"/>
              </w:rPr>
            </w:pPr>
            <w:r w:rsidRPr="000E18C9">
              <w:rPr>
                <w:rFonts w:ascii="Arial" w:hAnsi="Arial" w:cs="Arial"/>
                <w:noProof/>
                <w:color w:val="000000"/>
                <w:lang w:val="en-GB"/>
              </w:rPr>
              <w:t>2.20</w:t>
            </w:r>
          </w:p>
        </w:tc>
        <w:tc>
          <w:tcPr>
            <w:tcW w:w="1008" w:type="dxa"/>
            <w:vAlign w:val="center"/>
          </w:tcPr>
          <w:p w:rsidR="000E18C9" w:rsidRPr="000E18C9" w:rsidRDefault="000E18C9" w:rsidP="000E18C9">
            <w:pPr>
              <w:jc w:val="right"/>
              <w:rPr>
                <w:rFonts w:ascii="Arial" w:hAnsi="Arial" w:cs="Arial"/>
                <w:noProof/>
                <w:color w:val="000000"/>
                <w:lang w:val="en-GB"/>
              </w:rPr>
            </w:pPr>
            <w:r w:rsidRPr="000E18C9">
              <w:rPr>
                <w:rFonts w:ascii="Arial" w:hAnsi="Arial" w:cs="Arial"/>
                <w:noProof/>
                <w:color w:val="000000"/>
                <w:lang w:val="en-GB"/>
              </w:rPr>
              <w:t>2.23</w:t>
            </w:r>
          </w:p>
        </w:tc>
        <w:tc>
          <w:tcPr>
            <w:tcW w:w="1008" w:type="dxa"/>
            <w:vAlign w:val="center"/>
          </w:tcPr>
          <w:p w:rsidR="000E18C9" w:rsidRPr="000E18C9" w:rsidRDefault="000E18C9" w:rsidP="000E18C9">
            <w:pPr>
              <w:jc w:val="right"/>
              <w:rPr>
                <w:rFonts w:ascii="Arial" w:hAnsi="Arial" w:cs="Arial"/>
                <w:bCs/>
                <w:noProof/>
                <w:color w:val="000000"/>
                <w:lang w:val="en-GB"/>
              </w:rPr>
            </w:pPr>
            <w:r w:rsidRPr="000E18C9">
              <w:rPr>
                <w:rFonts w:ascii="Arial" w:hAnsi="Arial" w:cs="Arial"/>
                <w:bCs/>
                <w:noProof/>
                <w:color w:val="000000"/>
                <w:lang w:val="en-GB"/>
              </w:rPr>
              <w:t>2.13</w:t>
            </w:r>
          </w:p>
        </w:tc>
      </w:tr>
      <w:tr w:rsidR="000E18C9" w:rsidRPr="000E18C9" w:rsidTr="000E18C9">
        <w:tc>
          <w:tcPr>
            <w:tcW w:w="3688" w:type="dxa"/>
            <w:noWrap/>
            <w:vAlign w:val="bottom"/>
          </w:tcPr>
          <w:p w:rsidR="000E18C9" w:rsidRPr="000E18C9" w:rsidRDefault="000E18C9" w:rsidP="000E18C9">
            <w:pPr>
              <w:rPr>
                <w:rFonts w:ascii="Arial" w:hAnsi="Arial" w:cs="Arial"/>
                <w:noProof/>
                <w:color w:val="000000"/>
                <w:lang w:val="en-GB"/>
              </w:rPr>
            </w:pPr>
            <w:r w:rsidRPr="000E18C9">
              <w:rPr>
                <w:rFonts w:ascii="Arial" w:hAnsi="Arial" w:cs="Arial"/>
                <w:noProof/>
                <w:color w:val="000000"/>
                <w:lang w:val="en-GB"/>
              </w:rPr>
              <w:t>Efficiency ratio (%)—adjusted</w:t>
            </w:r>
          </w:p>
        </w:tc>
        <w:tc>
          <w:tcPr>
            <w:tcW w:w="1008" w:type="dxa"/>
            <w:vAlign w:val="center"/>
          </w:tcPr>
          <w:p w:rsidR="000E18C9" w:rsidRPr="000E18C9" w:rsidRDefault="000E18C9" w:rsidP="000E18C9">
            <w:pPr>
              <w:jc w:val="right"/>
              <w:rPr>
                <w:rFonts w:ascii="Arial" w:hAnsi="Arial" w:cs="Arial"/>
                <w:noProof/>
                <w:color w:val="000000"/>
                <w:lang w:val="en-GB"/>
              </w:rPr>
            </w:pPr>
            <w:r w:rsidRPr="000E18C9">
              <w:rPr>
                <w:rFonts w:ascii="Arial" w:hAnsi="Arial" w:cs="Arial"/>
                <w:noProof/>
                <w:color w:val="000000"/>
                <w:lang w:val="en-GB"/>
              </w:rPr>
              <w:t>53.9</w:t>
            </w:r>
          </w:p>
        </w:tc>
        <w:tc>
          <w:tcPr>
            <w:tcW w:w="1008" w:type="dxa"/>
            <w:vAlign w:val="center"/>
          </w:tcPr>
          <w:p w:rsidR="000E18C9" w:rsidRPr="000E18C9" w:rsidRDefault="000E18C9" w:rsidP="000E18C9">
            <w:pPr>
              <w:jc w:val="right"/>
              <w:rPr>
                <w:rFonts w:ascii="Arial" w:hAnsi="Arial" w:cs="Arial"/>
                <w:noProof/>
                <w:color w:val="000000"/>
                <w:lang w:val="en-GB"/>
              </w:rPr>
            </w:pPr>
            <w:r w:rsidRPr="000E18C9">
              <w:rPr>
                <w:rFonts w:ascii="Arial" w:hAnsi="Arial" w:cs="Arial"/>
                <w:noProof/>
                <w:color w:val="000000"/>
                <w:lang w:val="en-GB"/>
              </w:rPr>
              <w:t>54.3</w:t>
            </w:r>
          </w:p>
        </w:tc>
        <w:tc>
          <w:tcPr>
            <w:tcW w:w="1008" w:type="dxa"/>
            <w:vAlign w:val="center"/>
          </w:tcPr>
          <w:p w:rsidR="000E18C9" w:rsidRPr="000E18C9" w:rsidRDefault="000E18C9" w:rsidP="000E18C9">
            <w:pPr>
              <w:jc w:val="right"/>
              <w:rPr>
                <w:rFonts w:ascii="Arial" w:hAnsi="Arial" w:cs="Arial"/>
                <w:noProof/>
                <w:color w:val="000000"/>
                <w:lang w:val="en-GB"/>
              </w:rPr>
            </w:pPr>
            <w:r w:rsidRPr="000E18C9">
              <w:rPr>
                <w:rFonts w:ascii="Arial" w:hAnsi="Arial" w:cs="Arial"/>
                <w:noProof/>
                <w:color w:val="000000"/>
                <w:lang w:val="en-GB"/>
              </w:rPr>
              <w:t>53.4</w:t>
            </w:r>
          </w:p>
        </w:tc>
        <w:tc>
          <w:tcPr>
            <w:tcW w:w="1008" w:type="dxa"/>
            <w:vAlign w:val="center"/>
          </w:tcPr>
          <w:p w:rsidR="000E18C9" w:rsidRPr="000E18C9" w:rsidRDefault="000E18C9" w:rsidP="000E18C9">
            <w:pPr>
              <w:jc w:val="right"/>
              <w:rPr>
                <w:rFonts w:ascii="Arial" w:hAnsi="Arial" w:cs="Arial"/>
                <w:noProof/>
                <w:color w:val="000000"/>
                <w:lang w:val="en-GB"/>
              </w:rPr>
            </w:pPr>
            <w:r w:rsidRPr="000E18C9">
              <w:rPr>
                <w:rFonts w:ascii="Arial" w:hAnsi="Arial" w:cs="Arial"/>
                <w:noProof/>
                <w:color w:val="000000"/>
                <w:lang w:val="en-GB"/>
              </w:rPr>
              <w:t>52.9</w:t>
            </w:r>
          </w:p>
        </w:tc>
        <w:tc>
          <w:tcPr>
            <w:tcW w:w="1008" w:type="dxa"/>
            <w:vAlign w:val="center"/>
          </w:tcPr>
          <w:p w:rsidR="000E18C9" w:rsidRPr="000E18C9" w:rsidRDefault="000E18C9" w:rsidP="000E18C9">
            <w:pPr>
              <w:jc w:val="right"/>
              <w:rPr>
                <w:rFonts w:ascii="Arial" w:hAnsi="Arial" w:cs="Arial"/>
                <w:noProof/>
                <w:color w:val="000000"/>
                <w:lang w:val="en-GB"/>
              </w:rPr>
            </w:pPr>
            <w:r w:rsidRPr="000E18C9">
              <w:rPr>
                <w:rFonts w:ascii="Arial" w:hAnsi="Arial" w:cs="Arial"/>
                <w:noProof/>
                <w:color w:val="000000"/>
                <w:lang w:val="en-GB"/>
              </w:rPr>
              <w:t>51.3</w:t>
            </w:r>
          </w:p>
        </w:tc>
        <w:tc>
          <w:tcPr>
            <w:tcW w:w="1008" w:type="dxa"/>
            <w:vAlign w:val="center"/>
          </w:tcPr>
          <w:p w:rsidR="000E18C9" w:rsidRPr="000E18C9" w:rsidRDefault="000E18C9" w:rsidP="000E18C9">
            <w:pPr>
              <w:jc w:val="right"/>
              <w:rPr>
                <w:rFonts w:ascii="Arial" w:hAnsi="Arial" w:cs="Arial"/>
                <w:bCs/>
                <w:noProof/>
                <w:color w:val="000000"/>
                <w:lang w:val="en-GB"/>
              </w:rPr>
            </w:pPr>
            <w:r w:rsidRPr="000E18C9">
              <w:rPr>
                <w:rFonts w:ascii="Arial" w:hAnsi="Arial" w:cs="Arial"/>
                <w:bCs/>
                <w:noProof/>
                <w:color w:val="000000"/>
                <w:lang w:val="en-GB"/>
              </w:rPr>
              <w:t>53.2</w:t>
            </w:r>
          </w:p>
        </w:tc>
      </w:tr>
      <w:tr w:rsidR="000E18C9" w:rsidRPr="000E18C9" w:rsidTr="000E18C9">
        <w:tc>
          <w:tcPr>
            <w:tcW w:w="3688" w:type="dxa"/>
            <w:noWrap/>
            <w:vAlign w:val="bottom"/>
          </w:tcPr>
          <w:p w:rsidR="000E18C9" w:rsidRPr="000E18C9" w:rsidRDefault="000E18C9" w:rsidP="000E18C9">
            <w:pPr>
              <w:rPr>
                <w:rFonts w:ascii="Arial" w:hAnsi="Arial" w:cs="Arial"/>
                <w:noProof/>
                <w:color w:val="000000"/>
                <w:lang w:val="en-GB"/>
              </w:rPr>
            </w:pPr>
            <w:r w:rsidRPr="000E18C9">
              <w:rPr>
                <w:rFonts w:ascii="Arial" w:hAnsi="Arial" w:cs="Arial"/>
                <w:noProof/>
                <w:color w:val="000000"/>
                <w:lang w:val="en-GB"/>
              </w:rPr>
              <w:t xml:space="preserve">Return on common equity (ROE) (%) </w:t>
            </w:r>
          </w:p>
        </w:tc>
        <w:tc>
          <w:tcPr>
            <w:tcW w:w="1008" w:type="dxa"/>
            <w:vAlign w:val="center"/>
          </w:tcPr>
          <w:p w:rsidR="000E18C9" w:rsidRPr="000E18C9" w:rsidRDefault="000E18C9" w:rsidP="000E18C9">
            <w:pPr>
              <w:jc w:val="right"/>
              <w:rPr>
                <w:rFonts w:ascii="Arial" w:hAnsi="Arial" w:cs="Arial"/>
                <w:noProof/>
                <w:color w:val="000000"/>
                <w:lang w:val="en-GB"/>
              </w:rPr>
            </w:pPr>
            <w:r w:rsidRPr="000E18C9">
              <w:rPr>
                <w:rFonts w:ascii="Arial" w:hAnsi="Arial" w:cs="Arial"/>
                <w:noProof/>
                <w:color w:val="000000"/>
                <w:lang w:val="en-GB"/>
              </w:rPr>
              <w:t>13.9</w:t>
            </w:r>
          </w:p>
        </w:tc>
        <w:tc>
          <w:tcPr>
            <w:tcW w:w="1008" w:type="dxa"/>
            <w:vAlign w:val="center"/>
          </w:tcPr>
          <w:p w:rsidR="000E18C9" w:rsidRPr="000E18C9" w:rsidDel="001C6334" w:rsidRDefault="000E18C9" w:rsidP="000E18C9">
            <w:pPr>
              <w:jc w:val="right"/>
              <w:rPr>
                <w:rFonts w:ascii="Arial" w:hAnsi="Arial" w:cs="Arial"/>
                <w:noProof/>
                <w:color w:val="000000"/>
                <w:lang w:val="en-GB"/>
              </w:rPr>
            </w:pPr>
            <w:r w:rsidRPr="000E18C9">
              <w:rPr>
                <w:rFonts w:ascii="Arial" w:hAnsi="Arial" w:cs="Arial"/>
                <w:noProof/>
                <w:color w:val="000000"/>
                <w:lang w:val="en-GB"/>
              </w:rPr>
              <w:t>14.7</w:t>
            </w:r>
          </w:p>
        </w:tc>
        <w:tc>
          <w:tcPr>
            <w:tcW w:w="1008" w:type="dxa"/>
            <w:vAlign w:val="center"/>
          </w:tcPr>
          <w:p w:rsidR="000E18C9" w:rsidRPr="000E18C9" w:rsidRDefault="000E18C9" w:rsidP="000E18C9">
            <w:pPr>
              <w:jc w:val="right"/>
              <w:rPr>
                <w:rFonts w:ascii="Arial" w:hAnsi="Arial" w:cs="Arial"/>
                <w:noProof/>
                <w:color w:val="000000"/>
                <w:lang w:val="en-GB"/>
              </w:rPr>
            </w:pPr>
            <w:r w:rsidRPr="000E18C9">
              <w:rPr>
                <w:rFonts w:ascii="Arial" w:hAnsi="Arial" w:cs="Arial"/>
                <w:noProof/>
                <w:color w:val="000000"/>
                <w:lang w:val="en-GB"/>
              </w:rPr>
              <w:t>15.9</w:t>
            </w:r>
          </w:p>
        </w:tc>
        <w:tc>
          <w:tcPr>
            <w:tcW w:w="1008" w:type="dxa"/>
            <w:vAlign w:val="center"/>
          </w:tcPr>
          <w:p w:rsidR="000E18C9" w:rsidRPr="000E18C9" w:rsidRDefault="000E18C9" w:rsidP="000E18C9">
            <w:pPr>
              <w:jc w:val="right"/>
              <w:rPr>
                <w:rFonts w:ascii="Arial" w:hAnsi="Arial" w:cs="Arial"/>
                <w:noProof/>
                <w:color w:val="000000"/>
                <w:lang w:val="en-GB"/>
              </w:rPr>
            </w:pPr>
            <w:r w:rsidRPr="000E18C9">
              <w:rPr>
                <w:rFonts w:ascii="Arial" w:hAnsi="Arial" w:cs="Arial"/>
                <w:noProof/>
                <w:color w:val="000000"/>
                <w:lang w:val="en-GB"/>
              </w:rPr>
              <w:t>15.3</w:t>
            </w:r>
          </w:p>
        </w:tc>
        <w:tc>
          <w:tcPr>
            <w:tcW w:w="1008" w:type="dxa"/>
            <w:vAlign w:val="center"/>
          </w:tcPr>
          <w:p w:rsidR="000E18C9" w:rsidRPr="000E18C9" w:rsidRDefault="000E18C9" w:rsidP="000E18C9">
            <w:pPr>
              <w:jc w:val="right"/>
              <w:rPr>
                <w:rFonts w:ascii="Arial" w:hAnsi="Arial" w:cs="Arial"/>
                <w:noProof/>
                <w:color w:val="000000"/>
                <w:lang w:val="en-GB"/>
              </w:rPr>
            </w:pPr>
            <w:r w:rsidRPr="000E18C9">
              <w:rPr>
                <w:rFonts w:ascii="Arial" w:hAnsi="Arial" w:cs="Arial"/>
                <w:noProof/>
                <w:color w:val="000000"/>
                <w:lang w:val="en-GB"/>
              </w:rPr>
              <w:t>16.5</w:t>
            </w:r>
          </w:p>
        </w:tc>
        <w:tc>
          <w:tcPr>
            <w:tcW w:w="1008" w:type="dxa"/>
            <w:vAlign w:val="center"/>
          </w:tcPr>
          <w:p w:rsidR="000E18C9" w:rsidRPr="000E18C9" w:rsidRDefault="000E18C9" w:rsidP="000E18C9">
            <w:pPr>
              <w:jc w:val="right"/>
              <w:rPr>
                <w:rFonts w:ascii="Arial" w:hAnsi="Arial" w:cs="Arial"/>
                <w:bCs/>
                <w:noProof/>
                <w:color w:val="000000"/>
                <w:lang w:val="en-GB"/>
              </w:rPr>
            </w:pPr>
            <w:r w:rsidRPr="000E18C9">
              <w:rPr>
                <w:rFonts w:ascii="Arial" w:hAnsi="Arial" w:cs="Arial"/>
                <w:bCs/>
                <w:noProof/>
                <w:color w:val="000000"/>
                <w:lang w:val="en-GB"/>
              </w:rPr>
              <w:t>15.3</w:t>
            </w:r>
          </w:p>
        </w:tc>
      </w:tr>
      <w:tr w:rsidR="000E18C9" w:rsidRPr="000E18C9" w:rsidTr="000E18C9">
        <w:tc>
          <w:tcPr>
            <w:tcW w:w="3688" w:type="dxa"/>
            <w:noWrap/>
            <w:vAlign w:val="bottom"/>
          </w:tcPr>
          <w:p w:rsidR="000E18C9" w:rsidRPr="000E18C9" w:rsidRDefault="000E18C9" w:rsidP="000E18C9">
            <w:pPr>
              <w:rPr>
                <w:rFonts w:ascii="Arial" w:hAnsi="Arial" w:cs="Arial"/>
                <w:noProof/>
                <w:color w:val="000000"/>
                <w:lang w:val="en-GB"/>
              </w:rPr>
            </w:pPr>
            <w:r w:rsidRPr="000E18C9">
              <w:rPr>
                <w:rFonts w:ascii="Arial" w:hAnsi="Arial" w:cs="Arial"/>
                <w:noProof/>
                <w:color w:val="000000"/>
                <w:lang w:val="en-GB"/>
              </w:rPr>
              <w:t>PCLs/ Net loans (%)</w:t>
            </w:r>
          </w:p>
        </w:tc>
        <w:tc>
          <w:tcPr>
            <w:tcW w:w="1008" w:type="dxa"/>
            <w:vAlign w:val="center"/>
          </w:tcPr>
          <w:p w:rsidR="000E18C9" w:rsidRPr="000E18C9" w:rsidRDefault="000E18C9" w:rsidP="000E18C9">
            <w:pPr>
              <w:jc w:val="right"/>
              <w:rPr>
                <w:rFonts w:ascii="Arial" w:hAnsi="Arial" w:cs="Arial"/>
                <w:noProof/>
                <w:color w:val="000000"/>
                <w:lang w:val="en-GB"/>
              </w:rPr>
            </w:pPr>
            <w:r w:rsidRPr="000E18C9">
              <w:rPr>
                <w:rFonts w:ascii="Arial" w:hAnsi="Arial" w:cs="Arial"/>
                <w:noProof/>
                <w:color w:val="000000"/>
                <w:lang w:val="en-GB"/>
              </w:rPr>
              <w:t>0.41</w:t>
            </w:r>
          </w:p>
        </w:tc>
        <w:tc>
          <w:tcPr>
            <w:tcW w:w="1008" w:type="dxa"/>
            <w:vAlign w:val="center"/>
          </w:tcPr>
          <w:p w:rsidR="000E18C9" w:rsidRPr="000E18C9" w:rsidRDefault="000E18C9" w:rsidP="000E18C9">
            <w:pPr>
              <w:jc w:val="right"/>
              <w:rPr>
                <w:rFonts w:ascii="Arial" w:hAnsi="Arial" w:cs="Arial"/>
                <w:noProof/>
                <w:color w:val="000000"/>
                <w:lang w:val="en-GB"/>
              </w:rPr>
            </w:pPr>
            <w:r w:rsidRPr="000E18C9">
              <w:rPr>
                <w:rFonts w:ascii="Arial" w:hAnsi="Arial" w:cs="Arial"/>
                <w:noProof/>
                <w:color w:val="000000"/>
                <w:lang w:val="en-GB"/>
              </w:rPr>
              <w:t>0.34</w:t>
            </w:r>
          </w:p>
        </w:tc>
        <w:tc>
          <w:tcPr>
            <w:tcW w:w="1008" w:type="dxa"/>
            <w:vAlign w:val="center"/>
          </w:tcPr>
          <w:p w:rsidR="000E18C9" w:rsidRPr="000E18C9" w:rsidRDefault="000E18C9" w:rsidP="000E18C9">
            <w:pPr>
              <w:jc w:val="right"/>
              <w:rPr>
                <w:rFonts w:ascii="Arial" w:hAnsi="Arial" w:cs="Arial"/>
                <w:noProof/>
                <w:color w:val="000000"/>
                <w:lang w:val="en-GB"/>
              </w:rPr>
            </w:pPr>
            <w:r w:rsidRPr="000E18C9">
              <w:rPr>
                <w:rFonts w:ascii="Arial" w:hAnsi="Arial" w:cs="Arial"/>
                <w:noProof/>
                <w:color w:val="000000"/>
                <w:lang w:val="en-GB"/>
              </w:rPr>
              <w:t>0.34</w:t>
            </w:r>
          </w:p>
        </w:tc>
        <w:tc>
          <w:tcPr>
            <w:tcW w:w="1008" w:type="dxa"/>
            <w:vAlign w:val="center"/>
          </w:tcPr>
          <w:p w:rsidR="000E18C9" w:rsidRPr="000E18C9" w:rsidRDefault="000E18C9" w:rsidP="000E18C9">
            <w:pPr>
              <w:jc w:val="right"/>
              <w:rPr>
                <w:rFonts w:ascii="Arial" w:hAnsi="Arial" w:cs="Arial"/>
                <w:noProof/>
                <w:color w:val="000000"/>
                <w:lang w:val="en-GB"/>
              </w:rPr>
            </w:pPr>
            <w:r w:rsidRPr="000E18C9">
              <w:rPr>
                <w:rFonts w:ascii="Arial" w:hAnsi="Arial" w:cs="Arial"/>
                <w:noProof/>
                <w:color w:val="000000"/>
                <w:lang w:val="en-GB"/>
              </w:rPr>
              <w:t>0.38</w:t>
            </w:r>
          </w:p>
        </w:tc>
        <w:tc>
          <w:tcPr>
            <w:tcW w:w="1008" w:type="dxa"/>
            <w:vAlign w:val="center"/>
          </w:tcPr>
          <w:p w:rsidR="000E18C9" w:rsidRPr="000E18C9" w:rsidRDefault="000E18C9" w:rsidP="000E18C9">
            <w:pPr>
              <w:jc w:val="right"/>
              <w:rPr>
                <w:rFonts w:ascii="Arial" w:hAnsi="Arial" w:cs="Arial"/>
                <w:noProof/>
                <w:color w:val="000000"/>
                <w:lang w:val="en-GB"/>
              </w:rPr>
            </w:pPr>
            <w:r w:rsidRPr="000E18C9">
              <w:rPr>
                <w:rFonts w:ascii="Arial" w:hAnsi="Arial" w:cs="Arial"/>
                <w:noProof/>
                <w:color w:val="000000"/>
                <w:lang w:val="en-GB"/>
              </w:rPr>
              <w:t>0.43</w:t>
            </w:r>
          </w:p>
        </w:tc>
        <w:tc>
          <w:tcPr>
            <w:tcW w:w="1008" w:type="dxa"/>
            <w:vAlign w:val="center"/>
          </w:tcPr>
          <w:p w:rsidR="000E18C9" w:rsidRPr="000E18C9" w:rsidRDefault="000E18C9" w:rsidP="000E18C9">
            <w:pPr>
              <w:jc w:val="right"/>
              <w:rPr>
                <w:rFonts w:ascii="Arial" w:hAnsi="Arial" w:cs="Arial"/>
                <w:bCs/>
                <w:noProof/>
                <w:color w:val="000000"/>
                <w:lang w:val="en-GB"/>
              </w:rPr>
            </w:pPr>
            <w:r w:rsidRPr="000E18C9">
              <w:rPr>
                <w:rFonts w:ascii="Arial" w:hAnsi="Arial" w:cs="Arial"/>
                <w:bCs/>
                <w:noProof/>
                <w:color w:val="000000"/>
                <w:lang w:val="en-GB"/>
              </w:rPr>
              <w:t>0.38</w:t>
            </w:r>
          </w:p>
        </w:tc>
      </w:tr>
      <w:tr w:rsidR="000E18C9" w:rsidRPr="000E18C9" w:rsidTr="000E18C9">
        <w:tc>
          <w:tcPr>
            <w:tcW w:w="3688" w:type="dxa"/>
            <w:noWrap/>
            <w:vAlign w:val="bottom"/>
          </w:tcPr>
          <w:p w:rsidR="000E18C9" w:rsidRPr="000E18C9" w:rsidRDefault="000E18C9" w:rsidP="000E18C9">
            <w:pPr>
              <w:rPr>
                <w:rFonts w:ascii="Arial" w:hAnsi="Arial" w:cs="Arial"/>
                <w:noProof/>
                <w:color w:val="000000"/>
                <w:lang w:val="en-GB"/>
              </w:rPr>
            </w:pPr>
          </w:p>
        </w:tc>
        <w:tc>
          <w:tcPr>
            <w:tcW w:w="1008" w:type="dxa"/>
            <w:vAlign w:val="center"/>
          </w:tcPr>
          <w:p w:rsidR="000E18C9" w:rsidRPr="000E18C9" w:rsidRDefault="000E18C9" w:rsidP="000E18C9">
            <w:pPr>
              <w:jc w:val="right"/>
              <w:rPr>
                <w:rFonts w:ascii="Arial" w:hAnsi="Arial" w:cs="Arial"/>
                <w:noProof/>
                <w:color w:val="000000"/>
                <w:lang w:val="en-GB"/>
              </w:rPr>
            </w:pPr>
          </w:p>
        </w:tc>
        <w:tc>
          <w:tcPr>
            <w:tcW w:w="1008" w:type="dxa"/>
            <w:vAlign w:val="center"/>
          </w:tcPr>
          <w:p w:rsidR="000E18C9" w:rsidRPr="000E18C9" w:rsidRDefault="000E18C9" w:rsidP="000E18C9">
            <w:pPr>
              <w:jc w:val="right"/>
              <w:rPr>
                <w:rFonts w:ascii="Arial" w:hAnsi="Arial" w:cs="Arial"/>
                <w:noProof/>
                <w:color w:val="000000"/>
                <w:lang w:val="en-GB"/>
              </w:rPr>
            </w:pPr>
          </w:p>
        </w:tc>
        <w:tc>
          <w:tcPr>
            <w:tcW w:w="1008" w:type="dxa"/>
            <w:vAlign w:val="center"/>
          </w:tcPr>
          <w:p w:rsidR="000E18C9" w:rsidRPr="000E18C9" w:rsidRDefault="000E18C9" w:rsidP="000E18C9">
            <w:pPr>
              <w:jc w:val="right"/>
              <w:rPr>
                <w:rFonts w:ascii="Arial" w:hAnsi="Arial" w:cs="Arial"/>
                <w:noProof/>
                <w:color w:val="000000"/>
                <w:lang w:val="en-GB"/>
              </w:rPr>
            </w:pPr>
          </w:p>
        </w:tc>
        <w:tc>
          <w:tcPr>
            <w:tcW w:w="1008" w:type="dxa"/>
            <w:vAlign w:val="center"/>
          </w:tcPr>
          <w:p w:rsidR="000E18C9" w:rsidRPr="000E18C9" w:rsidRDefault="000E18C9" w:rsidP="000E18C9">
            <w:pPr>
              <w:jc w:val="right"/>
              <w:rPr>
                <w:rFonts w:ascii="Arial" w:hAnsi="Arial" w:cs="Arial"/>
                <w:noProof/>
                <w:color w:val="000000"/>
                <w:lang w:val="en-GB"/>
              </w:rPr>
            </w:pPr>
          </w:p>
        </w:tc>
        <w:tc>
          <w:tcPr>
            <w:tcW w:w="1008" w:type="dxa"/>
            <w:vAlign w:val="center"/>
          </w:tcPr>
          <w:p w:rsidR="000E18C9" w:rsidRPr="000E18C9" w:rsidRDefault="000E18C9" w:rsidP="000E18C9">
            <w:pPr>
              <w:jc w:val="right"/>
              <w:rPr>
                <w:rFonts w:ascii="Arial" w:hAnsi="Arial" w:cs="Arial"/>
                <w:noProof/>
                <w:color w:val="000000"/>
                <w:lang w:val="en-GB"/>
              </w:rPr>
            </w:pPr>
          </w:p>
        </w:tc>
        <w:tc>
          <w:tcPr>
            <w:tcW w:w="1008" w:type="dxa"/>
          </w:tcPr>
          <w:p w:rsidR="000E18C9" w:rsidRPr="000E18C9" w:rsidRDefault="000E18C9" w:rsidP="000E18C9">
            <w:pPr>
              <w:jc w:val="right"/>
              <w:rPr>
                <w:rFonts w:ascii="Arial" w:hAnsi="Arial" w:cs="Arial"/>
                <w:bCs/>
                <w:noProof/>
                <w:color w:val="000000"/>
                <w:lang w:val="en-GB"/>
              </w:rPr>
            </w:pPr>
          </w:p>
        </w:tc>
      </w:tr>
      <w:tr w:rsidR="000E18C9" w:rsidRPr="000E18C9" w:rsidTr="000E18C9">
        <w:tc>
          <w:tcPr>
            <w:tcW w:w="3688" w:type="dxa"/>
            <w:noWrap/>
            <w:vAlign w:val="bottom"/>
          </w:tcPr>
          <w:p w:rsidR="000E18C9" w:rsidRPr="000E18C9" w:rsidRDefault="000E18C9" w:rsidP="000E18C9">
            <w:pPr>
              <w:rPr>
                <w:rFonts w:ascii="Arial" w:hAnsi="Arial" w:cs="Arial"/>
                <w:b/>
                <w:noProof/>
                <w:color w:val="000000"/>
                <w:lang w:val="en-GB"/>
              </w:rPr>
            </w:pPr>
            <w:r w:rsidRPr="000E18C9">
              <w:rPr>
                <w:rFonts w:ascii="Arial" w:hAnsi="Arial" w:cs="Arial"/>
                <w:b/>
                <w:noProof/>
                <w:color w:val="000000"/>
                <w:lang w:val="en-GB"/>
              </w:rPr>
              <w:t>LEVERAGE/CAPITALIZATION:</w:t>
            </w:r>
          </w:p>
        </w:tc>
        <w:tc>
          <w:tcPr>
            <w:tcW w:w="1008" w:type="dxa"/>
            <w:vAlign w:val="center"/>
          </w:tcPr>
          <w:p w:rsidR="000E18C9" w:rsidRPr="000E18C9" w:rsidRDefault="000E18C9" w:rsidP="000E18C9">
            <w:pPr>
              <w:jc w:val="right"/>
              <w:rPr>
                <w:rFonts w:ascii="Arial" w:hAnsi="Arial" w:cs="Arial"/>
                <w:noProof/>
                <w:color w:val="000000"/>
                <w:lang w:val="en-GB"/>
              </w:rPr>
            </w:pPr>
          </w:p>
        </w:tc>
        <w:tc>
          <w:tcPr>
            <w:tcW w:w="1008" w:type="dxa"/>
            <w:vAlign w:val="center"/>
          </w:tcPr>
          <w:p w:rsidR="000E18C9" w:rsidRPr="000E18C9" w:rsidRDefault="000E18C9" w:rsidP="000E18C9">
            <w:pPr>
              <w:jc w:val="right"/>
              <w:rPr>
                <w:rFonts w:ascii="Arial" w:hAnsi="Arial" w:cs="Arial"/>
                <w:noProof/>
                <w:color w:val="000000"/>
                <w:lang w:val="en-GB"/>
              </w:rPr>
            </w:pPr>
          </w:p>
        </w:tc>
        <w:tc>
          <w:tcPr>
            <w:tcW w:w="1008" w:type="dxa"/>
            <w:vAlign w:val="center"/>
          </w:tcPr>
          <w:p w:rsidR="000E18C9" w:rsidRPr="000E18C9" w:rsidRDefault="000E18C9" w:rsidP="000E18C9">
            <w:pPr>
              <w:jc w:val="right"/>
              <w:rPr>
                <w:rFonts w:ascii="Arial" w:hAnsi="Arial" w:cs="Arial"/>
                <w:noProof/>
                <w:color w:val="000000"/>
                <w:lang w:val="en-GB"/>
              </w:rPr>
            </w:pPr>
          </w:p>
        </w:tc>
        <w:tc>
          <w:tcPr>
            <w:tcW w:w="1008" w:type="dxa"/>
            <w:vAlign w:val="center"/>
          </w:tcPr>
          <w:p w:rsidR="000E18C9" w:rsidRPr="000E18C9" w:rsidRDefault="000E18C9" w:rsidP="000E18C9">
            <w:pPr>
              <w:jc w:val="right"/>
              <w:rPr>
                <w:rFonts w:ascii="Arial" w:hAnsi="Arial" w:cs="Arial"/>
                <w:noProof/>
                <w:color w:val="000000"/>
                <w:lang w:val="en-GB"/>
              </w:rPr>
            </w:pPr>
          </w:p>
        </w:tc>
        <w:tc>
          <w:tcPr>
            <w:tcW w:w="1008" w:type="dxa"/>
            <w:vAlign w:val="center"/>
          </w:tcPr>
          <w:p w:rsidR="000E18C9" w:rsidRPr="000E18C9" w:rsidRDefault="000E18C9" w:rsidP="000E18C9">
            <w:pPr>
              <w:jc w:val="right"/>
              <w:rPr>
                <w:rFonts w:ascii="Arial" w:hAnsi="Arial" w:cs="Arial"/>
                <w:noProof/>
                <w:color w:val="000000"/>
                <w:lang w:val="en-GB"/>
              </w:rPr>
            </w:pPr>
          </w:p>
        </w:tc>
        <w:tc>
          <w:tcPr>
            <w:tcW w:w="1008" w:type="dxa"/>
          </w:tcPr>
          <w:p w:rsidR="000E18C9" w:rsidRPr="000E18C9" w:rsidRDefault="000E18C9" w:rsidP="000E18C9">
            <w:pPr>
              <w:jc w:val="right"/>
              <w:rPr>
                <w:rFonts w:ascii="Arial" w:hAnsi="Arial" w:cs="Arial"/>
                <w:bCs/>
                <w:noProof/>
                <w:color w:val="000000"/>
                <w:lang w:val="en-GB"/>
              </w:rPr>
            </w:pPr>
          </w:p>
        </w:tc>
      </w:tr>
      <w:tr w:rsidR="000E18C9" w:rsidRPr="000E18C9" w:rsidTr="000E18C9">
        <w:tc>
          <w:tcPr>
            <w:tcW w:w="3688" w:type="dxa"/>
            <w:noWrap/>
            <w:vAlign w:val="bottom"/>
          </w:tcPr>
          <w:p w:rsidR="000E18C9" w:rsidRPr="000E18C9" w:rsidRDefault="000E18C9" w:rsidP="000E18C9">
            <w:pPr>
              <w:rPr>
                <w:rFonts w:ascii="Arial" w:hAnsi="Arial" w:cs="Arial"/>
                <w:noProof/>
                <w:color w:val="000000"/>
                <w:lang w:val="en-GB"/>
              </w:rPr>
            </w:pPr>
            <w:r w:rsidRPr="000E18C9">
              <w:rPr>
                <w:rFonts w:ascii="Arial" w:hAnsi="Arial" w:cs="Arial"/>
                <w:noProof/>
                <w:color w:val="000000"/>
                <w:lang w:val="en-GB"/>
              </w:rPr>
              <w:t>Common equity/total assets (%)</w:t>
            </w:r>
          </w:p>
        </w:tc>
        <w:tc>
          <w:tcPr>
            <w:tcW w:w="1008" w:type="dxa"/>
            <w:vAlign w:val="center"/>
          </w:tcPr>
          <w:p w:rsidR="000E18C9" w:rsidRPr="000E18C9" w:rsidRDefault="000E18C9" w:rsidP="000E18C9">
            <w:pPr>
              <w:jc w:val="right"/>
              <w:rPr>
                <w:rFonts w:ascii="Arial" w:hAnsi="Arial" w:cs="Arial"/>
                <w:noProof/>
                <w:color w:val="000000"/>
                <w:lang w:val="en-GB"/>
              </w:rPr>
            </w:pPr>
            <w:r w:rsidRPr="000E18C9">
              <w:rPr>
                <w:rFonts w:ascii="Arial" w:hAnsi="Arial" w:cs="Arial"/>
                <w:noProof/>
                <w:color w:val="000000"/>
                <w:lang w:val="en-GB"/>
              </w:rPr>
              <w:t>5.8</w:t>
            </w:r>
          </w:p>
        </w:tc>
        <w:tc>
          <w:tcPr>
            <w:tcW w:w="1008" w:type="dxa"/>
            <w:vAlign w:val="center"/>
          </w:tcPr>
          <w:p w:rsidR="000E18C9" w:rsidRPr="000E18C9" w:rsidRDefault="000E18C9" w:rsidP="000E18C9">
            <w:pPr>
              <w:jc w:val="right"/>
              <w:rPr>
                <w:rFonts w:ascii="Arial" w:hAnsi="Arial" w:cs="Arial"/>
                <w:noProof/>
                <w:color w:val="000000"/>
                <w:lang w:val="en-GB"/>
              </w:rPr>
            </w:pPr>
            <w:r w:rsidRPr="000E18C9">
              <w:rPr>
                <w:rFonts w:ascii="Arial" w:hAnsi="Arial" w:cs="Arial"/>
                <w:noProof/>
                <w:color w:val="000000"/>
                <w:lang w:val="en-GB"/>
              </w:rPr>
              <w:t>5.7</w:t>
            </w:r>
          </w:p>
        </w:tc>
        <w:tc>
          <w:tcPr>
            <w:tcW w:w="1008" w:type="dxa"/>
            <w:vAlign w:val="center"/>
          </w:tcPr>
          <w:p w:rsidR="000E18C9" w:rsidRPr="000E18C9" w:rsidRDefault="000E18C9" w:rsidP="000E18C9">
            <w:pPr>
              <w:jc w:val="right"/>
              <w:rPr>
                <w:rFonts w:ascii="Arial" w:hAnsi="Arial" w:cs="Arial"/>
                <w:noProof/>
                <w:color w:val="000000"/>
                <w:lang w:val="en-GB"/>
              </w:rPr>
            </w:pPr>
            <w:r w:rsidRPr="000E18C9">
              <w:rPr>
                <w:rFonts w:ascii="Arial" w:hAnsi="Arial" w:cs="Arial"/>
                <w:noProof/>
                <w:color w:val="000000"/>
                <w:lang w:val="en-GB"/>
              </w:rPr>
              <w:t>5.6</w:t>
            </w:r>
          </w:p>
        </w:tc>
        <w:tc>
          <w:tcPr>
            <w:tcW w:w="1008" w:type="dxa"/>
            <w:vAlign w:val="center"/>
          </w:tcPr>
          <w:p w:rsidR="000E18C9" w:rsidRPr="000E18C9" w:rsidRDefault="000E18C9" w:rsidP="000E18C9">
            <w:pPr>
              <w:jc w:val="right"/>
              <w:rPr>
                <w:rFonts w:ascii="Arial" w:hAnsi="Arial" w:cs="Arial"/>
                <w:noProof/>
                <w:color w:val="000000"/>
                <w:lang w:val="en-GB"/>
              </w:rPr>
            </w:pPr>
            <w:r w:rsidRPr="000E18C9">
              <w:rPr>
                <w:rFonts w:ascii="Arial" w:hAnsi="Arial" w:cs="Arial"/>
                <w:noProof/>
                <w:color w:val="000000"/>
                <w:lang w:val="en-GB"/>
              </w:rPr>
              <w:t>5.4</w:t>
            </w:r>
          </w:p>
        </w:tc>
        <w:tc>
          <w:tcPr>
            <w:tcW w:w="1008" w:type="dxa"/>
            <w:vAlign w:val="center"/>
          </w:tcPr>
          <w:p w:rsidR="000E18C9" w:rsidRPr="000E18C9" w:rsidRDefault="000E18C9" w:rsidP="000E18C9">
            <w:pPr>
              <w:jc w:val="right"/>
              <w:rPr>
                <w:rFonts w:ascii="Arial" w:hAnsi="Arial" w:cs="Arial"/>
                <w:noProof/>
                <w:color w:val="000000"/>
                <w:lang w:val="en-GB"/>
              </w:rPr>
            </w:pPr>
            <w:r w:rsidRPr="000E18C9">
              <w:rPr>
                <w:rFonts w:ascii="Arial" w:hAnsi="Arial" w:cs="Arial"/>
                <w:noProof/>
                <w:color w:val="000000"/>
                <w:lang w:val="en-GB"/>
              </w:rPr>
              <w:t>5.3</w:t>
            </w:r>
          </w:p>
        </w:tc>
        <w:tc>
          <w:tcPr>
            <w:tcW w:w="1008" w:type="dxa"/>
            <w:vAlign w:val="center"/>
          </w:tcPr>
          <w:p w:rsidR="000E18C9" w:rsidRPr="000E18C9" w:rsidRDefault="000E18C9" w:rsidP="000E18C9">
            <w:pPr>
              <w:jc w:val="right"/>
              <w:rPr>
                <w:rFonts w:ascii="Arial" w:hAnsi="Arial" w:cs="Arial"/>
                <w:bCs/>
                <w:noProof/>
                <w:color w:val="000000"/>
                <w:lang w:val="en-GB"/>
              </w:rPr>
            </w:pPr>
            <w:r w:rsidRPr="000E18C9">
              <w:rPr>
                <w:rFonts w:ascii="Arial" w:hAnsi="Arial" w:cs="Arial"/>
                <w:bCs/>
                <w:noProof/>
                <w:color w:val="000000"/>
                <w:lang w:val="en-GB"/>
              </w:rPr>
              <w:t>5.6</w:t>
            </w:r>
          </w:p>
        </w:tc>
      </w:tr>
      <w:tr w:rsidR="000E18C9" w:rsidRPr="000E18C9" w:rsidTr="000E18C9">
        <w:tc>
          <w:tcPr>
            <w:tcW w:w="3688" w:type="dxa"/>
            <w:noWrap/>
            <w:vAlign w:val="bottom"/>
          </w:tcPr>
          <w:p w:rsidR="000E18C9" w:rsidRPr="000E18C9" w:rsidRDefault="000E18C9" w:rsidP="000E18C9">
            <w:pPr>
              <w:rPr>
                <w:rFonts w:ascii="Arial" w:hAnsi="Arial" w:cs="Arial"/>
                <w:noProof/>
                <w:color w:val="000000"/>
                <w:lang w:val="en-GB"/>
              </w:rPr>
            </w:pPr>
            <w:r w:rsidRPr="000E18C9">
              <w:rPr>
                <w:rFonts w:ascii="Arial" w:hAnsi="Arial" w:cs="Arial"/>
                <w:noProof/>
                <w:color w:val="000000"/>
                <w:lang w:val="en-GB"/>
              </w:rPr>
              <w:t>Common equity tier 1 ratio (%)</w:t>
            </w:r>
          </w:p>
        </w:tc>
        <w:tc>
          <w:tcPr>
            <w:tcW w:w="1008" w:type="dxa"/>
            <w:vAlign w:val="center"/>
          </w:tcPr>
          <w:p w:rsidR="000E18C9" w:rsidRPr="000E18C9" w:rsidRDefault="000E18C9" w:rsidP="000E18C9">
            <w:pPr>
              <w:jc w:val="right"/>
              <w:rPr>
                <w:rFonts w:ascii="Arial" w:hAnsi="Arial" w:cs="Arial"/>
                <w:noProof/>
                <w:color w:val="000000"/>
                <w:lang w:val="en-GB"/>
              </w:rPr>
            </w:pPr>
            <w:r w:rsidRPr="000E18C9">
              <w:rPr>
                <w:rFonts w:ascii="Arial" w:hAnsi="Arial" w:cs="Arial"/>
                <w:noProof/>
                <w:color w:val="000000"/>
                <w:lang w:val="en-GB"/>
              </w:rPr>
              <w:t>10.4</w:t>
            </w:r>
          </w:p>
        </w:tc>
        <w:tc>
          <w:tcPr>
            <w:tcW w:w="1008" w:type="dxa"/>
            <w:vAlign w:val="center"/>
          </w:tcPr>
          <w:p w:rsidR="000E18C9" w:rsidRPr="000E18C9" w:rsidRDefault="000E18C9" w:rsidP="000E18C9">
            <w:pPr>
              <w:jc w:val="right"/>
              <w:rPr>
                <w:rFonts w:ascii="Arial" w:hAnsi="Arial" w:cs="Arial"/>
                <w:noProof/>
                <w:color w:val="000000"/>
                <w:lang w:val="en-GB"/>
              </w:rPr>
            </w:pPr>
            <w:r w:rsidRPr="000E18C9">
              <w:rPr>
                <w:rFonts w:ascii="Arial" w:hAnsi="Arial" w:cs="Arial"/>
                <w:noProof/>
                <w:color w:val="000000"/>
                <w:lang w:val="en-GB"/>
              </w:rPr>
              <w:t>9.9</w:t>
            </w:r>
          </w:p>
        </w:tc>
        <w:tc>
          <w:tcPr>
            <w:tcW w:w="1008" w:type="dxa"/>
            <w:vAlign w:val="center"/>
          </w:tcPr>
          <w:p w:rsidR="000E18C9" w:rsidRPr="000E18C9" w:rsidRDefault="000E18C9" w:rsidP="000E18C9">
            <w:pPr>
              <w:jc w:val="right"/>
              <w:rPr>
                <w:rFonts w:ascii="Arial" w:hAnsi="Arial" w:cs="Arial"/>
                <w:noProof/>
                <w:color w:val="000000"/>
                <w:lang w:val="en-GB"/>
              </w:rPr>
            </w:pPr>
            <w:r w:rsidRPr="000E18C9">
              <w:rPr>
                <w:rFonts w:ascii="Arial" w:hAnsi="Arial" w:cs="Arial"/>
                <w:noProof/>
                <w:color w:val="000000"/>
                <w:lang w:val="en-GB"/>
              </w:rPr>
              <w:t>9.4</w:t>
            </w:r>
          </w:p>
        </w:tc>
        <w:tc>
          <w:tcPr>
            <w:tcW w:w="1008" w:type="dxa"/>
            <w:vAlign w:val="center"/>
          </w:tcPr>
          <w:p w:rsidR="000E18C9" w:rsidRPr="000E18C9" w:rsidRDefault="000E18C9" w:rsidP="000E18C9">
            <w:pPr>
              <w:jc w:val="right"/>
              <w:rPr>
                <w:rFonts w:ascii="Arial" w:hAnsi="Arial" w:cs="Arial"/>
                <w:noProof/>
                <w:color w:val="000000"/>
                <w:lang w:val="en-GB"/>
              </w:rPr>
            </w:pPr>
            <w:r w:rsidRPr="000E18C9">
              <w:rPr>
                <w:rFonts w:ascii="Arial" w:hAnsi="Arial" w:cs="Arial"/>
                <w:noProof/>
                <w:color w:val="000000"/>
                <w:lang w:val="en-GB"/>
              </w:rPr>
              <w:t>9.0</w:t>
            </w:r>
          </w:p>
        </w:tc>
        <w:tc>
          <w:tcPr>
            <w:tcW w:w="1008" w:type="dxa"/>
            <w:vAlign w:val="center"/>
          </w:tcPr>
          <w:p w:rsidR="000E18C9" w:rsidRPr="000E18C9" w:rsidRDefault="000E18C9" w:rsidP="000E18C9">
            <w:pPr>
              <w:jc w:val="right"/>
              <w:rPr>
                <w:rFonts w:ascii="Arial" w:hAnsi="Arial" w:cs="Arial"/>
                <w:noProof/>
                <w:color w:val="000000"/>
                <w:lang w:val="en-GB"/>
              </w:rPr>
            </w:pPr>
            <w:r w:rsidRPr="000E18C9">
              <w:rPr>
                <w:rFonts w:ascii="Arial" w:hAnsi="Arial" w:cs="Arial"/>
                <w:noProof/>
                <w:color w:val="000000"/>
                <w:lang w:val="en-GB"/>
              </w:rPr>
              <w:t>n.a.</w:t>
            </w:r>
          </w:p>
        </w:tc>
        <w:tc>
          <w:tcPr>
            <w:tcW w:w="1008" w:type="dxa"/>
            <w:vAlign w:val="center"/>
          </w:tcPr>
          <w:p w:rsidR="000E18C9" w:rsidRPr="000E18C9" w:rsidRDefault="000E18C9" w:rsidP="000E18C9">
            <w:pPr>
              <w:jc w:val="right"/>
              <w:rPr>
                <w:rFonts w:ascii="Arial" w:hAnsi="Arial" w:cs="Arial"/>
                <w:bCs/>
                <w:noProof/>
                <w:color w:val="000000"/>
                <w:lang w:val="en-GB"/>
              </w:rPr>
            </w:pPr>
            <w:r w:rsidRPr="000E18C9">
              <w:rPr>
                <w:rFonts w:ascii="Arial" w:hAnsi="Arial" w:cs="Arial"/>
                <w:bCs/>
                <w:noProof/>
                <w:color w:val="000000"/>
                <w:lang w:val="en-GB"/>
              </w:rPr>
              <w:t>9.7</w:t>
            </w:r>
          </w:p>
        </w:tc>
      </w:tr>
      <w:tr w:rsidR="000E18C9" w:rsidRPr="000E18C9" w:rsidTr="000E18C9">
        <w:tc>
          <w:tcPr>
            <w:tcW w:w="3688" w:type="dxa"/>
            <w:noWrap/>
            <w:vAlign w:val="bottom"/>
          </w:tcPr>
          <w:p w:rsidR="000E18C9" w:rsidRPr="000E18C9" w:rsidRDefault="000E18C9" w:rsidP="000E18C9">
            <w:pPr>
              <w:rPr>
                <w:rFonts w:ascii="Arial" w:hAnsi="Arial" w:cs="Arial"/>
                <w:noProof/>
                <w:color w:val="000000"/>
                <w:lang w:val="en-GB"/>
              </w:rPr>
            </w:pPr>
            <w:r w:rsidRPr="000E18C9">
              <w:rPr>
                <w:rFonts w:ascii="Arial" w:hAnsi="Arial" w:cs="Arial"/>
                <w:noProof/>
                <w:color w:val="000000"/>
                <w:lang w:val="en-GB"/>
              </w:rPr>
              <w:t>Tier 1 ratio (%), all-in basis</w:t>
            </w:r>
          </w:p>
        </w:tc>
        <w:tc>
          <w:tcPr>
            <w:tcW w:w="1008" w:type="dxa"/>
            <w:vAlign w:val="center"/>
          </w:tcPr>
          <w:p w:rsidR="000E18C9" w:rsidRPr="000E18C9" w:rsidRDefault="000E18C9" w:rsidP="000E18C9">
            <w:pPr>
              <w:jc w:val="right"/>
              <w:rPr>
                <w:rFonts w:ascii="Arial" w:hAnsi="Arial" w:cs="Arial"/>
                <w:noProof/>
                <w:color w:val="000000"/>
                <w:lang w:val="en-GB"/>
              </w:rPr>
            </w:pPr>
            <w:r w:rsidRPr="000E18C9">
              <w:rPr>
                <w:rFonts w:ascii="Arial" w:hAnsi="Arial" w:cs="Arial"/>
                <w:noProof/>
                <w:color w:val="000000"/>
                <w:lang w:val="en-GB"/>
              </w:rPr>
              <w:t>12.2</w:t>
            </w:r>
          </w:p>
        </w:tc>
        <w:tc>
          <w:tcPr>
            <w:tcW w:w="1008" w:type="dxa"/>
            <w:vAlign w:val="center"/>
          </w:tcPr>
          <w:p w:rsidR="000E18C9" w:rsidRPr="000E18C9" w:rsidRDefault="000E18C9" w:rsidP="000E18C9">
            <w:pPr>
              <w:jc w:val="right"/>
              <w:rPr>
                <w:rFonts w:ascii="Arial" w:hAnsi="Arial" w:cs="Arial"/>
                <w:noProof/>
                <w:color w:val="000000"/>
                <w:lang w:val="en-GB"/>
              </w:rPr>
            </w:pPr>
            <w:r w:rsidRPr="000E18C9">
              <w:rPr>
                <w:rFonts w:ascii="Arial" w:hAnsi="Arial" w:cs="Arial"/>
                <w:noProof/>
                <w:color w:val="000000"/>
                <w:lang w:val="en-GB"/>
              </w:rPr>
              <w:t>11.3</w:t>
            </w:r>
          </w:p>
        </w:tc>
        <w:tc>
          <w:tcPr>
            <w:tcW w:w="1008" w:type="dxa"/>
            <w:vAlign w:val="center"/>
          </w:tcPr>
          <w:p w:rsidR="000E18C9" w:rsidRPr="000E18C9" w:rsidRDefault="000E18C9" w:rsidP="000E18C9">
            <w:pPr>
              <w:jc w:val="right"/>
              <w:rPr>
                <w:rFonts w:ascii="Arial" w:hAnsi="Arial" w:cs="Arial"/>
                <w:noProof/>
                <w:color w:val="000000"/>
                <w:lang w:val="en-GB"/>
              </w:rPr>
            </w:pPr>
            <w:r w:rsidRPr="000E18C9">
              <w:rPr>
                <w:rFonts w:ascii="Arial" w:hAnsi="Arial" w:cs="Arial"/>
                <w:noProof/>
                <w:color w:val="000000"/>
                <w:lang w:val="en-GB"/>
              </w:rPr>
              <w:t>10.9</w:t>
            </w:r>
          </w:p>
        </w:tc>
        <w:tc>
          <w:tcPr>
            <w:tcW w:w="1008" w:type="dxa"/>
            <w:vAlign w:val="center"/>
          </w:tcPr>
          <w:p w:rsidR="000E18C9" w:rsidRPr="000E18C9" w:rsidRDefault="000E18C9" w:rsidP="000E18C9">
            <w:pPr>
              <w:jc w:val="right"/>
              <w:rPr>
                <w:rFonts w:ascii="Arial" w:hAnsi="Arial" w:cs="Arial"/>
                <w:noProof/>
                <w:color w:val="000000"/>
                <w:lang w:val="en-GB"/>
              </w:rPr>
            </w:pPr>
            <w:r w:rsidRPr="000E18C9">
              <w:rPr>
                <w:rFonts w:ascii="Arial" w:hAnsi="Arial" w:cs="Arial"/>
                <w:noProof/>
                <w:color w:val="000000"/>
                <w:lang w:val="en-GB"/>
              </w:rPr>
              <w:t>11.0</w:t>
            </w:r>
          </w:p>
        </w:tc>
        <w:tc>
          <w:tcPr>
            <w:tcW w:w="1008" w:type="dxa"/>
            <w:vAlign w:val="center"/>
          </w:tcPr>
          <w:p w:rsidR="000E18C9" w:rsidRPr="000E18C9" w:rsidRDefault="000E18C9" w:rsidP="000E18C9">
            <w:pPr>
              <w:jc w:val="right"/>
              <w:rPr>
                <w:rFonts w:ascii="Arial" w:hAnsi="Arial" w:cs="Arial"/>
                <w:noProof/>
                <w:color w:val="000000"/>
                <w:lang w:val="en-GB"/>
              </w:rPr>
            </w:pPr>
            <w:r w:rsidRPr="000E18C9">
              <w:rPr>
                <w:rFonts w:ascii="Arial" w:hAnsi="Arial" w:cs="Arial"/>
                <w:noProof/>
                <w:color w:val="000000"/>
                <w:lang w:val="en-GB"/>
              </w:rPr>
              <w:t>12.6</w:t>
            </w:r>
          </w:p>
        </w:tc>
        <w:tc>
          <w:tcPr>
            <w:tcW w:w="1008" w:type="dxa"/>
            <w:vAlign w:val="center"/>
          </w:tcPr>
          <w:p w:rsidR="000E18C9" w:rsidRPr="000E18C9" w:rsidRDefault="000E18C9" w:rsidP="000E18C9">
            <w:pPr>
              <w:jc w:val="right"/>
              <w:rPr>
                <w:rFonts w:ascii="Arial" w:hAnsi="Arial" w:cs="Arial"/>
                <w:bCs/>
                <w:noProof/>
                <w:color w:val="000000"/>
                <w:lang w:val="en-GB"/>
              </w:rPr>
            </w:pPr>
            <w:r w:rsidRPr="000E18C9">
              <w:rPr>
                <w:rFonts w:ascii="Arial" w:hAnsi="Arial" w:cs="Arial"/>
                <w:bCs/>
                <w:noProof/>
                <w:color w:val="000000"/>
                <w:lang w:val="en-GB"/>
              </w:rPr>
              <w:t>11.6</w:t>
            </w:r>
          </w:p>
        </w:tc>
      </w:tr>
      <w:tr w:rsidR="000E18C9" w:rsidRPr="000E18C9" w:rsidTr="000E18C9">
        <w:tc>
          <w:tcPr>
            <w:tcW w:w="3688" w:type="dxa"/>
            <w:noWrap/>
            <w:vAlign w:val="bottom"/>
          </w:tcPr>
          <w:p w:rsidR="000E18C9" w:rsidRPr="000E18C9" w:rsidRDefault="000E18C9" w:rsidP="000E18C9">
            <w:pPr>
              <w:rPr>
                <w:rFonts w:ascii="Arial" w:hAnsi="Arial" w:cs="Arial"/>
                <w:noProof/>
                <w:color w:val="000000"/>
                <w:lang w:val="en-GB"/>
              </w:rPr>
            </w:pPr>
            <w:r w:rsidRPr="000E18C9">
              <w:rPr>
                <w:rFonts w:ascii="Arial" w:hAnsi="Arial" w:cs="Arial"/>
                <w:noProof/>
                <w:color w:val="000000"/>
                <w:lang w:val="en-GB"/>
              </w:rPr>
              <w:t>Total capital ratio (%), all-in basis</w:t>
            </w:r>
          </w:p>
        </w:tc>
        <w:tc>
          <w:tcPr>
            <w:tcW w:w="1008" w:type="dxa"/>
            <w:vAlign w:val="center"/>
          </w:tcPr>
          <w:p w:rsidR="000E18C9" w:rsidRPr="000E18C9" w:rsidRDefault="000E18C9" w:rsidP="000E18C9">
            <w:pPr>
              <w:jc w:val="right"/>
              <w:rPr>
                <w:rFonts w:ascii="Arial" w:hAnsi="Arial" w:cs="Arial"/>
                <w:noProof/>
                <w:color w:val="000000"/>
                <w:lang w:val="en-GB"/>
              </w:rPr>
            </w:pPr>
            <w:r w:rsidRPr="000E18C9">
              <w:rPr>
                <w:rFonts w:ascii="Arial" w:hAnsi="Arial" w:cs="Arial"/>
                <w:noProof/>
                <w:color w:val="000000"/>
                <w:lang w:val="en-GB"/>
              </w:rPr>
              <w:t>15.2</w:t>
            </w:r>
          </w:p>
        </w:tc>
        <w:tc>
          <w:tcPr>
            <w:tcW w:w="1008" w:type="dxa"/>
            <w:vAlign w:val="center"/>
          </w:tcPr>
          <w:p w:rsidR="000E18C9" w:rsidRPr="000E18C9" w:rsidRDefault="000E18C9" w:rsidP="000E18C9">
            <w:pPr>
              <w:jc w:val="right"/>
              <w:rPr>
                <w:rFonts w:ascii="Arial" w:hAnsi="Arial" w:cs="Arial"/>
                <w:noProof/>
                <w:color w:val="000000"/>
                <w:lang w:val="en-GB"/>
              </w:rPr>
            </w:pPr>
            <w:r w:rsidRPr="000E18C9">
              <w:rPr>
                <w:rFonts w:ascii="Arial" w:hAnsi="Arial" w:cs="Arial"/>
                <w:noProof/>
                <w:color w:val="000000"/>
                <w:lang w:val="en-GB"/>
              </w:rPr>
              <w:t>14.0</w:t>
            </w:r>
          </w:p>
        </w:tc>
        <w:tc>
          <w:tcPr>
            <w:tcW w:w="1008" w:type="dxa"/>
            <w:vAlign w:val="center"/>
          </w:tcPr>
          <w:p w:rsidR="000E18C9" w:rsidRPr="000E18C9" w:rsidRDefault="000E18C9" w:rsidP="000E18C9">
            <w:pPr>
              <w:jc w:val="right"/>
              <w:rPr>
                <w:rFonts w:ascii="Arial" w:hAnsi="Arial" w:cs="Arial"/>
                <w:noProof/>
                <w:color w:val="000000"/>
                <w:lang w:val="en-GB"/>
              </w:rPr>
            </w:pPr>
            <w:r w:rsidRPr="000E18C9">
              <w:rPr>
                <w:rFonts w:ascii="Arial" w:hAnsi="Arial" w:cs="Arial"/>
                <w:noProof/>
                <w:color w:val="000000"/>
                <w:lang w:val="en-GB"/>
              </w:rPr>
              <w:t>13.4</w:t>
            </w:r>
          </w:p>
        </w:tc>
        <w:tc>
          <w:tcPr>
            <w:tcW w:w="1008" w:type="dxa"/>
            <w:vAlign w:val="center"/>
          </w:tcPr>
          <w:p w:rsidR="000E18C9" w:rsidRPr="000E18C9" w:rsidRDefault="000E18C9" w:rsidP="000E18C9">
            <w:pPr>
              <w:jc w:val="right"/>
              <w:rPr>
                <w:rFonts w:ascii="Arial" w:hAnsi="Arial" w:cs="Arial"/>
                <w:noProof/>
                <w:color w:val="000000"/>
                <w:lang w:val="en-GB"/>
              </w:rPr>
            </w:pPr>
            <w:r w:rsidRPr="000E18C9">
              <w:rPr>
                <w:rFonts w:ascii="Arial" w:hAnsi="Arial" w:cs="Arial"/>
                <w:noProof/>
                <w:color w:val="000000"/>
                <w:lang w:val="en-GB"/>
              </w:rPr>
              <w:t>14.2</w:t>
            </w:r>
          </w:p>
        </w:tc>
        <w:tc>
          <w:tcPr>
            <w:tcW w:w="1008" w:type="dxa"/>
            <w:vAlign w:val="center"/>
          </w:tcPr>
          <w:p w:rsidR="000E18C9" w:rsidRPr="000E18C9" w:rsidRDefault="000E18C9" w:rsidP="000E18C9">
            <w:pPr>
              <w:jc w:val="right"/>
              <w:rPr>
                <w:rFonts w:ascii="Arial" w:hAnsi="Arial" w:cs="Arial"/>
                <w:noProof/>
                <w:color w:val="000000"/>
                <w:lang w:val="en-GB"/>
              </w:rPr>
            </w:pPr>
            <w:r w:rsidRPr="000E18C9">
              <w:rPr>
                <w:rFonts w:ascii="Arial" w:hAnsi="Arial" w:cs="Arial"/>
                <w:noProof/>
                <w:color w:val="000000"/>
                <w:lang w:val="en-GB"/>
              </w:rPr>
              <w:t>15.7</w:t>
            </w:r>
          </w:p>
        </w:tc>
        <w:tc>
          <w:tcPr>
            <w:tcW w:w="1008" w:type="dxa"/>
            <w:vAlign w:val="center"/>
          </w:tcPr>
          <w:p w:rsidR="000E18C9" w:rsidRPr="000E18C9" w:rsidRDefault="000E18C9" w:rsidP="000E18C9">
            <w:pPr>
              <w:jc w:val="right"/>
              <w:rPr>
                <w:rFonts w:ascii="Arial" w:hAnsi="Arial" w:cs="Arial"/>
                <w:bCs/>
                <w:noProof/>
                <w:color w:val="000000"/>
                <w:lang w:val="en-GB"/>
              </w:rPr>
            </w:pPr>
            <w:r w:rsidRPr="000E18C9">
              <w:rPr>
                <w:rFonts w:ascii="Arial" w:hAnsi="Arial" w:cs="Arial"/>
                <w:bCs/>
                <w:noProof/>
                <w:color w:val="000000"/>
                <w:lang w:val="en-GB"/>
              </w:rPr>
              <w:t>14.5</w:t>
            </w:r>
          </w:p>
        </w:tc>
      </w:tr>
      <w:tr w:rsidR="000E18C9" w:rsidRPr="000E18C9" w:rsidTr="000E18C9">
        <w:tc>
          <w:tcPr>
            <w:tcW w:w="3688" w:type="dxa"/>
            <w:noWrap/>
            <w:vAlign w:val="bottom"/>
          </w:tcPr>
          <w:p w:rsidR="000E18C9" w:rsidRPr="000E18C9" w:rsidRDefault="000E18C9" w:rsidP="000E18C9">
            <w:pPr>
              <w:rPr>
                <w:rFonts w:ascii="Arial" w:hAnsi="Arial" w:cs="Arial"/>
                <w:noProof/>
                <w:color w:val="000000"/>
                <w:lang w:val="en-GB"/>
              </w:rPr>
            </w:pPr>
          </w:p>
        </w:tc>
        <w:tc>
          <w:tcPr>
            <w:tcW w:w="1008" w:type="dxa"/>
            <w:vAlign w:val="center"/>
          </w:tcPr>
          <w:p w:rsidR="000E18C9" w:rsidRPr="000E18C9" w:rsidRDefault="000E18C9" w:rsidP="000E18C9">
            <w:pPr>
              <w:jc w:val="right"/>
              <w:rPr>
                <w:rFonts w:ascii="Arial" w:hAnsi="Arial" w:cs="Arial"/>
                <w:noProof/>
                <w:color w:val="000000"/>
                <w:lang w:val="en-GB"/>
              </w:rPr>
            </w:pPr>
          </w:p>
        </w:tc>
        <w:tc>
          <w:tcPr>
            <w:tcW w:w="1008" w:type="dxa"/>
            <w:vAlign w:val="center"/>
          </w:tcPr>
          <w:p w:rsidR="000E18C9" w:rsidRPr="000E18C9" w:rsidRDefault="000E18C9" w:rsidP="000E18C9">
            <w:pPr>
              <w:jc w:val="right"/>
              <w:rPr>
                <w:rFonts w:ascii="Arial" w:hAnsi="Arial" w:cs="Arial"/>
                <w:noProof/>
                <w:color w:val="000000"/>
                <w:lang w:val="en-GB"/>
              </w:rPr>
            </w:pPr>
          </w:p>
        </w:tc>
        <w:tc>
          <w:tcPr>
            <w:tcW w:w="1008" w:type="dxa"/>
            <w:vAlign w:val="center"/>
          </w:tcPr>
          <w:p w:rsidR="000E18C9" w:rsidRPr="000E18C9" w:rsidRDefault="000E18C9" w:rsidP="000E18C9">
            <w:pPr>
              <w:jc w:val="right"/>
              <w:rPr>
                <w:rFonts w:ascii="Arial" w:hAnsi="Arial" w:cs="Arial"/>
                <w:noProof/>
                <w:color w:val="000000"/>
                <w:lang w:val="en-GB"/>
              </w:rPr>
            </w:pPr>
          </w:p>
        </w:tc>
        <w:tc>
          <w:tcPr>
            <w:tcW w:w="1008" w:type="dxa"/>
            <w:vAlign w:val="center"/>
          </w:tcPr>
          <w:p w:rsidR="000E18C9" w:rsidRPr="000E18C9" w:rsidRDefault="000E18C9" w:rsidP="000E18C9">
            <w:pPr>
              <w:jc w:val="right"/>
              <w:rPr>
                <w:rFonts w:ascii="Arial" w:hAnsi="Arial" w:cs="Arial"/>
                <w:noProof/>
                <w:color w:val="000000"/>
                <w:lang w:val="en-GB"/>
              </w:rPr>
            </w:pPr>
          </w:p>
        </w:tc>
        <w:tc>
          <w:tcPr>
            <w:tcW w:w="1008" w:type="dxa"/>
            <w:vAlign w:val="center"/>
          </w:tcPr>
          <w:p w:rsidR="000E18C9" w:rsidRPr="000E18C9" w:rsidRDefault="000E18C9" w:rsidP="000E18C9">
            <w:pPr>
              <w:jc w:val="right"/>
              <w:rPr>
                <w:rFonts w:ascii="Arial" w:hAnsi="Arial" w:cs="Arial"/>
                <w:noProof/>
                <w:color w:val="000000"/>
                <w:lang w:val="en-GB"/>
              </w:rPr>
            </w:pPr>
          </w:p>
        </w:tc>
        <w:tc>
          <w:tcPr>
            <w:tcW w:w="1008" w:type="dxa"/>
          </w:tcPr>
          <w:p w:rsidR="000E18C9" w:rsidRPr="000E18C9" w:rsidRDefault="000E18C9" w:rsidP="000E18C9">
            <w:pPr>
              <w:jc w:val="right"/>
              <w:rPr>
                <w:rFonts w:ascii="Arial" w:hAnsi="Arial" w:cs="Arial"/>
                <w:bCs/>
                <w:noProof/>
                <w:color w:val="000000"/>
                <w:lang w:val="en-GB"/>
              </w:rPr>
            </w:pPr>
          </w:p>
        </w:tc>
      </w:tr>
      <w:tr w:rsidR="000E18C9" w:rsidRPr="000E18C9" w:rsidTr="000E18C9">
        <w:tc>
          <w:tcPr>
            <w:tcW w:w="3688" w:type="dxa"/>
            <w:noWrap/>
            <w:vAlign w:val="bottom"/>
          </w:tcPr>
          <w:p w:rsidR="000E18C9" w:rsidRPr="000E18C9" w:rsidRDefault="000E18C9" w:rsidP="000E18C9">
            <w:pPr>
              <w:rPr>
                <w:rFonts w:ascii="Arial" w:hAnsi="Arial" w:cs="Arial"/>
                <w:b/>
                <w:noProof/>
                <w:color w:val="000000"/>
                <w:lang w:val="en-GB"/>
              </w:rPr>
            </w:pPr>
            <w:r w:rsidRPr="000E18C9">
              <w:rPr>
                <w:rFonts w:ascii="Arial" w:hAnsi="Arial" w:cs="Arial"/>
                <w:b/>
                <w:noProof/>
                <w:color w:val="000000"/>
                <w:lang w:val="en-GB"/>
              </w:rPr>
              <w:t>FINANCIAL PERFORMANCE:</w:t>
            </w:r>
          </w:p>
        </w:tc>
        <w:tc>
          <w:tcPr>
            <w:tcW w:w="1008" w:type="dxa"/>
            <w:vAlign w:val="center"/>
          </w:tcPr>
          <w:p w:rsidR="000E18C9" w:rsidRPr="000E18C9" w:rsidRDefault="000E18C9" w:rsidP="000E18C9">
            <w:pPr>
              <w:jc w:val="right"/>
              <w:rPr>
                <w:rFonts w:ascii="Arial" w:hAnsi="Arial" w:cs="Arial"/>
                <w:b/>
                <w:noProof/>
                <w:color w:val="000000"/>
                <w:lang w:val="en-GB"/>
              </w:rPr>
            </w:pPr>
          </w:p>
        </w:tc>
        <w:tc>
          <w:tcPr>
            <w:tcW w:w="1008" w:type="dxa"/>
            <w:vAlign w:val="center"/>
          </w:tcPr>
          <w:p w:rsidR="000E18C9" w:rsidRPr="000E18C9" w:rsidRDefault="000E18C9" w:rsidP="000E18C9">
            <w:pPr>
              <w:jc w:val="right"/>
              <w:rPr>
                <w:rFonts w:ascii="Arial" w:hAnsi="Arial" w:cs="Arial"/>
                <w:b/>
                <w:noProof/>
                <w:color w:val="000000"/>
                <w:lang w:val="en-GB"/>
              </w:rPr>
            </w:pPr>
          </w:p>
        </w:tc>
        <w:tc>
          <w:tcPr>
            <w:tcW w:w="1008" w:type="dxa"/>
            <w:vAlign w:val="center"/>
          </w:tcPr>
          <w:p w:rsidR="000E18C9" w:rsidRPr="000E18C9" w:rsidRDefault="000E18C9" w:rsidP="000E18C9">
            <w:pPr>
              <w:jc w:val="right"/>
              <w:rPr>
                <w:rFonts w:ascii="Arial" w:hAnsi="Arial" w:cs="Arial"/>
                <w:b/>
                <w:noProof/>
                <w:color w:val="000000"/>
                <w:lang w:val="en-GB"/>
              </w:rPr>
            </w:pPr>
          </w:p>
        </w:tc>
        <w:tc>
          <w:tcPr>
            <w:tcW w:w="1008" w:type="dxa"/>
            <w:vAlign w:val="center"/>
          </w:tcPr>
          <w:p w:rsidR="000E18C9" w:rsidRPr="000E18C9" w:rsidRDefault="000E18C9" w:rsidP="000E18C9">
            <w:pPr>
              <w:jc w:val="right"/>
              <w:rPr>
                <w:rFonts w:ascii="Arial" w:hAnsi="Arial" w:cs="Arial"/>
                <w:noProof/>
                <w:color w:val="000000"/>
                <w:lang w:val="en-GB"/>
              </w:rPr>
            </w:pPr>
          </w:p>
        </w:tc>
        <w:tc>
          <w:tcPr>
            <w:tcW w:w="1008" w:type="dxa"/>
            <w:vAlign w:val="center"/>
          </w:tcPr>
          <w:p w:rsidR="000E18C9" w:rsidRPr="000E18C9" w:rsidRDefault="000E18C9" w:rsidP="000E18C9">
            <w:pPr>
              <w:jc w:val="right"/>
              <w:rPr>
                <w:rFonts w:ascii="Arial" w:hAnsi="Arial" w:cs="Arial"/>
                <w:noProof/>
                <w:color w:val="000000"/>
                <w:lang w:val="en-GB"/>
              </w:rPr>
            </w:pPr>
          </w:p>
        </w:tc>
        <w:tc>
          <w:tcPr>
            <w:tcW w:w="1008" w:type="dxa"/>
          </w:tcPr>
          <w:p w:rsidR="000E18C9" w:rsidRPr="000E18C9" w:rsidRDefault="000E18C9" w:rsidP="000E18C9">
            <w:pPr>
              <w:jc w:val="right"/>
              <w:rPr>
                <w:rFonts w:ascii="Arial" w:hAnsi="Arial" w:cs="Arial"/>
                <w:bCs/>
                <w:noProof/>
                <w:color w:val="000000"/>
                <w:lang w:val="en-GB"/>
              </w:rPr>
            </w:pPr>
          </w:p>
        </w:tc>
      </w:tr>
      <w:tr w:rsidR="000E18C9" w:rsidRPr="000E18C9" w:rsidTr="000E18C9">
        <w:tc>
          <w:tcPr>
            <w:tcW w:w="3688" w:type="dxa"/>
            <w:noWrap/>
            <w:vAlign w:val="bottom"/>
          </w:tcPr>
          <w:p w:rsidR="000E18C9" w:rsidRPr="000E18C9" w:rsidRDefault="000E18C9" w:rsidP="005D45D2">
            <w:pPr>
              <w:rPr>
                <w:rFonts w:ascii="Arial" w:hAnsi="Arial" w:cs="Arial"/>
                <w:noProof/>
                <w:color w:val="000000"/>
                <w:lang w:val="en-GB"/>
              </w:rPr>
            </w:pPr>
            <w:r w:rsidRPr="000E18C9">
              <w:rPr>
                <w:rFonts w:ascii="Arial" w:hAnsi="Arial" w:cs="Arial"/>
                <w:noProof/>
                <w:color w:val="000000"/>
                <w:lang w:val="en-GB"/>
              </w:rPr>
              <w:t>Closing market price, FYE October 31</w:t>
            </w:r>
          </w:p>
        </w:tc>
        <w:tc>
          <w:tcPr>
            <w:tcW w:w="1008" w:type="dxa"/>
            <w:vAlign w:val="center"/>
          </w:tcPr>
          <w:p w:rsidR="000E18C9" w:rsidRPr="000E18C9" w:rsidRDefault="000E18C9" w:rsidP="000E18C9">
            <w:pPr>
              <w:jc w:val="right"/>
              <w:rPr>
                <w:rFonts w:ascii="Arial" w:hAnsi="Arial" w:cs="Arial"/>
                <w:noProof/>
                <w:color w:val="000000"/>
                <w:lang w:val="en-GB"/>
              </w:rPr>
            </w:pPr>
            <w:r w:rsidRPr="000E18C9">
              <w:rPr>
                <w:rFonts w:ascii="Arial" w:hAnsi="Arial" w:cs="Arial"/>
                <w:noProof/>
                <w:color w:val="000000"/>
                <w:lang w:val="en-GB"/>
              </w:rPr>
              <w:t xml:space="preserve">$60.86 </w:t>
            </w:r>
          </w:p>
        </w:tc>
        <w:tc>
          <w:tcPr>
            <w:tcW w:w="1008" w:type="dxa"/>
            <w:vAlign w:val="center"/>
          </w:tcPr>
          <w:p w:rsidR="000E18C9" w:rsidRPr="000E18C9" w:rsidRDefault="000E18C9" w:rsidP="000E18C9">
            <w:pPr>
              <w:jc w:val="right"/>
              <w:rPr>
                <w:rFonts w:ascii="Arial" w:hAnsi="Arial" w:cs="Arial"/>
                <w:noProof/>
                <w:color w:val="000000"/>
                <w:lang w:val="en-GB"/>
              </w:rPr>
            </w:pPr>
            <w:r w:rsidRPr="000E18C9">
              <w:rPr>
                <w:rFonts w:ascii="Arial" w:hAnsi="Arial" w:cs="Arial"/>
                <w:noProof/>
                <w:color w:val="000000"/>
                <w:lang w:val="en-GB"/>
              </w:rPr>
              <w:t xml:space="preserve">$53.68 </w:t>
            </w:r>
          </w:p>
        </w:tc>
        <w:tc>
          <w:tcPr>
            <w:tcW w:w="1008" w:type="dxa"/>
            <w:vAlign w:val="center"/>
          </w:tcPr>
          <w:p w:rsidR="000E18C9" w:rsidRPr="000E18C9" w:rsidRDefault="000E18C9" w:rsidP="000E18C9">
            <w:pPr>
              <w:jc w:val="right"/>
              <w:rPr>
                <w:rFonts w:ascii="Arial" w:hAnsi="Arial" w:cs="Arial"/>
                <w:noProof/>
                <w:color w:val="000000"/>
                <w:lang w:val="en-GB"/>
              </w:rPr>
            </w:pPr>
            <w:r w:rsidRPr="000E18C9">
              <w:rPr>
                <w:rFonts w:ascii="Arial" w:hAnsi="Arial" w:cs="Arial"/>
                <w:noProof/>
                <w:color w:val="000000"/>
                <w:lang w:val="en-GB"/>
              </w:rPr>
              <w:t xml:space="preserve">$55.47 </w:t>
            </w:r>
          </w:p>
        </w:tc>
        <w:tc>
          <w:tcPr>
            <w:tcW w:w="1008" w:type="dxa"/>
            <w:vAlign w:val="center"/>
          </w:tcPr>
          <w:p w:rsidR="000E18C9" w:rsidRPr="000E18C9" w:rsidRDefault="000E18C9" w:rsidP="000E18C9">
            <w:pPr>
              <w:jc w:val="right"/>
              <w:rPr>
                <w:rFonts w:ascii="Arial" w:hAnsi="Arial" w:cs="Arial"/>
                <w:noProof/>
                <w:color w:val="000000"/>
                <w:lang w:val="en-GB"/>
              </w:rPr>
            </w:pPr>
            <w:r w:rsidRPr="000E18C9">
              <w:rPr>
                <w:rFonts w:ascii="Arial" w:hAnsi="Arial" w:cs="Arial"/>
                <w:noProof/>
                <w:color w:val="000000"/>
                <w:lang w:val="en-GB"/>
              </w:rPr>
              <w:t xml:space="preserve">$47.82 </w:t>
            </w:r>
          </w:p>
        </w:tc>
        <w:tc>
          <w:tcPr>
            <w:tcW w:w="1008" w:type="dxa"/>
            <w:vAlign w:val="center"/>
          </w:tcPr>
          <w:p w:rsidR="000E18C9" w:rsidRPr="000E18C9" w:rsidRDefault="000E18C9" w:rsidP="000E18C9">
            <w:pPr>
              <w:jc w:val="right"/>
              <w:rPr>
                <w:rFonts w:ascii="Arial" w:hAnsi="Arial" w:cs="Arial"/>
                <w:noProof/>
                <w:color w:val="000000"/>
                <w:lang w:val="en-GB"/>
              </w:rPr>
            </w:pPr>
            <w:r w:rsidRPr="000E18C9">
              <w:rPr>
                <w:rFonts w:ascii="Arial" w:hAnsi="Arial" w:cs="Arial"/>
                <w:noProof/>
                <w:color w:val="000000"/>
                <w:lang w:val="en-GB"/>
              </w:rPr>
              <w:t xml:space="preserve">$40.62 </w:t>
            </w:r>
          </w:p>
        </w:tc>
        <w:tc>
          <w:tcPr>
            <w:tcW w:w="1008" w:type="dxa"/>
            <w:vAlign w:val="center"/>
          </w:tcPr>
          <w:p w:rsidR="000E18C9" w:rsidRPr="000E18C9" w:rsidRDefault="000E18C9" w:rsidP="000E18C9">
            <w:pPr>
              <w:jc w:val="right"/>
              <w:rPr>
                <w:rFonts w:ascii="Arial" w:hAnsi="Arial" w:cs="Arial"/>
                <w:bCs/>
                <w:noProof/>
                <w:color w:val="000000"/>
                <w:lang w:val="en-GB"/>
              </w:rPr>
            </w:pPr>
          </w:p>
        </w:tc>
      </w:tr>
      <w:tr w:rsidR="000E18C9" w:rsidRPr="000E18C9" w:rsidTr="000E18C9">
        <w:tc>
          <w:tcPr>
            <w:tcW w:w="3688" w:type="dxa"/>
            <w:noWrap/>
            <w:vAlign w:val="bottom"/>
          </w:tcPr>
          <w:p w:rsidR="000E18C9" w:rsidRPr="000E18C9" w:rsidRDefault="000E18C9" w:rsidP="000E18C9">
            <w:pPr>
              <w:rPr>
                <w:rFonts w:ascii="Arial" w:hAnsi="Arial" w:cs="Arial"/>
                <w:noProof/>
                <w:color w:val="000000"/>
                <w:lang w:val="en-GB"/>
              </w:rPr>
            </w:pPr>
            <w:r w:rsidRPr="000E18C9">
              <w:rPr>
                <w:rFonts w:ascii="Arial" w:hAnsi="Arial" w:cs="Arial"/>
                <w:noProof/>
                <w:color w:val="000000"/>
                <w:lang w:val="en-GB"/>
              </w:rPr>
              <w:t xml:space="preserve">Earnings per share (basic) </w:t>
            </w:r>
          </w:p>
        </w:tc>
        <w:tc>
          <w:tcPr>
            <w:tcW w:w="1008" w:type="dxa"/>
            <w:vAlign w:val="center"/>
          </w:tcPr>
          <w:p w:rsidR="000E18C9" w:rsidRPr="000E18C9" w:rsidRDefault="000E18C9" w:rsidP="000E18C9">
            <w:pPr>
              <w:jc w:val="right"/>
              <w:rPr>
                <w:rFonts w:ascii="Arial" w:hAnsi="Arial" w:cs="Arial"/>
                <w:noProof/>
                <w:color w:val="000000"/>
                <w:lang w:val="en-GB"/>
              </w:rPr>
            </w:pPr>
            <w:r w:rsidRPr="000E18C9">
              <w:rPr>
                <w:rFonts w:ascii="Arial" w:hAnsi="Arial" w:cs="Arial"/>
                <w:noProof/>
                <w:color w:val="000000"/>
                <w:lang w:val="en-GB"/>
              </w:rPr>
              <w:t xml:space="preserve">$4.88 </w:t>
            </w:r>
          </w:p>
        </w:tc>
        <w:tc>
          <w:tcPr>
            <w:tcW w:w="1008" w:type="dxa"/>
            <w:vAlign w:val="center"/>
          </w:tcPr>
          <w:p w:rsidR="000E18C9" w:rsidRPr="000E18C9" w:rsidRDefault="000E18C9" w:rsidP="000E18C9">
            <w:pPr>
              <w:jc w:val="right"/>
              <w:rPr>
                <w:rFonts w:ascii="Arial" w:hAnsi="Arial" w:cs="Arial"/>
                <w:noProof/>
                <w:color w:val="000000"/>
                <w:lang w:val="en-GB"/>
              </w:rPr>
            </w:pPr>
            <w:r w:rsidRPr="000E18C9">
              <w:rPr>
                <w:rFonts w:ascii="Arial" w:hAnsi="Arial" w:cs="Arial"/>
                <w:noProof/>
                <w:color w:val="000000"/>
                <w:lang w:val="en-GB"/>
              </w:rPr>
              <w:t xml:space="preserve">$4.62 </w:t>
            </w:r>
          </w:p>
        </w:tc>
        <w:tc>
          <w:tcPr>
            <w:tcW w:w="1008" w:type="dxa"/>
            <w:vAlign w:val="center"/>
          </w:tcPr>
          <w:p w:rsidR="000E18C9" w:rsidRPr="000E18C9" w:rsidRDefault="000E18C9" w:rsidP="000E18C9">
            <w:pPr>
              <w:jc w:val="right"/>
              <w:rPr>
                <w:rFonts w:ascii="Arial" w:hAnsi="Arial" w:cs="Arial"/>
                <w:noProof/>
                <w:color w:val="000000"/>
                <w:lang w:val="en-GB"/>
              </w:rPr>
            </w:pPr>
            <w:r w:rsidRPr="000E18C9">
              <w:rPr>
                <w:rFonts w:ascii="Arial" w:hAnsi="Arial" w:cs="Arial"/>
                <w:noProof/>
                <w:color w:val="000000"/>
                <w:lang w:val="en-GB"/>
              </w:rPr>
              <w:t xml:space="preserve">$4.28 </w:t>
            </w:r>
          </w:p>
        </w:tc>
        <w:tc>
          <w:tcPr>
            <w:tcW w:w="1008" w:type="dxa"/>
            <w:vAlign w:val="center"/>
          </w:tcPr>
          <w:p w:rsidR="000E18C9" w:rsidRPr="000E18C9" w:rsidRDefault="000E18C9" w:rsidP="000E18C9">
            <w:pPr>
              <w:jc w:val="right"/>
              <w:rPr>
                <w:rFonts w:ascii="Arial" w:hAnsi="Arial" w:cs="Arial"/>
                <w:noProof/>
                <w:color w:val="000000"/>
                <w:lang w:val="en-GB"/>
              </w:rPr>
            </w:pPr>
            <w:r w:rsidRPr="000E18C9">
              <w:rPr>
                <w:rFonts w:ascii="Arial" w:hAnsi="Arial" w:cs="Arial"/>
                <w:noProof/>
                <w:color w:val="000000"/>
                <w:lang w:val="en-GB"/>
              </w:rPr>
              <w:t xml:space="preserve">$3.72 </w:t>
            </w:r>
          </w:p>
        </w:tc>
        <w:tc>
          <w:tcPr>
            <w:tcW w:w="1008" w:type="dxa"/>
            <w:vAlign w:val="center"/>
          </w:tcPr>
          <w:p w:rsidR="000E18C9" w:rsidRPr="000E18C9" w:rsidRDefault="000E18C9" w:rsidP="000E18C9">
            <w:pPr>
              <w:jc w:val="right"/>
              <w:rPr>
                <w:rFonts w:ascii="Arial" w:hAnsi="Arial" w:cs="Arial"/>
                <w:noProof/>
                <w:color w:val="000000"/>
                <w:lang w:val="en-GB"/>
              </w:rPr>
            </w:pPr>
            <w:r w:rsidRPr="000E18C9">
              <w:rPr>
                <w:rFonts w:ascii="Arial" w:hAnsi="Arial" w:cs="Arial"/>
                <w:noProof/>
                <w:color w:val="000000"/>
                <w:lang w:val="en-GB"/>
              </w:rPr>
              <w:t xml:space="preserve">$3.73 </w:t>
            </w:r>
          </w:p>
        </w:tc>
        <w:tc>
          <w:tcPr>
            <w:tcW w:w="1008" w:type="dxa"/>
            <w:vAlign w:val="center"/>
          </w:tcPr>
          <w:p w:rsidR="000E18C9" w:rsidRPr="000E18C9" w:rsidRDefault="000E18C9" w:rsidP="000E18C9">
            <w:pPr>
              <w:jc w:val="right"/>
              <w:rPr>
                <w:rFonts w:ascii="Arial" w:hAnsi="Arial" w:cs="Arial"/>
                <w:bCs/>
                <w:noProof/>
                <w:color w:val="000000"/>
                <w:lang w:val="en-GB"/>
              </w:rPr>
            </w:pPr>
          </w:p>
        </w:tc>
      </w:tr>
      <w:tr w:rsidR="000E18C9" w:rsidRPr="000E18C9" w:rsidTr="000E18C9">
        <w:tc>
          <w:tcPr>
            <w:tcW w:w="3688" w:type="dxa"/>
            <w:noWrap/>
            <w:vAlign w:val="bottom"/>
          </w:tcPr>
          <w:p w:rsidR="000E18C9" w:rsidRPr="000E18C9" w:rsidRDefault="000E18C9" w:rsidP="000E18C9">
            <w:pPr>
              <w:rPr>
                <w:rFonts w:ascii="Arial" w:hAnsi="Arial" w:cs="Arial"/>
                <w:noProof/>
                <w:color w:val="000000"/>
                <w:lang w:val="en-GB"/>
              </w:rPr>
            </w:pPr>
            <w:r w:rsidRPr="000E18C9">
              <w:rPr>
                <w:rFonts w:ascii="Arial" w:hAnsi="Arial" w:cs="Arial"/>
                <w:noProof/>
                <w:color w:val="000000"/>
                <w:lang w:val="en-GB"/>
              </w:rPr>
              <w:t>Dividends per share</w:t>
            </w:r>
          </w:p>
        </w:tc>
        <w:tc>
          <w:tcPr>
            <w:tcW w:w="1008" w:type="dxa"/>
            <w:vAlign w:val="center"/>
          </w:tcPr>
          <w:p w:rsidR="000E18C9" w:rsidRPr="000E18C9" w:rsidRDefault="000E18C9" w:rsidP="000E18C9">
            <w:pPr>
              <w:jc w:val="right"/>
              <w:rPr>
                <w:rFonts w:ascii="Arial" w:hAnsi="Arial" w:cs="Arial"/>
                <w:noProof/>
                <w:color w:val="000000"/>
                <w:lang w:val="en-GB"/>
              </w:rPr>
            </w:pPr>
            <w:r w:rsidRPr="000E18C9">
              <w:rPr>
                <w:rFonts w:ascii="Arial" w:hAnsi="Arial" w:cs="Arial"/>
                <w:noProof/>
                <w:color w:val="000000"/>
                <w:lang w:val="en-GB"/>
              </w:rPr>
              <w:t xml:space="preserve">$2.16 </w:t>
            </w:r>
          </w:p>
        </w:tc>
        <w:tc>
          <w:tcPr>
            <w:tcW w:w="1008" w:type="dxa"/>
            <w:vAlign w:val="center"/>
          </w:tcPr>
          <w:p w:rsidR="000E18C9" w:rsidRPr="000E18C9" w:rsidRDefault="000E18C9" w:rsidP="000E18C9">
            <w:pPr>
              <w:jc w:val="right"/>
              <w:rPr>
                <w:rFonts w:ascii="Arial" w:hAnsi="Arial" w:cs="Arial"/>
                <w:noProof/>
                <w:color w:val="000000"/>
                <w:lang w:val="en-GB"/>
              </w:rPr>
            </w:pPr>
            <w:r w:rsidRPr="000E18C9">
              <w:rPr>
                <w:rFonts w:ascii="Arial" w:hAnsi="Arial" w:cs="Arial"/>
                <w:noProof/>
                <w:color w:val="000000"/>
                <w:lang w:val="en-GB"/>
              </w:rPr>
              <w:t xml:space="preserve">$2.00 </w:t>
            </w:r>
          </w:p>
        </w:tc>
        <w:tc>
          <w:tcPr>
            <w:tcW w:w="1008" w:type="dxa"/>
            <w:vAlign w:val="center"/>
          </w:tcPr>
          <w:p w:rsidR="000E18C9" w:rsidRPr="000E18C9" w:rsidRDefault="000E18C9" w:rsidP="000E18C9">
            <w:pPr>
              <w:jc w:val="right"/>
              <w:rPr>
                <w:rFonts w:ascii="Arial" w:hAnsi="Arial" w:cs="Arial"/>
                <w:noProof/>
                <w:color w:val="000000"/>
                <w:lang w:val="en-GB"/>
              </w:rPr>
            </w:pPr>
            <w:r w:rsidRPr="000E18C9">
              <w:rPr>
                <w:rFonts w:ascii="Arial" w:hAnsi="Arial" w:cs="Arial"/>
                <w:noProof/>
                <w:color w:val="000000"/>
                <w:lang w:val="en-GB"/>
              </w:rPr>
              <w:t xml:space="preserve">$1.84 </w:t>
            </w:r>
          </w:p>
        </w:tc>
        <w:tc>
          <w:tcPr>
            <w:tcW w:w="1008" w:type="dxa"/>
            <w:vAlign w:val="center"/>
          </w:tcPr>
          <w:p w:rsidR="000E18C9" w:rsidRPr="000E18C9" w:rsidRDefault="000E18C9" w:rsidP="000E18C9">
            <w:pPr>
              <w:jc w:val="right"/>
              <w:rPr>
                <w:rFonts w:ascii="Arial" w:hAnsi="Arial" w:cs="Arial"/>
                <w:noProof/>
                <w:color w:val="000000"/>
                <w:lang w:val="en-GB"/>
              </w:rPr>
            </w:pPr>
            <w:r w:rsidRPr="000E18C9">
              <w:rPr>
                <w:rFonts w:ascii="Arial" w:hAnsi="Arial" w:cs="Arial"/>
                <w:noProof/>
                <w:color w:val="000000"/>
                <w:lang w:val="en-GB"/>
              </w:rPr>
              <w:t xml:space="preserve">$1.62 </w:t>
            </w:r>
          </w:p>
        </w:tc>
        <w:tc>
          <w:tcPr>
            <w:tcW w:w="1008" w:type="dxa"/>
            <w:vAlign w:val="center"/>
          </w:tcPr>
          <w:p w:rsidR="000E18C9" w:rsidRPr="000E18C9" w:rsidRDefault="000E18C9" w:rsidP="000E18C9">
            <w:pPr>
              <w:jc w:val="right"/>
              <w:rPr>
                <w:rFonts w:ascii="Arial" w:hAnsi="Arial" w:cs="Arial"/>
                <w:noProof/>
                <w:color w:val="000000"/>
                <w:lang w:val="en-GB"/>
              </w:rPr>
            </w:pPr>
            <w:r w:rsidRPr="000E18C9">
              <w:rPr>
                <w:rFonts w:ascii="Arial" w:hAnsi="Arial" w:cs="Arial"/>
                <w:noProof/>
                <w:color w:val="000000"/>
                <w:lang w:val="en-GB"/>
              </w:rPr>
              <w:t xml:space="preserve">$1.45 </w:t>
            </w:r>
          </w:p>
        </w:tc>
        <w:tc>
          <w:tcPr>
            <w:tcW w:w="1008" w:type="dxa"/>
            <w:vAlign w:val="center"/>
          </w:tcPr>
          <w:p w:rsidR="000E18C9" w:rsidRPr="000E18C9" w:rsidRDefault="000E18C9" w:rsidP="000E18C9">
            <w:pPr>
              <w:jc w:val="right"/>
              <w:rPr>
                <w:rFonts w:ascii="Arial" w:hAnsi="Arial" w:cs="Arial"/>
                <w:bCs/>
                <w:noProof/>
                <w:color w:val="000000"/>
                <w:lang w:val="en-GB"/>
              </w:rPr>
            </w:pPr>
          </w:p>
        </w:tc>
      </w:tr>
      <w:tr w:rsidR="000E18C9" w:rsidRPr="000E18C9" w:rsidTr="000E18C9">
        <w:tc>
          <w:tcPr>
            <w:tcW w:w="3688" w:type="dxa"/>
            <w:noWrap/>
            <w:vAlign w:val="bottom"/>
          </w:tcPr>
          <w:p w:rsidR="000E18C9" w:rsidRPr="000E18C9" w:rsidRDefault="000E18C9" w:rsidP="000E18C9">
            <w:pPr>
              <w:rPr>
                <w:rFonts w:ascii="Arial" w:hAnsi="Arial" w:cs="Arial"/>
                <w:noProof/>
                <w:color w:val="000000"/>
                <w:lang w:val="en-GB"/>
              </w:rPr>
            </w:pPr>
            <w:r w:rsidRPr="000E18C9">
              <w:rPr>
                <w:rFonts w:ascii="Arial" w:hAnsi="Arial" w:cs="Arial"/>
                <w:noProof/>
                <w:color w:val="000000"/>
                <w:lang w:val="en-GB"/>
              </w:rPr>
              <w:t xml:space="preserve">Dividend payout ratio (%) </w:t>
            </w:r>
          </w:p>
        </w:tc>
        <w:tc>
          <w:tcPr>
            <w:tcW w:w="1008" w:type="dxa"/>
            <w:vAlign w:val="center"/>
          </w:tcPr>
          <w:p w:rsidR="000E18C9" w:rsidRPr="000E18C9" w:rsidRDefault="000E18C9" w:rsidP="000E18C9">
            <w:pPr>
              <w:jc w:val="right"/>
              <w:rPr>
                <w:rFonts w:ascii="Arial" w:hAnsi="Arial" w:cs="Arial"/>
                <w:noProof/>
                <w:color w:val="000000"/>
                <w:lang w:val="en-GB"/>
              </w:rPr>
            </w:pPr>
            <w:r w:rsidRPr="000E18C9">
              <w:rPr>
                <w:rFonts w:ascii="Arial" w:hAnsi="Arial" w:cs="Arial"/>
                <w:noProof/>
                <w:color w:val="000000"/>
                <w:lang w:val="en-GB"/>
              </w:rPr>
              <w:t>44.3</w:t>
            </w:r>
          </w:p>
        </w:tc>
        <w:tc>
          <w:tcPr>
            <w:tcW w:w="1008" w:type="dxa"/>
            <w:vAlign w:val="center"/>
          </w:tcPr>
          <w:p w:rsidR="000E18C9" w:rsidRPr="000E18C9" w:rsidRDefault="000E18C9" w:rsidP="000E18C9">
            <w:pPr>
              <w:jc w:val="right"/>
              <w:rPr>
                <w:rFonts w:ascii="Arial" w:hAnsi="Arial" w:cs="Arial"/>
                <w:noProof/>
                <w:color w:val="000000"/>
                <w:lang w:val="en-GB"/>
              </w:rPr>
            </w:pPr>
            <w:r w:rsidRPr="000E18C9">
              <w:rPr>
                <w:rFonts w:ascii="Arial" w:hAnsi="Arial" w:cs="Arial"/>
                <w:noProof/>
                <w:color w:val="000000"/>
                <w:lang w:val="en-GB"/>
              </w:rPr>
              <w:t>43.3</w:t>
            </w:r>
          </w:p>
        </w:tc>
        <w:tc>
          <w:tcPr>
            <w:tcW w:w="1008" w:type="dxa"/>
            <w:vAlign w:val="center"/>
          </w:tcPr>
          <w:p w:rsidR="000E18C9" w:rsidRPr="000E18C9" w:rsidRDefault="000E18C9" w:rsidP="000E18C9">
            <w:pPr>
              <w:jc w:val="right"/>
              <w:rPr>
                <w:rFonts w:ascii="Arial" w:hAnsi="Arial" w:cs="Arial"/>
                <w:noProof/>
                <w:color w:val="000000"/>
                <w:lang w:val="en-GB"/>
              </w:rPr>
            </w:pPr>
            <w:r w:rsidRPr="000E18C9">
              <w:rPr>
                <w:rFonts w:ascii="Arial" w:hAnsi="Arial" w:cs="Arial"/>
                <w:noProof/>
                <w:color w:val="000000"/>
                <w:lang w:val="en-GB"/>
              </w:rPr>
              <w:t>43.0</w:t>
            </w:r>
          </w:p>
        </w:tc>
        <w:tc>
          <w:tcPr>
            <w:tcW w:w="1008" w:type="dxa"/>
            <w:vAlign w:val="center"/>
          </w:tcPr>
          <w:p w:rsidR="000E18C9" w:rsidRPr="000E18C9" w:rsidRDefault="000E18C9" w:rsidP="000E18C9">
            <w:pPr>
              <w:jc w:val="right"/>
              <w:rPr>
                <w:rFonts w:ascii="Arial" w:hAnsi="Arial" w:cs="Arial"/>
                <w:noProof/>
                <w:color w:val="000000"/>
                <w:lang w:val="en-GB"/>
              </w:rPr>
            </w:pPr>
            <w:r w:rsidRPr="000E18C9">
              <w:rPr>
                <w:rFonts w:ascii="Arial" w:hAnsi="Arial" w:cs="Arial"/>
                <w:noProof/>
                <w:color w:val="000000"/>
                <w:lang w:val="en-GB"/>
              </w:rPr>
              <w:t>43.5</w:t>
            </w:r>
          </w:p>
        </w:tc>
        <w:tc>
          <w:tcPr>
            <w:tcW w:w="1008" w:type="dxa"/>
            <w:vAlign w:val="center"/>
          </w:tcPr>
          <w:p w:rsidR="000E18C9" w:rsidRPr="000E18C9" w:rsidRDefault="000E18C9" w:rsidP="000E18C9">
            <w:pPr>
              <w:jc w:val="right"/>
              <w:rPr>
                <w:rFonts w:ascii="Arial" w:hAnsi="Arial" w:cs="Arial"/>
                <w:noProof/>
                <w:color w:val="000000"/>
                <w:lang w:val="en-GB"/>
              </w:rPr>
            </w:pPr>
            <w:r w:rsidRPr="000E18C9">
              <w:rPr>
                <w:rFonts w:ascii="Arial" w:hAnsi="Arial" w:cs="Arial"/>
                <w:noProof/>
                <w:color w:val="000000"/>
                <w:lang w:val="en-GB"/>
              </w:rPr>
              <w:t>38.7</w:t>
            </w:r>
          </w:p>
        </w:tc>
        <w:tc>
          <w:tcPr>
            <w:tcW w:w="1008" w:type="dxa"/>
            <w:vAlign w:val="center"/>
          </w:tcPr>
          <w:p w:rsidR="000E18C9" w:rsidRPr="000E18C9" w:rsidRDefault="000E18C9" w:rsidP="000E18C9">
            <w:pPr>
              <w:jc w:val="right"/>
              <w:rPr>
                <w:rFonts w:ascii="Arial" w:hAnsi="Arial" w:cs="Arial"/>
                <w:bCs/>
                <w:noProof/>
                <w:color w:val="000000"/>
                <w:lang w:val="en-GB"/>
              </w:rPr>
            </w:pPr>
            <w:r w:rsidRPr="000E18C9">
              <w:rPr>
                <w:rFonts w:ascii="Arial" w:hAnsi="Arial" w:cs="Arial"/>
                <w:bCs/>
                <w:noProof/>
                <w:color w:val="000000"/>
                <w:lang w:val="en-GB"/>
              </w:rPr>
              <w:t>42.6</w:t>
            </w:r>
          </w:p>
        </w:tc>
      </w:tr>
      <w:tr w:rsidR="000E18C9" w:rsidRPr="000E18C9" w:rsidTr="000E18C9">
        <w:tc>
          <w:tcPr>
            <w:tcW w:w="3688" w:type="dxa"/>
            <w:noWrap/>
            <w:vAlign w:val="bottom"/>
          </w:tcPr>
          <w:p w:rsidR="000E18C9" w:rsidRPr="000E18C9" w:rsidRDefault="000E18C9" w:rsidP="000E18C9">
            <w:pPr>
              <w:rPr>
                <w:rFonts w:ascii="Arial" w:hAnsi="Arial" w:cs="Arial"/>
                <w:noProof/>
                <w:color w:val="000000"/>
                <w:lang w:val="en-GB"/>
              </w:rPr>
            </w:pPr>
            <w:r w:rsidRPr="000E18C9">
              <w:rPr>
                <w:rFonts w:ascii="Arial" w:hAnsi="Arial" w:cs="Arial"/>
                <w:noProof/>
                <w:color w:val="000000"/>
                <w:lang w:val="en-GB"/>
              </w:rPr>
              <w:t>Total shareholder return (TSR) (%)</w:t>
            </w:r>
          </w:p>
        </w:tc>
        <w:tc>
          <w:tcPr>
            <w:tcW w:w="1008" w:type="dxa"/>
            <w:vAlign w:val="center"/>
          </w:tcPr>
          <w:p w:rsidR="000E18C9" w:rsidRPr="000E18C9" w:rsidRDefault="000E18C9" w:rsidP="000E18C9">
            <w:pPr>
              <w:jc w:val="right"/>
              <w:rPr>
                <w:rFonts w:ascii="Arial" w:hAnsi="Arial" w:cs="Arial"/>
                <w:noProof/>
                <w:color w:val="000000"/>
                <w:lang w:val="en-GB"/>
              </w:rPr>
            </w:pPr>
            <w:r w:rsidRPr="000E18C9">
              <w:rPr>
                <w:rFonts w:ascii="Arial" w:hAnsi="Arial" w:cs="Arial"/>
                <w:noProof/>
                <w:color w:val="000000"/>
                <w:lang w:val="en-GB"/>
              </w:rPr>
              <w:t>17.9</w:t>
            </w:r>
          </w:p>
        </w:tc>
        <w:tc>
          <w:tcPr>
            <w:tcW w:w="1008" w:type="dxa"/>
            <w:vAlign w:val="center"/>
          </w:tcPr>
          <w:p w:rsidR="000E18C9" w:rsidRPr="000E18C9" w:rsidRDefault="000E18C9" w:rsidP="000E18C9">
            <w:pPr>
              <w:jc w:val="right"/>
              <w:rPr>
                <w:rFonts w:ascii="Arial" w:hAnsi="Arial" w:cs="Arial"/>
                <w:noProof/>
                <w:color w:val="000000"/>
                <w:lang w:val="en-GB"/>
              </w:rPr>
            </w:pPr>
            <w:r w:rsidRPr="000E18C9">
              <w:rPr>
                <w:rFonts w:ascii="Arial" w:hAnsi="Arial" w:cs="Arial"/>
                <w:noProof/>
                <w:color w:val="000000"/>
                <w:lang w:val="en-GB"/>
              </w:rPr>
              <w:t>0.4</w:t>
            </w:r>
          </w:p>
        </w:tc>
        <w:tc>
          <w:tcPr>
            <w:tcW w:w="1008" w:type="dxa"/>
            <w:vAlign w:val="center"/>
          </w:tcPr>
          <w:p w:rsidR="000E18C9" w:rsidRPr="000E18C9" w:rsidRDefault="000E18C9" w:rsidP="000E18C9">
            <w:pPr>
              <w:jc w:val="right"/>
              <w:rPr>
                <w:rFonts w:ascii="Arial" w:hAnsi="Arial" w:cs="Arial"/>
                <w:noProof/>
                <w:color w:val="000000"/>
                <w:lang w:val="en-GB"/>
              </w:rPr>
            </w:pPr>
            <w:r w:rsidRPr="000E18C9">
              <w:rPr>
                <w:rFonts w:ascii="Arial" w:hAnsi="Arial" w:cs="Arial"/>
                <w:noProof/>
                <w:color w:val="000000"/>
                <w:lang w:val="en-GB"/>
              </w:rPr>
              <w:t>20.1</w:t>
            </w:r>
          </w:p>
        </w:tc>
        <w:tc>
          <w:tcPr>
            <w:tcW w:w="1008" w:type="dxa"/>
            <w:vAlign w:val="center"/>
          </w:tcPr>
          <w:p w:rsidR="000E18C9" w:rsidRPr="000E18C9" w:rsidRDefault="000E18C9" w:rsidP="000E18C9">
            <w:pPr>
              <w:jc w:val="right"/>
              <w:rPr>
                <w:rFonts w:ascii="Arial" w:hAnsi="Arial" w:cs="Arial"/>
                <w:noProof/>
                <w:color w:val="000000"/>
                <w:lang w:val="en-GB"/>
              </w:rPr>
            </w:pPr>
            <w:r w:rsidRPr="000E18C9">
              <w:rPr>
                <w:rFonts w:ascii="Arial" w:hAnsi="Arial" w:cs="Arial"/>
                <w:noProof/>
                <w:color w:val="000000"/>
                <w:lang w:val="en-GB"/>
              </w:rPr>
              <w:t>22.3</w:t>
            </w:r>
          </w:p>
        </w:tc>
        <w:tc>
          <w:tcPr>
            <w:tcW w:w="1008" w:type="dxa"/>
            <w:vAlign w:val="center"/>
          </w:tcPr>
          <w:p w:rsidR="000E18C9" w:rsidRPr="000E18C9" w:rsidRDefault="000E18C9" w:rsidP="000E18C9">
            <w:pPr>
              <w:jc w:val="right"/>
              <w:rPr>
                <w:rFonts w:ascii="Arial" w:hAnsi="Arial" w:cs="Arial"/>
                <w:noProof/>
                <w:color w:val="000000"/>
                <w:lang w:val="en-GB"/>
              </w:rPr>
            </w:pPr>
            <w:r w:rsidRPr="000E18C9">
              <w:rPr>
                <w:rFonts w:ascii="Arial" w:hAnsi="Arial" w:cs="Arial"/>
                <w:noProof/>
                <w:color w:val="000000"/>
                <w:lang w:val="en-GB"/>
              </w:rPr>
              <w:t>11.9</w:t>
            </w:r>
          </w:p>
        </w:tc>
        <w:tc>
          <w:tcPr>
            <w:tcW w:w="1008" w:type="dxa"/>
            <w:vAlign w:val="center"/>
          </w:tcPr>
          <w:p w:rsidR="000E18C9" w:rsidRPr="000E18C9" w:rsidRDefault="000E18C9" w:rsidP="000E18C9">
            <w:pPr>
              <w:jc w:val="right"/>
              <w:rPr>
                <w:rFonts w:ascii="Arial" w:hAnsi="Arial" w:cs="Arial"/>
                <w:bCs/>
                <w:noProof/>
                <w:color w:val="000000"/>
                <w:lang w:val="en-GB"/>
              </w:rPr>
            </w:pPr>
            <w:r w:rsidRPr="000E18C9">
              <w:rPr>
                <w:rFonts w:ascii="Arial" w:hAnsi="Arial" w:cs="Arial"/>
                <w:bCs/>
                <w:noProof/>
                <w:color w:val="000000"/>
                <w:lang w:val="en-GB"/>
              </w:rPr>
              <w:t>14.5</w:t>
            </w:r>
          </w:p>
        </w:tc>
      </w:tr>
      <w:tr w:rsidR="000E18C9" w:rsidRPr="000E18C9" w:rsidTr="000E18C9">
        <w:tc>
          <w:tcPr>
            <w:tcW w:w="3688" w:type="dxa"/>
            <w:noWrap/>
            <w:vAlign w:val="bottom"/>
          </w:tcPr>
          <w:p w:rsidR="000E18C9" w:rsidRPr="000E18C9" w:rsidRDefault="000E18C9" w:rsidP="000E18C9">
            <w:pPr>
              <w:rPr>
                <w:rFonts w:ascii="Arial" w:hAnsi="Arial" w:cs="Arial"/>
                <w:noProof/>
                <w:color w:val="000000"/>
                <w:lang w:val="en-GB"/>
              </w:rPr>
            </w:pPr>
            <w:r w:rsidRPr="000E18C9">
              <w:rPr>
                <w:rFonts w:ascii="Arial" w:hAnsi="Arial" w:cs="Arial"/>
                <w:noProof/>
                <w:color w:val="000000"/>
                <w:lang w:val="en-GB"/>
              </w:rPr>
              <w:t xml:space="preserve">Price-earnings ratio (x) </w:t>
            </w:r>
          </w:p>
        </w:tc>
        <w:tc>
          <w:tcPr>
            <w:tcW w:w="1008" w:type="dxa"/>
            <w:vAlign w:val="center"/>
          </w:tcPr>
          <w:p w:rsidR="000E18C9" w:rsidRPr="000E18C9" w:rsidRDefault="000E18C9" w:rsidP="000E18C9">
            <w:pPr>
              <w:jc w:val="right"/>
              <w:rPr>
                <w:rFonts w:ascii="Arial" w:hAnsi="Arial" w:cs="Arial"/>
                <w:noProof/>
                <w:color w:val="000000"/>
                <w:lang w:val="en-GB"/>
              </w:rPr>
            </w:pPr>
            <w:r w:rsidRPr="000E18C9">
              <w:rPr>
                <w:rFonts w:ascii="Arial" w:hAnsi="Arial" w:cs="Arial"/>
                <w:noProof/>
                <w:color w:val="000000"/>
                <w:lang w:val="en-GB"/>
              </w:rPr>
              <w:t>12.5</w:t>
            </w:r>
          </w:p>
        </w:tc>
        <w:tc>
          <w:tcPr>
            <w:tcW w:w="1008" w:type="dxa"/>
            <w:vAlign w:val="center"/>
          </w:tcPr>
          <w:p w:rsidR="000E18C9" w:rsidRPr="000E18C9" w:rsidRDefault="000E18C9" w:rsidP="000E18C9">
            <w:pPr>
              <w:jc w:val="right"/>
              <w:rPr>
                <w:rFonts w:ascii="Arial" w:hAnsi="Arial" w:cs="Arial"/>
                <w:noProof/>
                <w:color w:val="000000"/>
                <w:lang w:val="en-GB"/>
              </w:rPr>
            </w:pPr>
            <w:r w:rsidRPr="000E18C9">
              <w:rPr>
                <w:rFonts w:ascii="Arial" w:hAnsi="Arial" w:cs="Arial"/>
                <w:noProof/>
                <w:color w:val="000000"/>
                <w:lang w:val="en-GB"/>
              </w:rPr>
              <w:t>11.7</w:t>
            </w:r>
          </w:p>
        </w:tc>
        <w:tc>
          <w:tcPr>
            <w:tcW w:w="1008" w:type="dxa"/>
            <w:vAlign w:val="center"/>
          </w:tcPr>
          <w:p w:rsidR="000E18C9" w:rsidRPr="000E18C9" w:rsidRDefault="000E18C9" w:rsidP="000E18C9">
            <w:pPr>
              <w:jc w:val="right"/>
              <w:rPr>
                <w:rFonts w:ascii="Arial" w:hAnsi="Arial" w:cs="Arial"/>
                <w:noProof/>
                <w:color w:val="000000"/>
                <w:lang w:val="en-GB"/>
              </w:rPr>
            </w:pPr>
            <w:r w:rsidRPr="000E18C9">
              <w:rPr>
                <w:rFonts w:ascii="Arial" w:hAnsi="Arial" w:cs="Arial"/>
                <w:noProof/>
                <w:color w:val="000000"/>
                <w:lang w:val="en-GB"/>
              </w:rPr>
              <w:t>13.0</w:t>
            </w:r>
          </w:p>
        </w:tc>
        <w:tc>
          <w:tcPr>
            <w:tcW w:w="1008" w:type="dxa"/>
            <w:vAlign w:val="center"/>
          </w:tcPr>
          <w:p w:rsidR="000E18C9" w:rsidRPr="000E18C9" w:rsidRDefault="000E18C9" w:rsidP="000E18C9">
            <w:pPr>
              <w:jc w:val="right"/>
              <w:rPr>
                <w:rFonts w:ascii="Arial" w:hAnsi="Arial" w:cs="Arial"/>
                <w:noProof/>
                <w:color w:val="000000"/>
                <w:lang w:val="en-GB"/>
              </w:rPr>
            </w:pPr>
            <w:r w:rsidRPr="000E18C9">
              <w:rPr>
                <w:rFonts w:ascii="Arial" w:hAnsi="Arial" w:cs="Arial"/>
                <w:noProof/>
                <w:color w:val="000000"/>
                <w:lang w:val="en-GB"/>
              </w:rPr>
              <w:t>12.9</w:t>
            </w:r>
          </w:p>
        </w:tc>
        <w:tc>
          <w:tcPr>
            <w:tcW w:w="1008" w:type="dxa"/>
            <w:vAlign w:val="center"/>
          </w:tcPr>
          <w:p w:rsidR="000E18C9" w:rsidRPr="000E18C9" w:rsidRDefault="000E18C9" w:rsidP="000E18C9">
            <w:pPr>
              <w:jc w:val="right"/>
              <w:rPr>
                <w:rFonts w:ascii="Arial" w:hAnsi="Arial" w:cs="Arial"/>
                <w:noProof/>
                <w:color w:val="000000"/>
                <w:lang w:val="en-GB"/>
              </w:rPr>
            </w:pPr>
            <w:r w:rsidRPr="000E18C9">
              <w:rPr>
                <w:rFonts w:ascii="Arial" w:hAnsi="Arial" w:cs="Arial"/>
                <w:noProof/>
                <w:color w:val="000000"/>
                <w:lang w:val="en-GB"/>
              </w:rPr>
              <w:t>11.0</w:t>
            </w:r>
          </w:p>
        </w:tc>
        <w:tc>
          <w:tcPr>
            <w:tcW w:w="1008" w:type="dxa"/>
            <w:vAlign w:val="center"/>
          </w:tcPr>
          <w:p w:rsidR="000E18C9" w:rsidRPr="000E18C9" w:rsidRDefault="000E18C9" w:rsidP="000E18C9">
            <w:pPr>
              <w:jc w:val="right"/>
              <w:rPr>
                <w:rFonts w:ascii="Arial" w:hAnsi="Arial" w:cs="Arial"/>
                <w:bCs/>
                <w:noProof/>
                <w:color w:val="000000"/>
                <w:lang w:val="en-GB"/>
              </w:rPr>
            </w:pPr>
            <w:r w:rsidRPr="000E18C9">
              <w:rPr>
                <w:rFonts w:ascii="Arial" w:hAnsi="Arial" w:cs="Arial"/>
                <w:bCs/>
                <w:noProof/>
                <w:color w:val="000000"/>
                <w:lang w:val="en-GB"/>
              </w:rPr>
              <w:t>12.2</w:t>
            </w:r>
          </w:p>
        </w:tc>
      </w:tr>
      <w:tr w:rsidR="000E18C9" w:rsidRPr="000E18C9" w:rsidTr="000E18C9">
        <w:tc>
          <w:tcPr>
            <w:tcW w:w="3688" w:type="dxa"/>
            <w:noWrap/>
            <w:vAlign w:val="bottom"/>
          </w:tcPr>
          <w:p w:rsidR="000E18C9" w:rsidRPr="000E18C9" w:rsidRDefault="000E18C9" w:rsidP="000E18C9">
            <w:pPr>
              <w:rPr>
                <w:rFonts w:ascii="Arial" w:hAnsi="Arial" w:cs="Arial"/>
                <w:noProof/>
                <w:color w:val="000000"/>
                <w:lang w:val="en-GB"/>
              </w:rPr>
            </w:pPr>
            <w:r w:rsidRPr="000E18C9">
              <w:rPr>
                <w:rFonts w:ascii="Arial" w:hAnsi="Arial" w:cs="Arial"/>
                <w:noProof/>
                <w:color w:val="000000"/>
                <w:lang w:val="en-GB"/>
              </w:rPr>
              <w:t>Book value per share</w:t>
            </w:r>
          </w:p>
        </w:tc>
        <w:tc>
          <w:tcPr>
            <w:tcW w:w="1008" w:type="dxa"/>
            <w:vAlign w:val="center"/>
          </w:tcPr>
          <w:p w:rsidR="000E18C9" w:rsidRPr="000E18C9" w:rsidRDefault="000E18C9" w:rsidP="000E18C9">
            <w:pPr>
              <w:jc w:val="right"/>
              <w:rPr>
                <w:rFonts w:ascii="Arial" w:hAnsi="Arial" w:cs="Arial"/>
                <w:noProof/>
                <w:color w:val="000000"/>
                <w:lang w:val="en-GB"/>
              </w:rPr>
            </w:pPr>
            <w:r w:rsidRPr="000E18C9">
              <w:rPr>
                <w:rFonts w:ascii="Arial" w:hAnsi="Arial" w:cs="Arial"/>
                <w:noProof/>
                <w:color w:val="000000"/>
                <w:lang w:val="en-GB"/>
              </w:rPr>
              <w:t xml:space="preserve">$36.71 </w:t>
            </w:r>
          </w:p>
        </w:tc>
        <w:tc>
          <w:tcPr>
            <w:tcW w:w="1008" w:type="dxa"/>
            <w:vAlign w:val="center"/>
          </w:tcPr>
          <w:p w:rsidR="000E18C9" w:rsidRPr="000E18C9" w:rsidRDefault="000E18C9" w:rsidP="000E18C9">
            <w:pPr>
              <w:jc w:val="right"/>
              <w:rPr>
                <w:rFonts w:ascii="Arial" w:hAnsi="Arial" w:cs="Arial"/>
                <w:noProof/>
                <w:color w:val="000000"/>
                <w:lang w:val="en-GB"/>
              </w:rPr>
            </w:pPr>
            <w:r w:rsidRPr="000E18C9">
              <w:rPr>
                <w:rFonts w:ascii="Arial" w:hAnsi="Arial" w:cs="Arial"/>
                <w:noProof/>
                <w:color w:val="000000"/>
                <w:lang w:val="en-GB"/>
              </w:rPr>
              <w:t xml:space="preserve">$33.81 </w:t>
            </w:r>
          </w:p>
        </w:tc>
        <w:tc>
          <w:tcPr>
            <w:tcW w:w="1008" w:type="dxa"/>
            <w:vAlign w:val="center"/>
          </w:tcPr>
          <w:p w:rsidR="000E18C9" w:rsidRPr="000E18C9" w:rsidRDefault="000E18C9" w:rsidP="000E18C9">
            <w:pPr>
              <w:jc w:val="right"/>
              <w:rPr>
                <w:rFonts w:ascii="Arial" w:hAnsi="Arial" w:cs="Arial"/>
                <w:noProof/>
                <w:color w:val="000000"/>
                <w:lang w:val="en-GB"/>
              </w:rPr>
            </w:pPr>
            <w:r w:rsidRPr="000E18C9">
              <w:rPr>
                <w:rFonts w:ascii="Arial" w:hAnsi="Arial" w:cs="Arial"/>
                <w:noProof/>
                <w:color w:val="000000"/>
                <w:lang w:val="en-GB"/>
              </w:rPr>
              <w:t xml:space="preserve">$28.45 </w:t>
            </w:r>
          </w:p>
        </w:tc>
        <w:tc>
          <w:tcPr>
            <w:tcW w:w="1008" w:type="dxa"/>
            <w:vAlign w:val="center"/>
          </w:tcPr>
          <w:p w:rsidR="000E18C9" w:rsidRPr="000E18C9" w:rsidRDefault="000E18C9" w:rsidP="000E18C9">
            <w:pPr>
              <w:jc w:val="right"/>
              <w:rPr>
                <w:rFonts w:ascii="Arial" w:hAnsi="Arial" w:cs="Arial"/>
                <w:noProof/>
                <w:color w:val="000000"/>
                <w:lang w:val="en-GB"/>
              </w:rPr>
            </w:pPr>
            <w:r w:rsidRPr="000E18C9">
              <w:rPr>
                <w:rFonts w:ascii="Arial" w:hAnsi="Arial" w:cs="Arial"/>
                <w:noProof/>
                <w:color w:val="000000"/>
                <w:lang w:val="en-GB"/>
              </w:rPr>
              <w:t xml:space="preserve">$25.33 </w:t>
            </w:r>
          </w:p>
        </w:tc>
        <w:tc>
          <w:tcPr>
            <w:tcW w:w="1008" w:type="dxa"/>
            <w:vAlign w:val="center"/>
          </w:tcPr>
          <w:p w:rsidR="000E18C9" w:rsidRPr="000E18C9" w:rsidRDefault="000E18C9" w:rsidP="000E18C9">
            <w:pPr>
              <w:jc w:val="right"/>
              <w:rPr>
                <w:rFonts w:ascii="Arial" w:hAnsi="Arial" w:cs="Arial"/>
                <w:noProof/>
                <w:color w:val="000000"/>
                <w:lang w:val="en-GB"/>
              </w:rPr>
            </w:pPr>
            <w:r w:rsidRPr="000E18C9">
              <w:rPr>
                <w:rFonts w:ascii="Arial" w:hAnsi="Arial" w:cs="Arial"/>
                <w:noProof/>
                <w:color w:val="000000"/>
                <w:lang w:val="en-GB"/>
              </w:rPr>
              <w:t xml:space="preserve">$23.60 </w:t>
            </w:r>
          </w:p>
        </w:tc>
        <w:tc>
          <w:tcPr>
            <w:tcW w:w="1008" w:type="dxa"/>
            <w:vAlign w:val="center"/>
          </w:tcPr>
          <w:p w:rsidR="000E18C9" w:rsidRPr="000E18C9" w:rsidRDefault="000E18C9" w:rsidP="000E18C9">
            <w:pPr>
              <w:jc w:val="right"/>
              <w:rPr>
                <w:rFonts w:ascii="Arial" w:hAnsi="Arial" w:cs="Arial"/>
                <w:bCs/>
                <w:noProof/>
                <w:color w:val="000000"/>
                <w:lang w:val="en-GB"/>
              </w:rPr>
            </w:pPr>
          </w:p>
        </w:tc>
      </w:tr>
      <w:tr w:rsidR="000E18C9" w:rsidRPr="000E18C9" w:rsidTr="000E18C9">
        <w:tc>
          <w:tcPr>
            <w:tcW w:w="3688" w:type="dxa"/>
            <w:tcBorders>
              <w:bottom w:val="single" w:sz="4" w:space="0" w:color="auto"/>
            </w:tcBorders>
            <w:noWrap/>
            <w:vAlign w:val="bottom"/>
          </w:tcPr>
          <w:p w:rsidR="000E18C9" w:rsidRPr="000E18C9" w:rsidRDefault="000E18C9" w:rsidP="000E18C9">
            <w:pPr>
              <w:rPr>
                <w:rFonts w:ascii="Arial" w:hAnsi="Arial" w:cs="Arial"/>
                <w:noProof/>
                <w:color w:val="000000"/>
                <w:lang w:val="en-GB"/>
              </w:rPr>
            </w:pPr>
            <w:r w:rsidRPr="000E18C9">
              <w:rPr>
                <w:rFonts w:ascii="Arial" w:hAnsi="Arial" w:cs="Arial"/>
                <w:noProof/>
                <w:color w:val="000000"/>
                <w:lang w:val="en-GB"/>
              </w:rPr>
              <w:t>Price-book ratio (x)</w:t>
            </w:r>
          </w:p>
        </w:tc>
        <w:tc>
          <w:tcPr>
            <w:tcW w:w="1008" w:type="dxa"/>
            <w:tcBorders>
              <w:bottom w:val="single" w:sz="4" w:space="0" w:color="auto"/>
            </w:tcBorders>
            <w:vAlign w:val="center"/>
          </w:tcPr>
          <w:p w:rsidR="000E18C9" w:rsidRPr="000E18C9" w:rsidRDefault="000E18C9" w:rsidP="000E18C9">
            <w:pPr>
              <w:jc w:val="right"/>
              <w:rPr>
                <w:rFonts w:ascii="Arial" w:hAnsi="Arial" w:cs="Arial"/>
                <w:noProof/>
                <w:color w:val="000000"/>
                <w:lang w:val="en-GB"/>
              </w:rPr>
            </w:pPr>
            <w:r w:rsidRPr="000E18C9">
              <w:rPr>
                <w:rFonts w:ascii="Arial" w:hAnsi="Arial" w:cs="Arial"/>
                <w:noProof/>
                <w:color w:val="000000"/>
                <w:lang w:val="en-GB"/>
              </w:rPr>
              <w:t>1.7</w:t>
            </w:r>
          </w:p>
        </w:tc>
        <w:tc>
          <w:tcPr>
            <w:tcW w:w="1008" w:type="dxa"/>
            <w:tcBorders>
              <w:bottom w:val="single" w:sz="4" w:space="0" w:color="auto"/>
            </w:tcBorders>
            <w:vAlign w:val="center"/>
          </w:tcPr>
          <w:p w:rsidR="000E18C9" w:rsidRPr="000E18C9" w:rsidRDefault="000E18C9" w:rsidP="000E18C9">
            <w:pPr>
              <w:jc w:val="right"/>
              <w:rPr>
                <w:rFonts w:ascii="Arial" w:hAnsi="Arial" w:cs="Arial"/>
                <w:noProof/>
                <w:color w:val="000000"/>
                <w:lang w:val="en-GB"/>
              </w:rPr>
            </w:pPr>
            <w:r w:rsidRPr="000E18C9">
              <w:rPr>
                <w:rFonts w:ascii="Arial" w:hAnsi="Arial" w:cs="Arial"/>
                <w:noProof/>
                <w:color w:val="000000"/>
                <w:lang w:val="en-GB"/>
              </w:rPr>
              <w:t>1.6</w:t>
            </w:r>
          </w:p>
        </w:tc>
        <w:tc>
          <w:tcPr>
            <w:tcW w:w="1008" w:type="dxa"/>
            <w:tcBorders>
              <w:bottom w:val="single" w:sz="4" w:space="0" w:color="auto"/>
            </w:tcBorders>
            <w:vAlign w:val="center"/>
          </w:tcPr>
          <w:p w:rsidR="000E18C9" w:rsidRPr="000E18C9" w:rsidRDefault="000E18C9" w:rsidP="000E18C9">
            <w:pPr>
              <w:jc w:val="right"/>
              <w:rPr>
                <w:rFonts w:ascii="Arial" w:hAnsi="Arial" w:cs="Arial"/>
                <w:noProof/>
                <w:color w:val="000000"/>
                <w:lang w:val="en-GB"/>
              </w:rPr>
            </w:pPr>
            <w:r w:rsidRPr="000E18C9">
              <w:rPr>
                <w:rFonts w:ascii="Arial" w:hAnsi="Arial" w:cs="Arial"/>
                <w:noProof/>
                <w:color w:val="000000"/>
                <w:lang w:val="en-GB"/>
              </w:rPr>
              <w:t>2.0</w:t>
            </w:r>
          </w:p>
        </w:tc>
        <w:tc>
          <w:tcPr>
            <w:tcW w:w="1008" w:type="dxa"/>
            <w:tcBorders>
              <w:bottom w:val="single" w:sz="4" w:space="0" w:color="auto"/>
            </w:tcBorders>
            <w:vAlign w:val="center"/>
          </w:tcPr>
          <w:p w:rsidR="000E18C9" w:rsidRPr="000E18C9" w:rsidRDefault="000E18C9" w:rsidP="000E18C9">
            <w:pPr>
              <w:jc w:val="right"/>
              <w:rPr>
                <w:rFonts w:ascii="Arial" w:hAnsi="Arial" w:cs="Arial"/>
                <w:noProof/>
                <w:color w:val="000000"/>
                <w:lang w:val="en-GB"/>
              </w:rPr>
            </w:pPr>
            <w:r w:rsidRPr="000E18C9">
              <w:rPr>
                <w:rFonts w:ascii="Arial" w:hAnsi="Arial" w:cs="Arial"/>
                <w:noProof/>
                <w:color w:val="000000"/>
                <w:lang w:val="en-GB"/>
              </w:rPr>
              <w:t>1.9</w:t>
            </w:r>
          </w:p>
        </w:tc>
        <w:tc>
          <w:tcPr>
            <w:tcW w:w="1008" w:type="dxa"/>
            <w:tcBorders>
              <w:bottom w:val="single" w:sz="4" w:space="0" w:color="auto"/>
            </w:tcBorders>
            <w:vAlign w:val="center"/>
          </w:tcPr>
          <w:p w:rsidR="000E18C9" w:rsidRPr="000E18C9" w:rsidRDefault="000E18C9" w:rsidP="000E18C9">
            <w:pPr>
              <w:jc w:val="right"/>
              <w:rPr>
                <w:rFonts w:ascii="Arial" w:hAnsi="Arial" w:cs="Arial"/>
                <w:noProof/>
                <w:color w:val="000000"/>
                <w:lang w:val="en-GB"/>
              </w:rPr>
            </w:pPr>
            <w:r w:rsidRPr="000E18C9">
              <w:rPr>
                <w:rFonts w:ascii="Arial" w:hAnsi="Arial" w:cs="Arial"/>
                <w:noProof/>
                <w:color w:val="000000"/>
                <w:lang w:val="en-GB"/>
              </w:rPr>
              <w:t>1.7</w:t>
            </w:r>
          </w:p>
        </w:tc>
        <w:tc>
          <w:tcPr>
            <w:tcW w:w="1008" w:type="dxa"/>
            <w:tcBorders>
              <w:bottom w:val="single" w:sz="4" w:space="0" w:color="auto"/>
            </w:tcBorders>
            <w:vAlign w:val="center"/>
          </w:tcPr>
          <w:p w:rsidR="000E18C9" w:rsidRPr="000E18C9" w:rsidRDefault="000E18C9" w:rsidP="000E18C9">
            <w:pPr>
              <w:jc w:val="right"/>
              <w:rPr>
                <w:rFonts w:ascii="Arial" w:hAnsi="Arial" w:cs="Arial"/>
                <w:bCs/>
                <w:noProof/>
                <w:color w:val="000000"/>
                <w:lang w:val="en-GB"/>
              </w:rPr>
            </w:pPr>
            <w:r w:rsidRPr="000E18C9">
              <w:rPr>
                <w:rFonts w:ascii="Arial" w:hAnsi="Arial" w:cs="Arial"/>
                <w:bCs/>
                <w:noProof/>
                <w:color w:val="000000"/>
                <w:lang w:val="en-GB"/>
              </w:rPr>
              <w:t>1.8</w:t>
            </w:r>
          </w:p>
        </w:tc>
      </w:tr>
      <w:tr w:rsidR="000E18C9" w:rsidRPr="000E18C9" w:rsidTr="000E18C9">
        <w:tc>
          <w:tcPr>
            <w:tcW w:w="3688" w:type="dxa"/>
            <w:tcBorders>
              <w:top w:val="single" w:sz="4" w:space="0" w:color="auto"/>
            </w:tcBorders>
            <w:noWrap/>
            <w:vAlign w:val="bottom"/>
          </w:tcPr>
          <w:p w:rsidR="000E18C9" w:rsidRPr="000E18C9" w:rsidRDefault="000E18C9" w:rsidP="000E18C9">
            <w:pPr>
              <w:rPr>
                <w:rFonts w:ascii="Arial" w:hAnsi="Arial" w:cs="Arial"/>
                <w:noProof/>
                <w:color w:val="000000"/>
                <w:lang w:val="en-GB"/>
              </w:rPr>
            </w:pPr>
          </w:p>
        </w:tc>
        <w:tc>
          <w:tcPr>
            <w:tcW w:w="1008" w:type="dxa"/>
            <w:tcBorders>
              <w:top w:val="single" w:sz="4" w:space="0" w:color="auto"/>
            </w:tcBorders>
            <w:vAlign w:val="bottom"/>
          </w:tcPr>
          <w:p w:rsidR="000E18C9" w:rsidRPr="000E18C9" w:rsidRDefault="000E18C9" w:rsidP="000E18C9">
            <w:pPr>
              <w:jc w:val="right"/>
              <w:rPr>
                <w:rFonts w:ascii="Arial" w:hAnsi="Arial" w:cs="Arial"/>
                <w:noProof/>
                <w:color w:val="000000"/>
                <w:lang w:val="en-GB"/>
              </w:rPr>
            </w:pPr>
          </w:p>
        </w:tc>
        <w:tc>
          <w:tcPr>
            <w:tcW w:w="1008" w:type="dxa"/>
            <w:tcBorders>
              <w:top w:val="single" w:sz="4" w:space="0" w:color="auto"/>
            </w:tcBorders>
            <w:vAlign w:val="bottom"/>
          </w:tcPr>
          <w:p w:rsidR="000E18C9" w:rsidRPr="000E18C9" w:rsidRDefault="000E18C9" w:rsidP="000E18C9">
            <w:pPr>
              <w:jc w:val="right"/>
              <w:rPr>
                <w:rFonts w:ascii="Arial" w:hAnsi="Arial" w:cs="Arial"/>
                <w:noProof/>
                <w:color w:val="000000"/>
                <w:lang w:val="en-GB"/>
              </w:rPr>
            </w:pPr>
          </w:p>
        </w:tc>
        <w:tc>
          <w:tcPr>
            <w:tcW w:w="1008" w:type="dxa"/>
            <w:tcBorders>
              <w:top w:val="single" w:sz="4" w:space="0" w:color="auto"/>
            </w:tcBorders>
            <w:vAlign w:val="bottom"/>
          </w:tcPr>
          <w:p w:rsidR="000E18C9" w:rsidRPr="000E18C9" w:rsidRDefault="000E18C9" w:rsidP="000E18C9">
            <w:pPr>
              <w:jc w:val="right"/>
              <w:rPr>
                <w:rFonts w:ascii="Arial" w:hAnsi="Arial" w:cs="Arial"/>
                <w:noProof/>
                <w:color w:val="000000"/>
                <w:lang w:val="en-GB"/>
              </w:rPr>
            </w:pPr>
          </w:p>
        </w:tc>
        <w:tc>
          <w:tcPr>
            <w:tcW w:w="1008" w:type="dxa"/>
            <w:tcBorders>
              <w:top w:val="single" w:sz="4" w:space="0" w:color="auto"/>
            </w:tcBorders>
            <w:vAlign w:val="bottom"/>
          </w:tcPr>
          <w:p w:rsidR="000E18C9" w:rsidRPr="000E18C9" w:rsidRDefault="000E18C9" w:rsidP="000E18C9">
            <w:pPr>
              <w:jc w:val="right"/>
              <w:rPr>
                <w:rFonts w:ascii="Arial" w:hAnsi="Arial" w:cs="Arial"/>
                <w:noProof/>
                <w:color w:val="000000"/>
                <w:lang w:val="en-GB"/>
              </w:rPr>
            </w:pPr>
          </w:p>
        </w:tc>
        <w:tc>
          <w:tcPr>
            <w:tcW w:w="1008" w:type="dxa"/>
            <w:tcBorders>
              <w:top w:val="single" w:sz="4" w:space="0" w:color="auto"/>
            </w:tcBorders>
          </w:tcPr>
          <w:p w:rsidR="000E18C9" w:rsidRPr="000E18C9" w:rsidRDefault="000E18C9" w:rsidP="000E18C9">
            <w:pPr>
              <w:jc w:val="right"/>
              <w:rPr>
                <w:rFonts w:ascii="Arial" w:hAnsi="Arial" w:cs="Arial"/>
                <w:noProof/>
                <w:color w:val="000000"/>
                <w:lang w:val="en-GB"/>
              </w:rPr>
            </w:pPr>
          </w:p>
        </w:tc>
        <w:tc>
          <w:tcPr>
            <w:tcW w:w="1008" w:type="dxa"/>
            <w:tcBorders>
              <w:top w:val="single" w:sz="4" w:space="0" w:color="auto"/>
            </w:tcBorders>
          </w:tcPr>
          <w:p w:rsidR="000E18C9" w:rsidRPr="000E18C9" w:rsidRDefault="000E18C9" w:rsidP="000E18C9">
            <w:pPr>
              <w:jc w:val="right"/>
              <w:rPr>
                <w:rFonts w:ascii="Arial" w:hAnsi="Arial" w:cs="Arial"/>
                <w:b/>
                <w:bCs/>
                <w:noProof/>
                <w:color w:val="000000"/>
                <w:lang w:val="en-GB"/>
              </w:rPr>
            </w:pPr>
          </w:p>
        </w:tc>
      </w:tr>
    </w:tbl>
    <w:p w:rsidR="000E18C9" w:rsidRPr="000E18C9" w:rsidRDefault="000E18C9" w:rsidP="000E18C9">
      <w:pPr>
        <w:tabs>
          <w:tab w:val="left" w:pos="-1440"/>
          <w:tab w:val="left" w:pos="-720"/>
          <w:tab w:val="left" w:pos="1"/>
          <w:tab w:val="right" w:pos="9000"/>
        </w:tabs>
        <w:jc w:val="both"/>
        <w:rPr>
          <w:rFonts w:ascii="Arial" w:hAnsi="Arial" w:cs="Arial"/>
          <w:iCs/>
          <w:sz w:val="17"/>
          <w:szCs w:val="17"/>
          <w:lang w:val="en-GB"/>
        </w:rPr>
      </w:pPr>
      <w:r w:rsidRPr="000E18C9">
        <w:rPr>
          <w:rFonts w:ascii="Arial" w:hAnsi="Arial" w:cs="Arial"/>
          <w:iCs/>
          <w:sz w:val="17"/>
          <w:szCs w:val="17"/>
          <w:lang w:val="en-GB"/>
        </w:rPr>
        <w:t>Note: PCLs = provision for credit losses; FYE = Fiscal year ending</w:t>
      </w:r>
    </w:p>
    <w:p w:rsidR="000E18C9" w:rsidRPr="000E18C9" w:rsidRDefault="000E18C9" w:rsidP="000E18C9">
      <w:pPr>
        <w:tabs>
          <w:tab w:val="left" w:pos="-1440"/>
          <w:tab w:val="left" w:pos="-720"/>
          <w:tab w:val="left" w:pos="1"/>
          <w:tab w:val="right" w:pos="9000"/>
        </w:tabs>
        <w:jc w:val="both"/>
        <w:rPr>
          <w:rFonts w:ascii="Arial" w:hAnsi="Arial" w:cs="Arial"/>
          <w:iCs/>
          <w:sz w:val="17"/>
          <w:szCs w:val="17"/>
          <w:lang w:val="en-GB"/>
        </w:rPr>
      </w:pPr>
      <w:r w:rsidRPr="000E18C9">
        <w:rPr>
          <w:rFonts w:ascii="Arial" w:hAnsi="Arial" w:cs="Arial"/>
          <w:iCs/>
          <w:sz w:val="17"/>
          <w:szCs w:val="17"/>
          <w:lang w:val="en-GB"/>
        </w:rPr>
        <w:t>Source: TD Bank Group Annual Report, various years.</w:t>
      </w:r>
    </w:p>
    <w:p w:rsidR="000E18C9" w:rsidRPr="000E18C9" w:rsidRDefault="000E18C9" w:rsidP="000E18C9">
      <w:pPr>
        <w:spacing w:after="120"/>
        <w:rPr>
          <w:rFonts w:eastAsia="Calibri"/>
          <w:lang w:val="en-GB"/>
        </w:rPr>
      </w:pPr>
    </w:p>
    <w:p w:rsidR="000E18C9" w:rsidRPr="000E18C9" w:rsidRDefault="000E18C9" w:rsidP="000E18C9">
      <w:pPr>
        <w:spacing w:after="120"/>
        <w:rPr>
          <w:rFonts w:eastAsia="Calibri"/>
          <w:lang w:val="en-GB"/>
        </w:rPr>
        <w:sectPr w:rsidR="000E18C9" w:rsidRPr="000E18C9" w:rsidSect="000C4AFD">
          <w:endnotePr>
            <w:numFmt w:val="decimal"/>
          </w:endnotePr>
          <w:type w:val="continuous"/>
          <w:pgSz w:w="12240" w:h="15840" w:code="1"/>
          <w:pgMar w:top="1080" w:right="1440" w:bottom="1440" w:left="1440" w:header="1080" w:footer="720" w:gutter="0"/>
          <w:cols w:space="720"/>
          <w:formProt w:val="0"/>
          <w:docGrid w:linePitch="272"/>
        </w:sectPr>
      </w:pPr>
    </w:p>
    <w:p w:rsidR="000E18C9" w:rsidRPr="000E18C9" w:rsidRDefault="000E18C9" w:rsidP="000C4AFD">
      <w:pPr>
        <w:pStyle w:val="Casehead1"/>
        <w:jc w:val="center"/>
        <w:rPr>
          <w:rFonts w:eastAsia="Calibri"/>
          <w:noProof/>
          <w:lang w:val="en-GB" w:eastAsia="ja-JP"/>
        </w:rPr>
      </w:pPr>
      <w:r w:rsidRPr="000E18C9">
        <w:rPr>
          <w:rFonts w:eastAsia="Calibri"/>
          <w:noProof/>
          <w:lang w:val="en-GB" w:eastAsia="ja-JP"/>
        </w:rPr>
        <w:lastRenderedPageBreak/>
        <w:t>EXHIBIT 3: OPERATING PERFORMANCE AND LEVERAGE FOR NORTH AMERICAN BANKS</w:t>
      </w:r>
    </w:p>
    <w:p w:rsidR="000E18C9" w:rsidRPr="000E18C9" w:rsidRDefault="000E18C9" w:rsidP="000E18C9">
      <w:pPr>
        <w:jc w:val="both"/>
        <w:rPr>
          <w:rFonts w:eastAsia="Calibri"/>
          <w:noProof/>
          <w:sz w:val="22"/>
          <w:lang w:val="en-GB" w:eastAsia="ja-JP"/>
        </w:rPr>
      </w:pPr>
    </w:p>
    <w:tbl>
      <w:tblPr>
        <w:tblW w:w="11841" w:type="dxa"/>
        <w:jc w:val="center"/>
        <w:tblInd w:w="-369" w:type="dxa"/>
        <w:tblLook w:val="04A0" w:firstRow="1" w:lastRow="0" w:firstColumn="1" w:lastColumn="0" w:noHBand="0" w:noVBand="1"/>
      </w:tblPr>
      <w:tblGrid>
        <w:gridCol w:w="2979"/>
        <w:gridCol w:w="838"/>
        <w:gridCol w:w="995"/>
        <w:gridCol w:w="876"/>
        <w:gridCol w:w="883"/>
        <w:gridCol w:w="779"/>
        <w:gridCol w:w="778"/>
        <w:gridCol w:w="872"/>
        <w:gridCol w:w="819"/>
        <w:gridCol w:w="805"/>
        <w:gridCol w:w="1217"/>
      </w:tblGrid>
      <w:tr w:rsidR="000E18C9" w:rsidRPr="00EB6E1C" w:rsidTr="00EB6E1C">
        <w:trPr>
          <w:trHeight w:val="576"/>
          <w:jc w:val="center"/>
        </w:trPr>
        <w:tc>
          <w:tcPr>
            <w:tcW w:w="2979" w:type="dxa"/>
            <w:tcBorders>
              <w:top w:val="single" w:sz="4" w:space="0" w:color="auto"/>
              <w:left w:val="nil"/>
              <w:bottom w:val="single" w:sz="4" w:space="0" w:color="auto"/>
              <w:right w:val="nil"/>
            </w:tcBorders>
            <w:shd w:val="clear" w:color="auto" w:fill="auto"/>
            <w:vAlign w:val="bottom"/>
            <w:hideMark/>
          </w:tcPr>
          <w:p w:rsidR="000E18C9" w:rsidRPr="00EB6E1C" w:rsidRDefault="000E18C9" w:rsidP="000E18C9">
            <w:pPr>
              <w:rPr>
                <w:rFonts w:ascii="Arial" w:hAnsi="Arial" w:cs="Arial"/>
                <w:noProof/>
                <w:color w:val="000000"/>
                <w:lang w:val="en-GB" w:eastAsia="en-CA"/>
              </w:rPr>
            </w:pPr>
            <w:r w:rsidRPr="00EB6E1C">
              <w:rPr>
                <w:rFonts w:ascii="Arial" w:hAnsi="Arial" w:cs="Arial"/>
                <w:noProof/>
                <w:color w:val="000000"/>
                <w:lang w:val="en-GB" w:eastAsia="en-CA"/>
              </w:rPr>
              <w:t>Bank</w:t>
            </w:r>
          </w:p>
        </w:tc>
        <w:tc>
          <w:tcPr>
            <w:tcW w:w="846" w:type="dxa"/>
            <w:tcBorders>
              <w:top w:val="single" w:sz="4" w:space="0" w:color="auto"/>
              <w:left w:val="nil"/>
              <w:bottom w:val="single" w:sz="4" w:space="0" w:color="auto"/>
              <w:right w:val="nil"/>
            </w:tcBorders>
            <w:shd w:val="clear" w:color="auto" w:fill="auto"/>
            <w:vAlign w:val="bottom"/>
            <w:hideMark/>
          </w:tcPr>
          <w:p w:rsidR="000E18C9" w:rsidRPr="00EB6E1C" w:rsidRDefault="000E18C9" w:rsidP="00EB6E1C">
            <w:pPr>
              <w:jc w:val="center"/>
              <w:rPr>
                <w:rFonts w:ascii="Arial" w:hAnsi="Arial" w:cs="Arial"/>
                <w:noProof/>
                <w:color w:val="000000"/>
                <w:lang w:val="en-GB" w:eastAsia="en-CA"/>
              </w:rPr>
            </w:pPr>
            <w:r w:rsidRPr="00EB6E1C">
              <w:rPr>
                <w:rFonts w:ascii="Arial" w:hAnsi="Arial" w:cs="Arial"/>
                <w:noProof/>
                <w:color w:val="000000"/>
                <w:lang w:val="en-GB" w:eastAsia="en-CA"/>
              </w:rPr>
              <w:t>Loans/ Assets</w:t>
            </w:r>
          </w:p>
        </w:tc>
        <w:tc>
          <w:tcPr>
            <w:tcW w:w="956" w:type="dxa"/>
            <w:tcBorders>
              <w:top w:val="single" w:sz="4" w:space="0" w:color="auto"/>
              <w:left w:val="nil"/>
              <w:bottom w:val="single" w:sz="4" w:space="0" w:color="auto"/>
              <w:right w:val="nil"/>
            </w:tcBorders>
            <w:shd w:val="clear" w:color="auto" w:fill="auto"/>
            <w:vAlign w:val="bottom"/>
            <w:hideMark/>
          </w:tcPr>
          <w:p w:rsidR="000E18C9" w:rsidRPr="00EB6E1C" w:rsidRDefault="000E18C9" w:rsidP="00EB6E1C">
            <w:pPr>
              <w:jc w:val="center"/>
              <w:rPr>
                <w:rFonts w:ascii="Arial" w:hAnsi="Arial" w:cs="Arial"/>
                <w:noProof/>
                <w:color w:val="000000"/>
                <w:lang w:val="en-GB" w:eastAsia="en-CA"/>
              </w:rPr>
            </w:pPr>
            <w:r w:rsidRPr="00EB6E1C">
              <w:rPr>
                <w:rFonts w:ascii="Arial" w:hAnsi="Arial" w:cs="Arial"/>
                <w:noProof/>
                <w:color w:val="000000"/>
                <w:lang w:val="en-GB" w:eastAsia="en-CA"/>
              </w:rPr>
              <w:t>Loans/ Deposits</w:t>
            </w:r>
          </w:p>
        </w:tc>
        <w:tc>
          <w:tcPr>
            <w:tcW w:w="864" w:type="dxa"/>
            <w:tcBorders>
              <w:top w:val="single" w:sz="4" w:space="0" w:color="auto"/>
              <w:left w:val="nil"/>
              <w:bottom w:val="single" w:sz="4" w:space="0" w:color="auto"/>
              <w:right w:val="nil"/>
            </w:tcBorders>
            <w:shd w:val="clear" w:color="auto" w:fill="auto"/>
            <w:vAlign w:val="bottom"/>
            <w:hideMark/>
          </w:tcPr>
          <w:p w:rsidR="000E18C9" w:rsidRPr="00EB6E1C" w:rsidRDefault="000E18C9" w:rsidP="00EB6E1C">
            <w:pPr>
              <w:jc w:val="center"/>
              <w:rPr>
                <w:rFonts w:ascii="Arial" w:hAnsi="Arial" w:cs="Arial"/>
                <w:noProof/>
                <w:color w:val="000000"/>
                <w:lang w:val="en-GB" w:eastAsia="en-CA"/>
              </w:rPr>
            </w:pPr>
            <w:r w:rsidRPr="00EB6E1C">
              <w:rPr>
                <w:rFonts w:ascii="Arial" w:hAnsi="Arial" w:cs="Arial"/>
                <w:noProof/>
                <w:color w:val="000000"/>
                <w:lang w:val="en-GB" w:eastAsia="en-CA"/>
              </w:rPr>
              <w:t>Asset Growth Y-o-Y</w:t>
            </w:r>
          </w:p>
        </w:tc>
        <w:tc>
          <w:tcPr>
            <w:tcW w:w="855" w:type="dxa"/>
            <w:tcBorders>
              <w:top w:val="single" w:sz="4" w:space="0" w:color="auto"/>
              <w:left w:val="nil"/>
              <w:bottom w:val="single" w:sz="4" w:space="0" w:color="auto"/>
              <w:right w:val="nil"/>
            </w:tcBorders>
            <w:shd w:val="clear" w:color="auto" w:fill="auto"/>
            <w:vAlign w:val="bottom"/>
            <w:hideMark/>
          </w:tcPr>
          <w:p w:rsidR="000E18C9" w:rsidRPr="00EB6E1C" w:rsidRDefault="000E18C9" w:rsidP="00EB6E1C">
            <w:pPr>
              <w:jc w:val="center"/>
              <w:rPr>
                <w:rFonts w:ascii="Arial" w:hAnsi="Arial" w:cs="Arial"/>
                <w:noProof/>
                <w:color w:val="000000"/>
                <w:lang w:val="en-GB" w:eastAsia="en-CA"/>
              </w:rPr>
            </w:pPr>
            <w:r w:rsidRPr="00EB6E1C">
              <w:rPr>
                <w:rFonts w:ascii="Arial" w:hAnsi="Arial" w:cs="Arial"/>
                <w:noProof/>
                <w:color w:val="000000"/>
                <w:lang w:val="en-GB" w:eastAsia="en-CA"/>
              </w:rPr>
              <w:t>Net Interest Margin</w:t>
            </w:r>
          </w:p>
        </w:tc>
        <w:tc>
          <w:tcPr>
            <w:tcW w:w="825" w:type="dxa"/>
            <w:tcBorders>
              <w:top w:val="single" w:sz="4" w:space="0" w:color="auto"/>
              <w:left w:val="nil"/>
              <w:bottom w:val="single" w:sz="4" w:space="0" w:color="auto"/>
              <w:right w:val="nil"/>
            </w:tcBorders>
            <w:shd w:val="clear" w:color="auto" w:fill="auto"/>
            <w:vAlign w:val="bottom"/>
            <w:hideMark/>
          </w:tcPr>
          <w:p w:rsidR="000E18C9" w:rsidRPr="00EB6E1C" w:rsidRDefault="000E18C9" w:rsidP="00EB6E1C">
            <w:pPr>
              <w:jc w:val="center"/>
              <w:rPr>
                <w:rFonts w:ascii="Arial" w:hAnsi="Arial" w:cs="Arial"/>
                <w:noProof/>
                <w:color w:val="000000"/>
                <w:lang w:val="en-GB" w:eastAsia="en-CA"/>
              </w:rPr>
            </w:pPr>
            <w:r w:rsidRPr="00EB6E1C">
              <w:rPr>
                <w:rFonts w:ascii="Arial" w:hAnsi="Arial" w:cs="Arial"/>
                <w:noProof/>
                <w:color w:val="000000"/>
                <w:lang w:val="en-GB" w:eastAsia="en-CA"/>
              </w:rPr>
              <w:t>ROA</w:t>
            </w:r>
          </w:p>
        </w:tc>
        <w:tc>
          <w:tcPr>
            <w:tcW w:w="823" w:type="dxa"/>
            <w:tcBorders>
              <w:top w:val="single" w:sz="4" w:space="0" w:color="auto"/>
              <w:left w:val="nil"/>
              <w:bottom w:val="single" w:sz="4" w:space="0" w:color="auto"/>
              <w:right w:val="nil"/>
            </w:tcBorders>
            <w:shd w:val="clear" w:color="auto" w:fill="auto"/>
            <w:vAlign w:val="bottom"/>
            <w:hideMark/>
          </w:tcPr>
          <w:p w:rsidR="000E18C9" w:rsidRPr="00EB6E1C" w:rsidRDefault="000E18C9" w:rsidP="00EB6E1C">
            <w:pPr>
              <w:jc w:val="center"/>
              <w:rPr>
                <w:rFonts w:ascii="Arial" w:hAnsi="Arial" w:cs="Arial"/>
                <w:noProof/>
                <w:color w:val="000000"/>
                <w:lang w:val="en-GB" w:eastAsia="en-CA"/>
              </w:rPr>
            </w:pPr>
            <w:r w:rsidRPr="00EB6E1C">
              <w:rPr>
                <w:rFonts w:ascii="Arial" w:hAnsi="Arial" w:cs="Arial"/>
                <w:noProof/>
                <w:color w:val="000000"/>
                <w:lang w:val="en-GB" w:eastAsia="en-CA"/>
              </w:rPr>
              <w:t>ROE</w:t>
            </w:r>
          </w:p>
        </w:tc>
        <w:tc>
          <w:tcPr>
            <w:tcW w:w="854" w:type="dxa"/>
            <w:tcBorders>
              <w:top w:val="single" w:sz="4" w:space="0" w:color="auto"/>
              <w:left w:val="nil"/>
              <w:bottom w:val="single" w:sz="4" w:space="0" w:color="auto"/>
              <w:right w:val="nil"/>
            </w:tcBorders>
            <w:shd w:val="clear" w:color="auto" w:fill="auto"/>
            <w:vAlign w:val="bottom"/>
            <w:hideMark/>
          </w:tcPr>
          <w:p w:rsidR="000E18C9" w:rsidRPr="00EB6E1C" w:rsidRDefault="000E18C9" w:rsidP="00EB6E1C">
            <w:pPr>
              <w:jc w:val="center"/>
              <w:rPr>
                <w:rFonts w:ascii="Arial" w:hAnsi="Arial" w:cs="Arial"/>
                <w:noProof/>
                <w:color w:val="000000"/>
                <w:lang w:val="en-GB" w:eastAsia="en-CA"/>
              </w:rPr>
            </w:pPr>
            <w:r w:rsidRPr="00EB6E1C">
              <w:rPr>
                <w:rFonts w:ascii="Arial" w:hAnsi="Arial" w:cs="Arial"/>
                <w:noProof/>
                <w:color w:val="000000"/>
                <w:lang w:val="en-GB" w:eastAsia="en-CA"/>
              </w:rPr>
              <w:t>Assets/ Equity</w:t>
            </w:r>
          </w:p>
        </w:tc>
        <w:tc>
          <w:tcPr>
            <w:tcW w:w="839" w:type="dxa"/>
            <w:tcBorders>
              <w:top w:val="single" w:sz="4" w:space="0" w:color="auto"/>
              <w:left w:val="nil"/>
              <w:bottom w:val="single" w:sz="4" w:space="0" w:color="auto"/>
              <w:right w:val="nil"/>
            </w:tcBorders>
            <w:shd w:val="clear" w:color="auto" w:fill="auto"/>
            <w:vAlign w:val="bottom"/>
            <w:hideMark/>
          </w:tcPr>
          <w:p w:rsidR="000E18C9" w:rsidRPr="00EB6E1C" w:rsidRDefault="000E18C9" w:rsidP="00EB6E1C">
            <w:pPr>
              <w:jc w:val="center"/>
              <w:rPr>
                <w:rFonts w:ascii="Arial" w:hAnsi="Arial" w:cs="Arial"/>
                <w:noProof/>
                <w:color w:val="000000"/>
                <w:lang w:val="en-GB" w:eastAsia="en-CA"/>
              </w:rPr>
            </w:pPr>
            <w:r w:rsidRPr="00EB6E1C">
              <w:rPr>
                <w:rFonts w:ascii="Arial" w:hAnsi="Arial" w:cs="Arial"/>
                <w:noProof/>
                <w:color w:val="000000"/>
                <w:lang w:val="en-GB" w:eastAsia="en-CA"/>
              </w:rPr>
              <w:t>PCLs/ Loans</w:t>
            </w:r>
          </w:p>
        </w:tc>
        <w:tc>
          <w:tcPr>
            <w:tcW w:w="833" w:type="dxa"/>
            <w:tcBorders>
              <w:top w:val="single" w:sz="4" w:space="0" w:color="auto"/>
              <w:left w:val="nil"/>
              <w:bottom w:val="single" w:sz="4" w:space="0" w:color="auto"/>
              <w:right w:val="nil"/>
            </w:tcBorders>
            <w:shd w:val="clear" w:color="auto" w:fill="auto"/>
            <w:vAlign w:val="bottom"/>
            <w:hideMark/>
          </w:tcPr>
          <w:p w:rsidR="000E18C9" w:rsidRPr="00EB6E1C" w:rsidRDefault="000E18C9" w:rsidP="00EB6E1C">
            <w:pPr>
              <w:jc w:val="center"/>
              <w:rPr>
                <w:rFonts w:ascii="Arial" w:hAnsi="Arial" w:cs="Arial"/>
                <w:noProof/>
                <w:color w:val="000000"/>
                <w:lang w:val="en-GB" w:eastAsia="en-CA"/>
              </w:rPr>
            </w:pPr>
            <w:r w:rsidRPr="00EB6E1C">
              <w:rPr>
                <w:rFonts w:ascii="Arial" w:hAnsi="Arial" w:cs="Arial"/>
                <w:noProof/>
                <w:color w:val="000000"/>
                <w:lang w:val="en-GB" w:eastAsia="en-CA"/>
              </w:rPr>
              <w:t>CET1 Ratio</w:t>
            </w:r>
          </w:p>
        </w:tc>
        <w:tc>
          <w:tcPr>
            <w:tcW w:w="1167" w:type="dxa"/>
            <w:tcBorders>
              <w:top w:val="single" w:sz="4" w:space="0" w:color="auto"/>
              <w:left w:val="nil"/>
              <w:bottom w:val="single" w:sz="4" w:space="0" w:color="auto"/>
              <w:right w:val="nil"/>
            </w:tcBorders>
            <w:shd w:val="clear" w:color="auto" w:fill="auto"/>
            <w:vAlign w:val="bottom"/>
            <w:hideMark/>
          </w:tcPr>
          <w:p w:rsidR="000E18C9" w:rsidRPr="00EB6E1C" w:rsidRDefault="000E18C9" w:rsidP="00EB6E1C">
            <w:pPr>
              <w:jc w:val="center"/>
              <w:rPr>
                <w:rFonts w:ascii="Arial" w:hAnsi="Arial" w:cs="Arial"/>
                <w:noProof/>
                <w:color w:val="000000"/>
                <w:lang w:val="en-GB" w:eastAsia="en-CA"/>
              </w:rPr>
            </w:pPr>
            <w:r w:rsidRPr="00EB6E1C">
              <w:rPr>
                <w:rFonts w:ascii="Arial" w:hAnsi="Arial" w:cs="Arial"/>
                <w:noProof/>
                <w:color w:val="000000"/>
                <w:lang w:val="en-GB" w:eastAsia="en-CA"/>
              </w:rPr>
              <w:t>Fiscal Year Ending</w:t>
            </w:r>
          </w:p>
        </w:tc>
      </w:tr>
      <w:tr w:rsidR="000E18C9" w:rsidRPr="00EB6E1C" w:rsidTr="00EB6E1C">
        <w:trPr>
          <w:trHeight w:val="240"/>
          <w:jc w:val="center"/>
        </w:trPr>
        <w:tc>
          <w:tcPr>
            <w:tcW w:w="2979" w:type="dxa"/>
            <w:tcBorders>
              <w:top w:val="single" w:sz="4" w:space="0" w:color="auto"/>
              <w:left w:val="nil"/>
              <w:bottom w:val="nil"/>
              <w:right w:val="nil"/>
            </w:tcBorders>
            <w:shd w:val="clear" w:color="auto" w:fill="auto"/>
            <w:noWrap/>
            <w:vAlign w:val="center"/>
          </w:tcPr>
          <w:p w:rsidR="000E18C9" w:rsidRPr="00EB6E1C" w:rsidRDefault="000E18C9" w:rsidP="000E18C9">
            <w:pPr>
              <w:rPr>
                <w:rFonts w:ascii="Arial" w:hAnsi="Arial" w:cs="Arial"/>
                <w:b/>
                <w:noProof/>
                <w:color w:val="000000"/>
                <w:lang w:val="en-GB" w:eastAsia="en-CA"/>
              </w:rPr>
            </w:pPr>
            <w:r w:rsidRPr="00EB6E1C">
              <w:rPr>
                <w:rFonts w:ascii="Arial" w:hAnsi="Arial" w:cs="Arial"/>
                <w:b/>
                <w:noProof/>
                <w:color w:val="000000"/>
                <w:lang w:val="en-GB" w:eastAsia="en-CA"/>
              </w:rPr>
              <w:t>CANADIAN BANKS:</w:t>
            </w:r>
          </w:p>
        </w:tc>
        <w:tc>
          <w:tcPr>
            <w:tcW w:w="846" w:type="dxa"/>
            <w:tcBorders>
              <w:top w:val="single" w:sz="4" w:space="0" w:color="auto"/>
              <w:left w:val="nil"/>
              <w:bottom w:val="nil"/>
              <w:right w:val="nil"/>
            </w:tcBorders>
            <w:shd w:val="clear" w:color="auto" w:fill="auto"/>
            <w:vAlign w:val="center"/>
          </w:tcPr>
          <w:p w:rsidR="000E18C9" w:rsidRPr="00EB6E1C" w:rsidRDefault="000E18C9" w:rsidP="000E18C9">
            <w:pPr>
              <w:jc w:val="right"/>
              <w:rPr>
                <w:rFonts w:ascii="Arial" w:hAnsi="Arial" w:cs="Arial"/>
                <w:noProof/>
                <w:color w:val="000000"/>
                <w:lang w:val="en-GB" w:eastAsia="en-CA"/>
              </w:rPr>
            </w:pPr>
          </w:p>
        </w:tc>
        <w:tc>
          <w:tcPr>
            <w:tcW w:w="956" w:type="dxa"/>
            <w:tcBorders>
              <w:top w:val="single" w:sz="4" w:space="0" w:color="auto"/>
              <w:left w:val="nil"/>
              <w:bottom w:val="nil"/>
              <w:right w:val="nil"/>
            </w:tcBorders>
            <w:shd w:val="clear" w:color="auto" w:fill="auto"/>
            <w:vAlign w:val="center"/>
          </w:tcPr>
          <w:p w:rsidR="000E18C9" w:rsidRPr="00EB6E1C" w:rsidRDefault="000E18C9" w:rsidP="000E18C9">
            <w:pPr>
              <w:jc w:val="right"/>
              <w:rPr>
                <w:rFonts w:ascii="Arial" w:hAnsi="Arial" w:cs="Arial"/>
                <w:noProof/>
                <w:color w:val="000000"/>
                <w:lang w:val="en-GB" w:eastAsia="en-CA"/>
              </w:rPr>
            </w:pPr>
          </w:p>
        </w:tc>
        <w:tc>
          <w:tcPr>
            <w:tcW w:w="864" w:type="dxa"/>
            <w:tcBorders>
              <w:top w:val="single" w:sz="4" w:space="0" w:color="auto"/>
              <w:left w:val="nil"/>
              <w:bottom w:val="nil"/>
              <w:right w:val="nil"/>
            </w:tcBorders>
            <w:shd w:val="clear" w:color="auto" w:fill="auto"/>
            <w:vAlign w:val="center"/>
          </w:tcPr>
          <w:p w:rsidR="000E18C9" w:rsidRPr="00EB6E1C" w:rsidRDefault="000E18C9" w:rsidP="000E18C9">
            <w:pPr>
              <w:jc w:val="right"/>
              <w:rPr>
                <w:rFonts w:ascii="Arial" w:hAnsi="Arial" w:cs="Arial"/>
                <w:noProof/>
                <w:color w:val="000000"/>
                <w:lang w:val="en-GB" w:eastAsia="en-CA"/>
              </w:rPr>
            </w:pPr>
          </w:p>
        </w:tc>
        <w:tc>
          <w:tcPr>
            <w:tcW w:w="855" w:type="dxa"/>
            <w:tcBorders>
              <w:top w:val="single" w:sz="4" w:space="0" w:color="auto"/>
              <w:left w:val="nil"/>
              <w:bottom w:val="nil"/>
              <w:right w:val="nil"/>
            </w:tcBorders>
            <w:shd w:val="clear" w:color="auto" w:fill="auto"/>
            <w:vAlign w:val="center"/>
          </w:tcPr>
          <w:p w:rsidR="000E18C9" w:rsidRPr="00EB6E1C" w:rsidRDefault="000E18C9" w:rsidP="000E18C9">
            <w:pPr>
              <w:jc w:val="right"/>
              <w:rPr>
                <w:rFonts w:ascii="Arial" w:hAnsi="Arial" w:cs="Arial"/>
                <w:noProof/>
                <w:color w:val="000000"/>
                <w:lang w:val="en-GB" w:eastAsia="en-CA"/>
              </w:rPr>
            </w:pPr>
          </w:p>
        </w:tc>
        <w:tc>
          <w:tcPr>
            <w:tcW w:w="825" w:type="dxa"/>
            <w:tcBorders>
              <w:top w:val="single" w:sz="4" w:space="0" w:color="auto"/>
              <w:left w:val="nil"/>
              <w:bottom w:val="nil"/>
              <w:right w:val="nil"/>
            </w:tcBorders>
            <w:shd w:val="clear" w:color="auto" w:fill="auto"/>
            <w:vAlign w:val="center"/>
          </w:tcPr>
          <w:p w:rsidR="000E18C9" w:rsidRPr="00EB6E1C" w:rsidRDefault="000E18C9" w:rsidP="000E18C9">
            <w:pPr>
              <w:jc w:val="right"/>
              <w:rPr>
                <w:rFonts w:ascii="Arial" w:hAnsi="Arial" w:cs="Arial"/>
                <w:noProof/>
                <w:color w:val="000000"/>
                <w:lang w:val="en-GB" w:eastAsia="en-CA"/>
              </w:rPr>
            </w:pPr>
          </w:p>
        </w:tc>
        <w:tc>
          <w:tcPr>
            <w:tcW w:w="823" w:type="dxa"/>
            <w:tcBorders>
              <w:top w:val="single" w:sz="4" w:space="0" w:color="auto"/>
              <w:left w:val="nil"/>
              <w:bottom w:val="nil"/>
              <w:right w:val="nil"/>
            </w:tcBorders>
            <w:shd w:val="clear" w:color="auto" w:fill="auto"/>
            <w:vAlign w:val="center"/>
          </w:tcPr>
          <w:p w:rsidR="000E18C9" w:rsidRPr="00EB6E1C" w:rsidRDefault="000E18C9" w:rsidP="000E18C9">
            <w:pPr>
              <w:jc w:val="right"/>
              <w:rPr>
                <w:rFonts w:ascii="Arial" w:hAnsi="Arial" w:cs="Arial"/>
                <w:noProof/>
                <w:color w:val="000000"/>
                <w:lang w:val="en-GB" w:eastAsia="en-CA"/>
              </w:rPr>
            </w:pPr>
          </w:p>
        </w:tc>
        <w:tc>
          <w:tcPr>
            <w:tcW w:w="854" w:type="dxa"/>
            <w:tcBorders>
              <w:top w:val="single" w:sz="4" w:space="0" w:color="auto"/>
              <w:left w:val="nil"/>
              <w:bottom w:val="nil"/>
              <w:right w:val="nil"/>
            </w:tcBorders>
            <w:shd w:val="clear" w:color="auto" w:fill="auto"/>
            <w:vAlign w:val="center"/>
          </w:tcPr>
          <w:p w:rsidR="000E18C9" w:rsidRPr="00EB6E1C" w:rsidRDefault="000E18C9" w:rsidP="000E18C9">
            <w:pPr>
              <w:jc w:val="right"/>
              <w:rPr>
                <w:rFonts w:ascii="Arial" w:hAnsi="Arial" w:cs="Arial"/>
                <w:noProof/>
                <w:color w:val="000000"/>
                <w:lang w:val="en-GB" w:eastAsia="en-CA"/>
              </w:rPr>
            </w:pPr>
          </w:p>
        </w:tc>
        <w:tc>
          <w:tcPr>
            <w:tcW w:w="839" w:type="dxa"/>
            <w:tcBorders>
              <w:top w:val="single" w:sz="4" w:space="0" w:color="auto"/>
              <w:left w:val="nil"/>
              <w:bottom w:val="nil"/>
              <w:right w:val="nil"/>
            </w:tcBorders>
            <w:shd w:val="clear" w:color="auto" w:fill="auto"/>
            <w:vAlign w:val="center"/>
          </w:tcPr>
          <w:p w:rsidR="000E18C9" w:rsidRPr="00EB6E1C" w:rsidRDefault="000E18C9" w:rsidP="000E18C9">
            <w:pPr>
              <w:jc w:val="right"/>
              <w:rPr>
                <w:rFonts w:ascii="Arial" w:hAnsi="Arial" w:cs="Arial"/>
                <w:noProof/>
                <w:color w:val="000000"/>
                <w:lang w:val="en-GB" w:eastAsia="en-CA"/>
              </w:rPr>
            </w:pPr>
          </w:p>
        </w:tc>
        <w:tc>
          <w:tcPr>
            <w:tcW w:w="833" w:type="dxa"/>
            <w:tcBorders>
              <w:top w:val="single" w:sz="4" w:space="0" w:color="auto"/>
              <w:left w:val="nil"/>
              <w:bottom w:val="nil"/>
              <w:right w:val="nil"/>
            </w:tcBorders>
            <w:shd w:val="clear" w:color="auto" w:fill="auto"/>
            <w:vAlign w:val="center"/>
          </w:tcPr>
          <w:p w:rsidR="000E18C9" w:rsidRPr="00EB6E1C" w:rsidRDefault="000E18C9" w:rsidP="000E18C9">
            <w:pPr>
              <w:jc w:val="right"/>
              <w:rPr>
                <w:rFonts w:ascii="Arial" w:hAnsi="Arial" w:cs="Arial"/>
                <w:noProof/>
                <w:color w:val="000000"/>
                <w:lang w:val="en-GB" w:eastAsia="en-CA"/>
              </w:rPr>
            </w:pPr>
          </w:p>
        </w:tc>
        <w:tc>
          <w:tcPr>
            <w:tcW w:w="1167" w:type="dxa"/>
            <w:tcBorders>
              <w:top w:val="single" w:sz="4" w:space="0" w:color="auto"/>
              <w:left w:val="nil"/>
              <w:bottom w:val="nil"/>
              <w:right w:val="nil"/>
            </w:tcBorders>
            <w:shd w:val="clear" w:color="auto" w:fill="auto"/>
            <w:vAlign w:val="center"/>
          </w:tcPr>
          <w:p w:rsidR="000E18C9" w:rsidRPr="00EB6E1C" w:rsidRDefault="000E18C9" w:rsidP="000E18C9">
            <w:pPr>
              <w:jc w:val="right"/>
              <w:rPr>
                <w:rFonts w:ascii="Arial" w:hAnsi="Arial" w:cs="Arial"/>
                <w:noProof/>
                <w:color w:val="000000"/>
                <w:lang w:val="en-GB" w:eastAsia="en-CA"/>
              </w:rPr>
            </w:pPr>
          </w:p>
        </w:tc>
      </w:tr>
      <w:tr w:rsidR="000E18C9" w:rsidRPr="00EB6E1C" w:rsidTr="00EB6E1C">
        <w:trPr>
          <w:trHeight w:val="240"/>
          <w:jc w:val="center"/>
        </w:trPr>
        <w:tc>
          <w:tcPr>
            <w:tcW w:w="2979" w:type="dxa"/>
            <w:tcBorders>
              <w:left w:val="nil"/>
              <w:bottom w:val="nil"/>
              <w:right w:val="nil"/>
            </w:tcBorders>
            <w:shd w:val="clear" w:color="auto" w:fill="auto"/>
            <w:noWrap/>
            <w:vAlign w:val="center"/>
            <w:hideMark/>
          </w:tcPr>
          <w:p w:rsidR="000E18C9" w:rsidRPr="00EB6E1C" w:rsidRDefault="000E18C9" w:rsidP="000E18C9">
            <w:pPr>
              <w:rPr>
                <w:rFonts w:ascii="Arial" w:hAnsi="Arial" w:cs="Arial"/>
                <w:noProof/>
                <w:color w:val="000000"/>
                <w:lang w:val="en-GB" w:eastAsia="en-CA"/>
              </w:rPr>
            </w:pPr>
            <w:r w:rsidRPr="00EB6E1C">
              <w:rPr>
                <w:rFonts w:ascii="Arial" w:hAnsi="Arial" w:cs="Arial"/>
                <w:noProof/>
                <w:color w:val="000000"/>
                <w:lang w:val="en-GB" w:eastAsia="en-CA"/>
              </w:rPr>
              <w:t>BMO</w:t>
            </w:r>
          </w:p>
        </w:tc>
        <w:tc>
          <w:tcPr>
            <w:tcW w:w="846" w:type="dxa"/>
            <w:tcBorders>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52 </w:t>
            </w:r>
          </w:p>
        </w:tc>
        <w:tc>
          <w:tcPr>
            <w:tcW w:w="956" w:type="dxa"/>
            <w:tcBorders>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76 </w:t>
            </w:r>
          </w:p>
        </w:tc>
        <w:tc>
          <w:tcPr>
            <w:tcW w:w="864" w:type="dxa"/>
            <w:tcBorders>
              <w:left w:val="nil"/>
              <w:bottom w:val="nil"/>
              <w:right w:val="nil"/>
            </w:tcBorders>
            <w:shd w:val="clear" w:color="auto" w:fill="auto"/>
            <w:vAlign w:val="center"/>
            <w:hideMark/>
          </w:tcPr>
          <w:p w:rsidR="000E18C9" w:rsidRPr="00EB6E1C" w:rsidRDefault="000E18C9" w:rsidP="000E18C9">
            <w:pPr>
              <w:tabs>
                <w:tab w:val="decimal" w:pos="426"/>
              </w:tabs>
              <w:rPr>
                <w:rFonts w:ascii="Arial" w:hAnsi="Arial" w:cs="Arial"/>
                <w:noProof/>
                <w:color w:val="000000"/>
                <w:lang w:val="en-GB" w:eastAsia="en-CA"/>
              </w:rPr>
            </w:pPr>
            <w:r w:rsidRPr="00EB6E1C">
              <w:rPr>
                <w:rFonts w:ascii="Arial" w:hAnsi="Arial" w:cs="Arial"/>
                <w:noProof/>
                <w:color w:val="000000"/>
                <w:lang w:val="en-GB"/>
              </w:rPr>
              <w:t xml:space="preserve">7.2 </w:t>
            </w:r>
          </w:p>
        </w:tc>
        <w:tc>
          <w:tcPr>
            <w:tcW w:w="855" w:type="dxa"/>
            <w:tcBorders>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1.77 </w:t>
            </w:r>
          </w:p>
        </w:tc>
        <w:tc>
          <w:tcPr>
            <w:tcW w:w="825" w:type="dxa"/>
            <w:tcBorders>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0.70 </w:t>
            </w:r>
          </w:p>
        </w:tc>
        <w:tc>
          <w:tcPr>
            <w:tcW w:w="823" w:type="dxa"/>
            <w:tcBorders>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12.0 </w:t>
            </w:r>
          </w:p>
        </w:tc>
        <w:tc>
          <w:tcPr>
            <w:tcW w:w="854" w:type="dxa"/>
            <w:tcBorders>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17.9 </w:t>
            </w:r>
          </w:p>
        </w:tc>
        <w:tc>
          <w:tcPr>
            <w:tcW w:w="839" w:type="dxa"/>
            <w:tcBorders>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0.2 </w:t>
            </w:r>
          </w:p>
        </w:tc>
        <w:tc>
          <w:tcPr>
            <w:tcW w:w="833" w:type="dxa"/>
            <w:tcBorders>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10.1 </w:t>
            </w:r>
          </w:p>
        </w:tc>
        <w:tc>
          <w:tcPr>
            <w:tcW w:w="1167" w:type="dxa"/>
            <w:tcBorders>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10/31/2016</w:t>
            </w:r>
          </w:p>
        </w:tc>
      </w:tr>
      <w:tr w:rsidR="000E18C9" w:rsidRPr="00EB6E1C" w:rsidTr="00EB6E1C">
        <w:trPr>
          <w:trHeight w:val="240"/>
          <w:jc w:val="center"/>
        </w:trPr>
        <w:tc>
          <w:tcPr>
            <w:tcW w:w="2979" w:type="dxa"/>
            <w:tcBorders>
              <w:top w:val="nil"/>
              <w:left w:val="nil"/>
              <w:bottom w:val="nil"/>
              <w:right w:val="nil"/>
            </w:tcBorders>
            <w:shd w:val="clear" w:color="auto" w:fill="auto"/>
            <w:noWrap/>
            <w:vAlign w:val="center"/>
            <w:hideMark/>
          </w:tcPr>
          <w:p w:rsidR="000E18C9" w:rsidRPr="00EB6E1C" w:rsidRDefault="000E18C9" w:rsidP="000E18C9">
            <w:pPr>
              <w:rPr>
                <w:rFonts w:ascii="Arial" w:hAnsi="Arial" w:cs="Arial"/>
                <w:noProof/>
                <w:color w:val="000000"/>
                <w:lang w:val="en-GB" w:eastAsia="en-CA"/>
              </w:rPr>
            </w:pPr>
            <w:r w:rsidRPr="00EB6E1C">
              <w:rPr>
                <w:rFonts w:ascii="Arial" w:hAnsi="Arial" w:cs="Arial"/>
                <w:noProof/>
                <w:color w:val="000000"/>
                <w:lang w:val="en-GB" w:eastAsia="en-CA"/>
              </w:rPr>
              <w:t>CIBC</w:t>
            </w:r>
          </w:p>
        </w:tc>
        <w:tc>
          <w:tcPr>
            <w:tcW w:w="846"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62 </w:t>
            </w:r>
          </w:p>
        </w:tc>
        <w:tc>
          <w:tcPr>
            <w:tcW w:w="956"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78 </w:t>
            </w:r>
          </w:p>
        </w:tc>
        <w:tc>
          <w:tcPr>
            <w:tcW w:w="864" w:type="dxa"/>
            <w:tcBorders>
              <w:top w:val="nil"/>
              <w:left w:val="nil"/>
              <w:bottom w:val="nil"/>
              <w:right w:val="nil"/>
            </w:tcBorders>
            <w:shd w:val="clear" w:color="auto" w:fill="auto"/>
            <w:vAlign w:val="center"/>
            <w:hideMark/>
          </w:tcPr>
          <w:p w:rsidR="000E18C9" w:rsidRPr="00EB6E1C" w:rsidRDefault="000E18C9" w:rsidP="000E18C9">
            <w:pPr>
              <w:tabs>
                <w:tab w:val="decimal" w:pos="426"/>
              </w:tabs>
              <w:rPr>
                <w:rFonts w:ascii="Arial" w:hAnsi="Arial" w:cs="Arial"/>
                <w:noProof/>
                <w:color w:val="000000"/>
                <w:lang w:val="en-GB" w:eastAsia="en-CA"/>
              </w:rPr>
            </w:pPr>
            <w:r w:rsidRPr="00EB6E1C">
              <w:rPr>
                <w:rFonts w:ascii="Arial" w:hAnsi="Arial" w:cs="Arial"/>
                <w:noProof/>
                <w:color w:val="000000"/>
                <w:lang w:val="en-GB"/>
              </w:rPr>
              <w:t xml:space="preserve">8.2 </w:t>
            </w:r>
          </w:p>
        </w:tc>
        <w:tc>
          <w:tcPr>
            <w:tcW w:w="855"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2.09 </w:t>
            </w:r>
          </w:p>
        </w:tc>
        <w:tc>
          <w:tcPr>
            <w:tcW w:w="825"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0.89 </w:t>
            </w:r>
          </w:p>
        </w:tc>
        <w:tc>
          <w:tcPr>
            <w:tcW w:w="823"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19.8 </w:t>
            </w:r>
          </w:p>
        </w:tc>
        <w:tc>
          <w:tcPr>
            <w:tcW w:w="854"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22.3 </w:t>
            </w:r>
          </w:p>
        </w:tc>
        <w:tc>
          <w:tcPr>
            <w:tcW w:w="839"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0.4 </w:t>
            </w:r>
          </w:p>
        </w:tc>
        <w:tc>
          <w:tcPr>
            <w:tcW w:w="833"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11.3 </w:t>
            </w:r>
          </w:p>
        </w:tc>
        <w:tc>
          <w:tcPr>
            <w:tcW w:w="1167"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10/31/2016</w:t>
            </w:r>
          </w:p>
        </w:tc>
      </w:tr>
      <w:tr w:rsidR="000E18C9" w:rsidRPr="00EB6E1C" w:rsidTr="00EB6E1C">
        <w:trPr>
          <w:trHeight w:val="240"/>
          <w:jc w:val="center"/>
        </w:trPr>
        <w:tc>
          <w:tcPr>
            <w:tcW w:w="2979" w:type="dxa"/>
            <w:tcBorders>
              <w:top w:val="nil"/>
              <w:left w:val="nil"/>
              <w:bottom w:val="nil"/>
              <w:right w:val="nil"/>
            </w:tcBorders>
            <w:shd w:val="clear" w:color="auto" w:fill="auto"/>
            <w:noWrap/>
            <w:vAlign w:val="center"/>
            <w:hideMark/>
          </w:tcPr>
          <w:p w:rsidR="000E18C9" w:rsidRPr="00EB6E1C" w:rsidRDefault="000E18C9" w:rsidP="000E18C9">
            <w:pPr>
              <w:rPr>
                <w:rFonts w:ascii="Arial" w:hAnsi="Arial" w:cs="Arial"/>
                <w:noProof/>
                <w:color w:val="000000"/>
                <w:lang w:val="en-GB" w:eastAsia="en-CA"/>
              </w:rPr>
            </w:pPr>
            <w:r w:rsidRPr="00EB6E1C">
              <w:rPr>
                <w:rFonts w:ascii="Arial" w:hAnsi="Arial" w:cs="Arial"/>
                <w:noProof/>
                <w:color w:val="000000"/>
                <w:lang w:val="en-GB" w:eastAsia="en-CA"/>
              </w:rPr>
              <w:t>National Bank</w:t>
            </w:r>
          </w:p>
        </w:tc>
        <w:tc>
          <w:tcPr>
            <w:tcW w:w="846"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52 </w:t>
            </w:r>
          </w:p>
        </w:tc>
        <w:tc>
          <w:tcPr>
            <w:tcW w:w="956"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86 </w:t>
            </w:r>
          </w:p>
        </w:tc>
        <w:tc>
          <w:tcPr>
            <w:tcW w:w="864" w:type="dxa"/>
            <w:tcBorders>
              <w:top w:val="nil"/>
              <w:left w:val="nil"/>
              <w:bottom w:val="nil"/>
              <w:right w:val="nil"/>
            </w:tcBorders>
            <w:shd w:val="clear" w:color="auto" w:fill="auto"/>
            <w:vAlign w:val="center"/>
            <w:hideMark/>
          </w:tcPr>
          <w:p w:rsidR="000E18C9" w:rsidRPr="00EB6E1C" w:rsidRDefault="000E18C9" w:rsidP="000E18C9">
            <w:pPr>
              <w:tabs>
                <w:tab w:val="decimal" w:pos="426"/>
              </w:tabs>
              <w:rPr>
                <w:rFonts w:ascii="Arial" w:hAnsi="Arial" w:cs="Arial"/>
                <w:noProof/>
                <w:color w:val="000000"/>
                <w:lang w:val="en-GB" w:eastAsia="en-CA"/>
              </w:rPr>
            </w:pPr>
            <w:r w:rsidRPr="00EB6E1C">
              <w:rPr>
                <w:rFonts w:ascii="Arial" w:hAnsi="Arial" w:cs="Arial"/>
                <w:noProof/>
                <w:color w:val="000000"/>
                <w:lang w:val="en-GB"/>
              </w:rPr>
              <w:t xml:space="preserve">7.5 </w:t>
            </w:r>
          </w:p>
        </w:tc>
        <w:tc>
          <w:tcPr>
            <w:tcW w:w="855"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1.56 </w:t>
            </w:r>
          </w:p>
        </w:tc>
        <w:tc>
          <w:tcPr>
            <w:tcW w:w="825"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0.53 </w:t>
            </w:r>
          </w:p>
        </w:tc>
        <w:tc>
          <w:tcPr>
            <w:tcW w:w="823"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11.6 </w:t>
            </w:r>
          </w:p>
        </w:tc>
        <w:tc>
          <w:tcPr>
            <w:tcW w:w="854"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24.1 </w:t>
            </w:r>
          </w:p>
        </w:tc>
        <w:tc>
          <w:tcPr>
            <w:tcW w:w="839"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0.4 </w:t>
            </w:r>
          </w:p>
        </w:tc>
        <w:tc>
          <w:tcPr>
            <w:tcW w:w="833"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10.1 </w:t>
            </w:r>
          </w:p>
        </w:tc>
        <w:tc>
          <w:tcPr>
            <w:tcW w:w="1167"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10/31/2016</w:t>
            </w:r>
          </w:p>
        </w:tc>
      </w:tr>
      <w:tr w:rsidR="000E18C9" w:rsidRPr="00EB6E1C" w:rsidTr="00EB6E1C">
        <w:trPr>
          <w:trHeight w:val="240"/>
          <w:jc w:val="center"/>
        </w:trPr>
        <w:tc>
          <w:tcPr>
            <w:tcW w:w="2979" w:type="dxa"/>
            <w:tcBorders>
              <w:top w:val="nil"/>
              <w:left w:val="nil"/>
              <w:bottom w:val="nil"/>
              <w:right w:val="nil"/>
            </w:tcBorders>
            <w:shd w:val="clear" w:color="auto" w:fill="auto"/>
            <w:noWrap/>
            <w:vAlign w:val="center"/>
            <w:hideMark/>
          </w:tcPr>
          <w:p w:rsidR="000E18C9" w:rsidRPr="00EB6E1C" w:rsidRDefault="000E18C9" w:rsidP="000E18C9">
            <w:pPr>
              <w:rPr>
                <w:rFonts w:ascii="Arial" w:hAnsi="Arial" w:cs="Arial"/>
                <w:noProof/>
                <w:color w:val="000000"/>
                <w:lang w:val="en-GB" w:eastAsia="en-CA"/>
              </w:rPr>
            </w:pPr>
            <w:r w:rsidRPr="00EB6E1C">
              <w:rPr>
                <w:rFonts w:ascii="Arial" w:hAnsi="Arial" w:cs="Arial"/>
                <w:noProof/>
                <w:color w:val="000000"/>
                <w:lang w:val="en-GB" w:eastAsia="en-CA"/>
              </w:rPr>
              <w:t>RBC</w:t>
            </w:r>
          </w:p>
        </w:tc>
        <w:tc>
          <w:tcPr>
            <w:tcW w:w="846"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44 </w:t>
            </w:r>
          </w:p>
        </w:tc>
        <w:tc>
          <w:tcPr>
            <w:tcW w:w="956"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69 </w:t>
            </w:r>
          </w:p>
        </w:tc>
        <w:tc>
          <w:tcPr>
            <w:tcW w:w="864" w:type="dxa"/>
            <w:tcBorders>
              <w:top w:val="nil"/>
              <w:left w:val="nil"/>
              <w:bottom w:val="nil"/>
              <w:right w:val="nil"/>
            </w:tcBorders>
            <w:shd w:val="clear" w:color="auto" w:fill="auto"/>
            <w:vAlign w:val="center"/>
            <w:hideMark/>
          </w:tcPr>
          <w:p w:rsidR="000E18C9" w:rsidRPr="00EB6E1C" w:rsidRDefault="000E18C9" w:rsidP="000E18C9">
            <w:pPr>
              <w:tabs>
                <w:tab w:val="decimal" w:pos="426"/>
              </w:tabs>
              <w:rPr>
                <w:rFonts w:ascii="Arial" w:hAnsi="Arial" w:cs="Arial"/>
                <w:noProof/>
                <w:color w:val="000000"/>
                <w:lang w:val="en-GB" w:eastAsia="en-CA"/>
              </w:rPr>
            </w:pPr>
            <w:r w:rsidRPr="00EB6E1C">
              <w:rPr>
                <w:rFonts w:ascii="Arial" w:hAnsi="Arial" w:cs="Arial"/>
                <w:noProof/>
                <w:color w:val="000000"/>
                <w:lang w:val="en-GB"/>
              </w:rPr>
              <w:t xml:space="preserve">9.9 </w:t>
            </w:r>
          </w:p>
        </w:tc>
        <w:tc>
          <w:tcPr>
            <w:tcW w:w="855"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1.77 </w:t>
            </w:r>
          </w:p>
        </w:tc>
        <w:tc>
          <w:tcPr>
            <w:tcW w:w="825"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0.92 </w:t>
            </w:r>
          </w:p>
        </w:tc>
        <w:tc>
          <w:tcPr>
            <w:tcW w:w="823"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16.6 </w:t>
            </w:r>
          </w:p>
        </w:tc>
        <w:tc>
          <w:tcPr>
            <w:tcW w:w="854"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18.4 </w:t>
            </w:r>
          </w:p>
        </w:tc>
        <w:tc>
          <w:tcPr>
            <w:tcW w:w="839"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0.3 </w:t>
            </w:r>
          </w:p>
        </w:tc>
        <w:tc>
          <w:tcPr>
            <w:tcW w:w="833"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10.8 </w:t>
            </w:r>
          </w:p>
        </w:tc>
        <w:tc>
          <w:tcPr>
            <w:tcW w:w="1167"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10/31/2016</w:t>
            </w:r>
          </w:p>
        </w:tc>
      </w:tr>
      <w:tr w:rsidR="000E18C9" w:rsidRPr="00EB6E1C" w:rsidTr="00EB6E1C">
        <w:trPr>
          <w:trHeight w:val="240"/>
          <w:jc w:val="center"/>
        </w:trPr>
        <w:tc>
          <w:tcPr>
            <w:tcW w:w="2979" w:type="dxa"/>
            <w:tcBorders>
              <w:top w:val="nil"/>
              <w:left w:val="nil"/>
              <w:bottom w:val="nil"/>
              <w:right w:val="nil"/>
            </w:tcBorders>
            <w:shd w:val="clear" w:color="auto" w:fill="auto"/>
            <w:noWrap/>
            <w:vAlign w:val="center"/>
            <w:hideMark/>
          </w:tcPr>
          <w:p w:rsidR="000E18C9" w:rsidRPr="00EB6E1C" w:rsidRDefault="000E18C9" w:rsidP="000E18C9">
            <w:pPr>
              <w:rPr>
                <w:rFonts w:ascii="Arial" w:hAnsi="Arial" w:cs="Arial"/>
                <w:noProof/>
                <w:color w:val="000000"/>
                <w:lang w:val="en-GB" w:eastAsia="en-CA"/>
              </w:rPr>
            </w:pPr>
            <w:r w:rsidRPr="00EB6E1C">
              <w:rPr>
                <w:rFonts w:ascii="Arial" w:hAnsi="Arial" w:cs="Arial"/>
                <w:noProof/>
                <w:color w:val="000000"/>
                <w:lang w:val="en-GB" w:eastAsia="en-CA"/>
              </w:rPr>
              <w:t>Scotiabank</w:t>
            </w:r>
          </w:p>
        </w:tc>
        <w:tc>
          <w:tcPr>
            <w:tcW w:w="846"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54 </w:t>
            </w:r>
          </w:p>
        </w:tc>
        <w:tc>
          <w:tcPr>
            <w:tcW w:w="956"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79 </w:t>
            </w:r>
          </w:p>
        </w:tc>
        <w:tc>
          <w:tcPr>
            <w:tcW w:w="864" w:type="dxa"/>
            <w:tcBorders>
              <w:top w:val="nil"/>
              <w:left w:val="nil"/>
              <w:bottom w:val="nil"/>
              <w:right w:val="nil"/>
            </w:tcBorders>
            <w:shd w:val="clear" w:color="auto" w:fill="auto"/>
            <w:vAlign w:val="center"/>
            <w:hideMark/>
          </w:tcPr>
          <w:p w:rsidR="000E18C9" w:rsidRPr="00EB6E1C" w:rsidRDefault="000E18C9" w:rsidP="000E18C9">
            <w:pPr>
              <w:tabs>
                <w:tab w:val="decimal" w:pos="426"/>
              </w:tabs>
              <w:rPr>
                <w:rFonts w:ascii="Arial" w:hAnsi="Arial" w:cs="Arial"/>
                <w:noProof/>
                <w:color w:val="000000"/>
                <w:lang w:val="en-GB" w:eastAsia="en-CA"/>
              </w:rPr>
            </w:pPr>
            <w:r w:rsidRPr="00EB6E1C">
              <w:rPr>
                <w:rFonts w:ascii="Arial" w:hAnsi="Arial" w:cs="Arial"/>
                <w:noProof/>
                <w:color w:val="000000"/>
                <w:lang w:val="en-GB"/>
              </w:rPr>
              <w:t xml:space="preserve">4.6 </w:t>
            </w:r>
          </w:p>
        </w:tc>
        <w:tc>
          <w:tcPr>
            <w:tcW w:w="855"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1.71 </w:t>
            </w:r>
          </w:p>
        </w:tc>
        <w:tc>
          <w:tcPr>
            <w:tcW w:w="825"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0.81 </w:t>
            </w:r>
          </w:p>
        </w:tc>
        <w:tc>
          <w:tcPr>
            <w:tcW w:w="823"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13.7 </w:t>
            </w:r>
          </w:p>
        </w:tc>
        <w:tc>
          <w:tcPr>
            <w:tcW w:w="854"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17.0 </w:t>
            </w:r>
          </w:p>
        </w:tc>
        <w:tc>
          <w:tcPr>
            <w:tcW w:w="839"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0.5 </w:t>
            </w:r>
          </w:p>
        </w:tc>
        <w:tc>
          <w:tcPr>
            <w:tcW w:w="833"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11.0 </w:t>
            </w:r>
          </w:p>
        </w:tc>
        <w:tc>
          <w:tcPr>
            <w:tcW w:w="1167"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10/31/2016</w:t>
            </w:r>
          </w:p>
        </w:tc>
      </w:tr>
      <w:tr w:rsidR="000E18C9" w:rsidRPr="00EB6E1C" w:rsidTr="00EB6E1C">
        <w:trPr>
          <w:trHeight w:val="252"/>
          <w:jc w:val="center"/>
        </w:trPr>
        <w:tc>
          <w:tcPr>
            <w:tcW w:w="2979" w:type="dxa"/>
            <w:tcBorders>
              <w:top w:val="nil"/>
              <w:right w:val="nil"/>
            </w:tcBorders>
            <w:shd w:val="clear" w:color="auto" w:fill="auto"/>
            <w:noWrap/>
            <w:vAlign w:val="center"/>
            <w:hideMark/>
          </w:tcPr>
          <w:p w:rsidR="000E18C9" w:rsidRPr="00EB6E1C" w:rsidRDefault="000E18C9" w:rsidP="000E18C9">
            <w:pPr>
              <w:rPr>
                <w:rFonts w:ascii="Arial" w:hAnsi="Arial" w:cs="Arial"/>
                <w:noProof/>
                <w:color w:val="000000"/>
                <w:lang w:val="en-GB" w:eastAsia="en-CA"/>
              </w:rPr>
            </w:pPr>
            <w:r w:rsidRPr="00EB6E1C">
              <w:rPr>
                <w:rFonts w:ascii="Arial" w:hAnsi="Arial" w:cs="Arial"/>
                <w:noProof/>
                <w:color w:val="000000"/>
                <w:lang w:val="en-GB" w:eastAsia="en-CA"/>
              </w:rPr>
              <w:t>TD Bank</w:t>
            </w:r>
          </w:p>
        </w:tc>
        <w:tc>
          <w:tcPr>
            <w:tcW w:w="846" w:type="dxa"/>
            <w:tcBorders>
              <w:top w:val="nil"/>
              <w:left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50 </w:t>
            </w:r>
          </w:p>
        </w:tc>
        <w:tc>
          <w:tcPr>
            <w:tcW w:w="956" w:type="dxa"/>
            <w:tcBorders>
              <w:top w:val="nil"/>
              <w:left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69 </w:t>
            </w:r>
          </w:p>
        </w:tc>
        <w:tc>
          <w:tcPr>
            <w:tcW w:w="864" w:type="dxa"/>
            <w:tcBorders>
              <w:top w:val="nil"/>
              <w:left w:val="nil"/>
              <w:right w:val="nil"/>
            </w:tcBorders>
            <w:shd w:val="clear" w:color="auto" w:fill="auto"/>
            <w:vAlign w:val="center"/>
            <w:hideMark/>
          </w:tcPr>
          <w:p w:rsidR="000E18C9" w:rsidRPr="00EB6E1C" w:rsidRDefault="000E18C9" w:rsidP="000E18C9">
            <w:pPr>
              <w:tabs>
                <w:tab w:val="decimal" w:pos="426"/>
              </w:tabs>
              <w:rPr>
                <w:rFonts w:ascii="Arial" w:hAnsi="Arial" w:cs="Arial"/>
                <w:noProof/>
                <w:color w:val="000000"/>
                <w:lang w:val="en-GB" w:eastAsia="en-CA"/>
              </w:rPr>
            </w:pPr>
            <w:r w:rsidRPr="00EB6E1C">
              <w:rPr>
                <w:rFonts w:ascii="Arial" w:hAnsi="Arial" w:cs="Arial"/>
                <w:noProof/>
                <w:color w:val="000000"/>
                <w:lang w:val="en-GB"/>
              </w:rPr>
              <w:t xml:space="preserve">6.6 </w:t>
            </w:r>
          </w:p>
        </w:tc>
        <w:tc>
          <w:tcPr>
            <w:tcW w:w="855" w:type="dxa"/>
            <w:tcBorders>
              <w:top w:val="nil"/>
              <w:left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2.01 </w:t>
            </w:r>
          </w:p>
        </w:tc>
        <w:tc>
          <w:tcPr>
            <w:tcW w:w="825" w:type="dxa"/>
            <w:tcBorders>
              <w:top w:val="nil"/>
              <w:left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0.79 </w:t>
            </w:r>
          </w:p>
        </w:tc>
        <w:tc>
          <w:tcPr>
            <w:tcW w:w="823" w:type="dxa"/>
            <w:tcBorders>
              <w:top w:val="nil"/>
              <w:left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13.9 </w:t>
            </w:r>
          </w:p>
        </w:tc>
        <w:tc>
          <w:tcPr>
            <w:tcW w:w="854" w:type="dxa"/>
            <w:tcBorders>
              <w:top w:val="nil"/>
              <w:left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17.3 </w:t>
            </w:r>
          </w:p>
        </w:tc>
        <w:tc>
          <w:tcPr>
            <w:tcW w:w="839" w:type="dxa"/>
            <w:tcBorders>
              <w:top w:val="nil"/>
              <w:left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0.4 </w:t>
            </w:r>
          </w:p>
        </w:tc>
        <w:tc>
          <w:tcPr>
            <w:tcW w:w="833" w:type="dxa"/>
            <w:tcBorders>
              <w:top w:val="nil"/>
              <w:left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10.4 </w:t>
            </w:r>
          </w:p>
        </w:tc>
        <w:tc>
          <w:tcPr>
            <w:tcW w:w="1167" w:type="dxa"/>
            <w:tcBorders>
              <w:top w:val="nil"/>
              <w:left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10/31/2016</w:t>
            </w:r>
          </w:p>
        </w:tc>
      </w:tr>
      <w:tr w:rsidR="000E18C9" w:rsidRPr="00EB6E1C" w:rsidTr="00EB6E1C">
        <w:trPr>
          <w:trHeight w:val="240"/>
          <w:jc w:val="center"/>
        </w:trPr>
        <w:tc>
          <w:tcPr>
            <w:tcW w:w="2979" w:type="dxa"/>
            <w:tcBorders>
              <w:top w:val="nil"/>
              <w:left w:val="nil"/>
              <w:bottom w:val="nil"/>
              <w:right w:val="nil"/>
            </w:tcBorders>
            <w:shd w:val="clear" w:color="auto" w:fill="auto"/>
            <w:noWrap/>
            <w:vAlign w:val="center"/>
          </w:tcPr>
          <w:p w:rsidR="000E18C9" w:rsidRPr="00EB6E1C" w:rsidRDefault="000E18C9" w:rsidP="000E18C9">
            <w:pPr>
              <w:rPr>
                <w:rFonts w:ascii="Arial" w:hAnsi="Arial" w:cs="Arial"/>
                <w:b/>
                <w:noProof/>
                <w:color w:val="000000"/>
                <w:lang w:val="en-GB" w:eastAsia="en-CA"/>
              </w:rPr>
            </w:pPr>
            <w:r w:rsidRPr="00EB6E1C">
              <w:rPr>
                <w:rFonts w:ascii="Arial" w:hAnsi="Arial" w:cs="Arial"/>
                <w:b/>
                <w:noProof/>
                <w:color w:val="000000"/>
                <w:lang w:val="en-GB" w:eastAsia="en-CA"/>
              </w:rPr>
              <w:t>US BANKS:</w:t>
            </w:r>
          </w:p>
        </w:tc>
        <w:tc>
          <w:tcPr>
            <w:tcW w:w="846" w:type="dxa"/>
            <w:tcBorders>
              <w:top w:val="nil"/>
              <w:left w:val="nil"/>
              <w:bottom w:val="nil"/>
              <w:right w:val="nil"/>
            </w:tcBorders>
            <w:shd w:val="clear" w:color="auto" w:fill="auto"/>
            <w:vAlign w:val="bottom"/>
          </w:tcPr>
          <w:p w:rsidR="000E18C9" w:rsidRPr="00EB6E1C" w:rsidRDefault="000E18C9" w:rsidP="000E18C9">
            <w:pPr>
              <w:jc w:val="right"/>
              <w:rPr>
                <w:rFonts w:ascii="Arial" w:hAnsi="Arial" w:cs="Arial"/>
                <w:b/>
                <w:noProof/>
                <w:color w:val="000000"/>
                <w:lang w:val="en-GB" w:eastAsia="en-CA"/>
              </w:rPr>
            </w:pPr>
          </w:p>
        </w:tc>
        <w:tc>
          <w:tcPr>
            <w:tcW w:w="956" w:type="dxa"/>
            <w:tcBorders>
              <w:top w:val="nil"/>
              <w:left w:val="nil"/>
              <w:bottom w:val="nil"/>
              <w:right w:val="nil"/>
            </w:tcBorders>
            <w:shd w:val="clear" w:color="auto" w:fill="auto"/>
            <w:vAlign w:val="bottom"/>
          </w:tcPr>
          <w:p w:rsidR="000E18C9" w:rsidRPr="00EB6E1C" w:rsidRDefault="000E18C9" w:rsidP="000E18C9">
            <w:pPr>
              <w:jc w:val="right"/>
              <w:rPr>
                <w:rFonts w:ascii="Arial" w:hAnsi="Arial" w:cs="Arial"/>
                <w:b/>
                <w:noProof/>
                <w:color w:val="000000"/>
                <w:lang w:val="en-GB" w:eastAsia="en-CA"/>
              </w:rPr>
            </w:pPr>
          </w:p>
        </w:tc>
        <w:tc>
          <w:tcPr>
            <w:tcW w:w="864" w:type="dxa"/>
            <w:tcBorders>
              <w:top w:val="nil"/>
              <w:left w:val="nil"/>
              <w:bottom w:val="nil"/>
              <w:right w:val="nil"/>
            </w:tcBorders>
            <w:shd w:val="clear" w:color="auto" w:fill="auto"/>
            <w:vAlign w:val="bottom"/>
          </w:tcPr>
          <w:p w:rsidR="000E18C9" w:rsidRPr="00EB6E1C" w:rsidRDefault="000E18C9" w:rsidP="000E18C9">
            <w:pPr>
              <w:tabs>
                <w:tab w:val="decimal" w:pos="426"/>
              </w:tabs>
              <w:jc w:val="right"/>
              <w:rPr>
                <w:rFonts w:ascii="Arial" w:hAnsi="Arial" w:cs="Arial"/>
                <w:b/>
                <w:noProof/>
                <w:color w:val="000000"/>
                <w:lang w:val="en-GB" w:eastAsia="en-CA"/>
              </w:rPr>
            </w:pPr>
          </w:p>
        </w:tc>
        <w:tc>
          <w:tcPr>
            <w:tcW w:w="855" w:type="dxa"/>
            <w:tcBorders>
              <w:top w:val="nil"/>
              <w:left w:val="nil"/>
              <w:bottom w:val="nil"/>
              <w:right w:val="nil"/>
            </w:tcBorders>
            <w:shd w:val="clear" w:color="auto" w:fill="auto"/>
            <w:vAlign w:val="bottom"/>
          </w:tcPr>
          <w:p w:rsidR="000E18C9" w:rsidRPr="00EB6E1C" w:rsidRDefault="000E18C9" w:rsidP="000E18C9">
            <w:pPr>
              <w:jc w:val="right"/>
              <w:rPr>
                <w:rFonts w:ascii="Arial" w:hAnsi="Arial" w:cs="Arial"/>
                <w:b/>
                <w:noProof/>
                <w:color w:val="000000"/>
                <w:lang w:val="en-GB" w:eastAsia="en-CA"/>
              </w:rPr>
            </w:pPr>
          </w:p>
        </w:tc>
        <w:tc>
          <w:tcPr>
            <w:tcW w:w="825" w:type="dxa"/>
            <w:tcBorders>
              <w:top w:val="nil"/>
              <w:left w:val="nil"/>
              <w:bottom w:val="nil"/>
              <w:right w:val="nil"/>
            </w:tcBorders>
            <w:shd w:val="clear" w:color="auto" w:fill="auto"/>
            <w:vAlign w:val="bottom"/>
          </w:tcPr>
          <w:p w:rsidR="000E18C9" w:rsidRPr="00EB6E1C" w:rsidRDefault="000E18C9" w:rsidP="000E18C9">
            <w:pPr>
              <w:jc w:val="right"/>
              <w:rPr>
                <w:rFonts w:ascii="Arial" w:hAnsi="Arial" w:cs="Arial"/>
                <w:b/>
                <w:noProof/>
                <w:color w:val="000000"/>
                <w:lang w:val="en-GB" w:eastAsia="en-CA"/>
              </w:rPr>
            </w:pPr>
          </w:p>
        </w:tc>
        <w:tc>
          <w:tcPr>
            <w:tcW w:w="823" w:type="dxa"/>
            <w:tcBorders>
              <w:top w:val="nil"/>
              <w:left w:val="nil"/>
              <w:bottom w:val="nil"/>
              <w:right w:val="nil"/>
            </w:tcBorders>
            <w:shd w:val="clear" w:color="auto" w:fill="auto"/>
            <w:vAlign w:val="bottom"/>
          </w:tcPr>
          <w:p w:rsidR="000E18C9" w:rsidRPr="00EB6E1C" w:rsidRDefault="000E18C9" w:rsidP="000E18C9">
            <w:pPr>
              <w:jc w:val="right"/>
              <w:rPr>
                <w:rFonts w:ascii="Arial" w:hAnsi="Arial" w:cs="Arial"/>
                <w:b/>
                <w:noProof/>
                <w:color w:val="000000"/>
                <w:lang w:val="en-GB" w:eastAsia="en-CA"/>
              </w:rPr>
            </w:pPr>
          </w:p>
        </w:tc>
        <w:tc>
          <w:tcPr>
            <w:tcW w:w="854" w:type="dxa"/>
            <w:tcBorders>
              <w:top w:val="nil"/>
              <w:left w:val="nil"/>
              <w:bottom w:val="nil"/>
              <w:right w:val="nil"/>
            </w:tcBorders>
            <w:shd w:val="clear" w:color="auto" w:fill="auto"/>
            <w:vAlign w:val="bottom"/>
          </w:tcPr>
          <w:p w:rsidR="000E18C9" w:rsidRPr="00EB6E1C" w:rsidRDefault="000E18C9" w:rsidP="000E18C9">
            <w:pPr>
              <w:jc w:val="right"/>
              <w:rPr>
                <w:rFonts w:ascii="Arial" w:hAnsi="Arial" w:cs="Arial"/>
                <w:b/>
                <w:noProof/>
                <w:color w:val="000000"/>
                <w:lang w:val="en-GB" w:eastAsia="en-CA"/>
              </w:rPr>
            </w:pPr>
          </w:p>
        </w:tc>
        <w:tc>
          <w:tcPr>
            <w:tcW w:w="839" w:type="dxa"/>
            <w:tcBorders>
              <w:top w:val="nil"/>
              <w:left w:val="nil"/>
              <w:bottom w:val="nil"/>
              <w:right w:val="nil"/>
            </w:tcBorders>
            <w:shd w:val="clear" w:color="auto" w:fill="auto"/>
            <w:vAlign w:val="bottom"/>
          </w:tcPr>
          <w:p w:rsidR="000E18C9" w:rsidRPr="00EB6E1C" w:rsidRDefault="000E18C9" w:rsidP="000E18C9">
            <w:pPr>
              <w:jc w:val="right"/>
              <w:rPr>
                <w:rFonts w:ascii="Arial" w:hAnsi="Arial" w:cs="Arial"/>
                <w:b/>
                <w:noProof/>
                <w:color w:val="000000"/>
                <w:lang w:val="en-GB" w:eastAsia="en-CA"/>
              </w:rPr>
            </w:pPr>
          </w:p>
        </w:tc>
        <w:tc>
          <w:tcPr>
            <w:tcW w:w="833" w:type="dxa"/>
            <w:tcBorders>
              <w:top w:val="nil"/>
              <w:left w:val="nil"/>
              <w:bottom w:val="nil"/>
              <w:right w:val="nil"/>
            </w:tcBorders>
            <w:shd w:val="clear" w:color="auto" w:fill="auto"/>
            <w:vAlign w:val="bottom"/>
          </w:tcPr>
          <w:p w:rsidR="000E18C9" w:rsidRPr="00EB6E1C" w:rsidRDefault="000E18C9" w:rsidP="000E18C9">
            <w:pPr>
              <w:jc w:val="right"/>
              <w:rPr>
                <w:rFonts w:ascii="Arial" w:hAnsi="Arial" w:cs="Arial"/>
                <w:b/>
                <w:noProof/>
                <w:color w:val="000000"/>
                <w:lang w:val="en-GB" w:eastAsia="en-CA"/>
              </w:rPr>
            </w:pPr>
          </w:p>
        </w:tc>
        <w:tc>
          <w:tcPr>
            <w:tcW w:w="1167" w:type="dxa"/>
            <w:tcBorders>
              <w:top w:val="nil"/>
              <w:left w:val="nil"/>
              <w:bottom w:val="nil"/>
              <w:right w:val="nil"/>
            </w:tcBorders>
            <w:shd w:val="clear" w:color="auto" w:fill="auto"/>
            <w:vAlign w:val="bottom"/>
          </w:tcPr>
          <w:p w:rsidR="000E18C9" w:rsidRPr="00EB6E1C" w:rsidRDefault="000E18C9" w:rsidP="000E18C9">
            <w:pPr>
              <w:jc w:val="right"/>
              <w:rPr>
                <w:rFonts w:ascii="Arial" w:hAnsi="Arial" w:cs="Arial"/>
                <w:b/>
                <w:noProof/>
                <w:color w:val="000000"/>
                <w:lang w:val="en-GB" w:eastAsia="en-CA"/>
              </w:rPr>
            </w:pPr>
          </w:p>
        </w:tc>
      </w:tr>
      <w:tr w:rsidR="000E18C9" w:rsidRPr="00EB6E1C" w:rsidTr="00EB6E1C">
        <w:trPr>
          <w:trHeight w:val="240"/>
          <w:jc w:val="center"/>
        </w:trPr>
        <w:tc>
          <w:tcPr>
            <w:tcW w:w="2979" w:type="dxa"/>
            <w:tcBorders>
              <w:top w:val="nil"/>
              <w:left w:val="nil"/>
              <w:bottom w:val="nil"/>
              <w:right w:val="nil"/>
            </w:tcBorders>
            <w:shd w:val="clear" w:color="auto" w:fill="auto"/>
            <w:noWrap/>
            <w:vAlign w:val="center"/>
            <w:hideMark/>
          </w:tcPr>
          <w:p w:rsidR="000E18C9" w:rsidRPr="00EB6E1C" w:rsidRDefault="000E18C9" w:rsidP="000E18C9">
            <w:pPr>
              <w:rPr>
                <w:rFonts w:ascii="Arial" w:hAnsi="Arial" w:cs="Arial"/>
                <w:noProof/>
                <w:color w:val="000000"/>
                <w:lang w:val="en-GB" w:eastAsia="en-CA"/>
              </w:rPr>
            </w:pPr>
            <w:r w:rsidRPr="00EB6E1C">
              <w:rPr>
                <w:rFonts w:ascii="Arial" w:hAnsi="Arial" w:cs="Arial"/>
                <w:noProof/>
                <w:color w:val="000000"/>
                <w:lang w:val="en-GB" w:eastAsia="en-CA"/>
              </w:rPr>
              <w:t>Bank of America</w:t>
            </w:r>
          </w:p>
        </w:tc>
        <w:tc>
          <w:tcPr>
            <w:tcW w:w="846"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42 </w:t>
            </w:r>
          </w:p>
        </w:tc>
        <w:tc>
          <w:tcPr>
            <w:tcW w:w="956"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76 </w:t>
            </w:r>
          </w:p>
        </w:tc>
        <w:tc>
          <w:tcPr>
            <w:tcW w:w="864" w:type="dxa"/>
            <w:tcBorders>
              <w:top w:val="nil"/>
              <w:left w:val="nil"/>
              <w:bottom w:val="nil"/>
              <w:right w:val="nil"/>
            </w:tcBorders>
            <w:shd w:val="clear" w:color="auto" w:fill="auto"/>
            <w:vAlign w:val="center"/>
            <w:hideMark/>
          </w:tcPr>
          <w:p w:rsidR="000E18C9" w:rsidRPr="00EB6E1C" w:rsidRDefault="000E18C9" w:rsidP="000E18C9">
            <w:pPr>
              <w:tabs>
                <w:tab w:val="decimal" w:pos="426"/>
              </w:tabs>
              <w:rPr>
                <w:rFonts w:ascii="Arial" w:hAnsi="Arial" w:cs="Arial"/>
                <w:noProof/>
                <w:color w:val="000000"/>
                <w:lang w:val="en-GB" w:eastAsia="en-CA"/>
              </w:rPr>
            </w:pPr>
            <w:r w:rsidRPr="00EB6E1C">
              <w:rPr>
                <w:rFonts w:ascii="Arial" w:hAnsi="Arial" w:cs="Arial"/>
                <w:noProof/>
                <w:color w:val="000000"/>
                <w:lang w:val="en-GB"/>
              </w:rPr>
              <w:t xml:space="preserve">1.9 </w:t>
            </w:r>
          </w:p>
        </w:tc>
        <w:tc>
          <w:tcPr>
            <w:tcW w:w="855"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2.28 </w:t>
            </w:r>
          </w:p>
        </w:tc>
        <w:tc>
          <w:tcPr>
            <w:tcW w:w="825"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0.70 </w:t>
            </w:r>
          </w:p>
        </w:tc>
        <w:tc>
          <w:tcPr>
            <w:tcW w:w="823"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5.7 </w:t>
            </w:r>
          </w:p>
        </w:tc>
        <w:tc>
          <w:tcPr>
            <w:tcW w:w="854"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9.2 </w:t>
            </w:r>
          </w:p>
        </w:tc>
        <w:tc>
          <w:tcPr>
            <w:tcW w:w="839"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0.4 </w:t>
            </w:r>
          </w:p>
        </w:tc>
        <w:tc>
          <w:tcPr>
            <w:tcW w:w="833"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10.2 </w:t>
            </w:r>
          </w:p>
        </w:tc>
        <w:tc>
          <w:tcPr>
            <w:tcW w:w="1167"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9/30/2016</w:t>
            </w:r>
          </w:p>
        </w:tc>
      </w:tr>
      <w:tr w:rsidR="000E18C9" w:rsidRPr="00EB6E1C" w:rsidTr="00EB6E1C">
        <w:trPr>
          <w:trHeight w:val="240"/>
          <w:jc w:val="center"/>
        </w:trPr>
        <w:tc>
          <w:tcPr>
            <w:tcW w:w="2979" w:type="dxa"/>
            <w:tcBorders>
              <w:top w:val="nil"/>
              <w:left w:val="nil"/>
              <w:bottom w:val="nil"/>
              <w:right w:val="nil"/>
            </w:tcBorders>
            <w:shd w:val="clear" w:color="auto" w:fill="auto"/>
            <w:noWrap/>
            <w:vAlign w:val="center"/>
            <w:hideMark/>
          </w:tcPr>
          <w:p w:rsidR="000E18C9" w:rsidRPr="00EB6E1C" w:rsidRDefault="000E18C9" w:rsidP="000E18C9">
            <w:pPr>
              <w:rPr>
                <w:rFonts w:ascii="Arial" w:hAnsi="Arial" w:cs="Arial"/>
                <w:noProof/>
                <w:color w:val="000000"/>
                <w:lang w:val="en-GB" w:eastAsia="en-CA"/>
              </w:rPr>
            </w:pPr>
            <w:r w:rsidRPr="00EB6E1C">
              <w:rPr>
                <w:rFonts w:ascii="Arial" w:hAnsi="Arial" w:cs="Arial"/>
                <w:noProof/>
                <w:color w:val="000000"/>
                <w:lang w:val="en-GB" w:eastAsia="en-CA"/>
              </w:rPr>
              <w:t>Citigroup Inc.</w:t>
            </w:r>
          </w:p>
        </w:tc>
        <w:tc>
          <w:tcPr>
            <w:tcW w:w="846"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37 </w:t>
            </w:r>
          </w:p>
        </w:tc>
        <w:tc>
          <w:tcPr>
            <w:tcW w:w="956"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71 </w:t>
            </w:r>
          </w:p>
        </w:tc>
        <w:tc>
          <w:tcPr>
            <w:tcW w:w="864" w:type="dxa"/>
            <w:tcBorders>
              <w:top w:val="nil"/>
              <w:left w:val="nil"/>
              <w:bottom w:val="nil"/>
              <w:right w:val="nil"/>
            </w:tcBorders>
            <w:shd w:val="clear" w:color="auto" w:fill="auto"/>
            <w:vAlign w:val="center"/>
            <w:hideMark/>
          </w:tcPr>
          <w:p w:rsidR="000E18C9" w:rsidRPr="00EB6E1C" w:rsidRDefault="000E18C9" w:rsidP="000E18C9">
            <w:pPr>
              <w:tabs>
                <w:tab w:val="decimal" w:pos="426"/>
              </w:tabs>
              <w:jc w:val="center"/>
              <w:rPr>
                <w:rFonts w:ascii="Arial" w:hAnsi="Arial" w:cs="Arial"/>
                <w:noProof/>
                <w:color w:val="000000"/>
                <w:lang w:val="en-GB" w:eastAsia="en-CA"/>
              </w:rPr>
            </w:pPr>
            <w:r w:rsidRPr="00EB6E1C">
              <w:rPr>
                <w:rFonts w:ascii="Arial" w:hAnsi="Arial" w:cs="Arial"/>
                <w:noProof/>
                <w:color w:val="000000"/>
                <w:lang w:val="en-GB"/>
              </w:rPr>
              <w:t>(6.0)</w:t>
            </w:r>
          </w:p>
        </w:tc>
        <w:tc>
          <w:tcPr>
            <w:tcW w:w="855"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2.86 </w:t>
            </w:r>
          </w:p>
        </w:tc>
        <w:tc>
          <w:tcPr>
            <w:tcW w:w="825"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0.81 </w:t>
            </w:r>
          </w:p>
        </w:tc>
        <w:tc>
          <w:tcPr>
            <w:tcW w:w="823"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6.4 </w:t>
            </w:r>
          </w:p>
        </w:tc>
        <w:tc>
          <w:tcPr>
            <w:tcW w:w="854"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8.4 </w:t>
            </w:r>
          </w:p>
        </w:tc>
        <w:tc>
          <w:tcPr>
            <w:tcW w:w="839"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1.1 </w:t>
            </w:r>
          </w:p>
        </w:tc>
        <w:tc>
          <w:tcPr>
            <w:tcW w:w="833"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14.6 </w:t>
            </w:r>
          </w:p>
        </w:tc>
        <w:tc>
          <w:tcPr>
            <w:tcW w:w="1167"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9/30/2016</w:t>
            </w:r>
          </w:p>
        </w:tc>
      </w:tr>
      <w:tr w:rsidR="000E18C9" w:rsidRPr="00EB6E1C" w:rsidTr="00EB6E1C">
        <w:trPr>
          <w:trHeight w:val="240"/>
          <w:jc w:val="center"/>
        </w:trPr>
        <w:tc>
          <w:tcPr>
            <w:tcW w:w="2979" w:type="dxa"/>
            <w:tcBorders>
              <w:top w:val="nil"/>
              <w:left w:val="nil"/>
              <w:bottom w:val="nil"/>
              <w:right w:val="nil"/>
            </w:tcBorders>
            <w:shd w:val="clear" w:color="auto" w:fill="auto"/>
            <w:noWrap/>
            <w:vAlign w:val="center"/>
            <w:hideMark/>
          </w:tcPr>
          <w:p w:rsidR="000E18C9" w:rsidRPr="00EB6E1C" w:rsidRDefault="000E18C9" w:rsidP="000E18C9">
            <w:pPr>
              <w:rPr>
                <w:rFonts w:ascii="Arial" w:hAnsi="Arial" w:cs="Arial"/>
                <w:noProof/>
                <w:color w:val="000000"/>
                <w:lang w:val="en-GB" w:eastAsia="en-CA"/>
              </w:rPr>
            </w:pPr>
            <w:r w:rsidRPr="00EB6E1C">
              <w:rPr>
                <w:rFonts w:ascii="Arial" w:hAnsi="Arial" w:cs="Arial"/>
                <w:noProof/>
                <w:color w:val="000000"/>
                <w:lang w:val="en-GB" w:eastAsia="en-CA"/>
              </w:rPr>
              <w:t>JPMorgan</w:t>
            </w:r>
          </w:p>
        </w:tc>
        <w:tc>
          <w:tcPr>
            <w:tcW w:w="846"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36 </w:t>
            </w:r>
          </w:p>
        </w:tc>
        <w:tc>
          <w:tcPr>
            <w:tcW w:w="956"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65 </w:t>
            </w:r>
          </w:p>
        </w:tc>
        <w:tc>
          <w:tcPr>
            <w:tcW w:w="864" w:type="dxa"/>
            <w:tcBorders>
              <w:top w:val="nil"/>
              <w:left w:val="nil"/>
              <w:bottom w:val="nil"/>
              <w:right w:val="nil"/>
            </w:tcBorders>
            <w:shd w:val="clear" w:color="auto" w:fill="auto"/>
            <w:vAlign w:val="center"/>
            <w:hideMark/>
          </w:tcPr>
          <w:p w:rsidR="000E18C9" w:rsidRPr="00EB6E1C" w:rsidRDefault="000E18C9" w:rsidP="000E18C9">
            <w:pPr>
              <w:tabs>
                <w:tab w:val="decimal" w:pos="426"/>
              </w:tabs>
              <w:jc w:val="center"/>
              <w:rPr>
                <w:rFonts w:ascii="Arial" w:hAnsi="Arial" w:cs="Arial"/>
                <w:noProof/>
                <w:color w:val="000000"/>
                <w:lang w:val="en-GB" w:eastAsia="en-CA"/>
              </w:rPr>
            </w:pPr>
            <w:r w:rsidRPr="00EB6E1C">
              <w:rPr>
                <w:rFonts w:ascii="Arial" w:hAnsi="Arial" w:cs="Arial"/>
                <w:noProof/>
                <w:color w:val="000000"/>
                <w:lang w:val="en-GB"/>
              </w:rPr>
              <w:t>(8.6)</w:t>
            </w:r>
          </w:p>
        </w:tc>
        <w:tc>
          <w:tcPr>
            <w:tcW w:w="855"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2.17 </w:t>
            </w:r>
          </w:p>
        </w:tc>
        <w:tc>
          <w:tcPr>
            <w:tcW w:w="825"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0.95 </w:t>
            </w:r>
          </w:p>
        </w:tc>
        <w:tc>
          <w:tcPr>
            <w:tcW w:w="823"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9.5 </w:t>
            </w:r>
          </w:p>
        </w:tc>
        <w:tc>
          <w:tcPr>
            <w:tcW w:w="854"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10.6 </w:t>
            </w:r>
          </w:p>
        </w:tc>
        <w:tc>
          <w:tcPr>
            <w:tcW w:w="839"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0.5 </w:t>
            </w:r>
          </w:p>
        </w:tc>
        <w:tc>
          <w:tcPr>
            <w:tcW w:w="833"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11.8 </w:t>
            </w:r>
          </w:p>
        </w:tc>
        <w:tc>
          <w:tcPr>
            <w:tcW w:w="1167"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9/30/2016</w:t>
            </w:r>
          </w:p>
        </w:tc>
      </w:tr>
      <w:tr w:rsidR="000E18C9" w:rsidRPr="00EB6E1C" w:rsidTr="00EB6E1C">
        <w:trPr>
          <w:trHeight w:val="240"/>
          <w:jc w:val="center"/>
        </w:trPr>
        <w:tc>
          <w:tcPr>
            <w:tcW w:w="2979" w:type="dxa"/>
            <w:tcBorders>
              <w:top w:val="nil"/>
              <w:left w:val="nil"/>
              <w:bottom w:val="nil"/>
              <w:right w:val="nil"/>
            </w:tcBorders>
            <w:shd w:val="clear" w:color="auto" w:fill="auto"/>
            <w:noWrap/>
            <w:vAlign w:val="center"/>
            <w:hideMark/>
          </w:tcPr>
          <w:p w:rsidR="000E18C9" w:rsidRPr="00EB6E1C" w:rsidRDefault="000E18C9" w:rsidP="000E18C9">
            <w:pPr>
              <w:rPr>
                <w:rFonts w:ascii="Arial" w:hAnsi="Arial" w:cs="Arial"/>
                <w:noProof/>
                <w:color w:val="000000"/>
                <w:lang w:val="en-GB" w:eastAsia="en-CA"/>
              </w:rPr>
            </w:pPr>
            <w:r w:rsidRPr="00EB6E1C">
              <w:rPr>
                <w:rFonts w:ascii="Arial" w:hAnsi="Arial" w:cs="Arial"/>
                <w:noProof/>
                <w:color w:val="000000"/>
                <w:lang w:val="en-GB" w:eastAsia="en-CA"/>
              </w:rPr>
              <w:t>Wells Fargo</w:t>
            </w:r>
          </w:p>
        </w:tc>
        <w:tc>
          <w:tcPr>
            <w:tcW w:w="846"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52 </w:t>
            </w:r>
          </w:p>
        </w:tc>
        <w:tc>
          <w:tcPr>
            <w:tcW w:w="956"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77 </w:t>
            </w:r>
          </w:p>
        </w:tc>
        <w:tc>
          <w:tcPr>
            <w:tcW w:w="864" w:type="dxa"/>
            <w:tcBorders>
              <w:top w:val="nil"/>
              <w:left w:val="nil"/>
              <w:bottom w:val="nil"/>
              <w:right w:val="nil"/>
            </w:tcBorders>
            <w:shd w:val="clear" w:color="auto" w:fill="auto"/>
            <w:vAlign w:val="center"/>
            <w:hideMark/>
          </w:tcPr>
          <w:p w:rsidR="000E18C9" w:rsidRPr="00EB6E1C" w:rsidRDefault="000E18C9" w:rsidP="000E18C9">
            <w:pPr>
              <w:tabs>
                <w:tab w:val="decimal" w:pos="426"/>
              </w:tabs>
              <w:rPr>
                <w:rFonts w:ascii="Arial" w:hAnsi="Arial" w:cs="Arial"/>
                <w:noProof/>
                <w:color w:val="000000"/>
                <w:lang w:val="en-GB" w:eastAsia="en-CA"/>
              </w:rPr>
            </w:pPr>
            <w:r w:rsidRPr="00EB6E1C">
              <w:rPr>
                <w:rFonts w:ascii="Arial" w:hAnsi="Arial" w:cs="Arial"/>
                <w:noProof/>
                <w:color w:val="000000"/>
                <w:lang w:val="en-GB"/>
              </w:rPr>
              <w:t xml:space="preserve">6.0 </w:t>
            </w:r>
          </w:p>
        </w:tc>
        <w:tc>
          <w:tcPr>
            <w:tcW w:w="855"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2.90 </w:t>
            </w:r>
          </w:p>
        </w:tc>
        <w:tc>
          <w:tcPr>
            <w:tcW w:w="825"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1.20 </w:t>
            </w:r>
          </w:p>
        </w:tc>
        <w:tc>
          <w:tcPr>
            <w:tcW w:w="823"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11.9 </w:t>
            </w:r>
          </w:p>
        </w:tc>
        <w:tc>
          <w:tcPr>
            <w:tcW w:w="854"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10.5 </w:t>
            </w:r>
          </w:p>
        </w:tc>
        <w:tc>
          <w:tcPr>
            <w:tcW w:w="839"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0.3 </w:t>
            </w:r>
          </w:p>
        </w:tc>
        <w:tc>
          <w:tcPr>
            <w:tcW w:w="833"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11.4 </w:t>
            </w:r>
          </w:p>
        </w:tc>
        <w:tc>
          <w:tcPr>
            <w:tcW w:w="1167"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9/30/2016</w:t>
            </w:r>
          </w:p>
        </w:tc>
      </w:tr>
      <w:tr w:rsidR="000E18C9" w:rsidRPr="00EB6E1C" w:rsidTr="00EB6E1C">
        <w:trPr>
          <w:trHeight w:val="240"/>
          <w:jc w:val="center"/>
        </w:trPr>
        <w:tc>
          <w:tcPr>
            <w:tcW w:w="2979" w:type="dxa"/>
            <w:tcBorders>
              <w:top w:val="nil"/>
              <w:left w:val="nil"/>
              <w:bottom w:val="nil"/>
              <w:right w:val="nil"/>
            </w:tcBorders>
            <w:shd w:val="clear" w:color="auto" w:fill="auto"/>
            <w:noWrap/>
            <w:vAlign w:val="center"/>
            <w:hideMark/>
          </w:tcPr>
          <w:p w:rsidR="000E18C9" w:rsidRPr="00EB6E1C" w:rsidRDefault="000E18C9" w:rsidP="000E18C9">
            <w:pPr>
              <w:rPr>
                <w:rFonts w:ascii="Arial" w:hAnsi="Arial" w:cs="Arial"/>
                <w:noProof/>
                <w:color w:val="000000"/>
                <w:lang w:val="en-GB" w:eastAsia="en-CA"/>
              </w:rPr>
            </w:pPr>
            <w:r w:rsidRPr="00EB6E1C">
              <w:rPr>
                <w:rFonts w:ascii="Arial" w:hAnsi="Arial" w:cs="Arial"/>
                <w:noProof/>
                <w:color w:val="000000"/>
                <w:lang w:val="en-GB" w:eastAsia="en-CA"/>
              </w:rPr>
              <w:t>BB&amp;T Corp.</w:t>
            </w:r>
          </w:p>
        </w:tc>
        <w:tc>
          <w:tcPr>
            <w:tcW w:w="846"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65 </w:t>
            </w:r>
          </w:p>
        </w:tc>
        <w:tc>
          <w:tcPr>
            <w:tcW w:w="956"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92 </w:t>
            </w:r>
          </w:p>
        </w:tc>
        <w:tc>
          <w:tcPr>
            <w:tcW w:w="864" w:type="dxa"/>
            <w:tcBorders>
              <w:top w:val="nil"/>
              <w:left w:val="nil"/>
              <w:bottom w:val="nil"/>
              <w:right w:val="nil"/>
            </w:tcBorders>
            <w:shd w:val="clear" w:color="auto" w:fill="auto"/>
            <w:vAlign w:val="center"/>
            <w:hideMark/>
          </w:tcPr>
          <w:p w:rsidR="000E18C9" w:rsidRPr="00EB6E1C" w:rsidRDefault="000E18C9" w:rsidP="000E18C9">
            <w:pPr>
              <w:tabs>
                <w:tab w:val="decimal" w:pos="426"/>
              </w:tabs>
              <w:rPr>
                <w:rFonts w:ascii="Arial" w:hAnsi="Arial" w:cs="Arial"/>
                <w:noProof/>
                <w:color w:val="000000"/>
                <w:lang w:val="en-GB" w:eastAsia="en-CA"/>
              </w:rPr>
            </w:pPr>
            <w:r w:rsidRPr="00EB6E1C">
              <w:rPr>
                <w:rFonts w:ascii="Arial" w:hAnsi="Arial" w:cs="Arial"/>
                <w:noProof/>
                <w:color w:val="000000"/>
                <w:lang w:val="en-GB"/>
              </w:rPr>
              <w:t xml:space="preserve">12.4 </w:t>
            </w:r>
          </w:p>
        </w:tc>
        <w:tc>
          <w:tcPr>
            <w:tcW w:w="855"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3.41 </w:t>
            </w:r>
          </w:p>
        </w:tc>
        <w:tc>
          <w:tcPr>
            <w:tcW w:w="825"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1.08 </w:t>
            </w:r>
          </w:p>
        </w:tc>
        <w:tc>
          <w:tcPr>
            <w:tcW w:w="823"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8.4 </w:t>
            </w:r>
          </w:p>
        </w:tc>
        <w:tc>
          <w:tcPr>
            <w:tcW w:w="854"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8.5 </w:t>
            </w:r>
          </w:p>
        </w:tc>
        <w:tc>
          <w:tcPr>
            <w:tcW w:w="839"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0.3 </w:t>
            </w:r>
          </w:p>
        </w:tc>
        <w:tc>
          <w:tcPr>
            <w:tcW w:w="833"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10.0 </w:t>
            </w:r>
          </w:p>
        </w:tc>
        <w:tc>
          <w:tcPr>
            <w:tcW w:w="1167"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9/30/2016</w:t>
            </w:r>
          </w:p>
        </w:tc>
      </w:tr>
      <w:tr w:rsidR="000E18C9" w:rsidRPr="00EB6E1C" w:rsidTr="00EB6E1C">
        <w:trPr>
          <w:trHeight w:val="240"/>
          <w:jc w:val="center"/>
        </w:trPr>
        <w:tc>
          <w:tcPr>
            <w:tcW w:w="2979" w:type="dxa"/>
            <w:tcBorders>
              <w:top w:val="nil"/>
              <w:left w:val="nil"/>
              <w:bottom w:val="nil"/>
              <w:right w:val="nil"/>
            </w:tcBorders>
            <w:shd w:val="clear" w:color="auto" w:fill="auto"/>
            <w:noWrap/>
            <w:vAlign w:val="center"/>
            <w:hideMark/>
          </w:tcPr>
          <w:p w:rsidR="000E18C9" w:rsidRPr="00EB6E1C" w:rsidRDefault="000E18C9" w:rsidP="000E18C9">
            <w:pPr>
              <w:rPr>
                <w:rFonts w:ascii="Arial" w:hAnsi="Arial" w:cs="Arial"/>
                <w:noProof/>
                <w:color w:val="000000"/>
                <w:lang w:val="en-GB" w:eastAsia="en-CA"/>
              </w:rPr>
            </w:pPr>
            <w:r w:rsidRPr="00EB6E1C">
              <w:rPr>
                <w:rFonts w:ascii="Arial" w:hAnsi="Arial" w:cs="Arial"/>
                <w:noProof/>
                <w:color w:val="000000"/>
                <w:lang w:val="en-GB" w:eastAsia="en-CA"/>
              </w:rPr>
              <w:t>Fifth Third Bank</w:t>
            </w:r>
          </w:p>
        </w:tc>
        <w:tc>
          <w:tcPr>
            <w:tcW w:w="846"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66 </w:t>
            </w:r>
          </w:p>
        </w:tc>
        <w:tc>
          <w:tcPr>
            <w:tcW w:w="956"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91 </w:t>
            </w:r>
          </w:p>
        </w:tc>
        <w:tc>
          <w:tcPr>
            <w:tcW w:w="864" w:type="dxa"/>
            <w:tcBorders>
              <w:top w:val="nil"/>
              <w:left w:val="nil"/>
              <w:bottom w:val="nil"/>
              <w:right w:val="nil"/>
            </w:tcBorders>
            <w:shd w:val="clear" w:color="auto" w:fill="auto"/>
            <w:vAlign w:val="center"/>
            <w:hideMark/>
          </w:tcPr>
          <w:p w:rsidR="000E18C9" w:rsidRPr="00EB6E1C" w:rsidRDefault="000E18C9" w:rsidP="000E18C9">
            <w:pPr>
              <w:tabs>
                <w:tab w:val="decimal" w:pos="426"/>
              </w:tabs>
              <w:rPr>
                <w:rFonts w:ascii="Arial" w:hAnsi="Arial" w:cs="Arial"/>
                <w:noProof/>
                <w:color w:val="000000"/>
                <w:lang w:val="en-GB" w:eastAsia="en-CA"/>
              </w:rPr>
            </w:pPr>
            <w:r w:rsidRPr="00EB6E1C">
              <w:rPr>
                <w:rFonts w:ascii="Arial" w:hAnsi="Arial" w:cs="Arial"/>
                <w:noProof/>
                <w:color w:val="000000"/>
                <w:lang w:val="en-GB"/>
              </w:rPr>
              <w:t xml:space="preserve">1.7 </w:t>
            </w:r>
          </w:p>
        </w:tc>
        <w:tc>
          <w:tcPr>
            <w:tcW w:w="855"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2.86 </w:t>
            </w:r>
          </w:p>
        </w:tc>
        <w:tc>
          <w:tcPr>
            <w:tcW w:w="825"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1.29 </w:t>
            </w:r>
          </w:p>
        </w:tc>
        <w:tc>
          <w:tcPr>
            <w:tcW w:w="823"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11.7 </w:t>
            </w:r>
          </w:p>
        </w:tc>
        <w:tc>
          <w:tcPr>
            <w:tcW w:w="854"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9.7 </w:t>
            </w:r>
          </w:p>
        </w:tc>
        <w:tc>
          <w:tcPr>
            <w:tcW w:w="839"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0.4 </w:t>
            </w:r>
          </w:p>
        </w:tc>
        <w:tc>
          <w:tcPr>
            <w:tcW w:w="833"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9.8 </w:t>
            </w:r>
          </w:p>
        </w:tc>
        <w:tc>
          <w:tcPr>
            <w:tcW w:w="1167"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9/30/2016</w:t>
            </w:r>
          </w:p>
        </w:tc>
      </w:tr>
      <w:tr w:rsidR="000E18C9" w:rsidRPr="00EB6E1C" w:rsidTr="00EB6E1C">
        <w:trPr>
          <w:trHeight w:val="240"/>
          <w:jc w:val="center"/>
        </w:trPr>
        <w:tc>
          <w:tcPr>
            <w:tcW w:w="2979" w:type="dxa"/>
            <w:tcBorders>
              <w:top w:val="nil"/>
              <w:left w:val="nil"/>
              <w:bottom w:val="nil"/>
              <w:right w:val="nil"/>
            </w:tcBorders>
            <w:shd w:val="clear" w:color="auto" w:fill="auto"/>
            <w:noWrap/>
            <w:vAlign w:val="center"/>
            <w:hideMark/>
          </w:tcPr>
          <w:p w:rsidR="000E18C9" w:rsidRPr="00EB6E1C" w:rsidRDefault="000E18C9" w:rsidP="000E18C9">
            <w:pPr>
              <w:rPr>
                <w:rFonts w:ascii="Arial" w:hAnsi="Arial" w:cs="Arial"/>
                <w:noProof/>
                <w:color w:val="000000"/>
                <w:lang w:val="en-GB" w:eastAsia="en-CA"/>
              </w:rPr>
            </w:pPr>
            <w:r w:rsidRPr="00EB6E1C">
              <w:rPr>
                <w:rFonts w:ascii="Arial" w:hAnsi="Arial" w:cs="Arial"/>
                <w:noProof/>
                <w:color w:val="000000"/>
                <w:lang w:val="en-GB" w:eastAsia="en-CA"/>
              </w:rPr>
              <w:t>Huntington Bank</w:t>
            </w:r>
          </w:p>
        </w:tc>
        <w:tc>
          <w:tcPr>
            <w:tcW w:w="846"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72 </w:t>
            </w:r>
          </w:p>
        </w:tc>
        <w:tc>
          <w:tcPr>
            <w:tcW w:w="956"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92 </w:t>
            </w:r>
          </w:p>
        </w:tc>
        <w:tc>
          <w:tcPr>
            <w:tcW w:w="864" w:type="dxa"/>
            <w:tcBorders>
              <w:top w:val="nil"/>
              <w:left w:val="nil"/>
              <w:bottom w:val="nil"/>
              <w:right w:val="nil"/>
            </w:tcBorders>
            <w:shd w:val="clear" w:color="auto" w:fill="auto"/>
            <w:vAlign w:val="center"/>
            <w:hideMark/>
          </w:tcPr>
          <w:p w:rsidR="000E18C9" w:rsidRPr="00EB6E1C" w:rsidRDefault="000E18C9" w:rsidP="000E18C9">
            <w:pPr>
              <w:tabs>
                <w:tab w:val="decimal" w:pos="426"/>
              </w:tabs>
              <w:rPr>
                <w:rFonts w:ascii="Arial" w:hAnsi="Arial" w:cs="Arial"/>
                <w:noProof/>
                <w:color w:val="000000"/>
                <w:lang w:val="en-GB" w:eastAsia="en-CA"/>
              </w:rPr>
            </w:pPr>
            <w:r w:rsidRPr="00EB6E1C">
              <w:rPr>
                <w:rFonts w:ascii="Arial" w:hAnsi="Arial" w:cs="Arial"/>
                <w:noProof/>
                <w:color w:val="000000"/>
                <w:lang w:val="en-GB"/>
              </w:rPr>
              <w:t xml:space="preserve">7.2 </w:t>
            </w:r>
          </w:p>
        </w:tc>
        <w:tc>
          <w:tcPr>
            <w:tcW w:w="855"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2.78 </w:t>
            </w:r>
          </w:p>
        </w:tc>
        <w:tc>
          <w:tcPr>
            <w:tcW w:w="825"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0.76 </w:t>
            </w:r>
          </w:p>
        </w:tc>
        <w:tc>
          <w:tcPr>
            <w:tcW w:w="823"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7.7 </w:t>
            </w:r>
          </w:p>
        </w:tc>
        <w:tc>
          <w:tcPr>
            <w:tcW w:w="854"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11.5 </w:t>
            </w:r>
          </w:p>
        </w:tc>
        <w:tc>
          <w:tcPr>
            <w:tcW w:w="839"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0.2 </w:t>
            </w:r>
          </w:p>
        </w:tc>
        <w:tc>
          <w:tcPr>
            <w:tcW w:w="833"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9.8 </w:t>
            </w:r>
          </w:p>
        </w:tc>
        <w:tc>
          <w:tcPr>
            <w:tcW w:w="1167"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9/30/2016</w:t>
            </w:r>
          </w:p>
        </w:tc>
      </w:tr>
      <w:tr w:rsidR="000E18C9" w:rsidRPr="00EB6E1C" w:rsidTr="00EB6E1C">
        <w:trPr>
          <w:trHeight w:val="240"/>
          <w:jc w:val="center"/>
        </w:trPr>
        <w:tc>
          <w:tcPr>
            <w:tcW w:w="2979" w:type="dxa"/>
            <w:tcBorders>
              <w:top w:val="nil"/>
              <w:left w:val="nil"/>
              <w:bottom w:val="nil"/>
              <w:right w:val="nil"/>
            </w:tcBorders>
            <w:shd w:val="clear" w:color="auto" w:fill="auto"/>
            <w:noWrap/>
            <w:vAlign w:val="center"/>
            <w:hideMark/>
          </w:tcPr>
          <w:p w:rsidR="000E18C9" w:rsidRPr="00EB6E1C" w:rsidRDefault="000E18C9" w:rsidP="000E18C9">
            <w:pPr>
              <w:rPr>
                <w:rFonts w:ascii="Arial" w:hAnsi="Arial" w:cs="Arial"/>
                <w:noProof/>
                <w:color w:val="000000"/>
                <w:lang w:val="en-GB" w:eastAsia="en-CA"/>
              </w:rPr>
            </w:pPr>
            <w:r w:rsidRPr="00EB6E1C">
              <w:rPr>
                <w:rFonts w:ascii="Arial" w:hAnsi="Arial" w:cs="Arial"/>
                <w:noProof/>
                <w:color w:val="000000"/>
                <w:lang w:val="en-GB" w:eastAsia="en-CA"/>
              </w:rPr>
              <w:t>KeyCorp</w:t>
            </w:r>
          </w:p>
        </w:tc>
        <w:tc>
          <w:tcPr>
            <w:tcW w:w="846"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64 </w:t>
            </w:r>
          </w:p>
        </w:tc>
        <w:tc>
          <w:tcPr>
            <w:tcW w:w="956"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85 </w:t>
            </w:r>
          </w:p>
        </w:tc>
        <w:tc>
          <w:tcPr>
            <w:tcW w:w="864" w:type="dxa"/>
            <w:tcBorders>
              <w:top w:val="nil"/>
              <w:left w:val="nil"/>
              <w:bottom w:val="nil"/>
              <w:right w:val="nil"/>
            </w:tcBorders>
            <w:shd w:val="clear" w:color="auto" w:fill="auto"/>
            <w:vAlign w:val="center"/>
            <w:hideMark/>
          </w:tcPr>
          <w:p w:rsidR="000E18C9" w:rsidRPr="00EB6E1C" w:rsidRDefault="000E18C9" w:rsidP="000E18C9">
            <w:pPr>
              <w:tabs>
                <w:tab w:val="decimal" w:pos="426"/>
              </w:tabs>
              <w:rPr>
                <w:rFonts w:ascii="Arial" w:hAnsi="Arial" w:cs="Arial"/>
                <w:noProof/>
                <w:color w:val="000000"/>
                <w:lang w:val="en-GB" w:eastAsia="en-CA"/>
              </w:rPr>
            </w:pPr>
            <w:r w:rsidRPr="00EB6E1C">
              <w:rPr>
                <w:rFonts w:ascii="Arial" w:hAnsi="Arial" w:cs="Arial"/>
                <w:noProof/>
                <w:color w:val="000000"/>
                <w:lang w:val="en-GB"/>
              </w:rPr>
              <w:t xml:space="preserve">1.4 </w:t>
            </w:r>
          </w:p>
        </w:tc>
        <w:tc>
          <w:tcPr>
            <w:tcW w:w="855"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2.55 </w:t>
            </w:r>
          </w:p>
        </w:tc>
        <w:tc>
          <w:tcPr>
            <w:tcW w:w="825"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0.68 </w:t>
            </w:r>
          </w:p>
        </w:tc>
        <w:tc>
          <w:tcPr>
            <w:tcW w:w="823"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6.0 </w:t>
            </w:r>
          </w:p>
        </w:tc>
        <w:tc>
          <w:tcPr>
            <w:tcW w:w="854"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8.9 </w:t>
            </w:r>
          </w:p>
        </w:tc>
        <w:tc>
          <w:tcPr>
            <w:tcW w:w="839"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0.3 </w:t>
            </w:r>
          </w:p>
        </w:tc>
        <w:tc>
          <w:tcPr>
            <w:tcW w:w="833"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11.0 </w:t>
            </w:r>
          </w:p>
        </w:tc>
        <w:tc>
          <w:tcPr>
            <w:tcW w:w="1167"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9/30/2016</w:t>
            </w:r>
          </w:p>
        </w:tc>
      </w:tr>
      <w:tr w:rsidR="000E18C9" w:rsidRPr="00EB6E1C" w:rsidTr="00EB6E1C">
        <w:trPr>
          <w:trHeight w:val="240"/>
          <w:jc w:val="center"/>
        </w:trPr>
        <w:tc>
          <w:tcPr>
            <w:tcW w:w="2979" w:type="dxa"/>
            <w:tcBorders>
              <w:top w:val="nil"/>
              <w:left w:val="nil"/>
              <w:bottom w:val="nil"/>
              <w:right w:val="nil"/>
            </w:tcBorders>
            <w:shd w:val="clear" w:color="auto" w:fill="auto"/>
            <w:noWrap/>
            <w:vAlign w:val="center"/>
            <w:hideMark/>
          </w:tcPr>
          <w:p w:rsidR="000E18C9" w:rsidRPr="00EB6E1C" w:rsidRDefault="000E18C9" w:rsidP="000E18C9">
            <w:pPr>
              <w:rPr>
                <w:rFonts w:ascii="Arial" w:hAnsi="Arial" w:cs="Arial"/>
                <w:noProof/>
                <w:color w:val="000000"/>
                <w:lang w:val="en-GB" w:eastAsia="en-CA"/>
              </w:rPr>
            </w:pPr>
            <w:r w:rsidRPr="00EB6E1C">
              <w:rPr>
                <w:rFonts w:ascii="Arial" w:hAnsi="Arial" w:cs="Arial"/>
                <w:noProof/>
                <w:color w:val="000000"/>
                <w:lang w:val="en-GB" w:eastAsia="en-CA"/>
              </w:rPr>
              <w:t>M&amp;T Bank</w:t>
            </w:r>
          </w:p>
        </w:tc>
        <w:tc>
          <w:tcPr>
            <w:tcW w:w="846"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71 </w:t>
            </w:r>
          </w:p>
        </w:tc>
        <w:tc>
          <w:tcPr>
            <w:tcW w:w="956"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95 </w:t>
            </w:r>
          </w:p>
        </w:tc>
        <w:tc>
          <w:tcPr>
            <w:tcW w:w="864" w:type="dxa"/>
            <w:tcBorders>
              <w:top w:val="nil"/>
              <w:left w:val="nil"/>
              <w:bottom w:val="nil"/>
              <w:right w:val="nil"/>
            </w:tcBorders>
            <w:shd w:val="clear" w:color="auto" w:fill="auto"/>
            <w:vAlign w:val="center"/>
            <w:hideMark/>
          </w:tcPr>
          <w:p w:rsidR="000E18C9" w:rsidRPr="00EB6E1C" w:rsidRDefault="000E18C9" w:rsidP="000E18C9">
            <w:pPr>
              <w:tabs>
                <w:tab w:val="decimal" w:pos="426"/>
              </w:tabs>
              <w:rPr>
                <w:rFonts w:ascii="Arial" w:hAnsi="Arial" w:cs="Arial"/>
                <w:noProof/>
                <w:color w:val="000000"/>
                <w:lang w:val="en-GB" w:eastAsia="en-CA"/>
              </w:rPr>
            </w:pPr>
            <w:r w:rsidRPr="00EB6E1C">
              <w:rPr>
                <w:rFonts w:ascii="Arial" w:hAnsi="Arial" w:cs="Arial"/>
                <w:noProof/>
                <w:color w:val="000000"/>
                <w:lang w:val="en-GB"/>
              </w:rPr>
              <w:t xml:space="preserve">27.0 </w:t>
            </w:r>
          </w:p>
        </w:tc>
        <w:tc>
          <w:tcPr>
            <w:tcW w:w="855"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3.36 </w:t>
            </w:r>
          </w:p>
        </w:tc>
        <w:tc>
          <w:tcPr>
            <w:tcW w:w="825"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1.12 </w:t>
            </w:r>
          </w:p>
        </w:tc>
        <w:tc>
          <w:tcPr>
            <w:tcW w:w="823"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8.5 </w:t>
            </w:r>
          </w:p>
        </w:tc>
        <w:tc>
          <w:tcPr>
            <w:tcW w:w="854"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8.2 </w:t>
            </w:r>
          </w:p>
        </w:tc>
        <w:tc>
          <w:tcPr>
            <w:tcW w:w="839"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0.2 </w:t>
            </w:r>
          </w:p>
        </w:tc>
        <w:tc>
          <w:tcPr>
            <w:tcW w:w="833"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11.1 </w:t>
            </w:r>
          </w:p>
        </w:tc>
        <w:tc>
          <w:tcPr>
            <w:tcW w:w="1167"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9/30/2016</w:t>
            </w:r>
          </w:p>
        </w:tc>
      </w:tr>
      <w:tr w:rsidR="000E18C9" w:rsidRPr="00EB6E1C" w:rsidTr="00EB6E1C">
        <w:trPr>
          <w:trHeight w:val="240"/>
          <w:jc w:val="center"/>
        </w:trPr>
        <w:tc>
          <w:tcPr>
            <w:tcW w:w="2979" w:type="dxa"/>
            <w:tcBorders>
              <w:top w:val="nil"/>
              <w:left w:val="nil"/>
              <w:bottom w:val="nil"/>
              <w:right w:val="nil"/>
            </w:tcBorders>
            <w:shd w:val="clear" w:color="auto" w:fill="auto"/>
            <w:noWrap/>
            <w:vAlign w:val="center"/>
            <w:hideMark/>
          </w:tcPr>
          <w:p w:rsidR="000E18C9" w:rsidRPr="00EB6E1C" w:rsidRDefault="000E18C9" w:rsidP="000E18C9">
            <w:pPr>
              <w:rPr>
                <w:rFonts w:ascii="Arial" w:hAnsi="Arial" w:cs="Arial"/>
                <w:noProof/>
                <w:color w:val="000000"/>
                <w:lang w:val="en-GB" w:eastAsia="en-CA"/>
              </w:rPr>
            </w:pPr>
            <w:r w:rsidRPr="00EB6E1C">
              <w:rPr>
                <w:rFonts w:ascii="Arial" w:hAnsi="Arial" w:cs="Arial"/>
                <w:noProof/>
                <w:color w:val="000000"/>
                <w:lang w:val="en-GB" w:eastAsia="en-CA"/>
              </w:rPr>
              <w:t>People’s United</w:t>
            </w:r>
          </w:p>
        </w:tc>
        <w:tc>
          <w:tcPr>
            <w:tcW w:w="846"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73 </w:t>
            </w:r>
          </w:p>
        </w:tc>
        <w:tc>
          <w:tcPr>
            <w:tcW w:w="956"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100 </w:t>
            </w:r>
          </w:p>
        </w:tc>
        <w:tc>
          <w:tcPr>
            <w:tcW w:w="864" w:type="dxa"/>
            <w:tcBorders>
              <w:top w:val="nil"/>
              <w:left w:val="nil"/>
              <w:bottom w:val="nil"/>
              <w:right w:val="nil"/>
            </w:tcBorders>
            <w:shd w:val="clear" w:color="auto" w:fill="auto"/>
            <w:vAlign w:val="center"/>
            <w:hideMark/>
          </w:tcPr>
          <w:p w:rsidR="000E18C9" w:rsidRPr="00EB6E1C" w:rsidRDefault="000E18C9" w:rsidP="000E18C9">
            <w:pPr>
              <w:tabs>
                <w:tab w:val="decimal" w:pos="426"/>
              </w:tabs>
              <w:rPr>
                <w:rFonts w:ascii="Arial" w:hAnsi="Arial" w:cs="Arial"/>
                <w:noProof/>
                <w:color w:val="000000"/>
                <w:lang w:val="en-GB" w:eastAsia="en-CA"/>
              </w:rPr>
            </w:pPr>
            <w:r w:rsidRPr="00EB6E1C">
              <w:rPr>
                <w:rFonts w:ascii="Arial" w:hAnsi="Arial" w:cs="Arial"/>
                <w:noProof/>
                <w:color w:val="000000"/>
                <w:lang w:val="en-GB"/>
              </w:rPr>
              <w:t xml:space="preserve">8.0 </w:t>
            </w:r>
          </w:p>
        </w:tc>
        <w:tc>
          <w:tcPr>
            <w:tcW w:w="855"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2.81 </w:t>
            </w:r>
          </w:p>
        </w:tc>
        <w:tc>
          <w:tcPr>
            <w:tcW w:w="825"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0.71 </w:t>
            </w:r>
          </w:p>
        </w:tc>
        <w:tc>
          <w:tcPr>
            <w:tcW w:w="823"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5.7 </w:t>
            </w:r>
          </w:p>
        </w:tc>
        <w:tc>
          <w:tcPr>
            <w:tcW w:w="854"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8.2 </w:t>
            </w:r>
          </w:p>
        </w:tc>
        <w:tc>
          <w:tcPr>
            <w:tcW w:w="839"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0.1 </w:t>
            </w:r>
          </w:p>
        </w:tc>
        <w:tc>
          <w:tcPr>
            <w:tcW w:w="833"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6.5 </w:t>
            </w:r>
          </w:p>
        </w:tc>
        <w:tc>
          <w:tcPr>
            <w:tcW w:w="1167"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9/30/2016</w:t>
            </w:r>
          </w:p>
        </w:tc>
      </w:tr>
      <w:tr w:rsidR="000E18C9" w:rsidRPr="00EB6E1C" w:rsidTr="00EB6E1C">
        <w:trPr>
          <w:trHeight w:val="240"/>
          <w:jc w:val="center"/>
        </w:trPr>
        <w:tc>
          <w:tcPr>
            <w:tcW w:w="2979" w:type="dxa"/>
            <w:tcBorders>
              <w:top w:val="nil"/>
              <w:left w:val="nil"/>
              <w:bottom w:val="nil"/>
              <w:right w:val="nil"/>
            </w:tcBorders>
            <w:shd w:val="clear" w:color="auto" w:fill="auto"/>
            <w:noWrap/>
            <w:vAlign w:val="center"/>
            <w:hideMark/>
          </w:tcPr>
          <w:p w:rsidR="000E18C9" w:rsidRPr="00EB6E1C" w:rsidRDefault="000E18C9" w:rsidP="000E18C9">
            <w:pPr>
              <w:rPr>
                <w:rFonts w:ascii="Arial" w:hAnsi="Arial" w:cs="Arial"/>
                <w:noProof/>
                <w:color w:val="000000"/>
                <w:lang w:val="en-GB" w:eastAsia="en-CA"/>
              </w:rPr>
            </w:pPr>
            <w:r w:rsidRPr="00EB6E1C">
              <w:rPr>
                <w:rFonts w:ascii="Arial" w:hAnsi="Arial" w:cs="Arial"/>
                <w:noProof/>
                <w:color w:val="000000"/>
                <w:lang w:val="en-GB" w:eastAsia="en-CA"/>
              </w:rPr>
              <w:t>PNC Financial</w:t>
            </w:r>
          </w:p>
        </w:tc>
        <w:tc>
          <w:tcPr>
            <w:tcW w:w="846"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58 </w:t>
            </w:r>
          </w:p>
        </w:tc>
        <w:tc>
          <w:tcPr>
            <w:tcW w:w="956"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84 </w:t>
            </w:r>
          </w:p>
        </w:tc>
        <w:tc>
          <w:tcPr>
            <w:tcW w:w="864" w:type="dxa"/>
            <w:tcBorders>
              <w:top w:val="nil"/>
              <w:left w:val="nil"/>
              <w:bottom w:val="nil"/>
              <w:right w:val="nil"/>
            </w:tcBorders>
            <w:shd w:val="clear" w:color="auto" w:fill="auto"/>
            <w:vAlign w:val="center"/>
            <w:hideMark/>
          </w:tcPr>
          <w:p w:rsidR="000E18C9" w:rsidRPr="00EB6E1C" w:rsidRDefault="000E18C9" w:rsidP="000E18C9">
            <w:pPr>
              <w:tabs>
                <w:tab w:val="decimal" w:pos="426"/>
              </w:tabs>
              <w:rPr>
                <w:rFonts w:ascii="Arial" w:hAnsi="Arial" w:cs="Arial"/>
                <w:noProof/>
                <w:color w:val="000000"/>
                <w:lang w:val="en-GB" w:eastAsia="en-CA"/>
              </w:rPr>
            </w:pPr>
            <w:r w:rsidRPr="00EB6E1C">
              <w:rPr>
                <w:rFonts w:ascii="Arial" w:hAnsi="Arial" w:cs="Arial"/>
                <w:noProof/>
                <w:color w:val="000000"/>
                <w:lang w:val="en-GB"/>
              </w:rPr>
              <w:t xml:space="preserve">3.9 </w:t>
            </w:r>
          </w:p>
        </w:tc>
        <w:tc>
          <w:tcPr>
            <w:tcW w:w="855"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2.70 </w:t>
            </w:r>
          </w:p>
        </w:tc>
        <w:tc>
          <w:tcPr>
            <w:tcW w:w="825"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1.06 </w:t>
            </w:r>
          </w:p>
        </w:tc>
        <w:tc>
          <w:tcPr>
            <w:tcW w:w="823"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8.6 </w:t>
            </w:r>
          </w:p>
        </w:tc>
        <w:tc>
          <w:tcPr>
            <w:tcW w:w="854"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8.7 </w:t>
            </w:r>
          </w:p>
        </w:tc>
        <w:tc>
          <w:tcPr>
            <w:tcW w:w="839"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0.1 </w:t>
            </w:r>
          </w:p>
        </w:tc>
        <w:tc>
          <w:tcPr>
            <w:tcW w:w="833"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10.6 </w:t>
            </w:r>
          </w:p>
        </w:tc>
        <w:tc>
          <w:tcPr>
            <w:tcW w:w="1167"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9/30/2016</w:t>
            </w:r>
          </w:p>
        </w:tc>
      </w:tr>
      <w:tr w:rsidR="000E18C9" w:rsidRPr="00EB6E1C" w:rsidTr="00EB6E1C">
        <w:trPr>
          <w:trHeight w:val="240"/>
          <w:jc w:val="center"/>
        </w:trPr>
        <w:tc>
          <w:tcPr>
            <w:tcW w:w="2979" w:type="dxa"/>
            <w:tcBorders>
              <w:top w:val="nil"/>
              <w:left w:val="nil"/>
              <w:bottom w:val="nil"/>
              <w:right w:val="nil"/>
            </w:tcBorders>
            <w:shd w:val="clear" w:color="auto" w:fill="auto"/>
            <w:noWrap/>
            <w:vAlign w:val="center"/>
            <w:hideMark/>
          </w:tcPr>
          <w:p w:rsidR="000E18C9" w:rsidRPr="00EB6E1C" w:rsidRDefault="000E18C9" w:rsidP="000E18C9">
            <w:pPr>
              <w:rPr>
                <w:rFonts w:ascii="Arial" w:hAnsi="Arial" w:cs="Arial"/>
                <w:noProof/>
                <w:color w:val="000000"/>
                <w:lang w:val="en-GB" w:eastAsia="en-CA"/>
              </w:rPr>
            </w:pPr>
            <w:r w:rsidRPr="00EB6E1C">
              <w:rPr>
                <w:rFonts w:ascii="Arial" w:hAnsi="Arial" w:cs="Arial"/>
                <w:noProof/>
                <w:color w:val="000000"/>
                <w:lang w:val="en-GB" w:eastAsia="en-CA"/>
              </w:rPr>
              <w:t>Regions Financial</w:t>
            </w:r>
          </w:p>
        </w:tc>
        <w:tc>
          <w:tcPr>
            <w:tcW w:w="846"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65 </w:t>
            </w:r>
          </w:p>
        </w:tc>
        <w:tc>
          <w:tcPr>
            <w:tcW w:w="956"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83 </w:t>
            </w:r>
          </w:p>
        </w:tc>
        <w:tc>
          <w:tcPr>
            <w:tcW w:w="864" w:type="dxa"/>
            <w:tcBorders>
              <w:top w:val="nil"/>
              <w:left w:val="nil"/>
              <w:bottom w:val="nil"/>
              <w:right w:val="nil"/>
            </w:tcBorders>
            <w:shd w:val="clear" w:color="auto" w:fill="auto"/>
            <w:vAlign w:val="center"/>
            <w:hideMark/>
          </w:tcPr>
          <w:p w:rsidR="000E18C9" w:rsidRPr="00EB6E1C" w:rsidRDefault="000E18C9" w:rsidP="000E18C9">
            <w:pPr>
              <w:tabs>
                <w:tab w:val="decimal" w:pos="426"/>
              </w:tabs>
              <w:rPr>
                <w:rFonts w:ascii="Arial" w:hAnsi="Arial" w:cs="Arial"/>
                <w:noProof/>
                <w:color w:val="000000"/>
                <w:lang w:val="en-GB" w:eastAsia="en-CA"/>
              </w:rPr>
            </w:pPr>
            <w:r w:rsidRPr="00EB6E1C">
              <w:rPr>
                <w:rFonts w:ascii="Arial" w:hAnsi="Arial" w:cs="Arial"/>
                <w:noProof/>
                <w:color w:val="000000"/>
                <w:lang w:val="en-GB"/>
              </w:rPr>
              <w:t xml:space="preserve">5.4 </w:t>
            </w:r>
          </w:p>
        </w:tc>
        <w:tc>
          <w:tcPr>
            <w:tcW w:w="855"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3.17 </w:t>
            </w:r>
          </w:p>
        </w:tc>
        <w:tc>
          <w:tcPr>
            <w:tcW w:w="825"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0.92 </w:t>
            </w:r>
          </w:p>
        </w:tc>
        <w:tc>
          <w:tcPr>
            <w:tcW w:w="823"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6.7 </w:t>
            </w:r>
          </w:p>
        </w:tc>
        <w:tc>
          <w:tcPr>
            <w:tcW w:w="854"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8.0 </w:t>
            </w:r>
          </w:p>
        </w:tc>
        <w:tc>
          <w:tcPr>
            <w:tcW w:w="839"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0.3 </w:t>
            </w:r>
          </w:p>
        </w:tc>
        <w:tc>
          <w:tcPr>
            <w:tcW w:w="833"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10.9 </w:t>
            </w:r>
          </w:p>
        </w:tc>
        <w:tc>
          <w:tcPr>
            <w:tcW w:w="1167"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9/30/2016</w:t>
            </w:r>
          </w:p>
        </w:tc>
      </w:tr>
      <w:tr w:rsidR="000E18C9" w:rsidRPr="00EB6E1C" w:rsidTr="00EB6E1C">
        <w:trPr>
          <w:trHeight w:val="240"/>
          <w:jc w:val="center"/>
        </w:trPr>
        <w:tc>
          <w:tcPr>
            <w:tcW w:w="2979" w:type="dxa"/>
            <w:tcBorders>
              <w:top w:val="nil"/>
              <w:left w:val="nil"/>
              <w:bottom w:val="nil"/>
              <w:right w:val="nil"/>
            </w:tcBorders>
            <w:shd w:val="clear" w:color="auto" w:fill="auto"/>
            <w:noWrap/>
            <w:vAlign w:val="center"/>
            <w:hideMark/>
          </w:tcPr>
          <w:p w:rsidR="000E18C9" w:rsidRPr="00EB6E1C" w:rsidRDefault="000E18C9" w:rsidP="000E18C9">
            <w:pPr>
              <w:rPr>
                <w:rFonts w:ascii="Arial" w:hAnsi="Arial" w:cs="Arial"/>
                <w:noProof/>
                <w:color w:val="000000"/>
                <w:lang w:val="en-GB" w:eastAsia="en-CA"/>
              </w:rPr>
            </w:pPr>
            <w:r w:rsidRPr="00EB6E1C">
              <w:rPr>
                <w:rFonts w:ascii="Arial" w:hAnsi="Arial" w:cs="Arial"/>
                <w:noProof/>
                <w:color w:val="000000"/>
                <w:lang w:val="en-GB" w:eastAsia="en-CA"/>
              </w:rPr>
              <w:t>SunTrust Bank</w:t>
            </w:r>
          </w:p>
        </w:tc>
        <w:tc>
          <w:tcPr>
            <w:tcW w:w="846"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72 </w:t>
            </w:r>
          </w:p>
        </w:tc>
        <w:tc>
          <w:tcPr>
            <w:tcW w:w="956"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92 </w:t>
            </w:r>
          </w:p>
        </w:tc>
        <w:tc>
          <w:tcPr>
            <w:tcW w:w="864" w:type="dxa"/>
            <w:tcBorders>
              <w:top w:val="nil"/>
              <w:left w:val="nil"/>
              <w:bottom w:val="nil"/>
              <w:right w:val="nil"/>
            </w:tcBorders>
            <w:shd w:val="clear" w:color="auto" w:fill="auto"/>
            <w:vAlign w:val="center"/>
            <w:hideMark/>
          </w:tcPr>
          <w:p w:rsidR="000E18C9" w:rsidRPr="00EB6E1C" w:rsidRDefault="000E18C9" w:rsidP="000E18C9">
            <w:pPr>
              <w:tabs>
                <w:tab w:val="decimal" w:pos="426"/>
              </w:tabs>
              <w:rPr>
                <w:rFonts w:ascii="Arial" w:hAnsi="Arial" w:cs="Arial"/>
                <w:noProof/>
                <w:color w:val="000000"/>
                <w:lang w:val="en-GB" w:eastAsia="en-CA"/>
              </w:rPr>
            </w:pPr>
            <w:r w:rsidRPr="00EB6E1C">
              <w:rPr>
                <w:rFonts w:ascii="Arial" w:hAnsi="Arial" w:cs="Arial"/>
                <w:noProof/>
                <w:color w:val="000000"/>
                <w:lang w:val="en-GB"/>
              </w:rPr>
              <w:t xml:space="preserve">0.3 </w:t>
            </w:r>
          </w:p>
        </w:tc>
        <w:tc>
          <w:tcPr>
            <w:tcW w:w="855"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3.00 </w:t>
            </w:r>
          </w:p>
        </w:tc>
        <w:tc>
          <w:tcPr>
            <w:tcW w:w="825"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0.97 </w:t>
            </w:r>
          </w:p>
        </w:tc>
        <w:tc>
          <w:tcPr>
            <w:tcW w:w="823"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8.0 </w:t>
            </w:r>
          </w:p>
        </w:tc>
        <w:tc>
          <w:tcPr>
            <w:tcW w:w="854"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8.6 </w:t>
            </w:r>
          </w:p>
        </w:tc>
        <w:tc>
          <w:tcPr>
            <w:tcW w:w="839"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0.1 </w:t>
            </w:r>
          </w:p>
        </w:tc>
        <w:tc>
          <w:tcPr>
            <w:tcW w:w="833"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10.0 </w:t>
            </w:r>
          </w:p>
        </w:tc>
        <w:tc>
          <w:tcPr>
            <w:tcW w:w="1167"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9/30/2016</w:t>
            </w:r>
          </w:p>
        </w:tc>
      </w:tr>
      <w:tr w:rsidR="000E18C9" w:rsidRPr="00EB6E1C" w:rsidTr="00EB6E1C">
        <w:trPr>
          <w:trHeight w:val="240"/>
          <w:jc w:val="center"/>
        </w:trPr>
        <w:tc>
          <w:tcPr>
            <w:tcW w:w="2979" w:type="dxa"/>
            <w:tcBorders>
              <w:top w:val="nil"/>
              <w:left w:val="nil"/>
              <w:bottom w:val="nil"/>
              <w:right w:val="nil"/>
            </w:tcBorders>
            <w:shd w:val="clear" w:color="auto" w:fill="auto"/>
            <w:noWrap/>
            <w:vAlign w:val="center"/>
            <w:hideMark/>
          </w:tcPr>
          <w:p w:rsidR="000E18C9" w:rsidRPr="00EB6E1C" w:rsidRDefault="000E18C9" w:rsidP="000E18C9">
            <w:pPr>
              <w:rPr>
                <w:rFonts w:ascii="Arial" w:hAnsi="Arial" w:cs="Arial"/>
                <w:noProof/>
                <w:color w:val="000000"/>
                <w:lang w:val="en-GB" w:eastAsia="en-CA"/>
              </w:rPr>
            </w:pPr>
            <w:r w:rsidRPr="00EB6E1C">
              <w:rPr>
                <w:rFonts w:ascii="Arial" w:hAnsi="Arial" w:cs="Arial"/>
                <w:noProof/>
                <w:color w:val="000000"/>
                <w:lang w:val="en-GB" w:eastAsia="en-CA"/>
              </w:rPr>
              <w:t>US Bancorp</w:t>
            </w:r>
          </w:p>
        </w:tc>
        <w:tc>
          <w:tcPr>
            <w:tcW w:w="846"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63 </w:t>
            </w:r>
          </w:p>
        </w:tc>
        <w:tc>
          <w:tcPr>
            <w:tcW w:w="956"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88 </w:t>
            </w:r>
          </w:p>
        </w:tc>
        <w:tc>
          <w:tcPr>
            <w:tcW w:w="864" w:type="dxa"/>
            <w:tcBorders>
              <w:top w:val="nil"/>
              <w:left w:val="nil"/>
              <w:bottom w:val="nil"/>
              <w:right w:val="nil"/>
            </w:tcBorders>
            <w:shd w:val="clear" w:color="auto" w:fill="auto"/>
            <w:vAlign w:val="center"/>
            <w:hideMark/>
          </w:tcPr>
          <w:p w:rsidR="000E18C9" w:rsidRPr="00EB6E1C" w:rsidRDefault="000E18C9" w:rsidP="000E18C9">
            <w:pPr>
              <w:tabs>
                <w:tab w:val="decimal" w:pos="426"/>
              </w:tabs>
              <w:rPr>
                <w:rFonts w:ascii="Arial" w:hAnsi="Arial" w:cs="Arial"/>
                <w:noProof/>
                <w:color w:val="000000"/>
                <w:lang w:val="en-GB" w:eastAsia="en-CA"/>
              </w:rPr>
            </w:pPr>
            <w:r w:rsidRPr="00EB6E1C">
              <w:rPr>
                <w:rFonts w:ascii="Arial" w:hAnsi="Arial" w:cs="Arial"/>
                <w:noProof/>
                <w:color w:val="000000"/>
                <w:lang w:val="en-GB"/>
              </w:rPr>
              <w:t xml:space="preserve">4.8 </w:t>
            </w:r>
          </w:p>
        </w:tc>
        <w:tc>
          <w:tcPr>
            <w:tcW w:w="855"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3.10 </w:t>
            </w:r>
          </w:p>
        </w:tc>
        <w:tc>
          <w:tcPr>
            <w:tcW w:w="825"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1.35 </w:t>
            </w:r>
          </w:p>
        </w:tc>
        <w:tc>
          <w:tcPr>
            <w:tcW w:w="823"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13.6 </w:t>
            </w:r>
          </w:p>
        </w:tc>
        <w:tc>
          <w:tcPr>
            <w:tcW w:w="854"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10.4 </w:t>
            </w:r>
          </w:p>
        </w:tc>
        <w:tc>
          <w:tcPr>
            <w:tcW w:w="839"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0.4 </w:t>
            </w:r>
          </w:p>
        </w:tc>
        <w:tc>
          <w:tcPr>
            <w:tcW w:w="833"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9.6 </w:t>
            </w:r>
          </w:p>
        </w:tc>
        <w:tc>
          <w:tcPr>
            <w:tcW w:w="1167"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9/30/2016</w:t>
            </w:r>
          </w:p>
        </w:tc>
      </w:tr>
      <w:tr w:rsidR="000E18C9" w:rsidRPr="00EB6E1C" w:rsidTr="00EB6E1C">
        <w:trPr>
          <w:trHeight w:val="240"/>
          <w:jc w:val="center"/>
        </w:trPr>
        <w:tc>
          <w:tcPr>
            <w:tcW w:w="2979" w:type="dxa"/>
            <w:tcBorders>
              <w:top w:val="nil"/>
              <w:left w:val="nil"/>
              <w:bottom w:val="nil"/>
              <w:right w:val="nil"/>
            </w:tcBorders>
            <w:shd w:val="clear" w:color="auto" w:fill="auto"/>
            <w:noWrap/>
            <w:vAlign w:val="center"/>
            <w:hideMark/>
          </w:tcPr>
          <w:p w:rsidR="000E18C9" w:rsidRPr="00EB6E1C" w:rsidRDefault="000E18C9" w:rsidP="000E18C9">
            <w:pPr>
              <w:rPr>
                <w:rFonts w:ascii="Arial" w:hAnsi="Arial" w:cs="Arial"/>
                <w:noProof/>
                <w:color w:val="000000"/>
                <w:lang w:val="en-GB" w:eastAsia="en-CA"/>
              </w:rPr>
            </w:pPr>
            <w:r w:rsidRPr="00EB6E1C">
              <w:rPr>
                <w:rFonts w:ascii="Arial" w:hAnsi="Arial" w:cs="Arial"/>
                <w:noProof/>
                <w:color w:val="000000"/>
                <w:lang w:val="en-GB" w:eastAsia="en-CA"/>
              </w:rPr>
              <w:t>Zions Bancorp</w:t>
            </w:r>
          </w:p>
        </w:tc>
        <w:tc>
          <w:tcPr>
            <w:tcW w:w="846"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68 </w:t>
            </w:r>
          </w:p>
        </w:tc>
        <w:tc>
          <w:tcPr>
            <w:tcW w:w="956"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81 </w:t>
            </w:r>
          </w:p>
        </w:tc>
        <w:tc>
          <w:tcPr>
            <w:tcW w:w="864" w:type="dxa"/>
            <w:tcBorders>
              <w:top w:val="nil"/>
              <w:left w:val="nil"/>
              <w:bottom w:val="nil"/>
              <w:right w:val="nil"/>
            </w:tcBorders>
            <w:shd w:val="clear" w:color="auto" w:fill="auto"/>
            <w:vAlign w:val="center"/>
            <w:hideMark/>
          </w:tcPr>
          <w:p w:rsidR="000E18C9" w:rsidRPr="00EB6E1C" w:rsidRDefault="000E18C9" w:rsidP="000E18C9">
            <w:pPr>
              <w:tabs>
                <w:tab w:val="decimal" w:pos="426"/>
              </w:tabs>
              <w:rPr>
                <w:rFonts w:ascii="Arial" w:hAnsi="Arial" w:cs="Arial"/>
                <w:noProof/>
                <w:color w:val="000000"/>
                <w:lang w:val="en-GB" w:eastAsia="en-CA"/>
              </w:rPr>
            </w:pPr>
            <w:r w:rsidRPr="00EB6E1C">
              <w:rPr>
                <w:rFonts w:ascii="Arial" w:hAnsi="Arial" w:cs="Arial"/>
                <w:noProof/>
                <w:color w:val="000000"/>
                <w:lang w:val="en-GB"/>
              </w:rPr>
              <w:t xml:space="preserve">4.3 </w:t>
            </w:r>
          </w:p>
        </w:tc>
        <w:tc>
          <w:tcPr>
            <w:tcW w:w="855"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3.27 </w:t>
            </w:r>
          </w:p>
        </w:tc>
        <w:tc>
          <w:tcPr>
            <w:tcW w:w="825"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0.73 </w:t>
            </w:r>
          </w:p>
        </w:tc>
        <w:tc>
          <w:tcPr>
            <w:tcW w:w="823"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5.5 </w:t>
            </w:r>
          </w:p>
        </w:tc>
        <w:tc>
          <w:tcPr>
            <w:tcW w:w="854"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8.9 </w:t>
            </w:r>
          </w:p>
        </w:tc>
        <w:tc>
          <w:tcPr>
            <w:tcW w:w="839"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0.1 </w:t>
            </w:r>
          </w:p>
        </w:tc>
        <w:tc>
          <w:tcPr>
            <w:tcW w:w="833"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12.2 </w:t>
            </w:r>
          </w:p>
        </w:tc>
        <w:tc>
          <w:tcPr>
            <w:tcW w:w="1167"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9/30/2016</w:t>
            </w:r>
          </w:p>
        </w:tc>
      </w:tr>
      <w:tr w:rsidR="000E18C9" w:rsidRPr="00EB6E1C" w:rsidTr="00EB6E1C">
        <w:trPr>
          <w:trHeight w:val="240"/>
          <w:jc w:val="center"/>
        </w:trPr>
        <w:tc>
          <w:tcPr>
            <w:tcW w:w="2979" w:type="dxa"/>
            <w:tcBorders>
              <w:top w:val="nil"/>
              <w:left w:val="nil"/>
              <w:bottom w:val="nil"/>
              <w:right w:val="nil"/>
            </w:tcBorders>
            <w:shd w:val="clear" w:color="auto" w:fill="auto"/>
            <w:noWrap/>
            <w:vAlign w:val="center"/>
            <w:hideMark/>
          </w:tcPr>
          <w:p w:rsidR="000E18C9" w:rsidRPr="00EB6E1C" w:rsidRDefault="000E18C9" w:rsidP="000E18C9">
            <w:pPr>
              <w:jc w:val="right"/>
              <w:rPr>
                <w:rFonts w:ascii="Arial" w:hAnsi="Arial" w:cs="Arial"/>
                <w:noProof/>
                <w:color w:val="000000"/>
                <w:lang w:val="en-GB" w:eastAsia="en-CA"/>
              </w:rPr>
            </w:pPr>
          </w:p>
        </w:tc>
        <w:tc>
          <w:tcPr>
            <w:tcW w:w="846"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lang w:val="en-GB" w:eastAsia="en-CA"/>
              </w:rPr>
            </w:pPr>
          </w:p>
        </w:tc>
        <w:tc>
          <w:tcPr>
            <w:tcW w:w="956"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lang w:val="en-GB" w:eastAsia="en-CA"/>
              </w:rPr>
            </w:pPr>
          </w:p>
        </w:tc>
        <w:tc>
          <w:tcPr>
            <w:tcW w:w="864" w:type="dxa"/>
            <w:tcBorders>
              <w:top w:val="nil"/>
              <w:left w:val="nil"/>
              <w:bottom w:val="nil"/>
              <w:right w:val="nil"/>
            </w:tcBorders>
            <w:shd w:val="clear" w:color="auto" w:fill="auto"/>
            <w:vAlign w:val="center"/>
            <w:hideMark/>
          </w:tcPr>
          <w:p w:rsidR="000E18C9" w:rsidRPr="00EB6E1C" w:rsidRDefault="000E18C9" w:rsidP="000E18C9">
            <w:pPr>
              <w:tabs>
                <w:tab w:val="decimal" w:pos="426"/>
              </w:tabs>
              <w:jc w:val="right"/>
              <w:rPr>
                <w:rFonts w:ascii="Arial" w:hAnsi="Arial" w:cs="Arial"/>
                <w:noProof/>
                <w:lang w:val="en-GB" w:eastAsia="en-CA"/>
              </w:rPr>
            </w:pPr>
          </w:p>
        </w:tc>
        <w:tc>
          <w:tcPr>
            <w:tcW w:w="855"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lang w:val="en-GB" w:eastAsia="en-CA"/>
              </w:rPr>
            </w:pPr>
          </w:p>
        </w:tc>
        <w:tc>
          <w:tcPr>
            <w:tcW w:w="825"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lang w:val="en-GB" w:eastAsia="en-CA"/>
              </w:rPr>
            </w:pPr>
          </w:p>
        </w:tc>
        <w:tc>
          <w:tcPr>
            <w:tcW w:w="823"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lang w:val="en-GB" w:eastAsia="en-CA"/>
              </w:rPr>
            </w:pPr>
          </w:p>
        </w:tc>
        <w:tc>
          <w:tcPr>
            <w:tcW w:w="854"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lang w:val="en-GB" w:eastAsia="en-CA"/>
              </w:rPr>
            </w:pPr>
          </w:p>
        </w:tc>
        <w:tc>
          <w:tcPr>
            <w:tcW w:w="839"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lang w:val="en-GB" w:eastAsia="en-CA"/>
              </w:rPr>
            </w:pPr>
          </w:p>
        </w:tc>
        <w:tc>
          <w:tcPr>
            <w:tcW w:w="833"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lang w:val="en-GB" w:eastAsia="en-CA"/>
              </w:rPr>
            </w:pPr>
          </w:p>
        </w:tc>
        <w:tc>
          <w:tcPr>
            <w:tcW w:w="1167" w:type="dxa"/>
            <w:tcBorders>
              <w:top w:val="nil"/>
              <w:left w:val="nil"/>
              <w:bottom w:val="nil"/>
              <w:right w:val="nil"/>
            </w:tcBorders>
            <w:shd w:val="clear" w:color="auto" w:fill="auto"/>
            <w:noWrap/>
            <w:vAlign w:val="center"/>
            <w:hideMark/>
          </w:tcPr>
          <w:p w:rsidR="000E18C9" w:rsidRPr="00EB6E1C" w:rsidRDefault="000E18C9" w:rsidP="000E18C9">
            <w:pPr>
              <w:jc w:val="right"/>
              <w:rPr>
                <w:rFonts w:ascii="Arial" w:hAnsi="Arial" w:cs="Arial"/>
                <w:noProof/>
                <w:lang w:val="en-GB" w:eastAsia="en-CA"/>
              </w:rPr>
            </w:pPr>
          </w:p>
        </w:tc>
      </w:tr>
      <w:tr w:rsidR="000E18C9" w:rsidRPr="00EB6E1C" w:rsidTr="00EB6E1C">
        <w:trPr>
          <w:trHeight w:val="240"/>
          <w:jc w:val="center"/>
        </w:trPr>
        <w:tc>
          <w:tcPr>
            <w:tcW w:w="2979" w:type="dxa"/>
            <w:tcBorders>
              <w:top w:val="nil"/>
              <w:left w:val="nil"/>
              <w:bottom w:val="nil"/>
              <w:right w:val="nil"/>
            </w:tcBorders>
            <w:shd w:val="clear" w:color="auto" w:fill="auto"/>
            <w:noWrap/>
            <w:vAlign w:val="center"/>
          </w:tcPr>
          <w:p w:rsidR="000E18C9" w:rsidRPr="00EB6E1C" w:rsidRDefault="000E18C9" w:rsidP="000E18C9">
            <w:pPr>
              <w:rPr>
                <w:rFonts w:ascii="Arial" w:hAnsi="Arial" w:cs="Arial"/>
                <w:noProof/>
                <w:color w:val="000000"/>
                <w:lang w:val="en-GB" w:eastAsia="en-CA"/>
              </w:rPr>
            </w:pPr>
            <w:r w:rsidRPr="00EB6E1C">
              <w:rPr>
                <w:rFonts w:ascii="Arial" w:hAnsi="Arial" w:cs="Arial"/>
                <w:noProof/>
                <w:color w:val="000000"/>
                <w:lang w:val="en-GB" w:eastAsia="en-CA"/>
              </w:rPr>
              <w:t>Average Canadian banks</w:t>
            </w:r>
          </w:p>
        </w:tc>
        <w:tc>
          <w:tcPr>
            <w:tcW w:w="846" w:type="dxa"/>
            <w:tcBorders>
              <w:top w:val="nil"/>
              <w:left w:val="nil"/>
              <w:bottom w:val="nil"/>
              <w:right w:val="nil"/>
            </w:tcBorders>
            <w:shd w:val="clear" w:color="auto" w:fill="auto"/>
            <w:vAlign w:val="center"/>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52 </w:t>
            </w:r>
          </w:p>
        </w:tc>
        <w:tc>
          <w:tcPr>
            <w:tcW w:w="956" w:type="dxa"/>
            <w:tcBorders>
              <w:top w:val="nil"/>
              <w:left w:val="nil"/>
              <w:bottom w:val="nil"/>
              <w:right w:val="nil"/>
            </w:tcBorders>
            <w:shd w:val="clear" w:color="auto" w:fill="auto"/>
            <w:vAlign w:val="center"/>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76 </w:t>
            </w:r>
          </w:p>
        </w:tc>
        <w:tc>
          <w:tcPr>
            <w:tcW w:w="864" w:type="dxa"/>
            <w:tcBorders>
              <w:top w:val="nil"/>
              <w:left w:val="nil"/>
              <w:bottom w:val="nil"/>
              <w:right w:val="nil"/>
            </w:tcBorders>
            <w:shd w:val="clear" w:color="auto" w:fill="auto"/>
            <w:vAlign w:val="center"/>
          </w:tcPr>
          <w:p w:rsidR="000E18C9" w:rsidRPr="00EB6E1C" w:rsidRDefault="000E18C9" w:rsidP="000E18C9">
            <w:pPr>
              <w:tabs>
                <w:tab w:val="decimal" w:pos="426"/>
              </w:tabs>
              <w:rPr>
                <w:rFonts w:ascii="Arial" w:hAnsi="Arial" w:cs="Arial"/>
                <w:noProof/>
                <w:color w:val="000000"/>
                <w:lang w:val="en-GB" w:eastAsia="en-CA"/>
              </w:rPr>
            </w:pPr>
            <w:r w:rsidRPr="00EB6E1C">
              <w:rPr>
                <w:rFonts w:ascii="Arial" w:hAnsi="Arial" w:cs="Arial"/>
                <w:noProof/>
                <w:color w:val="000000"/>
                <w:lang w:val="en-GB"/>
              </w:rPr>
              <w:t xml:space="preserve">7.3 </w:t>
            </w:r>
          </w:p>
        </w:tc>
        <w:tc>
          <w:tcPr>
            <w:tcW w:w="855" w:type="dxa"/>
            <w:tcBorders>
              <w:top w:val="nil"/>
              <w:left w:val="nil"/>
              <w:bottom w:val="nil"/>
              <w:right w:val="nil"/>
            </w:tcBorders>
            <w:shd w:val="clear" w:color="auto" w:fill="auto"/>
            <w:vAlign w:val="center"/>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1.82 </w:t>
            </w:r>
          </w:p>
        </w:tc>
        <w:tc>
          <w:tcPr>
            <w:tcW w:w="825" w:type="dxa"/>
            <w:tcBorders>
              <w:top w:val="nil"/>
              <w:left w:val="nil"/>
              <w:bottom w:val="nil"/>
              <w:right w:val="nil"/>
            </w:tcBorders>
            <w:shd w:val="clear" w:color="auto" w:fill="auto"/>
            <w:vAlign w:val="center"/>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0.77 </w:t>
            </w:r>
          </w:p>
        </w:tc>
        <w:tc>
          <w:tcPr>
            <w:tcW w:w="823" w:type="dxa"/>
            <w:tcBorders>
              <w:top w:val="nil"/>
              <w:left w:val="nil"/>
              <w:bottom w:val="nil"/>
              <w:right w:val="nil"/>
            </w:tcBorders>
            <w:shd w:val="clear" w:color="auto" w:fill="auto"/>
            <w:vAlign w:val="center"/>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14.6 </w:t>
            </w:r>
          </w:p>
        </w:tc>
        <w:tc>
          <w:tcPr>
            <w:tcW w:w="854" w:type="dxa"/>
            <w:tcBorders>
              <w:top w:val="nil"/>
              <w:left w:val="nil"/>
              <w:bottom w:val="nil"/>
              <w:right w:val="nil"/>
            </w:tcBorders>
            <w:shd w:val="clear" w:color="auto" w:fill="auto"/>
            <w:vAlign w:val="center"/>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19.5 </w:t>
            </w:r>
          </w:p>
        </w:tc>
        <w:tc>
          <w:tcPr>
            <w:tcW w:w="839" w:type="dxa"/>
            <w:tcBorders>
              <w:top w:val="nil"/>
              <w:left w:val="nil"/>
              <w:bottom w:val="nil"/>
              <w:right w:val="nil"/>
            </w:tcBorders>
            <w:shd w:val="clear" w:color="auto" w:fill="auto"/>
            <w:vAlign w:val="center"/>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0.4 </w:t>
            </w:r>
          </w:p>
        </w:tc>
        <w:tc>
          <w:tcPr>
            <w:tcW w:w="833" w:type="dxa"/>
            <w:tcBorders>
              <w:top w:val="nil"/>
              <w:left w:val="nil"/>
              <w:bottom w:val="nil"/>
              <w:right w:val="nil"/>
            </w:tcBorders>
            <w:shd w:val="clear" w:color="auto" w:fill="auto"/>
            <w:vAlign w:val="center"/>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10.6 </w:t>
            </w:r>
          </w:p>
        </w:tc>
        <w:tc>
          <w:tcPr>
            <w:tcW w:w="1167" w:type="dxa"/>
            <w:tcBorders>
              <w:top w:val="nil"/>
              <w:left w:val="nil"/>
              <w:bottom w:val="nil"/>
              <w:right w:val="nil"/>
            </w:tcBorders>
            <w:shd w:val="clear" w:color="auto" w:fill="auto"/>
            <w:noWrap/>
            <w:vAlign w:val="center"/>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w:t>
            </w:r>
          </w:p>
        </w:tc>
      </w:tr>
      <w:tr w:rsidR="000E18C9" w:rsidRPr="00EB6E1C" w:rsidTr="00EB6E1C">
        <w:trPr>
          <w:trHeight w:val="240"/>
          <w:jc w:val="center"/>
        </w:trPr>
        <w:tc>
          <w:tcPr>
            <w:tcW w:w="2979" w:type="dxa"/>
            <w:tcBorders>
              <w:top w:val="nil"/>
              <w:left w:val="nil"/>
              <w:bottom w:val="nil"/>
              <w:right w:val="nil"/>
            </w:tcBorders>
            <w:shd w:val="clear" w:color="auto" w:fill="auto"/>
            <w:noWrap/>
            <w:vAlign w:val="center"/>
            <w:hideMark/>
          </w:tcPr>
          <w:p w:rsidR="000E18C9" w:rsidRPr="00EB6E1C" w:rsidRDefault="000E18C9" w:rsidP="000E18C9">
            <w:pPr>
              <w:rPr>
                <w:rFonts w:ascii="Arial" w:hAnsi="Arial" w:cs="Arial"/>
                <w:noProof/>
                <w:color w:val="000000"/>
                <w:lang w:val="en-GB" w:eastAsia="en-CA"/>
              </w:rPr>
            </w:pPr>
            <w:r w:rsidRPr="00EB6E1C">
              <w:rPr>
                <w:rFonts w:ascii="Arial" w:hAnsi="Arial" w:cs="Arial"/>
                <w:noProof/>
                <w:color w:val="000000"/>
                <w:lang w:val="en-GB" w:eastAsia="en-CA"/>
              </w:rPr>
              <w:t>Average U.S. diversified banks</w:t>
            </w:r>
          </w:p>
        </w:tc>
        <w:tc>
          <w:tcPr>
            <w:tcW w:w="846"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42 </w:t>
            </w:r>
          </w:p>
        </w:tc>
        <w:tc>
          <w:tcPr>
            <w:tcW w:w="956"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72 </w:t>
            </w:r>
          </w:p>
        </w:tc>
        <w:tc>
          <w:tcPr>
            <w:tcW w:w="864" w:type="dxa"/>
            <w:tcBorders>
              <w:top w:val="nil"/>
              <w:left w:val="nil"/>
              <w:bottom w:val="nil"/>
              <w:right w:val="nil"/>
            </w:tcBorders>
            <w:shd w:val="clear" w:color="auto" w:fill="auto"/>
            <w:vAlign w:val="center"/>
            <w:hideMark/>
          </w:tcPr>
          <w:p w:rsidR="000E18C9" w:rsidRPr="00EB6E1C" w:rsidRDefault="000E18C9" w:rsidP="000E18C9">
            <w:pPr>
              <w:tabs>
                <w:tab w:val="decimal" w:pos="426"/>
              </w:tabs>
              <w:rPr>
                <w:rFonts w:ascii="Arial" w:hAnsi="Arial" w:cs="Arial"/>
                <w:noProof/>
                <w:color w:val="000000"/>
                <w:lang w:val="en-GB" w:eastAsia="en-CA"/>
              </w:rPr>
            </w:pPr>
            <w:r w:rsidRPr="00EB6E1C">
              <w:rPr>
                <w:rFonts w:ascii="Arial" w:hAnsi="Arial" w:cs="Arial"/>
                <w:noProof/>
                <w:color w:val="000000"/>
                <w:lang w:val="en-GB"/>
              </w:rPr>
              <w:t>(1.7)</w:t>
            </w:r>
          </w:p>
        </w:tc>
        <w:tc>
          <w:tcPr>
            <w:tcW w:w="855"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2.55 </w:t>
            </w:r>
          </w:p>
        </w:tc>
        <w:tc>
          <w:tcPr>
            <w:tcW w:w="825"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0.92 </w:t>
            </w:r>
          </w:p>
        </w:tc>
        <w:tc>
          <w:tcPr>
            <w:tcW w:w="823"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8.4 </w:t>
            </w:r>
          </w:p>
        </w:tc>
        <w:tc>
          <w:tcPr>
            <w:tcW w:w="854"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9.7 </w:t>
            </w:r>
          </w:p>
        </w:tc>
        <w:tc>
          <w:tcPr>
            <w:tcW w:w="839"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0.6 </w:t>
            </w:r>
          </w:p>
        </w:tc>
        <w:tc>
          <w:tcPr>
            <w:tcW w:w="833"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12.0 </w:t>
            </w:r>
          </w:p>
        </w:tc>
        <w:tc>
          <w:tcPr>
            <w:tcW w:w="1167" w:type="dxa"/>
            <w:tcBorders>
              <w:top w:val="nil"/>
              <w:left w:val="nil"/>
              <w:bottom w:val="nil"/>
              <w:right w:val="nil"/>
            </w:tcBorders>
            <w:shd w:val="clear" w:color="auto" w:fill="auto"/>
            <w:noWrap/>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w:t>
            </w:r>
          </w:p>
        </w:tc>
      </w:tr>
      <w:tr w:rsidR="000E18C9" w:rsidRPr="00EB6E1C" w:rsidTr="00EB6E1C">
        <w:trPr>
          <w:trHeight w:val="240"/>
          <w:jc w:val="center"/>
        </w:trPr>
        <w:tc>
          <w:tcPr>
            <w:tcW w:w="2979" w:type="dxa"/>
            <w:tcBorders>
              <w:top w:val="nil"/>
              <w:left w:val="nil"/>
              <w:bottom w:val="nil"/>
              <w:right w:val="nil"/>
            </w:tcBorders>
            <w:shd w:val="clear" w:color="auto" w:fill="auto"/>
            <w:noWrap/>
            <w:vAlign w:val="center"/>
            <w:hideMark/>
          </w:tcPr>
          <w:p w:rsidR="000E18C9" w:rsidRPr="00EB6E1C" w:rsidRDefault="000E18C9" w:rsidP="000E18C9">
            <w:pPr>
              <w:rPr>
                <w:rFonts w:ascii="Arial" w:hAnsi="Arial" w:cs="Arial"/>
                <w:noProof/>
                <w:color w:val="000000"/>
                <w:lang w:val="en-GB" w:eastAsia="en-CA"/>
              </w:rPr>
            </w:pPr>
            <w:r w:rsidRPr="00EB6E1C">
              <w:rPr>
                <w:rFonts w:ascii="Arial" w:hAnsi="Arial" w:cs="Arial"/>
                <w:noProof/>
                <w:color w:val="000000"/>
                <w:lang w:val="en-GB" w:eastAsia="en-CA"/>
              </w:rPr>
              <w:t>Average U.S. regional banks</w:t>
            </w:r>
          </w:p>
        </w:tc>
        <w:tc>
          <w:tcPr>
            <w:tcW w:w="846"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67 </w:t>
            </w:r>
          </w:p>
        </w:tc>
        <w:tc>
          <w:tcPr>
            <w:tcW w:w="956"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89 </w:t>
            </w:r>
          </w:p>
        </w:tc>
        <w:tc>
          <w:tcPr>
            <w:tcW w:w="864" w:type="dxa"/>
            <w:tcBorders>
              <w:top w:val="nil"/>
              <w:left w:val="nil"/>
              <w:bottom w:val="nil"/>
              <w:right w:val="nil"/>
            </w:tcBorders>
            <w:shd w:val="clear" w:color="auto" w:fill="auto"/>
            <w:vAlign w:val="center"/>
            <w:hideMark/>
          </w:tcPr>
          <w:p w:rsidR="000E18C9" w:rsidRPr="00EB6E1C" w:rsidRDefault="000E18C9" w:rsidP="000E18C9">
            <w:pPr>
              <w:tabs>
                <w:tab w:val="decimal" w:pos="426"/>
              </w:tabs>
              <w:rPr>
                <w:rFonts w:ascii="Arial" w:hAnsi="Arial" w:cs="Arial"/>
                <w:noProof/>
                <w:color w:val="000000"/>
                <w:lang w:val="en-GB" w:eastAsia="en-CA"/>
              </w:rPr>
            </w:pPr>
            <w:r w:rsidRPr="00EB6E1C">
              <w:rPr>
                <w:rFonts w:ascii="Arial" w:hAnsi="Arial" w:cs="Arial"/>
                <w:noProof/>
                <w:color w:val="000000"/>
                <w:lang w:val="en-GB"/>
              </w:rPr>
              <w:t xml:space="preserve">6.9 </w:t>
            </w:r>
          </w:p>
        </w:tc>
        <w:tc>
          <w:tcPr>
            <w:tcW w:w="855"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3.00 </w:t>
            </w:r>
          </w:p>
        </w:tc>
        <w:tc>
          <w:tcPr>
            <w:tcW w:w="825"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0.97 </w:t>
            </w:r>
          </w:p>
        </w:tc>
        <w:tc>
          <w:tcPr>
            <w:tcW w:w="823"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8.2 </w:t>
            </w:r>
          </w:p>
        </w:tc>
        <w:tc>
          <w:tcPr>
            <w:tcW w:w="854"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9.1 </w:t>
            </w:r>
          </w:p>
        </w:tc>
        <w:tc>
          <w:tcPr>
            <w:tcW w:w="839" w:type="dxa"/>
            <w:tcBorders>
              <w:top w:val="nil"/>
              <w:left w:val="nil"/>
              <w:bottom w:val="nil"/>
              <w:right w:val="nil"/>
            </w:tcBorders>
            <w:shd w:val="clear" w:color="auto" w:fill="auto"/>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xml:space="preserve">0.2 </w:t>
            </w:r>
          </w:p>
        </w:tc>
        <w:tc>
          <w:tcPr>
            <w:tcW w:w="833" w:type="dxa"/>
            <w:tcBorders>
              <w:top w:val="nil"/>
              <w:left w:val="nil"/>
              <w:bottom w:val="nil"/>
              <w:right w:val="nil"/>
            </w:tcBorders>
            <w:shd w:val="clear" w:color="auto" w:fill="auto"/>
            <w:vAlign w:val="center"/>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10.1</w:t>
            </w:r>
          </w:p>
        </w:tc>
        <w:tc>
          <w:tcPr>
            <w:tcW w:w="1167" w:type="dxa"/>
            <w:tcBorders>
              <w:top w:val="nil"/>
              <w:left w:val="nil"/>
              <w:bottom w:val="nil"/>
              <w:right w:val="nil"/>
            </w:tcBorders>
            <w:shd w:val="clear" w:color="auto" w:fill="auto"/>
            <w:noWrap/>
            <w:vAlign w:val="center"/>
            <w:hideMark/>
          </w:tcPr>
          <w:p w:rsidR="000E18C9" w:rsidRPr="00EB6E1C" w:rsidRDefault="000E18C9" w:rsidP="000E18C9">
            <w:pPr>
              <w:jc w:val="right"/>
              <w:rPr>
                <w:rFonts w:ascii="Arial" w:hAnsi="Arial" w:cs="Arial"/>
                <w:noProof/>
                <w:color w:val="000000"/>
                <w:lang w:val="en-GB" w:eastAsia="en-CA"/>
              </w:rPr>
            </w:pPr>
            <w:r w:rsidRPr="00EB6E1C">
              <w:rPr>
                <w:rFonts w:ascii="Arial" w:hAnsi="Arial" w:cs="Arial"/>
                <w:noProof/>
                <w:color w:val="000000"/>
                <w:lang w:val="en-GB"/>
              </w:rPr>
              <w:t> </w:t>
            </w:r>
          </w:p>
        </w:tc>
      </w:tr>
    </w:tbl>
    <w:p w:rsidR="000E18C9" w:rsidRPr="000E18C9" w:rsidRDefault="000E18C9" w:rsidP="000E18C9">
      <w:pPr>
        <w:tabs>
          <w:tab w:val="left" w:pos="-1440"/>
          <w:tab w:val="left" w:pos="-720"/>
          <w:tab w:val="left" w:pos="1"/>
          <w:tab w:val="right" w:pos="9000"/>
        </w:tabs>
        <w:jc w:val="both"/>
        <w:rPr>
          <w:rFonts w:ascii="Arial" w:hAnsi="Arial" w:cs="Arial"/>
          <w:iCs/>
          <w:noProof/>
          <w:sz w:val="17"/>
          <w:szCs w:val="17"/>
          <w:lang w:val="en-GB"/>
        </w:rPr>
      </w:pPr>
    </w:p>
    <w:p w:rsidR="000E18C9" w:rsidRPr="000E18C9" w:rsidRDefault="000E18C9" w:rsidP="000E18C9">
      <w:pPr>
        <w:jc w:val="both"/>
        <w:rPr>
          <w:rFonts w:ascii="Arial" w:eastAsia="Calibri" w:hAnsi="Arial"/>
          <w:noProof/>
          <w:sz w:val="17"/>
          <w:lang w:val="en-GB" w:eastAsia="ja-JP"/>
        </w:rPr>
      </w:pPr>
      <w:r w:rsidRPr="000E18C9">
        <w:rPr>
          <w:rFonts w:ascii="Arial" w:eastAsia="Calibri" w:hAnsi="Arial"/>
          <w:noProof/>
          <w:sz w:val="17"/>
          <w:lang w:val="en-GB" w:eastAsia="ja-JP"/>
        </w:rPr>
        <w:t>Note: Data is from fiscal year 2016 for Canadian banks but 3Q 2015 for U.S. banks; Y-o-Y = year-over-year; ROA = return on assets; ROE = return on equity; PCLs = provision for credit losses; CET1 = common equity tier 1</w:t>
      </w:r>
    </w:p>
    <w:p w:rsidR="000E18C9" w:rsidRDefault="000E18C9" w:rsidP="000E18C9">
      <w:pPr>
        <w:tabs>
          <w:tab w:val="left" w:pos="-1440"/>
          <w:tab w:val="left" w:pos="-720"/>
          <w:tab w:val="left" w:pos="1"/>
          <w:tab w:val="right" w:pos="9000"/>
        </w:tabs>
        <w:jc w:val="both"/>
        <w:rPr>
          <w:rFonts w:ascii="Arial" w:hAnsi="Arial" w:cs="Arial"/>
          <w:iCs/>
          <w:noProof/>
          <w:sz w:val="17"/>
          <w:szCs w:val="17"/>
          <w:lang w:val="en-GB"/>
        </w:rPr>
      </w:pPr>
      <w:r w:rsidRPr="000E18C9">
        <w:rPr>
          <w:rFonts w:ascii="Arial" w:hAnsi="Arial" w:cs="Arial"/>
          <w:iCs/>
          <w:noProof/>
          <w:sz w:val="17"/>
          <w:szCs w:val="17"/>
          <w:lang w:val="en-GB"/>
        </w:rPr>
        <w:t xml:space="preserve">Source: </w:t>
      </w:r>
      <w:r w:rsidR="00552CEC">
        <w:rPr>
          <w:rFonts w:ascii="Arial" w:hAnsi="Arial" w:cs="Arial"/>
          <w:iCs/>
          <w:noProof/>
          <w:sz w:val="17"/>
          <w:szCs w:val="17"/>
          <w:lang w:val="en-GB"/>
        </w:rPr>
        <w:t xml:space="preserve">Created by author using </w:t>
      </w:r>
      <w:r w:rsidRPr="000E18C9">
        <w:rPr>
          <w:rFonts w:ascii="Arial" w:hAnsi="Arial" w:cs="Arial"/>
          <w:iCs/>
          <w:noProof/>
          <w:sz w:val="17"/>
          <w:szCs w:val="17"/>
          <w:lang w:val="en-GB"/>
        </w:rPr>
        <w:t>Bloomberg</w:t>
      </w:r>
      <w:r w:rsidR="00552CEC">
        <w:rPr>
          <w:rFonts w:ascii="Arial" w:hAnsi="Arial" w:cs="Arial"/>
          <w:iCs/>
          <w:noProof/>
          <w:sz w:val="17"/>
          <w:szCs w:val="17"/>
          <w:lang w:val="en-GB"/>
        </w:rPr>
        <w:t xml:space="preserve"> data</w:t>
      </w:r>
      <w:r w:rsidRPr="000E18C9">
        <w:rPr>
          <w:rFonts w:ascii="Arial" w:hAnsi="Arial" w:cs="Arial"/>
          <w:iCs/>
          <w:noProof/>
          <w:sz w:val="17"/>
          <w:szCs w:val="17"/>
          <w:lang w:val="en-GB"/>
        </w:rPr>
        <w:t xml:space="preserve"> accessed December 9, 2016. </w:t>
      </w:r>
    </w:p>
    <w:p w:rsidR="00EB6E1C" w:rsidRPr="000E18C9" w:rsidRDefault="00EB6E1C" w:rsidP="000E18C9">
      <w:pPr>
        <w:tabs>
          <w:tab w:val="left" w:pos="-1440"/>
          <w:tab w:val="left" w:pos="-720"/>
          <w:tab w:val="left" w:pos="1"/>
          <w:tab w:val="right" w:pos="9000"/>
        </w:tabs>
        <w:jc w:val="both"/>
        <w:rPr>
          <w:rFonts w:ascii="Arial" w:hAnsi="Arial" w:cs="Arial"/>
          <w:iCs/>
          <w:noProof/>
          <w:sz w:val="17"/>
          <w:szCs w:val="17"/>
          <w:lang w:val="en-GB"/>
        </w:rPr>
      </w:pPr>
    </w:p>
    <w:p w:rsidR="000E18C9" w:rsidRPr="000E18C9" w:rsidRDefault="000E18C9" w:rsidP="000E18C9">
      <w:pPr>
        <w:spacing w:after="120"/>
        <w:rPr>
          <w:rFonts w:eastAsia="Calibri"/>
          <w:lang w:val="en-GB"/>
        </w:rPr>
      </w:pPr>
    </w:p>
    <w:p w:rsidR="000E18C9" w:rsidRPr="000E18C9" w:rsidRDefault="000E18C9" w:rsidP="000E18C9">
      <w:pPr>
        <w:jc w:val="both"/>
        <w:rPr>
          <w:rFonts w:ascii="Arial" w:eastAsia="Calibri" w:hAnsi="Arial"/>
          <w:b/>
          <w:noProof/>
          <w:sz w:val="22"/>
          <w:lang w:val="en-GB" w:eastAsia="ja-JP"/>
        </w:rPr>
        <w:sectPr w:rsidR="000E18C9" w:rsidRPr="000E18C9" w:rsidSect="000C4AFD">
          <w:headerReference w:type="even" r:id="rId12"/>
          <w:headerReference w:type="default" r:id="rId13"/>
          <w:footerReference w:type="default" r:id="rId14"/>
          <w:headerReference w:type="first" r:id="rId15"/>
          <w:type w:val="continuous"/>
          <w:pgSz w:w="15840" w:h="12240" w:orient="landscape"/>
          <w:pgMar w:top="1080" w:right="1440" w:bottom="1440" w:left="1440" w:header="1080" w:footer="720" w:gutter="0"/>
          <w:cols w:space="708"/>
          <w:docGrid w:linePitch="326"/>
        </w:sectPr>
      </w:pPr>
    </w:p>
    <w:p w:rsidR="000E18C9" w:rsidRPr="000E18C9" w:rsidRDefault="000E18C9" w:rsidP="000C4AFD">
      <w:pPr>
        <w:pStyle w:val="Casehead1"/>
        <w:jc w:val="center"/>
        <w:rPr>
          <w:rFonts w:eastAsia="Calibri"/>
          <w:noProof/>
          <w:lang w:val="en-GB" w:eastAsia="ja-JP"/>
        </w:rPr>
      </w:pPr>
      <w:r w:rsidRPr="000E18C9">
        <w:rPr>
          <w:rFonts w:eastAsia="Calibri"/>
          <w:noProof/>
          <w:lang w:val="en-GB" w:eastAsia="ja-JP"/>
        </w:rPr>
        <w:lastRenderedPageBreak/>
        <w:t>EXHIBIT 4: FINANCIAL PERFORMANCE FOR NORTH AMERICAN BANKS, December 9, 2016</w:t>
      </w:r>
    </w:p>
    <w:p w:rsidR="000E18C9" w:rsidRPr="000E18C9" w:rsidRDefault="000E18C9" w:rsidP="000E18C9">
      <w:pPr>
        <w:jc w:val="both"/>
        <w:rPr>
          <w:rFonts w:eastAsia="Calibri"/>
          <w:noProof/>
          <w:sz w:val="22"/>
          <w:lang w:val="en-GB" w:eastAsia="ja-JP"/>
        </w:rPr>
      </w:pPr>
    </w:p>
    <w:tbl>
      <w:tblPr>
        <w:tblW w:w="4894" w:type="pct"/>
        <w:jc w:val="center"/>
        <w:tblInd w:w="-155" w:type="dxa"/>
        <w:tblLayout w:type="fixed"/>
        <w:tblCellMar>
          <w:left w:w="115" w:type="dxa"/>
          <w:right w:w="115" w:type="dxa"/>
        </w:tblCellMar>
        <w:tblLook w:val="00A0" w:firstRow="1" w:lastRow="0" w:firstColumn="1" w:lastColumn="0" w:noHBand="0" w:noVBand="0"/>
      </w:tblPr>
      <w:tblGrid>
        <w:gridCol w:w="2618"/>
        <w:gridCol w:w="1139"/>
        <w:gridCol w:w="878"/>
        <w:gridCol w:w="1226"/>
        <w:gridCol w:w="965"/>
        <w:gridCol w:w="983"/>
        <w:gridCol w:w="1209"/>
        <w:gridCol w:w="926"/>
        <w:gridCol w:w="1035"/>
        <w:gridCol w:w="1085"/>
        <w:gridCol w:w="846"/>
      </w:tblGrid>
      <w:tr w:rsidR="000C4AFD" w:rsidRPr="00D12999" w:rsidTr="0098778F">
        <w:trPr>
          <w:jc w:val="center"/>
        </w:trPr>
        <w:tc>
          <w:tcPr>
            <w:tcW w:w="2700" w:type="dxa"/>
            <w:tcBorders>
              <w:top w:val="single" w:sz="4" w:space="0" w:color="auto"/>
              <w:left w:val="nil"/>
              <w:bottom w:val="single" w:sz="4" w:space="0" w:color="auto"/>
              <w:right w:val="nil"/>
            </w:tcBorders>
            <w:shd w:val="clear" w:color="auto" w:fill="auto"/>
            <w:vAlign w:val="bottom"/>
          </w:tcPr>
          <w:p w:rsidR="000E18C9" w:rsidRPr="00D12999" w:rsidRDefault="000E18C9" w:rsidP="000E18C9">
            <w:pPr>
              <w:rPr>
                <w:rFonts w:ascii="Arial" w:hAnsi="Arial" w:cs="Arial"/>
                <w:noProof/>
                <w:color w:val="000000"/>
                <w:sz w:val="19"/>
                <w:szCs w:val="19"/>
                <w:lang w:val="en-GB" w:eastAsia="en-CA"/>
              </w:rPr>
            </w:pPr>
            <w:r w:rsidRPr="00D12999">
              <w:rPr>
                <w:rFonts w:ascii="Arial" w:hAnsi="Arial" w:cs="Arial"/>
                <w:noProof/>
                <w:color w:val="000000"/>
                <w:sz w:val="19"/>
                <w:szCs w:val="19"/>
                <w:lang w:val="en-GB" w:eastAsia="en-CA"/>
              </w:rPr>
              <w:t>Bank</w:t>
            </w:r>
          </w:p>
        </w:tc>
        <w:tc>
          <w:tcPr>
            <w:tcW w:w="1170" w:type="dxa"/>
            <w:tcBorders>
              <w:top w:val="single" w:sz="4" w:space="0" w:color="auto"/>
              <w:left w:val="nil"/>
              <w:bottom w:val="single" w:sz="4" w:space="0" w:color="auto"/>
              <w:right w:val="nil"/>
            </w:tcBorders>
            <w:shd w:val="clear" w:color="auto" w:fill="auto"/>
            <w:vAlign w:val="bottom"/>
          </w:tcPr>
          <w:p w:rsidR="000E18C9" w:rsidRPr="00D12999" w:rsidRDefault="000E18C9" w:rsidP="000C4AFD">
            <w:pPr>
              <w:jc w:val="center"/>
              <w:rPr>
                <w:rFonts w:ascii="Arial" w:hAnsi="Arial" w:cs="Arial"/>
                <w:noProof/>
                <w:color w:val="000000"/>
                <w:sz w:val="19"/>
                <w:szCs w:val="19"/>
                <w:lang w:val="en-GB" w:eastAsia="en-CA"/>
              </w:rPr>
            </w:pPr>
            <w:r w:rsidRPr="00D12999">
              <w:rPr>
                <w:rFonts w:ascii="Arial" w:hAnsi="Arial" w:cs="Arial"/>
                <w:noProof/>
                <w:color w:val="000000"/>
                <w:sz w:val="19"/>
                <w:szCs w:val="19"/>
                <w:lang w:val="en-GB" w:eastAsia="en-CA"/>
              </w:rPr>
              <w:t>Currency</w:t>
            </w:r>
          </w:p>
        </w:tc>
        <w:tc>
          <w:tcPr>
            <w:tcW w:w="900" w:type="dxa"/>
            <w:tcBorders>
              <w:top w:val="single" w:sz="4" w:space="0" w:color="auto"/>
              <w:left w:val="nil"/>
              <w:bottom w:val="single" w:sz="4" w:space="0" w:color="auto"/>
              <w:right w:val="nil"/>
            </w:tcBorders>
            <w:shd w:val="clear" w:color="auto" w:fill="auto"/>
            <w:vAlign w:val="bottom"/>
          </w:tcPr>
          <w:p w:rsidR="000E18C9" w:rsidRPr="00D12999" w:rsidRDefault="000E18C9" w:rsidP="000C4AFD">
            <w:pPr>
              <w:jc w:val="center"/>
              <w:rPr>
                <w:rFonts w:ascii="Arial" w:hAnsi="Arial" w:cs="Arial"/>
                <w:noProof/>
                <w:color w:val="000000"/>
                <w:sz w:val="19"/>
                <w:szCs w:val="19"/>
                <w:lang w:val="en-GB" w:eastAsia="en-CA"/>
              </w:rPr>
            </w:pPr>
            <w:r w:rsidRPr="00D12999">
              <w:rPr>
                <w:rFonts w:ascii="Arial" w:hAnsi="Arial" w:cs="Arial"/>
                <w:noProof/>
                <w:color w:val="000000"/>
                <w:sz w:val="19"/>
                <w:szCs w:val="19"/>
                <w:lang w:val="en-GB" w:eastAsia="en-CA"/>
              </w:rPr>
              <w:t>Share price $</w:t>
            </w:r>
          </w:p>
        </w:tc>
        <w:tc>
          <w:tcPr>
            <w:tcW w:w="1260" w:type="dxa"/>
            <w:tcBorders>
              <w:top w:val="single" w:sz="4" w:space="0" w:color="auto"/>
              <w:left w:val="nil"/>
              <w:bottom w:val="single" w:sz="4" w:space="0" w:color="auto"/>
              <w:right w:val="nil"/>
            </w:tcBorders>
            <w:shd w:val="clear" w:color="auto" w:fill="auto"/>
            <w:vAlign w:val="bottom"/>
          </w:tcPr>
          <w:p w:rsidR="000E18C9" w:rsidRPr="00D12999" w:rsidRDefault="000E18C9" w:rsidP="000C4AFD">
            <w:pPr>
              <w:jc w:val="center"/>
              <w:rPr>
                <w:rFonts w:ascii="Arial" w:hAnsi="Arial" w:cs="Arial"/>
                <w:noProof/>
                <w:color w:val="000000"/>
                <w:sz w:val="19"/>
                <w:szCs w:val="19"/>
                <w:lang w:val="en-GB" w:eastAsia="en-CA"/>
              </w:rPr>
            </w:pPr>
            <w:r w:rsidRPr="00D12999">
              <w:rPr>
                <w:rFonts w:ascii="Arial" w:hAnsi="Arial" w:cs="Arial"/>
                <w:noProof/>
                <w:color w:val="000000"/>
                <w:sz w:val="19"/>
                <w:szCs w:val="19"/>
                <w:lang w:val="en-GB" w:eastAsia="en-CA"/>
              </w:rPr>
              <w:t>Market cap. (CA$ )</w:t>
            </w:r>
          </w:p>
        </w:tc>
        <w:tc>
          <w:tcPr>
            <w:tcW w:w="990" w:type="dxa"/>
            <w:tcBorders>
              <w:top w:val="single" w:sz="4" w:space="0" w:color="auto"/>
              <w:left w:val="nil"/>
              <w:bottom w:val="single" w:sz="4" w:space="0" w:color="auto"/>
              <w:right w:val="nil"/>
            </w:tcBorders>
            <w:shd w:val="clear" w:color="auto" w:fill="auto"/>
            <w:vAlign w:val="bottom"/>
          </w:tcPr>
          <w:p w:rsidR="000E18C9" w:rsidRPr="00D12999" w:rsidRDefault="000E18C9" w:rsidP="000C4AFD">
            <w:pPr>
              <w:jc w:val="center"/>
              <w:rPr>
                <w:rFonts w:ascii="Arial" w:hAnsi="Arial" w:cs="Arial"/>
                <w:noProof/>
                <w:sz w:val="19"/>
                <w:szCs w:val="19"/>
                <w:lang w:val="en-GB"/>
              </w:rPr>
            </w:pPr>
            <w:r w:rsidRPr="00D12999">
              <w:rPr>
                <w:rFonts w:ascii="Arial" w:hAnsi="Arial" w:cs="Arial"/>
                <w:noProof/>
                <w:sz w:val="19"/>
                <w:szCs w:val="19"/>
                <w:lang w:val="en-GB"/>
              </w:rPr>
              <w:t>3-yr TSR (%)</w:t>
            </w:r>
          </w:p>
        </w:tc>
        <w:tc>
          <w:tcPr>
            <w:tcW w:w="1008" w:type="dxa"/>
            <w:tcBorders>
              <w:top w:val="single" w:sz="4" w:space="0" w:color="auto"/>
              <w:left w:val="nil"/>
              <w:bottom w:val="single" w:sz="4" w:space="0" w:color="auto"/>
              <w:right w:val="nil"/>
            </w:tcBorders>
            <w:shd w:val="clear" w:color="auto" w:fill="auto"/>
            <w:vAlign w:val="bottom"/>
          </w:tcPr>
          <w:p w:rsidR="000E18C9" w:rsidRPr="00D12999" w:rsidRDefault="000E18C9" w:rsidP="000C4AFD">
            <w:pPr>
              <w:jc w:val="center"/>
              <w:rPr>
                <w:rFonts w:ascii="Arial" w:hAnsi="Arial" w:cs="Arial"/>
                <w:noProof/>
                <w:sz w:val="19"/>
                <w:szCs w:val="19"/>
                <w:lang w:val="en-GB"/>
              </w:rPr>
            </w:pPr>
            <w:r w:rsidRPr="00D12999">
              <w:rPr>
                <w:rFonts w:ascii="Arial" w:hAnsi="Arial" w:cs="Arial"/>
                <w:noProof/>
                <w:sz w:val="19"/>
                <w:szCs w:val="19"/>
                <w:lang w:val="en-GB"/>
              </w:rPr>
              <w:t>5-yr TSR (%)</w:t>
            </w:r>
          </w:p>
        </w:tc>
        <w:tc>
          <w:tcPr>
            <w:tcW w:w="1242" w:type="dxa"/>
            <w:tcBorders>
              <w:top w:val="single" w:sz="4" w:space="0" w:color="auto"/>
              <w:left w:val="nil"/>
              <w:bottom w:val="single" w:sz="4" w:space="0" w:color="auto"/>
              <w:right w:val="nil"/>
            </w:tcBorders>
            <w:shd w:val="clear" w:color="auto" w:fill="auto"/>
            <w:vAlign w:val="bottom"/>
          </w:tcPr>
          <w:p w:rsidR="000E18C9" w:rsidRPr="00D12999" w:rsidRDefault="000E18C9" w:rsidP="000C4AFD">
            <w:pPr>
              <w:jc w:val="center"/>
              <w:rPr>
                <w:rFonts w:ascii="Arial" w:hAnsi="Arial" w:cs="Arial"/>
                <w:noProof/>
                <w:sz w:val="19"/>
                <w:szCs w:val="19"/>
                <w:lang w:val="en-GB"/>
              </w:rPr>
            </w:pPr>
            <w:r w:rsidRPr="00D12999">
              <w:rPr>
                <w:rFonts w:ascii="Arial" w:hAnsi="Arial" w:cs="Arial"/>
                <w:noProof/>
                <w:sz w:val="19"/>
                <w:szCs w:val="19"/>
                <w:lang w:val="en-GB"/>
              </w:rPr>
              <w:t>Dividend Payout</w:t>
            </w:r>
            <w:r w:rsidR="00D12999" w:rsidRPr="00D12999">
              <w:rPr>
                <w:rFonts w:ascii="Arial" w:hAnsi="Arial" w:cs="Arial"/>
                <w:noProof/>
                <w:sz w:val="19"/>
                <w:szCs w:val="19"/>
                <w:lang w:val="en-GB"/>
              </w:rPr>
              <w:t xml:space="preserve"> </w:t>
            </w:r>
            <w:r w:rsidRPr="00D12999">
              <w:rPr>
                <w:rFonts w:ascii="Arial" w:hAnsi="Arial" w:cs="Arial"/>
                <w:noProof/>
                <w:sz w:val="19"/>
                <w:szCs w:val="19"/>
                <w:lang w:val="en-GB"/>
              </w:rPr>
              <w:t>(%)</w:t>
            </w:r>
          </w:p>
        </w:tc>
        <w:tc>
          <w:tcPr>
            <w:tcW w:w="950" w:type="dxa"/>
            <w:tcBorders>
              <w:top w:val="single" w:sz="4" w:space="0" w:color="auto"/>
              <w:left w:val="nil"/>
              <w:bottom w:val="single" w:sz="4" w:space="0" w:color="auto"/>
              <w:right w:val="nil"/>
            </w:tcBorders>
            <w:shd w:val="clear" w:color="auto" w:fill="auto"/>
            <w:vAlign w:val="bottom"/>
          </w:tcPr>
          <w:p w:rsidR="000E18C9" w:rsidRPr="00D12999" w:rsidRDefault="000E18C9" w:rsidP="000C4AFD">
            <w:pPr>
              <w:jc w:val="center"/>
              <w:rPr>
                <w:rFonts w:ascii="Arial" w:hAnsi="Arial" w:cs="Arial"/>
                <w:noProof/>
                <w:sz w:val="19"/>
                <w:szCs w:val="19"/>
                <w:lang w:val="en-GB"/>
              </w:rPr>
            </w:pPr>
            <w:r w:rsidRPr="00D12999">
              <w:rPr>
                <w:rFonts w:ascii="Arial" w:hAnsi="Arial" w:cs="Arial"/>
                <w:noProof/>
                <w:sz w:val="19"/>
                <w:szCs w:val="19"/>
                <w:lang w:val="en-GB"/>
              </w:rPr>
              <w:t>P/E ratio (x)</w:t>
            </w:r>
          </w:p>
        </w:tc>
        <w:tc>
          <w:tcPr>
            <w:tcW w:w="1062" w:type="dxa"/>
            <w:tcBorders>
              <w:top w:val="single" w:sz="4" w:space="0" w:color="auto"/>
              <w:left w:val="nil"/>
              <w:bottom w:val="single" w:sz="4" w:space="0" w:color="auto"/>
              <w:right w:val="nil"/>
            </w:tcBorders>
            <w:shd w:val="clear" w:color="auto" w:fill="auto"/>
            <w:vAlign w:val="bottom"/>
          </w:tcPr>
          <w:p w:rsidR="000E18C9" w:rsidRPr="00D12999" w:rsidRDefault="000E18C9" w:rsidP="000C4AFD">
            <w:pPr>
              <w:jc w:val="center"/>
              <w:rPr>
                <w:rFonts w:ascii="Arial" w:hAnsi="Arial" w:cs="Arial"/>
                <w:noProof/>
                <w:sz w:val="19"/>
                <w:szCs w:val="19"/>
                <w:lang w:val="en-GB"/>
              </w:rPr>
            </w:pPr>
            <w:r w:rsidRPr="00D12999">
              <w:rPr>
                <w:rFonts w:ascii="Arial" w:hAnsi="Arial" w:cs="Arial"/>
                <w:noProof/>
                <w:sz w:val="19"/>
                <w:szCs w:val="19"/>
                <w:lang w:val="en-GB"/>
              </w:rPr>
              <w:t>Price/ Book (x)</w:t>
            </w:r>
          </w:p>
        </w:tc>
        <w:tc>
          <w:tcPr>
            <w:tcW w:w="1114" w:type="dxa"/>
            <w:tcBorders>
              <w:top w:val="single" w:sz="4" w:space="0" w:color="auto"/>
              <w:left w:val="nil"/>
              <w:bottom w:val="single" w:sz="4" w:space="0" w:color="auto"/>
              <w:right w:val="nil"/>
            </w:tcBorders>
            <w:shd w:val="clear" w:color="auto" w:fill="auto"/>
            <w:vAlign w:val="bottom"/>
          </w:tcPr>
          <w:p w:rsidR="000E18C9" w:rsidRPr="00D12999" w:rsidRDefault="000E18C9" w:rsidP="000C4AFD">
            <w:pPr>
              <w:jc w:val="center"/>
              <w:rPr>
                <w:rFonts w:ascii="Arial" w:hAnsi="Arial" w:cs="Arial"/>
                <w:noProof/>
                <w:sz w:val="19"/>
                <w:szCs w:val="19"/>
                <w:lang w:val="en-GB"/>
              </w:rPr>
            </w:pPr>
            <w:r w:rsidRPr="00D12999">
              <w:rPr>
                <w:rFonts w:ascii="Arial" w:hAnsi="Arial" w:cs="Arial"/>
                <w:noProof/>
                <w:sz w:val="19"/>
                <w:szCs w:val="19"/>
                <w:lang w:val="en-GB"/>
              </w:rPr>
              <w:t>Moody’s Rating</w:t>
            </w:r>
          </w:p>
        </w:tc>
        <w:tc>
          <w:tcPr>
            <w:tcW w:w="867" w:type="dxa"/>
            <w:tcBorders>
              <w:top w:val="single" w:sz="4" w:space="0" w:color="auto"/>
              <w:left w:val="nil"/>
              <w:bottom w:val="single" w:sz="4" w:space="0" w:color="auto"/>
              <w:right w:val="nil"/>
            </w:tcBorders>
            <w:shd w:val="clear" w:color="auto" w:fill="auto"/>
            <w:vAlign w:val="bottom"/>
          </w:tcPr>
          <w:p w:rsidR="000E18C9" w:rsidRPr="00D12999" w:rsidRDefault="000E18C9" w:rsidP="000C4AFD">
            <w:pPr>
              <w:jc w:val="center"/>
              <w:rPr>
                <w:rFonts w:ascii="Arial" w:hAnsi="Arial" w:cs="Arial"/>
                <w:noProof/>
                <w:sz w:val="19"/>
                <w:szCs w:val="19"/>
                <w:lang w:val="en-GB"/>
              </w:rPr>
            </w:pPr>
            <w:r w:rsidRPr="00D12999">
              <w:rPr>
                <w:rFonts w:ascii="Arial" w:hAnsi="Arial" w:cs="Arial"/>
                <w:noProof/>
                <w:sz w:val="19"/>
                <w:szCs w:val="19"/>
                <w:lang w:val="en-GB"/>
              </w:rPr>
              <w:t>S&amp;P Rating</w:t>
            </w:r>
          </w:p>
        </w:tc>
      </w:tr>
      <w:tr w:rsidR="000C4AFD" w:rsidRPr="00D12999" w:rsidTr="0098778F">
        <w:trPr>
          <w:jc w:val="center"/>
        </w:trPr>
        <w:tc>
          <w:tcPr>
            <w:tcW w:w="2700" w:type="dxa"/>
            <w:tcBorders>
              <w:top w:val="single" w:sz="4" w:space="0" w:color="auto"/>
            </w:tcBorders>
            <w:shd w:val="clear" w:color="auto" w:fill="auto"/>
            <w:noWrap/>
            <w:vAlign w:val="bottom"/>
          </w:tcPr>
          <w:p w:rsidR="000E18C9" w:rsidRPr="00D12999" w:rsidRDefault="000E18C9" w:rsidP="000E18C9">
            <w:pPr>
              <w:rPr>
                <w:rFonts w:ascii="Arial" w:hAnsi="Arial" w:cs="Arial"/>
                <w:b/>
                <w:noProof/>
                <w:sz w:val="19"/>
                <w:szCs w:val="19"/>
                <w:lang w:val="en-GB"/>
              </w:rPr>
            </w:pPr>
            <w:r w:rsidRPr="00D12999">
              <w:rPr>
                <w:rFonts w:ascii="Arial" w:hAnsi="Arial" w:cs="Arial"/>
                <w:b/>
                <w:noProof/>
                <w:sz w:val="19"/>
                <w:szCs w:val="19"/>
                <w:lang w:val="en-GB"/>
              </w:rPr>
              <w:t>CANADIAN BANKS:</w:t>
            </w:r>
          </w:p>
        </w:tc>
        <w:tc>
          <w:tcPr>
            <w:tcW w:w="1170" w:type="dxa"/>
            <w:tcBorders>
              <w:top w:val="single" w:sz="4" w:space="0" w:color="auto"/>
            </w:tcBorders>
            <w:shd w:val="clear" w:color="auto" w:fill="auto"/>
            <w:vAlign w:val="bottom"/>
          </w:tcPr>
          <w:p w:rsidR="000E18C9" w:rsidRPr="00D12999" w:rsidRDefault="000E18C9" w:rsidP="000C4AFD">
            <w:pPr>
              <w:jc w:val="center"/>
              <w:rPr>
                <w:rFonts w:ascii="Arial" w:hAnsi="Arial" w:cs="Arial"/>
                <w:noProof/>
                <w:sz w:val="19"/>
                <w:szCs w:val="19"/>
                <w:lang w:val="en-GB"/>
              </w:rPr>
            </w:pPr>
          </w:p>
        </w:tc>
        <w:tc>
          <w:tcPr>
            <w:tcW w:w="900" w:type="dxa"/>
            <w:tcBorders>
              <w:top w:val="single" w:sz="4" w:space="0" w:color="auto"/>
            </w:tcBorders>
            <w:shd w:val="clear" w:color="auto" w:fill="auto"/>
            <w:vAlign w:val="center"/>
          </w:tcPr>
          <w:p w:rsidR="000E18C9" w:rsidRPr="00D12999" w:rsidRDefault="000E18C9" w:rsidP="000E18C9">
            <w:pPr>
              <w:jc w:val="right"/>
              <w:rPr>
                <w:rFonts w:ascii="Arial" w:hAnsi="Arial" w:cs="Arial"/>
                <w:noProof/>
                <w:color w:val="000000"/>
                <w:sz w:val="19"/>
                <w:szCs w:val="19"/>
                <w:lang w:val="en-GB"/>
              </w:rPr>
            </w:pPr>
          </w:p>
        </w:tc>
        <w:tc>
          <w:tcPr>
            <w:tcW w:w="1260" w:type="dxa"/>
            <w:tcBorders>
              <w:top w:val="single" w:sz="4" w:space="0" w:color="auto"/>
            </w:tcBorders>
            <w:shd w:val="clear" w:color="auto" w:fill="auto"/>
            <w:vAlign w:val="center"/>
          </w:tcPr>
          <w:p w:rsidR="000E18C9" w:rsidRPr="00D12999" w:rsidRDefault="000E18C9" w:rsidP="000E18C9">
            <w:pPr>
              <w:jc w:val="right"/>
              <w:rPr>
                <w:rFonts w:ascii="Arial" w:hAnsi="Arial" w:cs="Arial"/>
                <w:noProof/>
                <w:color w:val="000000"/>
                <w:sz w:val="19"/>
                <w:szCs w:val="19"/>
                <w:lang w:val="en-GB"/>
              </w:rPr>
            </w:pPr>
          </w:p>
        </w:tc>
        <w:tc>
          <w:tcPr>
            <w:tcW w:w="990" w:type="dxa"/>
            <w:tcBorders>
              <w:top w:val="single" w:sz="4" w:space="0" w:color="auto"/>
            </w:tcBorders>
            <w:shd w:val="clear" w:color="auto" w:fill="auto"/>
            <w:vAlign w:val="center"/>
          </w:tcPr>
          <w:p w:rsidR="000E18C9" w:rsidRPr="00D12999" w:rsidRDefault="000E18C9" w:rsidP="000E18C9">
            <w:pPr>
              <w:jc w:val="right"/>
              <w:rPr>
                <w:rFonts w:ascii="Arial" w:hAnsi="Arial" w:cs="Arial"/>
                <w:noProof/>
                <w:color w:val="000000"/>
                <w:sz w:val="19"/>
                <w:szCs w:val="19"/>
                <w:lang w:val="en-GB"/>
              </w:rPr>
            </w:pPr>
          </w:p>
        </w:tc>
        <w:tc>
          <w:tcPr>
            <w:tcW w:w="1008" w:type="dxa"/>
            <w:tcBorders>
              <w:top w:val="single" w:sz="4" w:space="0" w:color="auto"/>
            </w:tcBorders>
            <w:shd w:val="clear" w:color="auto" w:fill="auto"/>
            <w:vAlign w:val="center"/>
          </w:tcPr>
          <w:p w:rsidR="000E18C9" w:rsidRPr="00D12999" w:rsidRDefault="000E18C9" w:rsidP="000E18C9">
            <w:pPr>
              <w:jc w:val="right"/>
              <w:rPr>
                <w:rFonts w:ascii="Arial" w:hAnsi="Arial" w:cs="Arial"/>
                <w:noProof/>
                <w:color w:val="000000"/>
                <w:sz w:val="19"/>
                <w:szCs w:val="19"/>
                <w:lang w:val="en-GB"/>
              </w:rPr>
            </w:pPr>
          </w:p>
        </w:tc>
        <w:tc>
          <w:tcPr>
            <w:tcW w:w="1242" w:type="dxa"/>
            <w:tcBorders>
              <w:top w:val="single" w:sz="4" w:space="0" w:color="auto"/>
            </w:tcBorders>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p>
        </w:tc>
        <w:tc>
          <w:tcPr>
            <w:tcW w:w="950" w:type="dxa"/>
            <w:tcBorders>
              <w:top w:val="single" w:sz="4" w:space="0" w:color="auto"/>
            </w:tcBorders>
            <w:shd w:val="clear" w:color="auto" w:fill="auto"/>
            <w:vAlign w:val="center"/>
          </w:tcPr>
          <w:p w:rsidR="000E18C9" w:rsidRPr="00D12999" w:rsidRDefault="000E18C9" w:rsidP="000E18C9">
            <w:pPr>
              <w:jc w:val="right"/>
              <w:rPr>
                <w:rFonts w:ascii="Arial" w:hAnsi="Arial" w:cs="Arial"/>
                <w:noProof/>
                <w:color w:val="000000"/>
                <w:sz w:val="19"/>
                <w:szCs w:val="19"/>
                <w:lang w:val="en-GB"/>
              </w:rPr>
            </w:pPr>
          </w:p>
        </w:tc>
        <w:tc>
          <w:tcPr>
            <w:tcW w:w="1062" w:type="dxa"/>
            <w:tcBorders>
              <w:top w:val="single" w:sz="4" w:space="0" w:color="auto"/>
            </w:tcBorders>
            <w:shd w:val="clear" w:color="auto" w:fill="auto"/>
            <w:vAlign w:val="center"/>
          </w:tcPr>
          <w:p w:rsidR="000E18C9" w:rsidRPr="00D12999" w:rsidRDefault="000E18C9" w:rsidP="000E18C9">
            <w:pPr>
              <w:jc w:val="right"/>
              <w:rPr>
                <w:rFonts w:ascii="Arial" w:hAnsi="Arial" w:cs="Arial"/>
                <w:noProof/>
                <w:color w:val="000000"/>
                <w:sz w:val="19"/>
                <w:szCs w:val="19"/>
                <w:lang w:val="en-GB"/>
              </w:rPr>
            </w:pPr>
          </w:p>
        </w:tc>
        <w:tc>
          <w:tcPr>
            <w:tcW w:w="1114" w:type="dxa"/>
            <w:tcBorders>
              <w:top w:val="single" w:sz="4" w:space="0" w:color="auto"/>
            </w:tcBorders>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p>
        </w:tc>
        <w:tc>
          <w:tcPr>
            <w:tcW w:w="867" w:type="dxa"/>
            <w:tcBorders>
              <w:top w:val="single" w:sz="4" w:space="0" w:color="auto"/>
            </w:tcBorders>
            <w:shd w:val="clear" w:color="auto" w:fill="auto"/>
            <w:vAlign w:val="center"/>
          </w:tcPr>
          <w:p w:rsidR="000E18C9" w:rsidRPr="00D12999" w:rsidRDefault="000E18C9" w:rsidP="0098778F">
            <w:pPr>
              <w:jc w:val="right"/>
              <w:rPr>
                <w:rFonts w:ascii="Arial" w:hAnsi="Arial" w:cs="Arial"/>
                <w:noProof/>
                <w:color w:val="000000"/>
                <w:sz w:val="19"/>
                <w:szCs w:val="19"/>
                <w:lang w:val="en-GB"/>
              </w:rPr>
            </w:pPr>
          </w:p>
        </w:tc>
      </w:tr>
      <w:tr w:rsidR="000C4AFD" w:rsidRPr="00D12999" w:rsidTr="0098778F">
        <w:trPr>
          <w:jc w:val="center"/>
        </w:trPr>
        <w:tc>
          <w:tcPr>
            <w:tcW w:w="2700" w:type="dxa"/>
            <w:shd w:val="clear" w:color="auto" w:fill="auto"/>
            <w:noWrap/>
            <w:vAlign w:val="bottom"/>
          </w:tcPr>
          <w:p w:rsidR="000E18C9" w:rsidRPr="00D12999" w:rsidRDefault="000E18C9" w:rsidP="000E18C9">
            <w:pPr>
              <w:rPr>
                <w:rFonts w:ascii="Arial" w:hAnsi="Arial" w:cs="Arial"/>
                <w:noProof/>
                <w:sz w:val="19"/>
                <w:szCs w:val="19"/>
                <w:lang w:val="en-GB"/>
              </w:rPr>
            </w:pPr>
            <w:r w:rsidRPr="00D12999">
              <w:rPr>
                <w:rFonts w:ascii="Arial" w:hAnsi="Arial" w:cs="Arial"/>
                <w:noProof/>
                <w:sz w:val="19"/>
                <w:szCs w:val="19"/>
                <w:lang w:val="en-GB"/>
              </w:rPr>
              <w:t>BMO</w:t>
            </w:r>
          </w:p>
        </w:tc>
        <w:tc>
          <w:tcPr>
            <w:tcW w:w="1170" w:type="dxa"/>
            <w:shd w:val="clear" w:color="auto" w:fill="auto"/>
            <w:vAlign w:val="bottom"/>
          </w:tcPr>
          <w:p w:rsidR="000E18C9" w:rsidRPr="00D12999" w:rsidRDefault="000E18C9" w:rsidP="000C4AFD">
            <w:pPr>
              <w:jc w:val="center"/>
              <w:rPr>
                <w:rFonts w:ascii="Arial" w:hAnsi="Arial" w:cs="Arial"/>
                <w:noProof/>
                <w:sz w:val="19"/>
                <w:szCs w:val="19"/>
                <w:lang w:val="en-GB"/>
              </w:rPr>
            </w:pPr>
            <w:r w:rsidRPr="00D12999">
              <w:rPr>
                <w:rFonts w:ascii="Arial" w:hAnsi="Arial" w:cs="Arial"/>
                <w:noProof/>
                <w:sz w:val="19"/>
                <w:szCs w:val="19"/>
                <w:lang w:val="en-GB"/>
              </w:rPr>
              <w:t>CAD</w:t>
            </w:r>
          </w:p>
        </w:tc>
        <w:tc>
          <w:tcPr>
            <w:tcW w:w="900" w:type="dxa"/>
            <w:shd w:val="clear" w:color="auto" w:fill="auto"/>
            <w:vAlign w:val="center"/>
          </w:tcPr>
          <w:p w:rsidR="000E18C9" w:rsidRPr="00D12999" w:rsidRDefault="000E18C9" w:rsidP="000C4AFD">
            <w:pPr>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 95.02 </w:t>
            </w:r>
          </w:p>
        </w:tc>
        <w:tc>
          <w:tcPr>
            <w:tcW w:w="1260"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61,360</w:t>
            </w:r>
          </w:p>
        </w:tc>
        <w:tc>
          <w:tcPr>
            <w:tcW w:w="990"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15.1 </w:t>
            </w:r>
          </w:p>
        </w:tc>
        <w:tc>
          <w:tcPr>
            <w:tcW w:w="1008"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15.8 </w:t>
            </w:r>
          </w:p>
        </w:tc>
        <w:tc>
          <w:tcPr>
            <w:tcW w:w="1242"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49.0 </w:t>
            </w:r>
          </w:p>
        </w:tc>
        <w:tc>
          <w:tcPr>
            <w:tcW w:w="950"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12.9 </w:t>
            </w:r>
          </w:p>
        </w:tc>
        <w:tc>
          <w:tcPr>
            <w:tcW w:w="1062"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1.6 </w:t>
            </w:r>
          </w:p>
        </w:tc>
        <w:tc>
          <w:tcPr>
            <w:tcW w:w="1114"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Aa3</w:t>
            </w:r>
          </w:p>
        </w:tc>
        <w:tc>
          <w:tcPr>
            <w:tcW w:w="867" w:type="dxa"/>
            <w:shd w:val="clear" w:color="auto" w:fill="auto"/>
            <w:vAlign w:val="center"/>
          </w:tcPr>
          <w:p w:rsidR="000E18C9" w:rsidRPr="00D12999" w:rsidRDefault="000E18C9" w:rsidP="0098778F">
            <w:pPr>
              <w:jc w:val="right"/>
              <w:rPr>
                <w:rFonts w:ascii="Arial" w:hAnsi="Arial" w:cs="Arial"/>
                <w:noProof/>
                <w:color w:val="000000"/>
                <w:sz w:val="19"/>
                <w:szCs w:val="19"/>
                <w:lang w:val="en-GB"/>
              </w:rPr>
            </w:pPr>
            <w:r w:rsidRPr="00D12999">
              <w:rPr>
                <w:rFonts w:ascii="Arial" w:hAnsi="Arial" w:cs="Arial"/>
                <w:noProof/>
                <w:color w:val="000000"/>
                <w:sz w:val="19"/>
                <w:szCs w:val="19"/>
                <w:lang w:val="en-GB"/>
              </w:rPr>
              <w:t>A+</w:t>
            </w:r>
          </w:p>
        </w:tc>
      </w:tr>
      <w:tr w:rsidR="000C4AFD" w:rsidRPr="00D12999" w:rsidTr="0098778F">
        <w:trPr>
          <w:trHeight w:val="227"/>
          <w:jc w:val="center"/>
        </w:trPr>
        <w:tc>
          <w:tcPr>
            <w:tcW w:w="2700" w:type="dxa"/>
            <w:shd w:val="clear" w:color="auto" w:fill="auto"/>
            <w:noWrap/>
            <w:vAlign w:val="bottom"/>
          </w:tcPr>
          <w:p w:rsidR="000E18C9" w:rsidRPr="00D12999" w:rsidRDefault="000E18C9" w:rsidP="000E18C9">
            <w:pPr>
              <w:rPr>
                <w:rFonts w:ascii="Arial" w:hAnsi="Arial" w:cs="Arial"/>
                <w:noProof/>
                <w:sz w:val="19"/>
                <w:szCs w:val="19"/>
                <w:lang w:val="en-GB"/>
              </w:rPr>
            </w:pPr>
            <w:r w:rsidRPr="00D12999">
              <w:rPr>
                <w:rFonts w:ascii="Arial" w:hAnsi="Arial" w:cs="Arial"/>
                <w:noProof/>
                <w:sz w:val="19"/>
                <w:szCs w:val="19"/>
                <w:lang w:val="en-GB"/>
              </w:rPr>
              <w:t>CIBC</w:t>
            </w:r>
          </w:p>
        </w:tc>
        <w:tc>
          <w:tcPr>
            <w:tcW w:w="1170" w:type="dxa"/>
            <w:shd w:val="clear" w:color="auto" w:fill="auto"/>
            <w:vAlign w:val="bottom"/>
          </w:tcPr>
          <w:p w:rsidR="000E18C9" w:rsidRPr="00D12999" w:rsidRDefault="000E18C9" w:rsidP="000C4AFD">
            <w:pPr>
              <w:jc w:val="center"/>
              <w:rPr>
                <w:rFonts w:ascii="Arial" w:hAnsi="Arial" w:cs="Arial"/>
                <w:noProof/>
                <w:sz w:val="19"/>
                <w:szCs w:val="19"/>
                <w:lang w:val="en-GB"/>
              </w:rPr>
            </w:pPr>
            <w:r w:rsidRPr="00D12999">
              <w:rPr>
                <w:rFonts w:ascii="Arial" w:hAnsi="Arial" w:cs="Arial"/>
                <w:noProof/>
                <w:sz w:val="19"/>
                <w:szCs w:val="19"/>
                <w:lang w:val="en-GB"/>
              </w:rPr>
              <w:t>CAD</w:t>
            </w:r>
          </w:p>
        </w:tc>
        <w:tc>
          <w:tcPr>
            <w:tcW w:w="900" w:type="dxa"/>
            <w:shd w:val="clear" w:color="auto" w:fill="auto"/>
            <w:vAlign w:val="center"/>
          </w:tcPr>
          <w:p w:rsidR="000E18C9" w:rsidRPr="00D12999" w:rsidRDefault="000E18C9" w:rsidP="000E18C9">
            <w:pPr>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111.69 </w:t>
            </w:r>
          </w:p>
        </w:tc>
        <w:tc>
          <w:tcPr>
            <w:tcW w:w="1260"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44,347</w:t>
            </w:r>
          </w:p>
        </w:tc>
        <w:tc>
          <w:tcPr>
            <w:tcW w:w="990"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12.1 </w:t>
            </w:r>
          </w:p>
        </w:tc>
        <w:tc>
          <w:tcPr>
            <w:tcW w:w="1008"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14.3 </w:t>
            </w:r>
          </w:p>
        </w:tc>
        <w:tc>
          <w:tcPr>
            <w:tcW w:w="1242"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44.3 </w:t>
            </w:r>
          </w:p>
        </w:tc>
        <w:tc>
          <w:tcPr>
            <w:tcW w:w="950"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11.3 </w:t>
            </w:r>
          </w:p>
        </w:tc>
        <w:tc>
          <w:tcPr>
            <w:tcW w:w="1062"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2.0 </w:t>
            </w:r>
          </w:p>
        </w:tc>
        <w:tc>
          <w:tcPr>
            <w:tcW w:w="1114"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Aa3</w:t>
            </w:r>
          </w:p>
        </w:tc>
        <w:tc>
          <w:tcPr>
            <w:tcW w:w="867" w:type="dxa"/>
            <w:shd w:val="clear" w:color="auto" w:fill="auto"/>
            <w:vAlign w:val="center"/>
          </w:tcPr>
          <w:p w:rsidR="000E18C9" w:rsidRPr="00D12999" w:rsidRDefault="000E18C9" w:rsidP="0098778F">
            <w:pPr>
              <w:jc w:val="right"/>
              <w:rPr>
                <w:rFonts w:ascii="Arial" w:hAnsi="Arial" w:cs="Arial"/>
                <w:noProof/>
                <w:color w:val="000000"/>
                <w:sz w:val="19"/>
                <w:szCs w:val="19"/>
                <w:lang w:val="en-GB"/>
              </w:rPr>
            </w:pPr>
            <w:r w:rsidRPr="00D12999">
              <w:rPr>
                <w:rFonts w:ascii="Arial" w:hAnsi="Arial" w:cs="Arial"/>
                <w:noProof/>
                <w:color w:val="000000"/>
                <w:sz w:val="19"/>
                <w:szCs w:val="19"/>
                <w:lang w:val="en-GB"/>
              </w:rPr>
              <w:t>A+</w:t>
            </w:r>
          </w:p>
        </w:tc>
      </w:tr>
      <w:tr w:rsidR="000C4AFD" w:rsidRPr="00D12999" w:rsidTr="0098778F">
        <w:trPr>
          <w:jc w:val="center"/>
        </w:trPr>
        <w:tc>
          <w:tcPr>
            <w:tcW w:w="2700" w:type="dxa"/>
            <w:shd w:val="clear" w:color="auto" w:fill="auto"/>
            <w:noWrap/>
            <w:vAlign w:val="bottom"/>
          </w:tcPr>
          <w:p w:rsidR="000E18C9" w:rsidRPr="00D12999" w:rsidRDefault="000E18C9" w:rsidP="000E18C9">
            <w:pPr>
              <w:rPr>
                <w:rFonts w:ascii="Arial" w:hAnsi="Arial" w:cs="Arial"/>
                <w:noProof/>
                <w:sz w:val="19"/>
                <w:szCs w:val="19"/>
                <w:lang w:val="en-GB"/>
              </w:rPr>
            </w:pPr>
            <w:r w:rsidRPr="00D12999">
              <w:rPr>
                <w:rFonts w:ascii="Arial" w:hAnsi="Arial" w:cs="Arial"/>
                <w:noProof/>
                <w:sz w:val="19"/>
                <w:szCs w:val="19"/>
                <w:lang w:val="en-GB"/>
              </w:rPr>
              <w:t>National Bank</w:t>
            </w:r>
          </w:p>
        </w:tc>
        <w:tc>
          <w:tcPr>
            <w:tcW w:w="1170" w:type="dxa"/>
            <w:shd w:val="clear" w:color="auto" w:fill="auto"/>
            <w:vAlign w:val="bottom"/>
          </w:tcPr>
          <w:p w:rsidR="000E18C9" w:rsidRPr="00D12999" w:rsidRDefault="000E18C9" w:rsidP="000C4AFD">
            <w:pPr>
              <w:jc w:val="center"/>
              <w:rPr>
                <w:rFonts w:ascii="Arial" w:hAnsi="Arial" w:cs="Arial"/>
                <w:noProof/>
                <w:sz w:val="19"/>
                <w:szCs w:val="19"/>
                <w:lang w:val="en-GB"/>
              </w:rPr>
            </w:pPr>
            <w:r w:rsidRPr="00D12999">
              <w:rPr>
                <w:rFonts w:ascii="Arial" w:hAnsi="Arial" w:cs="Arial"/>
                <w:noProof/>
                <w:sz w:val="19"/>
                <w:szCs w:val="19"/>
                <w:lang w:val="en-GB"/>
              </w:rPr>
              <w:t>CAD</w:t>
            </w:r>
          </w:p>
        </w:tc>
        <w:tc>
          <w:tcPr>
            <w:tcW w:w="900" w:type="dxa"/>
            <w:shd w:val="clear" w:color="auto" w:fill="auto"/>
            <w:vAlign w:val="center"/>
          </w:tcPr>
          <w:p w:rsidR="000E18C9" w:rsidRPr="00D12999" w:rsidRDefault="000E18C9" w:rsidP="000E18C9">
            <w:pPr>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54.40 </w:t>
            </w:r>
          </w:p>
        </w:tc>
        <w:tc>
          <w:tcPr>
            <w:tcW w:w="1260"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18,388</w:t>
            </w:r>
          </w:p>
        </w:tc>
        <w:tc>
          <w:tcPr>
            <w:tcW w:w="990"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11.5 </w:t>
            </w:r>
          </w:p>
        </w:tc>
        <w:tc>
          <w:tcPr>
            <w:tcW w:w="1008"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14.7 </w:t>
            </w:r>
          </w:p>
        </w:tc>
        <w:tc>
          <w:tcPr>
            <w:tcW w:w="1242"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65.9 </w:t>
            </w:r>
          </w:p>
        </w:tc>
        <w:tc>
          <w:tcPr>
            <w:tcW w:w="950"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12.6 </w:t>
            </w:r>
          </w:p>
        </w:tc>
        <w:tc>
          <w:tcPr>
            <w:tcW w:w="1062"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1.9 </w:t>
            </w:r>
          </w:p>
        </w:tc>
        <w:tc>
          <w:tcPr>
            <w:tcW w:w="1114"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Aa3</w:t>
            </w:r>
          </w:p>
        </w:tc>
        <w:tc>
          <w:tcPr>
            <w:tcW w:w="867" w:type="dxa"/>
            <w:shd w:val="clear" w:color="auto" w:fill="auto"/>
            <w:vAlign w:val="center"/>
          </w:tcPr>
          <w:p w:rsidR="000E18C9" w:rsidRPr="00D12999" w:rsidRDefault="000E18C9" w:rsidP="0098778F">
            <w:pPr>
              <w:jc w:val="right"/>
              <w:rPr>
                <w:rFonts w:ascii="Arial" w:hAnsi="Arial" w:cs="Arial"/>
                <w:noProof/>
                <w:color w:val="000000"/>
                <w:sz w:val="19"/>
                <w:szCs w:val="19"/>
                <w:lang w:val="en-GB"/>
              </w:rPr>
            </w:pPr>
            <w:r w:rsidRPr="00D12999">
              <w:rPr>
                <w:rFonts w:ascii="Arial" w:hAnsi="Arial" w:cs="Arial"/>
                <w:noProof/>
                <w:color w:val="000000"/>
                <w:sz w:val="19"/>
                <w:szCs w:val="19"/>
                <w:lang w:val="en-GB"/>
              </w:rPr>
              <w:t>A</w:t>
            </w:r>
          </w:p>
        </w:tc>
      </w:tr>
      <w:tr w:rsidR="000C4AFD" w:rsidRPr="00D12999" w:rsidTr="0098778F">
        <w:trPr>
          <w:jc w:val="center"/>
        </w:trPr>
        <w:tc>
          <w:tcPr>
            <w:tcW w:w="2700" w:type="dxa"/>
            <w:shd w:val="clear" w:color="auto" w:fill="auto"/>
            <w:noWrap/>
            <w:vAlign w:val="bottom"/>
          </w:tcPr>
          <w:p w:rsidR="000E18C9" w:rsidRPr="00D12999" w:rsidRDefault="000E18C9" w:rsidP="000E18C9">
            <w:pPr>
              <w:rPr>
                <w:rFonts w:ascii="Arial" w:hAnsi="Arial" w:cs="Arial"/>
                <w:noProof/>
                <w:sz w:val="19"/>
                <w:szCs w:val="19"/>
                <w:lang w:val="en-GB"/>
              </w:rPr>
            </w:pPr>
            <w:r w:rsidRPr="00D12999">
              <w:rPr>
                <w:rFonts w:ascii="Arial" w:hAnsi="Arial" w:cs="Arial"/>
                <w:noProof/>
                <w:sz w:val="19"/>
                <w:szCs w:val="19"/>
                <w:lang w:val="en-GB"/>
              </w:rPr>
              <w:t>RBC</w:t>
            </w:r>
          </w:p>
        </w:tc>
        <w:tc>
          <w:tcPr>
            <w:tcW w:w="1170" w:type="dxa"/>
            <w:shd w:val="clear" w:color="auto" w:fill="auto"/>
            <w:vAlign w:val="bottom"/>
          </w:tcPr>
          <w:p w:rsidR="000E18C9" w:rsidRPr="00D12999" w:rsidRDefault="000E18C9" w:rsidP="000C4AFD">
            <w:pPr>
              <w:jc w:val="center"/>
              <w:rPr>
                <w:rFonts w:ascii="Arial" w:hAnsi="Arial" w:cs="Arial"/>
                <w:noProof/>
                <w:sz w:val="19"/>
                <w:szCs w:val="19"/>
                <w:lang w:val="en-GB"/>
              </w:rPr>
            </w:pPr>
            <w:r w:rsidRPr="00D12999">
              <w:rPr>
                <w:rFonts w:ascii="Arial" w:hAnsi="Arial" w:cs="Arial"/>
                <w:noProof/>
                <w:sz w:val="19"/>
                <w:szCs w:val="19"/>
                <w:lang w:val="en-GB"/>
              </w:rPr>
              <w:t>CAD</w:t>
            </w:r>
          </w:p>
        </w:tc>
        <w:tc>
          <w:tcPr>
            <w:tcW w:w="900" w:type="dxa"/>
            <w:shd w:val="clear" w:color="auto" w:fill="auto"/>
            <w:vAlign w:val="center"/>
          </w:tcPr>
          <w:p w:rsidR="000E18C9" w:rsidRPr="00D12999" w:rsidRDefault="000E18C9" w:rsidP="000E18C9">
            <w:pPr>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89.43 </w:t>
            </w:r>
          </w:p>
        </w:tc>
        <w:tc>
          <w:tcPr>
            <w:tcW w:w="1260"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132,839</w:t>
            </w:r>
          </w:p>
        </w:tc>
        <w:tc>
          <w:tcPr>
            <w:tcW w:w="990"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13.4 </w:t>
            </w:r>
          </w:p>
        </w:tc>
        <w:tc>
          <w:tcPr>
            <w:tcW w:w="1008"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17.2 </w:t>
            </w:r>
          </w:p>
        </w:tc>
        <w:tc>
          <w:tcPr>
            <w:tcW w:w="1242"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47.6 </w:t>
            </w:r>
          </w:p>
        </w:tc>
        <w:tc>
          <w:tcPr>
            <w:tcW w:w="950"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13.4 </w:t>
            </w:r>
          </w:p>
        </w:tc>
        <w:tc>
          <w:tcPr>
            <w:tcW w:w="1062"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2.1 </w:t>
            </w:r>
          </w:p>
        </w:tc>
        <w:tc>
          <w:tcPr>
            <w:tcW w:w="1114"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Aa3</w:t>
            </w:r>
          </w:p>
        </w:tc>
        <w:tc>
          <w:tcPr>
            <w:tcW w:w="867" w:type="dxa"/>
            <w:shd w:val="clear" w:color="auto" w:fill="auto"/>
            <w:vAlign w:val="center"/>
          </w:tcPr>
          <w:p w:rsidR="000E18C9" w:rsidRPr="00D12999" w:rsidRDefault="000E18C9" w:rsidP="0098778F">
            <w:pPr>
              <w:jc w:val="right"/>
              <w:rPr>
                <w:rFonts w:ascii="Arial" w:hAnsi="Arial" w:cs="Arial"/>
                <w:noProof/>
                <w:color w:val="000000"/>
                <w:sz w:val="19"/>
                <w:szCs w:val="19"/>
                <w:lang w:val="en-GB"/>
              </w:rPr>
            </w:pPr>
            <w:r w:rsidRPr="00D12999">
              <w:rPr>
                <w:rFonts w:ascii="Arial" w:hAnsi="Arial" w:cs="Arial"/>
                <w:noProof/>
                <w:color w:val="000000"/>
                <w:sz w:val="19"/>
                <w:szCs w:val="19"/>
                <w:lang w:val="en-GB"/>
              </w:rPr>
              <w:t>AA–</w:t>
            </w:r>
          </w:p>
        </w:tc>
      </w:tr>
      <w:tr w:rsidR="000C4AFD" w:rsidRPr="00D12999" w:rsidTr="0098778F">
        <w:trPr>
          <w:jc w:val="center"/>
        </w:trPr>
        <w:tc>
          <w:tcPr>
            <w:tcW w:w="2700" w:type="dxa"/>
            <w:shd w:val="clear" w:color="auto" w:fill="auto"/>
            <w:noWrap/>
            <w:vAlign w:val="bottom"/>
          </w:tcPr>
          <w:p w:rsidR="000E18C9" w:rsidRPr="00D12999" w:rsidRDefault="000E18C9" w:rsidP="000E18C9">
            <w:pPr>
              <w:rPr>
                <w:rFonts w:ascii="Arial" w:hAnsi="Arial" w:cs="Arial"/>
                <w:noProof/>
                <w:sz w:val="19"/>
                <w:szCs w:val="19"/>
                <w:lang w:val="en-GB"/>
              </w:rPr>
            </w:pPr>
            <w:r w:rsidRPr="00D12999">
              <w:rPr>
                <w:rFonts w:ascii="Arial" w:hAnsi="Arial" w:cs="Arial"/>
                <w:noProof/>
                <w:sz w:val="19"/>
                <w:szCs w:val="19"/>
                <w:lang w:val="en-GB"/>
              </w:rPr>
              <w:t>Scotiabank</w:t>
            </w:r>
          </w:p>
        </w:tc>
        <w:tc>
          <w:tcPr>
            <w:tcW w:w="1170" w:type="dxa"/>
            <w:shd w:val="clear" w:color="auto" w:fill="auto"/>
            <w:vAlign w:val="bottom"/>
          </w:tcPr>
          <w:p w:rsidR="000E18C9" w:rsidRPr="00D12999" w:rsidRDefault="000E18C9" w:rsidP="000C4AFD">
            <w:pPr>
              <w:jc w:val="center"/>
              <w:rPr>
                <w:rFonts w:ascii="Arial" w:hAnsi="Arial" w:cs="Arial"/>
                <w:noProof/>
                <w:sz w:val="19"/>
                <w:szCs w:val="19"/>
                <w:lang w:val="en-GB"/>
              </w:rPr>
            </w:pPr>
            <w:r w:rsidRPr="00D12999">
              <w:rPr>
                <w:rFonts w:ascii="Arial" w:hAnsi="Arial" w:cs="Arial"/>
                <w:noProof/>
                <w:sz w:val="19"/>
                <w:szCs w:val="19"/>
                <w:lang w:val="en-GB"/>
              </w:rPr>
              <w:t>CAD</w:t>
            </w:r>
          </w:p>
        </w:tc>
        <w:tc>
          <w:tcPr>
            <w:tcW w:w="900" w:type="dxa"/>
            <w:shd w:val="clear" w:color="auto" w:fill="auto"/>
            <w:vAlign w:val="center"/>
          </w:tcPr>
          <w:p w:rsidR="000E18C9" w:rsidRPr="00D12999" w:rsidRDefault="000E18C9" w:rsidP="000E18C9">
            <w:pPr>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76.17 </w:t>
            </w:r>
          </w:p>
        </w:tc>
        <w:tc>
          <w:tcPr>
            <w:tcW w:w="1260"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92,017</w:t>
            </w:r>
          </w:p>
        </w:tc>
        <w:tc>
          <w:tcPr>
            <w:tcW w:w="990"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10.5 </w:t>
            </w:r>
          </w:p>
        </w:tc>
        <w:tc>
          <w:tcPr>
            <w:tcW w:w="1008"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13.9 </w:t>
            </w:r>
          </w:p>
        </w:tc>
        <w:tc>
          <w:tcPr>
            <w:tcW w:w="1242"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49.6 </w:t>
            </w:r>
          </w:p>
        </w:tc>
        <w:tc>
          <w:tcPr>
            <w:tcW w:w="950"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12.7 </w:t>
            </w:r>
          </w:p>
        </w:tc>
        <w:tc>
          <w:tcPr>
            <w:tcW w:w="1062"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1.7 </w:t>
            </w:r>
          </w:p>
        </w:tc>
        <w:tc>
          <w:tcPr>
            <w:tcW w:w="1114"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Aa3</w:t>
            </w:r>
          </w:p>
        </w:tc>
        <w:tc>
          <w:tcPr>
            <w:tcW w:w="867" w:type="dxa"/>
            <w:shd w:val="clear" w:color="auto" w:fill="auto"/>
            <w:vAlign w:val="center"/>
          </w:tcPr>
          <w:p w:rsidR="000E18C9" w:rsidRPr="00D12999" w:rsidRDefault="000E18C9" w:rsidP="0098778F">
            <w:pPr>
              <w:jc w:val="right"/>
              <w:rPr>
                <w:rFonts w:ascii="Arial" w:hAnsi="Arial" w:cs="Arial"/>
                <w:noProof/>
                <w:color w:val="000000"/>
                <w:sz w:val="19"/>
                <w:szCs w:val="19"/>
                <w:lang w:val="en-GB"/>
              </w:rPr>
            </w:pPr>
            <w:r w:rsidRPr="00D12999">
              <w:rPr>
                <w:rFonts w:ascii="Arial" w:hAnsi="Arial" w:cs="Arial"/>
                <w:noProof/>
                <w:color w:val="000000"/>
                <w:sz w:val="19"/>
                <w:szCs w:val="19"/>
                <w:lang w:val="en-GB"/>
              </w:rPr>
              <w:t>A+</w:t>
            </w:r>
          </w:p>
        </w:tc>
      </w:tr>
      <w:tr w:rsidR="000C4AFD" w:rsidRPr="00D12999" w:rsidTr="0098778F">
        <w:trPr>
          <w:jc w:val="center"/>
        </w:trPr>
        <w:tc>
          <w:tcPr>
            <w:tcW w:w="2700" w:type="dxa"/>
            <w:shd w:val="clear" w:color="auto" w:fill="auto"/>
            <w:noWrap/>
            <w:vAlign w:val="bottom"/>
          </w:tcPr>
          <w:p w:rsidR="000E18C9" w:rsidRPr="00D12999" w:rsidRDefault="000E18C9" w:rsidP="000E18C9">
            <w:pPr>
              <w:rPr>
                <w:rFonts w:ascii="Arial" w:hAnsi="Arial" w:cs="Arial"/>
                <w:noProof/>
                <w:sz w:val="19"/>
                <w:szCs w:val="19"/>
                <w:lang w:val="en-GB"/>
              </w:rPr>
            </w:pPr>
            <w:r w:rsidRPr="00D12999">
              <w:rPr>
                <w:rFonts w:ascii="Arial" w:hAnsi="Arial" w:cs="Arial"/>
                <w:noProof/>
                <w:sz w:val="19"/>
                <w:szCs w:val="19"/>
                <w:lang w:val="en-GB"/>
              </w:rPr>
              <w:t>TD Bank</w:t>
            </w:r>
          </w:p>
        </w:tc>
        <w:tc>
          <w:tcPr>
            <w:tcW w:w="1170" w:type="dxa"/>
            <w:shd w:val="clear" w:color="auto" w:fill="auto"/>
            <w:vAlign w:val="bottom"/>
          </w:tcPr>
          <w:p w:rsidR="000E18C9" w:rsidRPr="00D12999" w:rsidRDefault="000E18C9" w:rsidP="000C4AFD">
            <w:pPr>
              <w:jc w:val="center"/>
              <w:rPr>
                <w:rFonts w:ascii="Arial" w:hAnsi="Arial" w:cs="Arial"/>
                <w:noProof/>
                <w:sz w:val="19"/>
                <w:szCs w:val="19"/>
                <w:lang w:val="en-GB"/>
              </w:rPr>
            </w:pPr>
            <w:r w:rsidRPr="00D12999">
              <w:rPr>
                <w:rFonts w:ascii="Arial" w:hAnsi="Arial" w:cs="Arial"/>
                <w:noProof/>
                <w:sz w:val="19"/>
                <w:szCs w:val="19"/>
                <w:lang w:val="en-GB"/>
              </w:rPr>
              <w:t>CAD</w:t>
            </w:r>
          </w:p>
        </w:tc>
        <w:tc>
          <w:tcPr>
            <w:tcW w:w="900" w:type="dxa"/>
            <w:shd w:val="clear" w:color="auto" w:fill="auto"/>
            <w:vAlign w:val="center"/>
          </w:tcPr>
          <w:p w:rsidR="000E18C9" w:rsidRPr="00D12999" w:rsidRDefault="000E18C9" w:rsidP="000E18C9">
            <w:pPr>
              <w:jc w:val="right"/>
              <w:rPr>
                <w:rFonts w:ascii="Arial" w:hAnsi="Arial" w:cs="Arial"/>
                <w:noProof/>
                <w:color w:val="000000"/>
                <w:sz w:val="19"/>
                <w:szCs w:val="19"/>
                <w:lang w:val="en-GB"/>
              </w:rPr>
            </w:pPr>
            <w:r w:rsidRPr="00D12999">
              <w:rPr>
                <w:rFonts w:ascii="Arial" w:hAnsi="Arial" w:cs="Arial"/>
                <w:bCs/>
                <w:noProof/>
                <w:color w:val="000000"/>
                <w:sz w:val="19"/>
                <w:szCs w:val="19"/>
                <w:lang w:val="en-GB"/>
              </w:rPr>
              <w:t xml:space="preserve">65.17 </w:t>
            </w:r>
          </w:p>
        </w:tc>
        <w:tc>
          <w:tcPr>
            <w:tcW w:w="1260"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bCs/>
                <w:noProof/>
                <w:color w:val="000000"/>
                <w:sz w:val="19"/>
                <w:szCs w:val="19"/>
                <w:lang w:val="en-GB"/>
              </w:rPr>
              <w:t>121,059</w:t>
            </w:r>
          </w:p>
        </w:tc>
        <w:tc>
          <w:tcPr>
            <w:tcW w:w="990"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bCs/>
                <w:noProof/>
                <w:color w:val="000000"/>
                <w:sz w:val="19"/>
                <w:szCs w:val="19"/>
                <w:lang w:val="en-GB"/>
              </w:rPr>
              <w:t xml:space="preserve">15.1 </w:t>
            </w:r>
          </w:p>
        </w:tc>
        <w:tc>
          <w:tcPr>
            <w:tcW w:w="1008"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bCs/>
                <w:noProof/>
                <w:color w:val="000000"/>
                <w:sz w:val="19"/>
                <w:szCs w:val="19"/>
                <w:lang w:val="en-GB"/>
              </w:rPr>
              <w:t xml:space="preserve">16.4 </w:t>
            </w:r>
          </w:p>
        </w:tc>
        <w:tc>
          <w:tcPr>
            <w:tcW w:w="1242"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bCs/>
                <w:noProof/>
                <w:color w:val="000000"/>
                <w:sz w:val="19"/>
                <w:szCs w:val="19"/>
                <w:lang w:val="en-GB"/>
              </w:rPr>
              <w:t xml:space="preserve">44.3 </w:t>
            </w:r>
          </w:p>
        </w:tc>
        <w:tc>
          <w:tcPr>
            <w:tcW w:w="950"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bCs/>
                <w:noProof/>
                <w:color w:val="000000"/>
                <w:sz w:val="19"/>
                <w:szCs w:val="19"/>
                <w:lang w:val="en-GB"/>
              </w:rPr>
              <w:t xml:space="preserve">13.8 </w:t>
            </w:r>
          </w:p>
        </w:tc>
        <w:tc>
          <w:tcPr>
            <w:tcW w:w="1062"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bCs/>
                <w:noProof/>
                <w:color w:val="000000"/>
                <w:sz w:val="19"/>
                <w:szCs w:val="19"/>
                <w:lang w:val="en-GB"/>
              </w:rPr>
              <w:t xml:space="preserve">1.8 </w:t>
            </w:r>
          </w:p>
        </w:tc>
        <w:tc>
          <w:tcPr>
            <w:tcW w:w="1114"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bCs/>
                <w:noProof/>
                <w:color w:val="000000"/>
                <w:sz w:val="19"/>
                <w:szCs w:val="19"/>
                <w:lang w:val="en-GB"/>
              </w:rPr>
              <w:t>Aa1</w:t>
            </w:r>
          </w:p>
        </w:tc>
        <w:tc>
          <w:tcPr>
            <w:tcW w:w="867" w:type="dxa"/>
            <w:shd w:val="clear" w:color="auto" w:fill="auto"/>
            <w:vAlign w:val="center"/>
          </w:tcPr>
          <w:p w:rsidR="000E18C9" w:rsidRPr="00D12999" w:rsidRDefault="000E18C9" w:rsidP="0098778F">
            <w:pPr>
              <w:jc w:val="right"/>
              <w:rPr>
                <w:rFonts w:ascii="Arial" w:hAnsi="Arial" w:cs="Arial"/>
                <w:noProof/>
                <w:color w:val="000000"/>
                <w:sz w:val="19"/>
                <w:szCs w:val="19"/>
                <w:lang w:val="en-GB"/>
              </w:rPr>
            </w:pPr>
            <w:r w:rsidRPr="00D12999">
              <w:rPr>
                <w:rFonts w:ascii="Arial" w:hAnsi="Arial" w:cs="Arial"/>
                <w:bCs/>
                <w:noProof/>
                <w:color w:val="000000"/>
                <w:sz w:val="19"/>
                <w:szCs w:val="19"/>
                <w:lang w:val="en-GB"/>
              </w:rPr>
              <w:t>AA–</w:t>
            </w:r>
          </w:p>
        </w:tc>
      </w:tr>
      <w:tr w:rsidR="000C4AFD" w:rsidRPr="00D12999" w:rsidTr="0098778F">
        <w:trPr>
          <w:jc w:val="center"/>
        </w:trPr>
        <w:tc>
          <w:tcPr>
            <w:tcW w:w="2700" w:type="dxa"/>
            <w:shd w:val="clear" w:color="auto" w:fill="auto"/>
            <w:noWrap/>
            <w:vAlign w:val="bottom"/>
          </w:tcPr>
          <w:p w:rsidR="000E18C9" w:rsidRPr="00D12999" w:rsidRDefault="000E18C9" w:rsidP="000E18C9">
            <w:pPr>
              <w:rPr>
                <w:rFonts w:ascii="Arial" w:hAnsi="Arial" w:cs="Arial"/>
                <w:b/>
                <w:noProof/>
                <w:sz w:val="19"/>
                <w:szCs w:val="19"/>
                <w:lang w:val="en-GB"/>
              </w:rPr>
            </w:pPr>
            <w:r w:rsidRPr="00D12999">
              <w:rPr>
                <w:rFonts w:ascii="Arial" w:hAnsi="Arial" w:cs="Arial"/>
                <w:b/>
                <w:noProof/>
                <w:sz w:val="19"/>
                <w:szCs w:val="19"/>
                <w:lang w:val="en-GB"/>
              </w:rPr>
              <w:t>US BANKS:</w:t>
            </w:r>
          </w:p>
        </w:tc>
        <w:tc>
          <w:tcPr>
            <w:tcW w:w="1170" w:type="dxa"/>
            <w:shd w:val="clear" w:color="auto" w:fill="auto"/>
            <w:vAlign w:val="bottom"/>
          </w:tcPr>
          <w:p w:rsidR="000E18C9" w:rsidRPr="00D12999" w:rsidRDefault="000E18C9" w:rsidP="000C4AFD">
            <w:pPr>
              <w:jc w:val="center"/>
              <w:rPr>
                <w:rFonts w:ascii="Arial" w:hAnsi="Arial" w:cs="Arial"/>
                <w:b/>
                <w:noProof/>
                <w:sz w:val="19"/>
                <w:szCs w:val="19"/>
                <w:lang w:val="en-GB"/>
              </w:rPr>
            </w:pPr>
          </w:p>
        </w:tc>
        <w:tc>
          <w:tcPr>
            <w:tcW w:w="900" w:type="dxa"/>
            <w:shd w:val="clear" w:color="auto" w:fill="auto"/>
            <w:vAlign w:val="center"/>
          </w:tcPr>
          <w:p w:rsidR="000E18C9" w:rsidRPr="00D12999" w:rsidRDefault="000E18C9" w:rsidP="000E18C9">
            <w:pPr>
              <w:jc w:val="right"/>
              <w:rPr>
                <w:rFonts w:ascii="Arial" w:hAnsi="Arial" w:cs="Arial"/>
                <w:b/>
                <w:bCs/>
                <w:noProof/>
                <w:color w:val="000000"/>
                <w:sz w:val="19"/>
                <w:szCs w:val="19"/>
                <w:lang w:val="en-GB"/>
              </w:rPr>
            </w:pPr>
          </w:p>
        </w:tc>
        <w:tc>
          <w:tcPr>
            <w:tcW w:w="1260" w:type="dxa"/>
            <w:shd w:val="clear" w:color="auto" w:fill="auto"/>
            <w:vAlign w:val="center"/>
          </w:tcPr>
          <w:p w:rsidR="000E18C9" w:rsidRPr="00D12999" w:rsidRDefault="000E18C9" w:rsidP="0098778F">
            <w:pPr>
              <w:ind w:right="144"/>
              <w:jc w:val="right"/>
              <w:rPr>
                <w:rFonts w:ascii="Arial" w:hAnsi="Arial" w:cs="Arial"/>
                <w:b/>
                <w:bCs/>
                <w:noProof/>
                <w:color w:val="000000"/>
                <w:sz w:val="19"/>
                <w:szCs w:val="19"/>
                <w:lang w:val="en-GB"/>
              </w:rPr>
            </w:pPr>
          </w:p>
        </w:tc>
        <w:tc>
          <w:tcPr>
            <w:tcW w:w="990" w:type="dxa"/>
            <w:shd w:val="clear" w:color="auto" w:fill="auto"/>
            <w:vAlign w:val="center"/>
          </w:tcPr>
          <w:p w:rsidR="000E18C9" w:rsidRPr="00D12999" w:rsidRDefault="000E18C9" w:rsidP="0098778F">
            <w:pPr>
              <w:ind w:right="144"/>
              <w:jc w:val="right"/>
              <w:rPr>
                <w:rFonts w:ascii="Arial" w:hAnsi="Arial" w:cs="Arial"/>
                <w:b/>
                <w:bCs/>
                <w:noProof/>
                <w:color w:val="000000"/>
                <w:sz w:val="19"/>
                <w:szCs w:val="19"/>
                <w:lang w:val="en-GB"/>
              </w:rPr>
            </w:pPr>
          </w:p>
        </w:tc>
        <w:tc>
          <w:tcPr>
            <w:tcW w:w="1008" w:type="dxa"/>
            <w:shd w:val="clear" w:color="auto" w:fill="auto"/>
            <w:vAlign w:val="center"/>
          </w:tcPr>
          <w:p w:rsidR="000E18C9" w:rsidRPr="00D12999" w:rsidRDefault="000E18C9" w:rsidP="0098778F">
            <w:pPr>
              <w:ind w:right="144"/>
              <w:jc w:val="right"/>
              <w:rPr>
                <w:rFonts w:ascii="Arial" w:hAnsi="Arial" w:cs="Arial"/>
                <w:b/>
                <w:bCs/>
                <w:noProof/>
                <w:color w:val="000000"/>
                <w:sz w:val="19"/>
                <w:szCs w:val="19"/>
                <w:lang w:val="en-GB"/>
              </w:rPr>
            </w:pPr>
          </w:p>
        </w:tc>
        <w:tc>
          <w:tcPr>
            <w:tcW w:w="1242" w:type="dxa"/>
            <w:shd w:val="clear" w:color="auto" w:fill="auto"/>
            <w:vAlign w:val="center"/>
          </w:tcPr>
          <w:p w:rsidR="000E18C9" w:rsidRPr="00D12999" w:rsidRDefault="000E18C9" w:rsidP="0098778F">
            <w:pPr>
              <w:ind w:right="144"/>
              <w:jc w:val="right"/>
              <w:rPr>
                <w:rFonts w:ascii="Arial" w:hAnsi="Arial" w:cs="Arial"/>
                <w:b/>
                <w:bCs/>
                <w:noProof/>
                <w:color w:val="000000"/>
                <w:sz w:val="19"/>
                <w:szCs w:val="19"/>
                <w:lang w:val="en-GB"/>
              </w:rPr>
            </w:pPr>
          </w:p>
        </w:tc>
        <w:tc>
          <w:tcPr>
            <w:tcW w:w="950" w:type="dxa"/>
            <w:shd w:val="clear" w:color="auto" w:fill="auto"/>
            <w:vAlign w:val="center"/>
          </w:tcPr>
          <w:p w:rsidR="000E18C9" w:rsidRPr="00D12999" w:rsidRDefault="000E18C9" w:rsidP="0098778F">
            <w:pPr>
              <w:ind w:right="144"/>
              <w:jc w:val="right"/>
              <w:rPr>
                <w:rFonts w:ascii="Arial" w:hAnsi="Arial" w:cs="Arial"/>
                <w:b/>
                <w:bCs/>
                <w:noProof/>
                <w:color w:val="000000"/>
                <w:sz w:val="19"/>
                <w:szCs w:val="19"/>
                <w:lang w:val="en-GB"/>
              </w:rPr>
            </w:pPr>
          </w:p>
        </w:tc>
        <w:tc>
          <w:tcPr>
            <w:tcW w:w="1062" w:type="dxa"/>
            <w:shd w:val="clear" w:color="auto" w:fill="auto"/>
            <w:vAlign w:val="center"/>
          </w:tcPr>
          <w:p w:rsidR="000E18C9" w:rsidRPr="00D12999" w:rsidRDefault="000E18C9" w:rsidP="0098778F">
            <w:pPr>
              <w:ind w:right="144"/>
              <w:jc w:val="right"/>
              <w:rPr>
                <w:rFonts w:ascii="Arial" w:hAnsi="Arial" w:cs="Arial"/>
                <w:b/>
                <w:bCs/>
                <w:noProof/>
                <w:color w:val="000000"/>
                <w:sz w:val="19"/>
                <w:szCs w:val="19"/>
                <w:lang w:val="en-GB"/>
              </w:rPr>
            </w:pPr>
          </w:p>
        </w:tc>
        <w:tc>
          <w:tcPr>
            <w:tcW w:w="1114" w:type="dxa"/>
            <w:shd w:val="clear" w:color="auto" w:fill="auto"/>
            <w:vAlign w:val="center"/>
          </w:tcPr>
          <w:p w:rsidR="000E18C9" w:rsidRPr="00D12999" w:rsidRDefault="000E18C9" w:rsidP="0098778F">
            <w:pPr>
              <w:ind w:right="144"/>
              <w:jc w:val="right"/>
              <w:rPr>
                <w:rFonts w:ascii="Arial" w:hAnsi="Arial" w:cs="Arial"/>
                <w:b/>
                <w:bCs/>
                <w:noProof/>
                <w:color w:val="000000"/>
                <w:sz w:val="19"/>
                <w:szCs w:val="19"/>
                <w:lang w:val="en-GB"/>
              </w:rPr>
            </w:pPr>
          </w:p>
        </w:tc>
        <w:tc>
          <w:tcPr>
            <w:tcW w:w="867" w:type="dxa"/>
            <w:shd w:val="clear" w:color="auto" w:fill="auto"/>
            <w:vAlign w:val="center"/>
          </w:tcPr>
          <w:p w:rsidR="000E18C9" w:rsidRPr="00D12999" w:rsidRDefault="000E18C9" w:rsidP="0098778F">
            <w:pPr>
              <w:jc w:val="right"/>
              <w:rPr>
                <w:rFonts w:ascii="Arial" w:hAnsi="Arial" w:cs="Arial"/>
                <w:b/>
                <w:bCs/>
                <w:noProof/>
                <w:color w:val="000000"/>
                <w:sz w:val="19"/>
                <w:szCs w:val="19"/>
                <w:lang w:val="en-GB"/>
              </w:rPr>
            </w:pPr>
          </w:p>
        </w:tc>
      </w:tr>
      <w:tr w:rsidR="000C4AFD" w:rsidRPr="00D12999" w:rsidTr="0098778F">
        <w:trPr>
          <w:jc w:val="center"/>
        </w:trPr>
        <w:tc>
          <w:tcPr>
            <w:tcW w:w="2700" w:type="dxa"/>
            <w:shd w:val="clear" w:color="auto" w:fill="auto"/>
            <w:noWrap/>
            <w:vAlign w:val="bottom"/>
          </w:tcPr>
          <w:p w:rsidR="000E18C9" w:rsidRPr="00D12999" w:rsidRDefault="000E18C9" w:rsidP="000E18C9">
            <w:pPr>
              <w:rPr>
                <w:rFonts w:ascii="Arial" w:hAnsi="Arial" w:cs="Arial"/>
                <w:noProof/>
                <w:sz w:val="19"/>
                <w:szCs w:val="19"/>
                <w:lang w:val="en-GB"/>
              </w:rPr>
            </w:pPr>
            <w:r w:rsidRPr="00D12999">
              <w:rPr>
                <w:rFonts w:ascii="Arial" w:hAnsi="Arial" w:cs="Arial"/>
                <w:noProof/>
                <w:sz w:val="19"/>
                <w:szCs w:val="19"/>
                <w:lang w:val="en-GB"/>
              </w:rPr>
              <w:t>Bank of America</w:t>
            </w:r>
          </w:p>
        </w:tc>
        <w:tc>
          <w:tcPr>
            <w:tcW w:w="1170" w:type="dxa"/>
            <w:shd w:val="clear" w:color="auto" w:fill="auto"/>
            <w:vAlign w:val="bottom"/>
          </w:tcPr>
          <w:p w:rsidR="000E18C9" w:rsidRPr="00D12999" w:rsidRDefault="000E18C9" w:rsidP="000C4AFD">
            <w:pPr>
              <w:jc w:val="center"/>
              <w:rPr>
                <w:rFonts w:ascii="Arial" w:hAnsi="Arial" w:cs="Arial"/>
                <w:noProof/>
                <w:sz w:val="19"/>
                <w:szCs w:val="19"/>
                <w:lang w:val="en-GB"/>
              </w:rPr>
            </w:pPr>
            <w:r w:rsidRPr="00D12999">
              <w:rPr>
                <w:rFonts w:ascii="Arial" w:hAnsi="Arial" w:cs="Arial"/>
                <w:noProof/>
                <w:sz w:val="19"/>
                <w:szCs w:val="19"/>
                <w:lang w:val="en-GB"/>
              </w:rPr>
              <w:t>USD</w:t>
            </w:r>
          </w:p>
        </w:tc>
        <w:tc>
          <w:tcPr>
            <w:tcW w:w="900" w:type="dxa"/>
            <w:shd w:val="clear" w:color="auto" w:fill="auto"/>
            <w:vAlign w:val="center"/>
          </w:tcPr>
          <w:p w:rsidR="000E18C9" w:rsidRPr="00D12999" w:rsidRDefault="000E18C9" w:rsidP="000E18C9">
            <w:pPr>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22.95 </w:t>
            </w:r>
          </w:p>
        </w:tc>
        <w:tc>
          <w:tcPr>
            <w:tcW w:w="1260"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320,895</w:t>
            </w:r>
          </w:p>
        </w:tc>
        <w:tc>
          <w:tcPr>
            <w:tcW w:w="990"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15.1 </w:t>
            </w:r>
          </w:p>
        </w:tc>
        <w:tc>
          <w:tcPr>
            <w:tcW w:w="1008"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33.1 </w:t>
            </w:r>
          </w:p>
        </w:tc>
        <w:tc>
          <w:tcPr>
            <w:tcW w:w="1242"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14.5 </w:t>
            </w:r>
          </w:p>
        </w:tc>
        <w:tc>
          <w:tcPr>
            <w:tcW w:w="950"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16.6 </w:t>
            </w:r>
          </w:p>
        </w:tc>
        <w:tc>
          <w:tcPr>
            <w:tcW w:w="1062"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0.9 </w:t>
            </w:r>
          </w:p>
        </w:tc>
        <w:tc>
          <w:tcPr>
            <w:tcW w:w="1114"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Baa1</w:t>
            </w:r>
          </w:p>
        </w:tc>
        <w:tc>
          <w:tcPr>
            <w:tcW w:w="867" w:type="dxa"/>
            <w:shd w:val="clear" w:color="auto" w:fill="auto"/>
            <w:vAlign w:val="center"/>
          </w:tcPr>
          <w:p w:rsidR="000E18C9" w:rsidRPr="00D12999" w:rsidRDefault="000E18C9" w:rsidP="0098778F">
            <w:pPr>
              <w:jc w:val="right"/>
              <w:rPr>
                <w:rFonts w:ascii="Arial" w:hAnsi="Arial" w:cs="Arial"/>
                <w:noProof/>
                <w:color w:val="000000"/>
                <w:sz w:val="19"/>
                <w:szCs w:val="19"/>
                <w:lang w:val="en-GB"/>
              </w:rPr>
            </w:pPr>
            <w:r w:rsidRPr="00D12999">
              <w:rPr>
                <w:rFonts w:ascii="Arial" w:hAnsi="Arial" w:cs="Arial"/>
                <w:noProof/>
                <w:color w:val="000000"/>
                <w:sz w:val="19"/>
                <w:szCs w:val="19"/>
                <w:lang w:val="en-GB"/>
              </w:rPr>
              <w:t>BBB+</w:t>
            </w:r>
          </w:p>
        </w:tc>
      </w:tr>
      <w:tr w:rsidR="000C4AFD" w:rsidRPr="00D12999" w:rsidTr="0098778F">
        <w:trPr>
          <w:jc w:val="center"/>
        </w:trPr>
        <w:tc>
          <w:tcPr>
            <w:tcW w:w="2700" w:type="dxa"/>
            <w:shd w:val="clear" w:color="auto" w:fill="auto"/>
            <w:noWrap/>
            <w:vAlign w:val="bottom"/>
          </w:tcPr>
          <w:p w:rsidR="000E18C9" w:rsidRPr="00D12999" w:rsidRDefault="000E18C9" w:rsidP="000E18C9">
            <w:pPr>
              <w:rPr>
                <w:rFonts w:ascii="Arial" w:hAnsi="Arial" w:cs="Arial"/>
                <w:noProof/>
                <w:sz w:val="19"/>
                <w:szCs w:val="19"/>
                <w:lang w:val="en-GB"/>
              </w:rPr>
            </w:pPr>
            <w:r w:rsidRPr="00D12999">
              <w:rPr>
                <w:rFonts w:ascii="Arial" w:hAnsi="Arial" w:cs="Arial"/>
                <w:noProof/>
                <w:sz w:val="19"/>
                <w:szCs w:val="19"/>
                <w:lang w:val="en-GB"/>
              </w:rPr>
              <w:t>Citigroup Inc.</w:t>
            </w:r>
          </w:p>
        </w:tc>
        <w:tc>
          <w:tcPr>
            <w:tcW w:w="1170" w:type="dxa"/>
            <w:shd w:val="clear" w:color="auto" w:fill="auto"/>
            <w:vAlign w:val="bottom"/>
          </w:tcPr>
          <w:p w:rsidR="000E18C9" w:rsidRPr="00D12999" w:rsidRDefault="000E18C9" w:rsidP="000C4AFD">
            <w:pPr>
              <w:jc w:val="center"/>
              <w:rPr>
                <w:rFonts w:ascii="Arial" w:hAnsi="Arial" w:cs="Arial"/>
                <w:noProof/>
                <w:sz w:val="19"/>
                <w:szCs w:val="19"/>
                <w:lang w:val="en-GB"/>
              </w:rPr>
            </w:pPr>
            <w:r w:rsidRPr="00D12999">
              <w:rPr>
                <w:rFonts w:ascii="Arial" w:hAnsi="Arial" w:cs="Arial"/>
                <w:noProof/>
                <w:sz w:val="19"/>
                <w:szCs w:val="19"/>
                <w:lang w:val="en-GB"/>
              </w:rPr>
              <w:t>USD</w:t>
            </w:r>
          </w:p>
        </w:tc>
        <w:tc>
          <w:tcPr>
            <w:tcW w:w="900" w:type="dxa"/>
            <w:shd w:val="clear" w:color="auto" w:fill="auto"/>
            <w:vAlign w:val="center"/>
          </w:tcPr>
          <w:p w:rsidR="000E18C9" w:rsidRPr="00D12999" w:rsidRDefault="000E18C9" w:rsidP="000E18C9">
            <w:pPr>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60.15 </w:t>
            </w:r>
          </w:p>
        </w:tc>
        <w:tc>
          <w:tcPr>
            <w:tcW w:w="1260"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237,182</w:t>
            </w:r>
          </w:p>
        </w:tc>
        <w:tc>
          <w:tcPr>
            <w:tcW w:w="990"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5.8 </w:t>
            </w:r>
          </w:p>
        </w:tc>
        <w:tc>
          <w:tcPr>
            <w:tcW w:w="1008"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16.2 </w:t>
            </w:r>
          </w:p>
        </w:tc>
        <w:tc>
          <w:tcPr>
            <w:tcW w:w="1242"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3.0 </w:t>
            </w:r>
          </w:p>
        </w:tc>
        <w:tc>
          <w:tcPr>
            <w:tcW w:w="950"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11.9 </w:t>
            </w:r>
          </w:p>
        </w:tc>
        <w:tc>
          <w:tcPr>
            <w:tcW w:w="1062"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0.8 </w:t>
            </w:r>
          </w:p>
        </w:tc>
        <w:tc>
          <w:tcPr>
            <w:tcW w:w="1114"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Baa1</w:t>
            </w:r>
          </w:p>
        </w:tc>
        <w:tc>
          <w:tcPr>
            <w:tcW w:w="867" w:type="dxa"/>
            <w:shd w:val="clear" w:color="auto" w:fill="auto"/>
            <w:vAlign w:val="center"/>
          </w:tcPr>
          <w:p w:rsidR="000E18C9" w:rsidRPr="00D12999" w:rsidRDefault="000E18C9" w:rsidP="0098778F">
            <w:pPr>
              <w:jc w:val="right"/>
              <w:rPr>
                <w:rFonts w:ascii="Arial" w:hAnsi="Arial" w:cs="Arial"/>
                <w:noProof/>
                <w:color w:val="000000"/>
                <w:sz w:val="19"/>
                <w:szCs w:val="19"/>
                <w:lang w:val="en-GB"/>
              </w:rPr>
            </w:pPr>
            <w:r w:rsidRPr="00D12999">
              <w:rPr>
                <w:rFonts w:ascii="Arial" w:hAnsi="Arial" w:cs="Arial"/>
                <w:noProof/>
                <w:color w:val="000000"/>
                <w:sz w:val="19"/>
                <w:szCs w:val="19"/>
                <w:lang w:val="en-GB"/>
              </w:rPr>
              <w:t>BBB+</w:t>
            </w:r>
          </w:p>
        </w:tc>
      </w:tr>
      <w:tr w:rsidR="000C4AFD" w:rsidRPr="00D12999" w:rsidTr="0098778F">
        <w:trPr>
          <w:jc w:val="center"/>
        </w:trPr>
        <w:tc>
          <w:tcPr>
            <w:tcW w:w="2700" w:type="dxa"/>
            <w:shd w:val="clear" w:color="auto" w:fill="auto"/>
            <w:noWrap/>
            <w:vAlign w:val="bottom"/>
          </w:tcPr>
          <w:p w:rsidR="000E18C9" w:rsidRPr="00D12999" w:rsidRDefault="000E18C9" w:rsidP="000E18C9">
            <w:pPr>
              <w:rPr>
                <w:rFonts w:ascii="Arial" w:hAnsi="Arial" w:cs="Arial"/>
                <w:noProof/>
                <w:sz w:val="19"/>
                <w:szCs w:val="19"/>
                <w:lang w:val="en-GB"/>
              </w:rPr>
            </w:pPr>
            <w:r w:rsidRPr="00D12999">
              <w:rPr>
                <w:rFonts w:ascii="Arial" w:hAnsi="Arial" w:cs="Arial"/>
                <w:noProof/>
                <w:sz w:val="19"/>
                <w:szCs w:val="19"/>
                <w:lang w:val="en-GB"/>
              </w:rPr>
              <w:t>JPMorgan</w:t>
            </w:r>
          </w:p>
        </w:tc>
        <w:tc>
          <w:tcPr>
            <w:tcW w:w="1170" w:type="dxa"/>
            <w:shd w:val="clear" w:color="auto" w:fill="auto"/>
            <w:vAlign w:val="bottom"/>
          </w:tcPr>
          <w:p w:rsidR="000E18C9" w:rsidRPr="00D12999" w:rsidRDefault="000E18C9" w:rsidP="000C4AFD">
            <w:pPr>
              <w:jc w:val="center"/>
              <w:rPr>
                <w:rFonts w:ascii="Arial" w:hAnsi="Arial" w:cs="Arial"/>
                <w:noProof/>
                <w:sz w:val="19"/>
                <w:szCs w:val="19"/>
                <w:lang w:val="en-GB"/>
              </w:rPr>
            </w:pPr>
            <w:r w:rsidRPr="00D12999">
              <w:rPr>
                <w:rFonts w:ascii="Arial" w:hAnsi="Arial" w:cs="Arial"/>
                <w:noProof/>
                <w:sz w:val="19"/>
                <w:szCs w:val="19"/>
                <w:lang w:val="en-GB"/>
              </w:rPr>
              <w:t>USD</w:t>
            </w:r>
          </w:p>
        </w:tc>
        <w:tc>
          <w:tcPr>
            <w:tcW w:w="900" w:type="dxa"/>
            <w:shd w:val="clear" w:color="auto" w:fill="auto"/>
            <w:vAlign w:val="center"/>
          </w:tcPr>
          <w:p w:rsidR="000E18C9" w:rsidRPr="00D12999" w:rsidRDefault="000E18C9" w:rsidP="000E18C9">
            <w:pPr>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85.12 </w:t>
            </w:r>
          </w:p>
        </w:tc>
        <w:tc>
          <w:tcPr>
            <w:tcW w:w="1260"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421,450</w:t>
            </w:r>
          </w:p>
        </w:tc>
        <w:tc>
          <w:tcPr>
            <w:tcW w:w="990"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18.1 </w:t>
            </w:r>
          </w:p>
        </w:tc>
        <w:tc>
          <w:tcPr>
            <w:tcW w:w="1008"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24.1 </w:t>
            </w:r>
          </w:p>
        </w:tc>
        <w:tc>
          <w:tcPr>
            <w:tcW w:w="1242"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28.9 </w:t>
            </w:r>
          </w:p>
        </w:tc>
        <w:tc>
          <w:tcPr>
            <w:tcW w:w="950"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15.8 </w:t>
            </w:r>
          </w:p>
        </w:tc>
        <w:tc>
          <w:tcPr>
            <w:tcW w:w="1062"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1.3 </w:t>
            </w:r>
          </w:p>
        </w:tc>
        <w:tc>
          <w:tcPr>
            <w:tcW w:w="1114"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A3</w:t>
            </w:r>
          </w:p>
        </w:tc>
        <w:tc>
          <w:tcPr>
            <w:tcW w:w="867" w:type="dxa"/>
            <w:shd w:val="clear" w:color="auto" w:fill="auto"/>
            <w:vAlign w:val="center"/>
          </w:tcPr>
          <w:p w:rsidR="000E18C9" w:rsidRPr="00D12999" w:rsidRDefault="000E18C9" w:rsidP="0098778F">
            <w:pPr>
              <w:jc w:val="right"/>
              <w:rPr>
                <w:rFonts w:ascii="Arial" w:hAnsi="Arial" w:cs="Arial"/>
                <w:noProof/>
                <w:color w:val="000000"/>
                <w:sz w:val="19"/>
                <w:szCs w:val="19"/>
                <w:lang w:val="en-GB"/>
              </w:rPr>
            </w:pPr>
            <w:r w:rsidRPr="00D12999">
              <w:rPr>
                <w:rFonts w:ascii="Arial" w:hAnsi="Arial" w:cs="Arial"/>
                <w:noProof/>
                <w:color w:val="000000"/>
                <w:sz w:val="19"/>
                <w:szCs w:val="19"/>
                <w:lang w:val="en-GB"/>
              </w:rPr>
              <w:t>A–</w:t>
            </w:r>
          </w:p>
        </w:tc>
      </w:tr>
      <w:tr w:rsidR="000C4AFD" w:rsidRPr="00D12999" w:rsidTr="0098778F">
        <w:trPr>
          <w:jc w:val="center"/>
        </w:trPr>
        <w:tc>
          <w:tcPr>
            <w:tcW w:w="2700" w:type="dxa"/>
            <w:shd w:val="clear" w:color="auto" w:fill="auto"/>
            <w:noWrap/>
            <w:vAlign w:val="bottom"/>
          </w:tcPr>
          <w:p w:rsidR="000E18C9" w:rsidRPr="00D12999" w:rsidRDefault="000E18C9" w:rsidP="000E18C9">
            <w:pPr>
              <w:rPr>
                <w:rFonts w:ascii="Arial" w:hAnsi="Arial" w:cs="Arial"/>
                <w:noProof/>
                <w:sz w:val="19"/>
                <w:szCs w:val="19"/>
                <w:lang w:val="en-GB"/>
              </w:rPr>
            </w:pPr>
            <w:r w:rsidRPr="00D12999">
              <w:rPr>
                <w:rFonts w:ascii="Arial" w:hAnsi="Arial" w:cs="Arial"/>
                <w:noProof/>
                <w:sz w:val="19"/>
                <w:szCs w:val="19"/>
                <w:lang w:val="en-GB"/>
              </w:rPr>
              <w:t>Wells Fargo</w:t>
            </w:r>
          </w:p>
        </w:tc>
        <w:tc>
          <w:tcPr>
            <w:tcW w:w="1170" w:type="dxa"/>
            <w:shd w:val="clear" w:color="auto" w:fill="auto"/>
            <w:vAlign w:val="bottom"/>
          </w:tcPr>
          <w:p w:rsidR="000E18C9" w:rsidRPr="00D12999" w:rsidRDefault="000E18C9" w:rsidP="000C4AFD">
            <w:pPr>
              <w:jc w:val="center"/>
              <w:rPr>
                <w:rFonts w:ascii="Arial" w:hAnsi="Arial" w:cs="Arial"/>
                <w:noProof/>
                <w:sz w:val="19"/>
                <w:szCs w:val="19"/>
                <w:lang w:val="en-GB"/>
              </w:rPr>
            </w:pPr>
            <w:r w:rsidRPr="00D12999">
              <w:rPr>
                <w:rFonts w:ascii="Arial" w:hAnsi="Arial" w:cs="Arial"/>
                <w:noProof/>
                <w:sz w:val="19"/>
                <w:szCs w:val="19"/>
                <w:lang w:val="en-GB"/>
              </w:rPr>
              <w:t>USD</w:t>
            </w:r>
          </w:p>
        </w:tc>
        <w:tc>
          <w:tcPr>
            <w:tcW w:w="900" w:type="dxa"/>
            <w:shd w:val="clear" w:color="auto" w:fill="auto"/>
            <w:vAlign w:val="center"/>
          </w:tcPr>
          <w:p w:rsidR="000E18C9" w:rsidRPr="00D12999" w:rsidRDefault="000E18C9" w:rsidP="000E18C9">
            <w:pPr>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57.29 </w:t>
            </w:r>
          </w:p>
        </w:tc>
        <w:tc>
          <w:tcPr>
            <w:tcW w:w="1260"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398,129</w:t>
            </w:r>
          </w:p>
        </w:tc>
        <w:tc>
          <w:tcPr>
            <w:tcW w:w="990"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12.2 </w:t>
            </w:r>
          </w:p>
        </w:tc>
        <w:tc>
          <w:tcPr>
            <w:tcW w:w="1008"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19.6 </w:t>
            </w:r>
          </w:p>
        </w:tc>
        <w:tc>
          <w:tcPr>
            <w:tcW w:w="1242"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35.3 </w:t>
            </w:r>
          </w:p>
        </w:tc>
        <w:tc>
          <w:tcPr>
            <w:tcW w:w="950"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14.1 </w:t>
            </w:r>
          </w:p>
        </w:tc>
        <w:tc>
          <w:tcPr>
            <w:tcW w:w="1062"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1.6 </w:t>
            </w:r>
          </w:p>
        </w:tc>
        <w:tc>
          <w:tcPr>
            <w:tcW w:w="1114"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A2</w:t>
            </w:r>
          </w:p>
        </w:tc>
        <w:tc>
          <w:tcPr>
            <w:tcW w:w="867" w:type="dxa"/>
            <w:shd w:val="clear" w:color="auto" w:fill="auto"/>
            <w:vAlign w:val="center"/>
          </w:tcPr>
          <w:p w:rsidR="000E18C9" w:rsidRPr="00D12999" w:rsidRDefault="000E18C9" w:rsidP="0098778F">
            <w:pPr>
              <w:jc w:val="right"/>
              <w:rPr>
                <w:rFonts w:ascii="Arial" w:hAnsi="Arial" w:cs="Arial"/>
                <w:noProof/>
                <w:color w:val="000000"/>
                <w:sz w:val="19"/>
                <w:szCs w:val="19"/>
                <w:lang w:val="en-GB"/>
              </w:rPr>
            </w:pPr>
            <w:r w:rsidRPr="00D12999">
              <w:rPr>
                <w:rFonts w:ascii="Arial" w:hAnsi="Arial" w:cs="Arial"/>
                <w:noProof/>
                <w:color w:val="000000"/>
                <w:sz w:val="19"/>
                <w:szCs w:val="19"/>
                <w:lang w:val="en-GB"/>
              </w:rPr>
              <w:t>A</w:t>
            </w:r>
          </w:p>
        </w:tc>
      </w:tr>
      <w:tr w:rsidR="000C4AFD" w:rsidRPr="00D12999" w:rsidTr="0098778F">
        <w:trPr>
          <w:jc w:val="center"/>
        </w:trPr>
        <w:tc>
          <w:tcPr>
            <w:tcW w:w="2700" w:type="dxa"/>
            <w:shd w:val="clear" w:color="auto" w:fill="auto"/>
            <w:noWrap/>
            <w:vAlign w:val="bottom"/>
          </w:tcPr>
          <w:p w:rsidR="000E18C9" w:rsidRPr="00D12999" w:rsidRDefault="000E18C9" w:rsidP="000E18C9">
            <w:pPr>
              <w:rPr>
                <w:rFonts w:ascii="Arial" w:hAnsi="Arial" w:cs="Arial"/>
                <w:noProof/>
                <w:sz w:val="19"/>
                <w:szCs w:val="19"/>
                <w:lang w:val="en-GB"/>
              </w:rPr>
            </w:pPr>
            <w:r w:rsidRPr="00D12999">
              <w:rPr>
                <w:rFonts w:ascii="Arial" w:hAnsi="Arial" w:cs="Arial"/>
                <w:noProof/>
                <w:sz w:val="19"/>
                <w:szCs w:val="19"/>
                <w:lang w:val="en-GB"/>
              </w:rPr>
              <w:t>BB&amp;T Corp.</w:t>
            </w:r>
          </w:p>
        </w:tc>
        <w:tc>
          <w:tcPr>
            <w:tcW w:w="1170" w:type="dxa"/>
            <w:shd w:val="clear" w:color="auto" w:fill="auto"/>
            <w:vAlign w:val="bottom"/>
          </w:tcPr>
          <w:p w:rsidR="000E18C9" w:rsidRPr="00D12999" w:rsidRDefault="000E18C9" w:rsidP="000C4AFD">
            <w:pPr>
              <w:jc w:val="center"/>
              <w:rPr>
                <w:rFonts w:ascii="Arial" w:hAnsi="Arial" w:cs="Arial"/>
                <w:noProof/>
                <w:sz w:val="19"/>
                <w:szCs w:val="19"/>
                <w:lang w:val="en-GB"/>
              </w:rPr>
            </w:pPr>
            <w:r w:rsidRPr="00D12999">
              <w:rPr>
                <w:rFonts w:ascii="Arial" w:hAnsi="Arial" w:cs="Arial"/>
                <w:noProof/>
                <w:sz w:val="19"/>
                <w:szCs w:val="19"/>
                <w:lang w:val="en-GB"/>
              </w:rPr>
              <w:t>USD</w:t>
            </w:r>
          </w:p>
        </w:tc>
        <w:tc>
          <w:tcPr>
            <w:tcW w:w="900" w:type="dxa"/>
            <w:shd w:val="clear" w:color="auto" w:fill="auto"/>
            <w:vAlign w:val="center"/>
          </w:tcPr>
          <w:p w:rsidR="000E18C9" w:rsidRPr="00D12999" w:rsidRDefault="000E18C9" w:rsidP="000E18C9">
            <w:pPr>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46.98 </w:t>
            </w:r>
          </w:p>
        </w:tc>
        <w:tc>
          <w:tcPr>
            <w:tcW w:w="1260"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52,748</w:t>
            </w:r>
          </w:p>
        </w:tc>
        <w:tc>
          <w:tcPr>
            <w:tcW w:w="990"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13.5 </w:t>
            </w:r>
          </w:p>
        </w:tc>
        <w:tc>
          <w:tcPr>
            <w:tcW w:w="1008"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17.9 </w:t>
            </w:r>
          </w:p>
        </w:tc>
        <w:tc>
          <w:tcPr>
            <w:tcW w:w="1242"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40.8 </w:t>
            </w:r>
          </w:p>
        </w:tc>
        <w:tc>
          <w:tcPr>
            <w:tcW w:w="950"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16.5 </w:t>
            </w:r>
          </w:p>
        </w:tc>
        <w:tc>
          <w:tcPr>
            <w:tcW w:w="1062"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1.4 </w:t>
            </w:r>
          </w:p>
        </w:tc>
        <w:tc>
          <w:tcPr>
            <w:tcW w:w="1114"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A2</w:t>
            </w:r>
          </w:p>
        </w:tc>
        <w:tc>
          <w:tcPr>
            <w:tcW w:w="867" w:type="dxa"/>
            <w:shd w:val="clear" w:color="auto" w:fill="auto"/>
            <w:vAlign w:val="center"/>
          </w:tcPr>
          <w:p w:rsidR="000E18C9" w:rsidRPr="00D12999" w:rsidRDefault="000E18C9" w:rsidP="0098778F">
            <w:pPr>
              <w:jc w:val="right"/>
              <w:rPr>
                <w:rFonts w:ascii="Arial" w:hAnsi="Arial" w:cs="Arial"/>
                <w:noProof/>
                <w:color w:val="000000"/>
                <w:sz w:val="19"/>
                <w:szCs w:val="19"/>
                <w:lang w:val="en-GB"/>
              </w:rPr>
            </w:pPr>
            <w:r w:rsidRPr="00D12999">
              <w:rPr>
                <w:rFonts w:ascii="Arial" w:hAnsi="Arial" w:cs="Arial"/>
                <w:noProof/>
                <w:color w:val="000000"/>
                <w:sz w:val="19"/>
                <w:szCs w:val="19"/>
                <w:lang w:val="en-GB"/>
              </w:rPr>
              <w:t>A–</w:t>
            </w:r>
          </w:p>
        </w:tc>
      </w:tr>
      <w:tr w:rsidR="000C4AFD" w:rsidRPr="00D12999" w:rsidTr="0098778F">
        <w:trPr>
          <w:jc w:val="center"/>
        </w:trPr>
        <w:tc>
          <w:tcPr>
            <w:tcW w:w="2700" w:type="dxa"/>
            <w:shd w:val="clear" w:color="auto" w:fill="auto"/>
            <w:noWrap/>
            <w:vAlign w:val="bottom"/>
          </w:tcPr>
          <w:p w:rsidR="000E18C9" w:rsidRPr="00D12999" w:rsidRDefault="000E18C9" w:rsidP="000E18C9">
            <w:pPr>
              <w:rPr>
                <w:rFonts w:ascii="Arial" w:hAnsi="Arial" w:cs="Arial"/>
                <w:noProof/>
                <w:sz w:val="19"/>
                <w:szCs w:val="19"/>
                <w:lang w:val="en-GB"/>
              </w:rPr>
            </w:pPr>
            <w:r w:rsidRPr="00D12999">
              <w:rPr>
                <w:rFonts w:ascii="Arial" w:hAnsi="Arial" w:cs="Arial"/>
                <w:noProof/>
                <w:sz w:val="19"/>
                <w:szCs w:val="19"/>
                <w:lang w:val="en-GB"/>
              </w:rPr>
              <w:t>Fifth Third Ban</w:t>
            </w:r>
          </w:p>
        </w:tc>
        <w:tc>
          <w:tcPr>
            <w:tcW w:w="1170" w:type="dxa"/>
            <w:shd w:val="clear" w:color="auto" w:fill="auto"/>
            <w:vAlign w:val="bottom"/>
          </w:tcPr>
          <w:p w:rsidR="000E18C9" w:rsidRPr="00D12999" w:rsidRDefault="000E18C9" w:rsidP="000C4AFD">
            <w:pPr>
              <w:jc w:val="center"/>
              <w:rPr>
                <w:rFonts w:ascii="Arial" w:hAnsi="Arial" w:cs="Arial"/>
                <w:noProof/>
                <w:sz w:val="19"/>
                <w:szCs w:val="19"/>
                <w:lang w:val="en-GB"/>
              </w:rPr>
            </w:pPr>
            <w:r w:rsidRPr="00D12999">
              <w:rPr>
                <w:rFonts w:ascii="Arial" w:hAnsi="Arial" w:cs="Arial"/>
                <w:noProof/>
                <w:sz w:val="19"/>
                <w:szCs w:val="19"/>
                <w:lang w:val="en-GB"/>
              </w:rPr>
              <w:t>USD</w:t>
            </w:r>
          </w:p>
        </w:tc>
        <w:tc>
          <w:tcPr>
            <w:tcW w:w="900" w:type="dxa"/>
            <w:shd w:val="clear" w:color="auto" w:fill="auto"/>
            <w:vAlign w:val="center"/>
          </w:tcPr>
          <w:p w:rsidR="000E18C9" w:rsidRPr="00D12999" w:rsidRDefault="000E18C9" w:rsidP="000E18C9">
            <w:pPr>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26.98 </w:t>
            </w:r>
          </w:p>
        </w:tc>
        <w:tc>
          <w:tcPr>
            <w:tcW w:w="1260"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28,209</w:t>
            </w:r>
          </w:p>
        </w:tc>
        <w:tc>
          <w:tcPr>
            <w:tcW w:w="990"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12.7 </w:t>
            </w:r>
          </w:p>
        </w:tc>
        <w:tc>
          <w:tcPr>
            <w:tcW w:w="1008"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19.6 </w:t>
            </w:r>
          </w:p>
        </w:tc>
        <w:tc>
          <w:tcPr>
            <w:tcW w:w="1242"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25.7 </w:t>
            </w:r>
          </w:p>
        </w:tc>
        <w:tc>
          <w:tcPr>
            <w:tcW w:w="950"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16.7 </w:t>
            </w:r>
          </w:p>
        </w:tc>
        <w:tc>
          <w:tcPr>
            <w:tcW w:w="1062"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1.3 </w:t>
            </w:r>
          </w:p>
        </w:tc>
        <w:tc>
          <w:tcPr>
            <w:tcW w:w="1114"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Baa1</w:t>
            </w:r>
          </w:p>
        </w:tc>
        <w:tc>
          <w:tcPr>
            <w:tcW w:w="867" w:type="dxa"/>
            <w:shd w:val="clear" w:color="auto" w:fill="auto"/>
            <w:vAlign w:val="center"/>
          </w:tcPr>
          <w:p w:rsidR="000E18C9" w:rsidRPr="00D12999" w:rsidRDefault="000E18C9" w:rsidP="0098778F">
            <w:pPr>
              <w:jc w:val="right"/>
              <w:rPr>
                <w:rFonts w:ascii="Arial" w:hAnsi="Arial" w:cs="Arial"/>
                <w:noProof/>
                <w:color w:val="000000"/>
                <w:sz w:val="19"/>
                <w:szCs w:val="19"/>
                <w:lang w:val="en-GB"/>
              </w:rPr>
            </w:pPr>
            <w:r w:rsidRPr="00D12999">
              <w:rPr>
                <w:rFonts w:ascii="Arial" w:hAnsi="Arial" w:cs="Arial"/>
                <w:noProof/>
                <w:color w:val="000000"/>
                <w:sz w:val="19"/>
                <w:szCs w:val="19"/>
                <w:lang w:val="en-GB"/>
              </w:rPr>
              <w:t>BBB+</w:t>
            </w:r>
          </w:p>
        </w:tc>
      </w:tr>
      <w:tr w:rsidR="000C4AFD" w:rsidRPr="00D12999" w:rsidTr="0098778F">
        <w:trPr>
          <w:jc w:val="center"/>
        </w:trPr>
        <w:tc>
          <w:tcPr>
            <w:tcW w:w="2700" w:type="dxa"/>
            <w:shd w:val="clear" w:color="auto" w:fill="auto"/>
            <w:noWrap/>
            <w:vAlign w:val="bottom"/>
          </w:tcPr>
          <w:p w:rsidR="000E18C9" w:rsidRPr="00D12999" w:rsidRDefault="000E18C9" w:rsidP="000E18C9">
            <w:pPr>
              <w:rPr>
                <w:rFonts w:ascii="Arial" w:hAnsi="Arial" w:cs="Arial"/>
                <w:noProof/>
                <w:sz w:val="19"/>
                <w:szCs w:val="19"/>
                <w:lang w:val="en-GB"/>
              </w:rPr>
            </w:pPr>
            <w:r w:rsidRPr="00D12999">
              <w:rPr>
                <w:rFonts w:ascii="Arial" w:hAnsi="Arial" w:cs="Arial"/>
                <w:noProof/>
                <w:sz w:val="19"/>
                <w:szCs w:val="19"/>
                <w:lang w:val="en-GB"/>
              </w:rPr>
              <w:t>Huntington Banc</w:t>
            </w:r>
          </w:p>
        </w:tc>
        <w:tc>
          <w:tcPr>
            <w:tcW w:w="1170" w:type="dxa"/>
            <w:shd w:val="clear" w:color="auto" w:fill="auto"/>
            <w:vAlign w:val="bottom"/>
          </w:tcPr>
          <w:p w:rsidR="000E18C9" w:rsidRPr="00D12999" w:rsidRDefault="000E18C9" w:rsidP="000C4AFD">
            <w:pPr>
              <w:jc w:val="center"/>
              <w:rPr>
                <w:rFonts w:ascii="Arial" w:hAnsi="Arial" w:cs="Arial"/>
                <w:noProof/>
                <w:sz w:val="19"/>
                <w:szCs w:val="19"/>
                <w:lang w:val="en-GB"/>
              </w:rPr>
            </w:pPr>
            <w:r w:rsidRPr="00D12999">
              <w:rPr>
                <w:rFonts w:ascii="Arial" w:hAnsi="Arial" w:cs="Arial"/>
                <w:noProof/>
                <w:sz w:val="19"/>
                <w:szCs w:val="19"/>
                <w:lang w:val="en-GB"/>
              </w:rPr>
              <w:t>USD</w:t>
            </w:r>
          </w:p>
        </w:tc>
        <w:tc>
          <w:tcPr>
            <w:tcW w:w="900" w:type="dxa"/>
            <w:shd w:val="clear" w:color="auto" w:fill="auto"/>
            <w:vAlign w:val="center"/>
          </w:tcPr>
          <w:p w:rsidR="000E18C9" w:rsidRPr="00D12999" w:rsidRDefault="000E18C9" w:rsidP="000E18C9">
            <w:pPr>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13.46 </w:t>
            </w:r>
          </w:p>
        </w:tc>
        <w:tc>
          <w:tcPr>
            <w:tcW w:w="1260"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20,204</w:t>
            </w:r>
          </w:p>
        </w:tc>
        <w:tc>
          <w:tcPr>
            <w:tcW w:w="990"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16.0 </w:t>
            </w:r>
          </w:p>
        </w:tc>
        <w:tc>
          <w:tcPr>
            <w:tcW w:w="1008"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23.6 </w:t>
            </w:r>
          </w:p>
        </w:tc>
        <w:tc>
          <w:tcPr>
            <w:tcW w:w="1242"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30.3 </w:t>
            </w:r>
          </w:p>
        </w:tc>
        <w:tc>
          <w:tcPr>
            <w:tcW w:w="950"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15.8 </w:t>
            </w:r>
          </w:p>
        </w:tc>
        <w:tc>
          <w:tcPr>
            <w:tcW w:w="1062"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1.6 </w:t>
            </w:r>
          </w:p>
        </w:tc>
        <w:tc>
          <w:tcPr>
            <w:tcW w:w="1114"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Baa1</w:t>
            </w:r>
          </w:p>
        </w:tc>
        <w:tc>
          <w:tcPr>
            <w:tcW w:w="867" w:type="dxa"/>
            <w:shd w:val="clear" w:color="auto" w:fill="auto"/>
            <w:vAlign w:val="center"/>
          </w:tcPr>
          <w:p w:rsidR="000E18C9" w:rsidRPr="00D12999" w:rsidRDefault="000E18C9" w:rsidP="0098778F">
            <w:pPr>
              <w:jc w:val="right"/>
              <w:rPr>
                <w:rFonts w:ascii="Arial" w:hAnsi="Arial" w:cs="Arial"/>
                <w:noProof/>
                <w:color w:val="000000"/>
                <w:sz w:val="19"/>
                <w:szCs w:val="19"/>
                <w:lang w:val="en-GB"/>
              </w:rPr>
            </w:pPr>
            <w:r w:rsidRPr="00D12999">
              <w:rPr>
                <w:rFonts w:ascii="Arial" w:hAnsi="Arial" w:cs="Arial"/>
                <w:noProof/>
                <w:color w:val="000000"/>
                <w:sz w:val="19"/>
                <w:szCs w:val="19"/>
                <w:lang w:val="en-GB"/>
              </w:rPr>
              <w:t>BBB</w:t>
            </w:r>
          </w:p>
        </w:tc>
      </w:tr>
      <w:tr w:rsidR="000C4AFD" w:rsidRPr="00D12999" w:rsidTr="0098778F">
        <w:trPr>
          <w:jc w:val="center"/>
        </w:trPr>
        <w:tc>
          <w:tcPr>
            <w:tcW w:w="2700" w:type="dxa"/>
            <w:shd w:val="clear" w:color="auto" w:fill="auto"/>
            <w:noWrap/>
            <w:vAlign w:val="bottom"/>
          </w:tcPr>
          <w:p w:rsidR="000E18C9" w:rsidRPr="00D12999" w:rsidRDefault="000E18C9" w:rsidP="000E18C9">
            <w:pPr>
              <w:rPr>
                <w:rFonts w:ascii="Arial" w:hAnsi="Arial" w:cs="Arial"/>
                <w:noProof/>
                <w:sz w:val="19"/>
                <w:szCs w:val="19"/>
                <w:lang w:val="en-GB"/>
              </w:rPr>
            </w:pPr>
            <w:r w:rsidRPr="00D12999">
              <w:rPr>
                <w:rFonts w:ascii="Arial" w:hAnsi="Arial" w:cs="Arial"/>
                <w:noProof/>
                <w:sz w:val="19"/>
                <w:szCs w:val="19"/>
                <w:lang w:val="en-GB"/>
              </w:rPr>
              <w:t>KeyCorp</w:t>
            </w:r>
          </w:p>
        </w:tc>
        <w:tc>
          <w:tcPr>
            <w:tcW w:w="1170" w:type="dxa"/>
            <w:shd w:val="clear" w:color="auto" w:fill="auto"/>
            <w:vAlign w:val="bottom"/>
          </w:tcPr>
          <w:p w:rsidR="000E18C9" w:rsidRPr="00D12999" w:rsidRDefault="000E18C9" w:rsidP="000C4AFD">
            <w:pPr>
              <w:jc w:val="center"/>
              <w:rPr>
                <w:rFonts w:ascii="Arial" w:hAnsi="Arial" w:cs="Arial"/>
                <w:noProof/>
                <w:sz w:val="19"/>
                <w:szCs w:val="19"/>
                <w:lang w:val="en-GB"/>
              </w:rPr>
            </w:pPr>
            <w:r w:rsidRPr="00D12999">
              <w:rPr>
                <w:rFonts w:ascii="Arial" w:hAnsi="Arial" w:cs="Arial"/>
                <w:noProof/>
                <w:sz w:val="19"/>
                <w:szCs w:val="19"/>
                <w:lang w:val="en-GB"/>
              </w:rPr>
              <w:t>USD</w:t>
            </w:r>
          </w:p>
        </w:tc>
        <w:tc>
          <w:tcPr>
            <w:tcW w:w="900" w:type="dxa"/>
            <w:shd w:val="clear" w:color="auto" w:fill="auto"/>
            <w:vAlign w:val="center"/>
          </w:tcPr>
          <w:p w:rsidR="000E18C9" w:rsidRPr="00D12999" w:rsidRDefault="000E18C9" w:rsidP="000E18C9">
            <w:pPr>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18.37 </w:t>
            </w:r>
          </w:p>
        </w:tc>
        <w:tc>
          <w:tcPr>
            <w:tcW w:w="1260"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27,470</w:t>
            </w:r>
          </w:p>
        </w:tc>
        <w:tc>
          <w:tcPr>
            <w:tcW w:w="990"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14.8 </w:t>
            </w:r>
          </w:p>
        </w:tc>
        <w:tc>
          <w:tcPr>
            <w:tcW w:w="1008"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22.6 </w:t>
            </w:r>
          </w:p>
        </w:tc>
        <w:tc>
          <w:tcPr>
            <w:tcW w:w="1242"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27.4 </w:t>
            </w:r>
          </w:p>
        </w:tc>
        <w:tc>
          <w:tcPr>
            <w:tcW w:w="950"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16.5 </w:t>
            </w:r>
          </w:p>
        </w:tc>
        <w:tc>
          <w:tcPr>
            <w:tcW w:w="1062"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1.3 </w:t>
            </w:r>
          </w:p>
        </w:tc>
        <w:tc>
          <w:tcPr>
            <w:tcW w:w="1114"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Baa1</w:t>
            </w:r>
          </w:p>
        </w:tc>
        <w:tc>
          <w:tcPr>
            <w:tcW w:w="867" w:type="dxa"/>
            <w:shd w:val="clear" w:color="auto" w:fill="auto"/>
            <w:vAlign w:val="center"/>
          </w:tcPr>
          <w:p w:rsidR="000E18C9" w:rsidRPr="00D12999" w:rsidRDefault="000E18C9" w:rsidP="0098778F">
            <w:pPr>
              <w:jc w:val="right"/>
              <w:rPr>
                <w:rFonts w:ascii="Arial" w:hAnsi="Arial" w:cs="Arial"/>
                <w:noProof/>
                <w:color w:val="000000"/>
                <w:sz w:val="19"/>
                <w:szCs w:val="19"/>
                <w:lang w:val="en-GB"/>
              </w:rPr>
            </w:pPr>
            <w:r w:rsidRPr="00D12999">
              <w:rPr>
                <w:rFonts w:ascii="Arial" w:hAnsi="Arial" w:cs="Arial"/>
                <w:noProof/>
                <w:color w:val="000000"/>
                <w:sz w:val="19"/>
                <w:szCs w:val="19"/>
                <w:lang w:val="en-GB"/>
              </w:rPr>
              <w:t>BBB+</w:t>
            </w:r>
          </w:p>
        </w:tc>
      </w:tr>
      <w:tr w:rsidR="000C4AFD" w:rsidRPr="00D12999" w:rsidTr="0098778F">
        <w:trPr>
          <w:jc w:val="center"/>
        </w:trPr>
        <w:tc>
          <w:tcPr>
            <w:tcW w:w="2700" w:type="dxa"/>
            <w:shd w:val="clear" w:color="auto" w:fill="auto"/>
            <w:noWrap/>
            <w:vAlign w:val="bottom"/>
          </w:tcPr>
          <w:p w:rsidR="000E18C9" w:rsidRPr="00D12999" w:rsidRDefault="000E18C9" w:rsidP="000E18C9">
            <w:pPr>
              <w:rPr>
                <w:rFonts w:ascii="Arial" w:hAnsi="Arial" w:cs="Arial"/>
                <w:noProof/>
                <w:sz w:val="19"/>
                <w:szCs w:val="19"/>
                <w:lang w:val="en-GB"/>
              </w:rPr>
            </w:pPr>
            <w:r w:rsidRPr="00D12999">
              <w:rPr>
                <w:rFonts w:ascii="Arial" w:hAnsi="Arial" w:cs="Arial"/>
                <w:noProof/>
                <w:sz w:val="19"/>
                <w:szCs w:val="19"/>
                <w:lang w:val="en-GB"/>
              </w:rPr>
              <w:t>M&amp;T Bank</w:t>
            </w:r>
          </w:p>
        </w:tc>
        <w:tc>
          <w:tcPr>
            <w:tcW w:w="1170" w:type="dxa"/>
            <w:shd w:val="clear" w:color="auto" w:fill="auto"/>
            <w:vAlign w:val="bottom"/>
          </w:tcPr>
          <w:p w:rsidR="000E18C9" w:rsidRPr="00D12999" w:rsidRDefault="000E18C9" w:rsidP="000C4AFD">
            <w:pPr>
              <w:jc w:val="center"/>
              <w:rPr>
                <w:rFonts w:ascii="Arial" w:hAnsi="Arial" w:cs="Arial"/>
                <w:noProof/>
                <w:sz w:val="19"/>
                <w:szCs w:val="19"/>
                <w:lang w:val="en-GB"/>
              </w:rPr>
            </w:pPr>
            <w:r w:rsidRPr="00D12999">
              <w:rPr>
                <w:rFonts w:ascii="Arial" w:hAnsi="Arial" w:cs="Arial"/>
                <w:noProof/>
                <w:sz w:val="19"/>
                <w:szCs w:val="19"/>
                <w:lang w:val="en-GB"/>
              </w:rPr>
              <w:t>USD</w:t>
            </w:r>
          </w:p>
        </w:tc>
        <w:tc>
          <w:tcPr>
            <w:tcW w:w="900" w:type="dxa"/>
            <w:shd w:val="clear" w:color="auto" w:fill="auto"/>
            <w:vAlign w:val="center"/>
          </w:tcPr>
          <w:p w:rsidR="000E18C9" w:rsidRPr="00D12999" w:rsidRDefault="000E18C9" w:rsidP="000E18C9">
            <w:pPr>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153.50 </w:t>
            </w:r>
          </w:p>
        </w:tc>
        <w:tc>
          <w:tcPr>
            <w:tcW w:w="1260"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32,932</w:t>
            </w:r>
          </w:p>
        </w:tc>
        <w:tc>
          <w:tcPr>
            <w:tcW w:w="990"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12.9 </w:t>
            </w:r>
          </w:p>
        </w:tc>
        <w:tc>
          <w:tcPr>
            <w:tcW w:w="1008"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19.0 </w:t>
            </w:r>
          </w:p>
        </w:tc>
        <w:tc>
          <w:tcPr>
            <w:tcW w:w="1242"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38.0 </w:t>
            </w:r>
          </w:p>
        </w:tc>
        <w:tc>
          <w:tcPr>
            <w:tcW w:w="950"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19.2 </w:t>
            </w:r>
          </w:p>
        </w:tc>
        <w:tc>
          <w:tcPr>
            <w:tcW w:w="1062"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1.6 </w:t>
            </w:r>
          </w:p>
        </w:tc>
        <w:tc>
          <w:tcPr>
            <w:tcW w:w="1114"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A3</w:t>
            </w:r>
          </w:p>
        </w:tc>
        <w:tc>
          <w:tcPr>
            <w:tcW w:w="867" w:type="dxa"/>
            <w:shd w:val="clear" w:color="auto" w:fill="auto"/>
            <w:vAlign w:val="center"/>
          </w:tcPr>
          <w:p w:rsidR="000E18C9" w:rsidRPr="00D12999" w:rsidRDefault="000E18C9" w:rsidP="0098778F">
            <w:pPr>
              <w:jc w:val="right"/>
              <w:rPr>
                <w:rFonts w:ascii="Arial" w:hAnsi="Arial" w:cs="Arial"/>
                <w:noProof/>
                <w:color w:val="000000"/>
                <w:sz w:val="19"/>
                <w:szCs w:val="19"/>
                <w:lang w:val="en-GB"/>
              </w:rPr>
            </w:pPr>
            <w:r w:rsidRPr="00D12999">
              <w:rPr>
                <w:rFonts w:ascii="Arial" w:hAnsi="Arial" w:cs="Arial"/>
                <w:noProof/>
                <w:color w:val="000000"/>
                <w:sz w:val="19"/>
                <w:szCs w:val="19"/>
                <w:lang w:val="en-GB"/>
              </w:rPr>
              <w:t>A–</w:t>
            </w:r>
          </w:p>
        </w:tc>
      </w:tr>
      <w:tr w:rsidR="000C4AFD" w:rsidRPr="00D12999" w:rsidTr="0098778F">
        <w:trPr>
          <w:jc w:val="center"/>
        </w:trPr>
        <w:tc>
          <w:tcPr>
            <w:tcW w:w="2700" w:type="dxa"/>
            <w:shd w:val="clear" w:color="auto" w:fill="auto"/>
            <w:noWrap/>
            <w:vAlign w:val="bottom"/>
          </w:tcPr>
          <w:p w:rsidR="000E18C9" w:rsidRPr="00D12999" w:rsidRDefault="000E18C9" w:rsidP="000E18C9">
            <w:pPr>
              <w:rPr>
                <w:rFonts w:ascii="Arial" w:hAnsi="Arial" w:cs="Arial"/>
                <w:noProof/>
                <w:sz w:val="19"/>
                <w:szCs w:val="19"/>
                <w:lang w:val="en-GB"/>
              </w:rPr>
            </w:pPr>
            <w:r w:rsidRPr="00D12999">
              <w:rPr>
                <w:rFonts w:ascii="Arial" w:hAnsi="Arial" w:cs="Arial"/>
                <w:noProof/>
                <w:sz w:val="19"/>
                <w:szCs w:val="19"/>
                <w:lang w:val="en-GB"/>
              </w:rPr>
              <w:t>People’s United</w:t>
            </w:r>
          </w:p>
        </w:tc>
        <w:tc>
          <w:tcPr>
            <w:tcW w:w="1170" w:type="dxa"/>
            <w:shd w:val="clear" w:color="auto" w:fill="auto"/>
            <w:vAlign w:val="bottom"/>
          </w:tcPr>
          <w:p w:rsidR="000E18C9" w:rsidRPr="00D12999" w:rsidRDefault="000E18C9" w:rsidP="000C4AFD">
            <w:pPr>
              <w:jc w:val="center"/>
              <w:rPr>
                <w:rFonts w:ascii="Arial" w:hAnsi="Arial" w:cs="Arial"/>
                <w:noProof/>
                <w:sz w:val="19"/>
                <w:szCs w:val="19"/>
                <w:lang w:val="en-GB"/>
              </w:rPr>
            </w:pPr>
            <w:r w:rsidRPr="00D12999">
              <w:rPr>
                <w:rFonts w:ascii="Arial" w:hAnsi="Arial" w:cs="Arial"/>
                <w:noProof/>
                <w:sz w:val="19"/>
                <w:szCs w:val="19"/>
                <w:lang w:val="en-GB"/>
              </w:rPr>
              <w:t>USD</w:t>
            </w:r>
          </w:p>
        </w:tc>
        <w:tc>
          <w:tcPr>
            <w:tcW w:w="900" w:type="dxa"/>
            <w:shd w:val="clear" w:color="auto" w:fill="auto"/>
            <w:vAlign w:val="center"/>
          </w:tcPr>
          <w:p w:rsidR="000E18C9" w:rsidRPr="00D12999" w:rsidRDefault="000E18C9" w:rsidP="000E18C9">
            <w:pPr>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20.00 </w:t>
            </w:r>
          </w:p>
        </w:tc>
        <w:tc>
          <w:tcPr>
            <w:tcW w:w="1260"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8,617</w:t>
            </w:r>
          </w:p>
        </w:tc>
        <w:tc>
          <w:tcPr>
            <w:tcW w:w="990"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15.4 </w:t>
            </w:r>
          </w:p>
        </w:tc>
        <w:tc>
          <w:tcPr>
            <w:tcW w:w="1008"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15.1 </w:t>
            </w:r>
          </w:p>
        </w:tc>
        <w:tc>
          <w:tcPr>
            <w:tcW w:w="1242"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77.0 </w:t>
            </w:r>
          </w:p>
        </w:tc>
        <w:tc>
          <w:tcPr>
            <w:tcW w:w="950"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22.1 </w:t>
            </w:r>
          </w:p>
        </w:tc>
        <w:tc>
          <w:tcPr>
            <w:tcW w:w="1062"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1.3 </w:t>
            </w:r>
          </w:p>
        </w:tc>
        <w:tc>
          <w:tcPr>
            <w:tcW w:w="1114"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Baa2</w:t>
            </w:r>
          </w:p>
        </w:tc>
        <w:tc>
          <w:tcPr>
            <w:tcW w:w="867" w:type="dxa"/>
            <w:shd w:val="clear" w:color="auto" w:fill="auto"/>
            <w:vAlign w:val="center"/>
          </w:tcPr>
          <w:p w:rsidR="000E18C9" w:rsidRPr="00D12999" w:rsidRDefault="000E18C9" w:rsidP="0098778F">
            <w:pPr>
              <w:jc w:val="right"/>
              <w:rPr>
                <w:rFonts w:ascii="Arial" w:hAnsi="Arial" w:cs="Arial"/>
                <w:noProof/>
                <w:color w:val="000000"/>
                <w:sz w:val="19"/>
                <w:szCs w:val="19"/>
                <w:lang w:val="en-GB"/>
              </w:rPr>
            </w:pPr>
            <w:r w:rsidRPr="00D12999">
              <w:rPr>
                <w:rFonts w:ascii="Arial" w:hAnsi="Arial" w:cs="Arial"/>
                <w:noProof/>
                <w:color w:val="000000"/>
                <w:sz w:val="19"/>
                <w:szCs w:val="19"/>
                <w:lang w:val="en-GB"/>
              </w:rPr>
              <w:t>BBB+</w:t>
            </w:r>
          </w:p>
        </w:tc>
      </w:tr>
      <w:tr w:rsidR="000C4AFD" w:rsidRPr="00D12999" w:rsidTr="0098778F">
        <w:trPr>
          <w:jc w:val="center"/>
        </w:trPr>
        <w:tc>
          <w:tcPr>
            <w:tcW w:w="2700" w:type="dxa"/>
            <w:shd w:val="clear" w:color="auto" w:fill="auto"/>
            <w:noWrap/>
            <w:vAlign w:val="bottom"/>
          </w:tcPr>
          <w:p w:rsidR="000E18C9" w:rsidRPr="00D12999" w:rsidRDefault="000E18C9" w:rsidP="000E18C9">
            <w:pPr>
              <w:rPr>
                <w:rFonts w:ascii="Arial" w:hAnsi="Arial" w:cs="Arial"/>
                <w:noProof/>
                <w:sz w:val="19"/>
                <w:szCs w:val="19"/>
                <w:lang w:val="en-GB"/>
              </w:rPr>
            </w:pPr>
            <w:r w:rsidRPr="00D12999">
              <w:rPr>
                <w:rFonts w:ascii="Arial" w:hAnsi="Arial" w:cs="Arial"/>
                <w:noProof/>
                <w:sz w:val="19"/>
                <w:szCs w:val="19"/>
                <w:lang w:val="en-GB"/>
              </w:rPr>
              <w:t>PNC Financial</w:t>
            </w:r>
          </w:p>
        </w:tc>
        <w:tc>
          <w:tcPr>
            <w:tcW w:w="1170" w:type="dxa"/>
            <w:shd w:val="clear" w:color="auto" w:fill="auto"/>
            <w:vAlign w:val="bottom"/>
          </w:tcPr>
          <w:p w:rsidR="000E18C9" w:rsidRPr="00D12999" w:rsidRDefault="000E18C9" w:rsidP="000C4AFD">
            <w:pPr>
              <w:jc w:val="center"/>
              <w:rPr>
                <w:rFonts w:ascii="Arial" w:hAnsi="Arial" w:cs="Arial"/>
                <w:noProof/>
                <w:sz w:val="19"/>
                <w:szCs w:val="19"/>
                <w:lang w:val="en-GB"/>
              </w:rPr>
            </w:pPr>
            <w:r w:rsidRPr="00D12999">
              <w:rPr>
                <w:rFonts w:ascii="Arial" w:hAnsi="Arial" w:cs="Arial"/>
                <w:noProof/>
                <w:sz w:val="19"/>
                <w:szCs w:val="19"/>
                <w:lang w:val="en-GB"/>
              </w:rPr>
              <w:t>USD</w:t>
            </w:r>
          </w:p>
        </w:tc>
        <w:tc>
          <w:tcPr>
            <w:tcW w:w="900" w:type="dxa"/>
            <w:shd w:val="clear" w:color="auto" w:fill="auto"/>
            <w:vAlign w:val="center"/>
          </w:tcPr>
          <w:p w:rsidR="000E18C9" w:rsidRPr="00D12999" w:rsidRDefault="000E18C9" w:rsidP="000E18C9">
            <w:pPr>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114.82 </w:t>
            </w:r>
          </w:p>
        </w:tc>
        <w:tc>
          <w:tcPr>
            <w:tcW w:w="1260"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77,294</w:t>
            </w:r>
          </w:p>
        </w:tc>
        <w:tc>
          <w:tcPr>
            <w:tcW w:w="990"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17.3 </w:t>
            </w:r>
          </w:p>
        </w:tc>
        <w:tc>
          <w:tcPr>
            <w:tcW w:w="1008"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18.3 </w:t>
            </w:r>
          </w:p>
        </w:tc>
        <w:tc>
          <w:tcPr>
            <w:tcW w:w="1242"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26.9 </w:t>
            </w:r>
          </w:p>
        </w:tc>
        <w:tc>
          <w:tcPr>
            <w:tcW w:w="950"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16.3 </w:t>
            </w:r>
          </w:p>
        </w:tc>
        <w:tc>
          <w:tcPr>
            <w:tcW w:w="1062"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1.3 </w:t>
            </w:r>
          </w:p>
        </w:tc>
        <w:tc>
          <w:tcPr>
            <w:tcW w:w="1114"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A3</w:t>
            </w:r>
          </w:p>
        </w:tc>
        <w:tc>
          <w:tcPr>
            <w:tcW w:w="867" w:type="dxa"/>
            <w:shd w:val="clear" w:color="auto" w:fill="auto"/>
            <w:vAlign w:val="center"/>
          </w:tcPr>
          <w:p w:rsidR="000E18C9" w:rsidRPr="00D12999" w:rsidRDefault="000E18C9" w:rsidP="0098778F">
            <w:pPr>
              <w:jc w:val="right"/>
              <w:rPr>
                <w:rFonts w:ascii="Arial" w:hAnsi="Arial" w:cs="Arial"/>
                <w:noProof/>
                <w:color w:val="000000"/>
                <w:sz w:val="19"/>
                <w:szCs w:val="19"/>
                <w:lang w:val="en-GB"/>
              </w:rPr>
            </w:pPr>
            <w:r w:rsidRPr="00D12999">
              <w:rPr>
                <w:rFonts w:ascii="Arial" w:hAnsi="Arial" w:cs="Arial"/>
                <w:noProof/>
                <w:color w:val="000000"/>
                <w:sz w:val="19"/>
                <w:szCs w:val="19"/>
                <w:lang w:val="en-GB"/>
              </w:rPr>
              <w:t>A–</w:t>
            </w:r>
          </w:p>
        </w:tc>
      </w:tr>
      <w:tr w:rsidR="000C4AFD" w:rsidRPr="00D12999" w:rsidTr="0098778F">
        <w:trPr>
          <w:jc w:val="center"/>
        </w:trPr>
        <w:tc>
          <w:tcPr>
            <w:tcW w:w="2700" w:type="dxa"/>
            <w:shd w:val="clear" w:color="auto" w:fill="auto"/>
            <w:noWrap/>
            <w:vAlign w:val="bottom"/>
          </w:tcPr>
          <w:p w:rsidR="000E18C9" w:rsidRPr="00D12999" w:rsidRDefault="000E18C9" w:rsidP="000E18C9">
            <w:pPr>
              <w:rPr>
                <w:rFonts w:ascii="Arial" w:hAnsi="Arial" w:cs="Arial"/>
                <w:noProof/>
                <w:sz w:val="19"/>
                <w:szCs w:val="19"/>
                <w:lang w:val="en-GB"/>
              </w:rPr>
            </w:pPr>
            <w:r w:rsidRPr="00D12999">
              <w:rPr>
                <w:rFonts w:ascii="Arial" w:hAnsi="Arial" w:cs="Arial"/>
                <w:noProof/>
                <w:sz w:val="19"/>
                <w:szCs w:val="19"/>
                <w:lang w:val="en-GB"/>
              </w:rPr>
              <w:t>Regions Financial</w:t>
            </w:r>
          </w:p>
        </w:tc>
        <w:tc>
          <w:tcPr>
            <w:tcW w:w="1170" w:type="dxa"/>
            <w:shd w:val="clear" w:color="auto" w:fill="auto"/>
            <w:vAlign w:val="bottom"/>
          </w:tcPr>
          <w:p w:rsidR="000E18C9" w:rsidRPr="00D12999" w:rsidRDefault="000E18C9" w:rsidP="000C4AFD">
            <w:pPr>
              <w:jc w:val="center"/>
              <w:rPr>
                <w:rFonts w:ascii="Arial" w:hAnsi="Arial" w:cs="Arial"/>
                <w:noProof/>
                <w:sz w:val="19"/>
                <w:szCs w:val="19"/>
                <w:lang w:val="en-GB"/>
              </w:rPr>
            </w:pPr>
            <w:r w:rsidRPr="00D12999">
              <w:rPr>
                <w:rFonts w:ascii="Arial" w:hAnsi="Arial" w:cs="Arial"/>
                <w:noProof/>
                <w:sz w:val="19"/>
                <w:szCs w:val="19"/>
                <w:lang w:val="en-GB"/>
              </w:rPr>
              <w:t>USD</w:t>
            </w:r>
          </w:p>
        </w:tc>
        <w:tc>
          <w:tcPr>
            <w:tcW w:w="900" w:type="dxa"/>
            <w:shd w:val="clear" w:color="auto" w:fill="auto"/>
            <w:vAlign w:val="center"/>
          </w:tcPr>
          <w:p w:rsidR="000E18C9" w:rsidRPr="00D12999" w:rsidRDefault="000E18C9" w:rsidP="000E18C9">
            <w:pPr>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14.55 </w:t>
            </w:r>
          </w:p>
        </w:tc>
        <w:tc>
          <w:tcPr>
            <w:tcW w:w="1260"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24,783</w:t>
            </w:r>
          </w:p>
        </w:tc>
        <w:tc>
          <w:tcPr>
            <w:tcW w:w="990"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17.1 </w:t>
            </w:r>
          </w:p>
        </w:tc>
        <w:tc>
          <w:tcPr>
            <w:tcW w:w="1008"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30.9 </w:t>
            </w:r>
          </w:p>
        </w:tc>
        <w:tc>
          <w:tcPr>
            <w:tcW w:w="1242"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30.1 </w:t>
            </w:r>
          </w:p>
        </w:tc>
        <w:tc>
          <w:tcPr>
            <w:tcW w:w="950"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16.9 </w:t>
            </w:r>
          </w:p>
        </w:tc>
        <w:tc>
          <w:tcPr>
            <w:tcW w:w="1062"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1.1 </w:t>
            </w:r>
          </w:p>
        </w:tc>
        <w:tc>
          <w:tcPr>
            <w:tcW w:w="1114"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Baa2</w:t>
            </w:r>
          </w:p>
        </w:tc>
        <w:tc>
          <w:tcPr>
            <w:tcW w:w="867" w:type="dxa"/>
            <w:shd w:val="clear" w:color="auto" w:fill="auto"/>
            <w:vAlign w:val="center"/>
          </w:tcPr>
          <w:p w:rsidR="000E18C9" w:rsidRPr="00D12999" w:rsidRDefault="000E18C9" w:rsidP="0098778F">
            <w:pPr>
              <w:jc w:val="right"/>
              <w:rPr>
                <w:rFonts w:ascii="Arial" w:hAnsi="Arial" w:cs="Arial"/>
                <w:noProof/>
                <w:color w:val="000000"/>
                <w:sz w:val="19"/>
                <w:szCs w:val="19"/>
                <w:lang w:val="en-GB"/>
              </w:rPr>
            </w:pPr>
            <w:r w:rsidRPr="00D12999">
              <w:rPr>
                <w:rFonts w:ascii="Arial" w:hAnsi="Arial" w:cs="Arial"/>
                <w:noProof/>
                <w:color w:val="000000"/>
                <w:sz w:val="19"/>
                <w:szCs w:val="19"/>
                <w:lang w:val="en-GB"/>
              </w:rPr>
              <w:t>BBB</w:t>
            </w:r>
          </w:p>
        </w:tc>
      </w:tr>
      <w:tr w:rsidR="000C4AFD" w:rsidRPr="00D12999" w:rsidTr="0098778F">
        <w:trPr>
          <w:jc w:val="center"/>
        </w:trPr>
        <w:tc>
          <w:tcPr>
            <w:tcW w:w="2700" w:type="dxa"/>
            <w:shd w:val="clear" w:color="auto" w:fill="auto"/>
            <w:noWrap/>
            <w:vAlign w:val="bottom"/>
          </w:tcPr>
          <w:p w:rsidR="000E18C9" w:rsidRPr="00D12999" w:rsidRDefault="000E18C9" w:rsidP="000E18C9">
            <w:pPr>
              <w:rPr>
                <w:rFonts w:ascii="Arial" w:hAnsi="Arial" w:cs="Arial"/>
                <w:noProof/>
                <w:sz w:val="19"/>
                <w:szCs w:val="19"/>
                <w:lang w:val="en-GB"/>
              </w:rPr>
            </w:pPr>
            <w:r w:rsidRPr="00D12999">
              <w:rPr>
                <w:rFonts w:ascii="Arial" w:hAnsi="Arial" w:cs="Arial"/>
                <w:noProof/>
                <w:sz w:val="19"/>
                <w:szCs w:val="19"/>
                <w:lang w:val="en-GB"/>
              </w:rPr>
              <w:t>SunTrust Bank</w:t>
            </w:r>
          </w:p>
        </w:tc>
        <w:tc>
          <w:tcPr>
            <w:tcW w:w="1170" w:type="dxa"/>
            <w:shd w:val="clear" w:color="auto" w:fill="auto"/>
            <w:vAlign w:val="bottom"/>
          </w:tcPr>
          <w:p w:rsidR="000E18C9" w:rsidRPr="00D12999" w:rsidRDefault="000E18C9" w:rsidP="000C4AFD">
            <w:pPr>
              <w:jc w:val="center"/>
              <w:rPr>
                <w:rFonts w:ascii="Arial" w:hAnsi="Arial" w:cs="Arial"/>
                <w:noProof/>
                <w:sz w:val="19"/>
                <w:szCs w:val="19"/>
                <w:lang w:val="en-GB"/>
              </w:rPr>
            </w:pPr>
            <w:r w:rsidRPr="00D12999">
              <w:rPr>
                <w:rFonts w:ascii="Arial" w:hAnsi="Arial" w:cs="Arial"/>
                <w:noProof/>
                <w:sz w:val="19"/>
                <w:szCs w:val="19"/>
                <w:lang w:val="en-GB"/>
              </w:rPr>
              <w:t>USD</w:t>
            </w:r>
          </w:p>
        </w:tc>
        <w:tc>
          <w:tcPr>
            <w:tcW w:w="900" w:type="dxa"/>
            <w:shd w:val="clear" w:color="auto" w:fill="auto"/>
            <w:vAlign w:val="center"/>
          </w:tcPr>
          <w:p w:rsidR="000E18C9" w:rsidRPr="00D12999" w:rsidRDefault="000E18C9" w:rsidP="000E18C9">
            <w:pPr>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54.79 </w:t>
            </w:r>
          </w:p>
        </w:tc>
        <w:tc>
          <w:tcPr>
            <w:tcW w:w="1260"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37,209</w:t>
            </w:r>
          </w:p>
        </w:tc>
        <w:tc>
          <w:tcPr>
            <w:tcW w:w="990"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18.0 </w:t>
            </w:r>
          </w:p>
        </w:tc>
        <w:tc>
          <w:tcPr>
            <w:tcW w:w="1008"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28.1 </w:t>
            </w:r>
          </w:p>
        </w:tc>
        <w:tc>
          <w:tcPr>
            <w:tcW w:w="1242"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25.5 </w:t>
            </w:r>
          </w:p>
        </w:tc>
        <w:tc>
          <w:tcPr>
            <w:tcW w:w="950"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15.8 </w:t>
            </w:r>
          </w:p>
        </w:tc>
        <w:tc>
          <w:tcPr>
            <w:tcW w:w="1062"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1.2 </w:t>
            </w:r>
          </w:p>
        </w:tc>
        <w:tc>
          <w:tcPr>
            <w:tcW w:w="1114"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Baa1</w:t>
            </w:r>
          </w:p>
        </w:tc>
        <w:tc>
          <w:tcPr>
            <w:tcW w:w="867" w:type="dxa"/>
            <w:shd w:val="clear" w:color="auto" w:fill="auto"/>
            <w:vAlign w:val="center"/>
          </w:tcPr>
          <w:p w:rsidR="000E18C9" w:rsidRPr="00D12999" w:rsidRDefault="000E18C9" w:rsidP="0098778F">
            <w:pPr>
              <w:jc w:val="right"/>
              <w:rPr>
                <w:rFonts w:ascii="Arial" w:hAnsi="Arial" w:cs="Arial"/>
                <w:noProof/>
                <w:color w:val="000000"/>
                <w:sz w:val="19"/>
                <w:szCs w:val="19"/>
                <w:lang w:val="en-GB"/>
              </w:rPr>
            </w:pPr>
            <w:r w:rsidRPr="00D12999">
              <w:rPr>
                <w:rFonts w:ascii="Arial" w:hAnsi="Arial" w:cs="Arial"/>
                <w:noProof/>
                <w:color w:val="000000"/>
                <w:sz w:val="19"/>
                <w:szCs w:val="19"/>
                <w:lang w:val="en-GB"/>
              </w:rPr>
              <w:t>BBB+</w:t>
            </w:r>
          </w:p>
        </w:tc>
      </w:tr>
      <w:tr w:rsidR="000C4AFD" w:rsidRPr="00D12999" w:rsidTr="0098778F">
        <w:trPr>
          <w:jc w:val="center"/>
        </w:trPr>
        <w:tc>
          <w:tcPr>
            <w:tcW w:w="2700" w:type="dxa"/>
            <w:shd w:val="clear" w:color="auto" w:fill="auto"/>
            <w:noWrap/>
            <w:vAlign w:val="center"/>
          </w:tcPr>
          <w:p w:rsidR="000E18C9" w:rsidRPr="00D12999" w:rsidRDefault="000E18C9" w:rsidP="000E18C9">
            <w:pPr>
              <w:rPr>
                <w:rFonts w:ascii="Arial" w:hAnsi="Arial" w:cs="Arial"/>
                <w:noProof/>
                <w:sz w:val="19"/>
                <w:szCs w:val="19"/>
                <w:lang w:val="en-GB"/>
              </w:rPr>
            </w:pPr>
            <w:r w:rsidRPr="00D12999">
              <w:rPr>
                <w:rFonts w:ascii="Arial" w:hAnsi="Arial" w:cs="Arial"/>
                <w:noProof/>
                <w:color w:val="000000"/>
                <w:sz w:val="19"/>
                <w:szCs w:val="19"/>
                <w:lang w:val="en-GB"/>
              </w:rPr>
              <w:t>US Bancorp</w:t>
            </w:r>
          </w:p>
        </w:tc>
        <w:tc>
          <w:tcPr>
            <w:tcW w:w="1170" w:type="dxa"/>
            <w:shd w:val="clear" w:color="auto" w:fill="auto"/>
            <w:vAlign w:val="center"/>
          </w:tcPr>
          <w:p w:rsidR="000E18C9" w:rsidRPr="00D12999" w:rsidRDefault="000E18C9" w:rsidP="000C4AFD">
            <w:pPr>
              <w:jc w:val="center"/>
              <w:rPr>
                <w:rFonts w:ascii="Arial" w:hAnsi="Arial" w:cs="Arial"/>
                <w:noProof/>
                <w:sz w:val="19"/>
                <w:szCs w:val="19"/>
                <w:lang w:val="en-GB"/>
              </w:rPr>
            </w:pPr>
            <w:r w:rsidRPr="00D12999">
              <w:rPr>
                <w:rFonts w:ascii="Arial" w:hAnsi="Arial" w:cs="Arial"/>
                <w:noProof/>
                <w:color w:val="000000"/>
                <w:sz w:val="19"/>
                <w:szCs w:val="19"/>
                <w:lang w:val="en-GB"/>
              </w:rPr>
              <w:t>USD</w:t>
            </w:r>
          </w:p>
        </w:tc>
        <w:tc>
          <w:tcPr>
            <w:tcW w:w="900" w:type="dxa"/>
            <w:shd w:val="clear" w:color="auto" w:fill="auto"/>
            <w:vAlign w:val="center"/>
          </w:tcPr>
          <w:p w:rsidR="000E18C9" w:rsidRPr="00D12999" w:rsidRDefault="000E18C9" w:rsidP="000E18C9">
            <w:pPr>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51.90 </w:t>
            </w:r>
          </w:p>
        </w:tc>
        <w:tc>
          <w:tcPr>
            <w:tcW w:w="1260"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122,061</w:t>
            </w:r>
          </w:p>
        </w:tc>
        <w:tc>
          <w:tcPr>
            <w:tcW w:w="990"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12.0 </w:t>
            </w:r>
          </w:p>
        </w:tc>
        <w:tc>
          <w:tcPr>
            <w:tcW w:w="1008"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17.3 </w:t>
            </w:r>
          </w:p>
        </w:tc>
        <w:tc>
          <w:tcPr>
            <w:tcW w:w="1242"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31.8 </w:t>
            </w:r>
          </w:p>
        </w:tc>
        <w:tc>
          <w:tcPr>
            <w:tcW w:w="950"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16.1 </w:t>
            </w:r>
          </w:p>
        </w:tc>
        <w:tc>
          <w:tcPr>
            <w:tcW w:w="1062"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2.1 </w:t>
            </w:r>
          </w:p>
        </w:tc>
        <w:tc>
          <w:tcPr>
            <w:tcW w:w="1114"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A1</w:t>
            </w:r>
          </w:p>
        </w:tc>
        <w:tc>
          <w:tcPr>
            <w:tcW w:w="867" w:type="dxa"/>
            <w:shd w:val="clear" w:color="auto" w:fill="auto"/>
            <w:vAlign w:val="center"/>
          </w:tcPr>
          <w:p w:rsidR="000E18C9" w:rsidRPr="00D12999" w:rsidRDefault="000E18C9" w:rsidP="0098778F">
            <w:pPr>
              <w:jc w:val="right"/>
              <w:rPr>
                <w:rFonts w:ascii="Arial" w:hAnsi="Arial" w:cs="Arial"/>
                <w:noProof/>
                <w:color w:val="000000"/>
                <w:sz w:val="19"/>
                <w:szCs w:val="19"/>
                <w:lang w:val="en-GB"/>
              </w:rPr>
            </w:pPr>
            <w:r w:rsidRPr="00D12999">
              <w:rPr>
                <w:rFonts w:ascii="Arial" w:hAnsi="Arial" w:cs="Arial"/>
                <w:noProof/>
                <w:color w:val="000000"/>
                <w:sz w:val="19"/>
                <w:szCs w:val="19"/>
                <w:lang w:val="en-GB"/>
              </w:rPr>
              <w:t>A+</w:t>
            </w:r>
          </w:p>
        </w:tc>
      </w:tr>
      <w:tr w:rsidR="000C4AFD" w:rsidRPr="00D12999" w:rsidTr="0098778F">
        <w:trPr>
          <w:jc w:val="center"/>
        </w:trPr>
        <w:tc>
          <w:tcPr>
            <w:tcW w:w="2700" w:type="dxa"/>
            <w:shd w:val="clear" w:color="auto" w:fill="auto"/>
            <w:noWrap/>
            <w:vAlign w:val="bottom"/>
          </w:tcPr>
          <w:p w:rsidR="000E18C9" w:rsidRPr="00D12999" w:rsidRDefault="000E18C9" w:rsidP="000E18C9">
            <w:pPr>
              <w:rPr>
                <w:rFonts w:ascii="Arial" w:hAnsi="Arial" w:cs="Arial"/>
                <w:noProof/>
                <w:sz w:val="19"/>
                <w:szCs w:val="19"/>
                <w:lang w:val="en-GB"/>
              </w:rPr>
            </w:pPr>
            <w:r w:rsidRPr="00D12999">
              <w:rPr>
                <w:rFonts w:ascii="Arial" w:hAnsi="Arial" w:cs="Arial"/>
                <w:noProof/>
                <w:sz w:val="19"/>
                <w:szCs w:val="19"/>
                <w:lang w:val="en-GB"/>
              </w:rPr>
              <w:t>Zions Bancorp</w:t>
            </w:r>
          </w:p>
        </w:tc>
        <w:tc>
          <w:tcPr>
            <w:tcW w:w="1170" w:type="dxa"/>
            <w:shd w:val="clear" w:color="auto" w:fill="auto"/>
            <w:vAlign w:val="bottom"/>
          </w:tcPr>
          <w:p w:rsidR="000E18C9" w:rsidRPr="00D12999" w:rsidRDefault="000E18C9" w:rsidP="000C4AFD">
            <w:pPr>
              <w:jc w:val="center"/>
              <w:rPr>
                <w:rFonts w:ascii="Arial" w:hAnsi="Arial" w:cs="Arial"/>
                <w:noProof/>
                <w:sz w:val="19"/>
                <w:szCs w:val="19"/>
                <w:lang w:val="en-GB"/>
              </w:rPr>
            </w:pPr>
            <w:r w:rsidRPr="00D12999">
              <w:rPr>
                <w:rFonts w:ascii="Arial" w:hAnsi="Arial" w:cs="Arial"/>
                <w:noProof/>
                <w:sz w:val="19"/>
                <w:szCs w:val="19"/>
                <w:lang w:val="en-GB"/>
              </w:rPr>
              <w:t>USD</w:t>
            </w:r>
          </w:p>
        </w:tc>
        <w:tc>
          <w:tcPr>
            <w:tcW w:w="900" w:type="dxa"/>
            <w:shd w:val="clear" w:color="auto" w:fill="auto"/>
            <w:vAlign w:val="center"/>
          </w:tcPr>
          <w:p w:rsidR="000E18C9" w:rsidRPr="00D12999" w:rsidRDefault="000E18C9" w:rsidP="000E18C9">
            <w:pPr>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43.09 </w:t>
            </w:r>
          </w:p>
        </w:tc>
        <w:tc>
          <w:tcPr>
            <w:tcW w:w="1260"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12,146</w:t>
            </w:r>
          </w:p>
        </w:tc>
        <w:tc>
          <w:tcPr>
            <w:tcW w:w="990"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14.0 </w:t>
            </w:r>
          </w:p>
        </w:tc>
        <w:tc>
          <w:tcPr>
            <w:tcW w:w="1008"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23.4 </w:t>
            </w:r>
          </w:p>
        </w:tc>
        <w:tc>
          <w:tcPr>
            <w:tcW w:w="1242"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18.3 </w:t>
            </w:r>
          </w:p>
        </w:tc>
        <w:tc>
          <w:tcPr>
            <w:tcW w:w="950"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23.3 </w:t>
            </w:r>
          </w:p>
        </w:tc>
        <w:tc>
          <w:tcPr>
            <w:tcW w:w="1062"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1.3 </w:t>
            </w:r>
          </w:p>
        </w:tc>
        <w:tc>
          <w:tcPr>
            <w:tcW w:w="1114"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Baa3</w:t>
            </w:r>
          </w:p>
        </w:tc>
        <w:tc>
          <w:tcPr>
            <w:tcW w:w="867" w:type="dxa"/>
            <w:shd w:val="clear" w:color="auto" w:fill="auto"/>
            <w:vAlign w:val="center"/>
          </w:tcPr>
          <w:p w:rsidR="000E18C9" w:rsidRPr="00D12999" w:rsidRDefault="000E18C9" w:rsidP="0098778F">
            <w:pPr>
              <w:jc w:val="right"/>
              <w:rPr>
                <w:rFonts w:ascii="Arial" w:hAnsi="Arial" w:cs="Arial"/>
                <w:noProof/>
                <w:color w:val="000000"/>
                <w:sz w:val="19"/>
                <w:szCs w:val="19"/>
                <w:lang w:val="en-GB"/>
              </w:rPr>
            </w:pPr>
            <w:r w:rsidRPr="00D12999">
              <w:rPr>
                <w:rFonts w:ascii="Arial" w:hAnsi="Arial" w:cs="Arial"/>
                <w:noProof/>
                <w:color w:val="000000"/>
                <w:sz w:val="19"/>
                <w:szCs w:val="19"/>
                <w:lang w:val="en-GB"/>
              </w:rPr>
              <w:t>BBB–</w:t>
            </w:r>
          </w:p>
        </w:tc>
      </w:tr>
      <w:tr w:rsidR="000C4AFD" w:rsidRPr="00D12999" w:rsidTr="0098778F">
        <w:trPr>
          <w:jc w:val="center"/>
        </w:trPr>
        <w:tc>
          <w:tcPr>
            <w:tcW w:w="2700" w:type="dxa"/>
            <w:shd w:val="clear" w:color="auto" w:fill="auto"/>
            <w:noWrap/>
            <w:vAlign w:val="bottom"/>
          </w:tcPr>
          <w:p w:rsidR="000E18C9" w:rsidRPr="00D12999" w:rsidRDefault="000E18C9" w:rsidP="000E18C9">
            <w:pPr>
              <w:rPr>
                <w:rFonts w:ascii="Arial" w:hAnsi="Arial" w:cs="Arial"/>
                <w:noProof/>
                <w:sz w:val="19"/>
                <w:szCs w:val="19"/>
                <w:lang w:val="en-GB"/>
              </w:rPr>
            </w:pPr>
          </w:p>
        </w:tc>
        <w:tc>
          <w:tcPr>
            <w:tcW w:w="1170" w:type="dxa"/>
            <w:shd w:val="clear" w:color="auto" w:fill="auto"/>
            <w:vAlign w:val="bottom"/>
          </w:tcPr>
          <w:p w:rsidR="000E18C9" w:rsidRPr="00D12999" w:rsidRDefault="000E18C9" w:rsidP="000E18C9">
            <w:pPr>
              <w:rPr>
                <w:rFonts w:ascii="Arial" w:hAnsi="Arial" w:cs="Arial"/>
                <w:noProof/>
                <w:sz w:val="19"/>
                <w:szCs w:val="19"/>
                <w:lang w:val="en-GB"/>
              </w:rPr>
            </w:pPr>
          </w:p>
        </w:tc>
        <w:tc>
          <w:tcPr>
            <w:tcW w:w="900" w:type="dxa"/>
            <w:shd w:val="clear" w:color="auto" w:fill="auto"/>
            <w:vAlign w:val="bottom"/>
          </w:tcPr>
          <w:p w:rsidR="000E18C9" w:rsidRPr="00D12999" w:rsidRDefault="000E18C9" w:rsidP="000E18C9">
            <w:pPr>
              <w:jc w:val="right"/>
              <w:rPr>
                <w:rFonts w:ascii="Arial" w:hAnsi="Arial" w:cs="Arial"/>
                <w:noProof/>
                <w:sz w:val="19"/>
                <w:szCs w:val="19"/>
                <w:lang w:val="en-GB"/>
              </w:rPr>
            </w:pPr>
          </w:p>
        </w:tc>
        <w:tc>
          <w:tcPr>
            <w:tcW w:w="1260" w:type="dxa"/>
            <w:shd w:val="clear" w:color="auto" w:fill="auto"/>
            <w:vAlign w:val="bottom"/>
          </w:tcPr>
          <w:p w:rsidR="000E18C9" w:rsidRPr="00D12999" w:rsidRDefault="000E18C9" w:rsidP="0098778F">
            <w:pPr>
              <w:ind w:right="144"/>
              <w:jc w:val="right"/>
              <w:rPr>
                <w:rFonts w:ascii="Arial" w:hAnsi="Arial" w:cs="Arial"/>
                <w:noProof/>
                <w:color w:val="000000"/>
                <w:sz w:val="19"/>
                <w:szCs w:val="19"/>
                <w:lang w:val="en-GB" w:eastAsia="en-CA"/>
              </w:rPr>
            </w:pPr>
          </w:p>
        </w:tc>
        <w:tc>
          <w:tcPr>
            <w:tcW w:w="990" w:type="dxa"/>
            <w:shd w:val="clear" w:color="auto" w:fill="auto"/>
            <w:vAlign w:val="bottom"/>
          </w:tcPr>
          <w:p w:rsidR="000E18C9" w:rsidRPr="00D12999" w:rsidRDefault="000E18C9" w:rsidP="0098778F">
            <w:pPr>
              <w:ind w:right="144"/>
              <w:jc w:val="right"/>
              <w:rPr>
                <w:rFonts w:ascii="Arial" w:hAnsi="Arial" w:cs="Arial"/>
                <w:noProof/>
                <w:sz w:val="19"/>
                <w:szCs w:val="19"/>
                <w:lang w:val="en-GB"/>
              </w:rPr>
            </w:pPr>
          </w:p>
        </w:tc>
        <w:tc>
          <w:tcPr>
            <w:tcW w:w="1008" w:type="dxa"/>
            <w:shd w:val="clear" w:color="auto" w:fill="auto"/>
            <w:vAlign w:val="bottom"/>
          </w:tcPr>
          <w:p w:rsidR="000E18C9" w:rsidRPr="00D12999" w:rsidRDefault="000E18C9" w:rsidP="0098778F">
            <w:pPr>
              <w:ind w:right="144"/>
              <w:jc w:val="right"/>
              <w:rPr>
                <w:rFonts w:ascii="Arial" w:hAnsi="Arial" w:cs="Arial"/>
                <w:noProof/>
                <w:sz w:val="19"/>
                <w:szCs w:val="19"/>
                <w:lang w:val="en-GB"/>
              </w:rPr>
            </w:pPr>
          </w:p>
        </w:tc>
        <w:tc>
          <w:tcPr>
            <w:tcW w:w="1242" w:type="dxa"/>
            <w:shd w:val="clear" w:color="auto" w:fill="auto"/>
            <w:vAlign w:val="bottom"/>
          </w:tcPr>
          <w:p w:rsidR="000E18C9" w:rsidRPr="00D12999" w:rsidRDefault="000E18C9" w:rsidP="0098778F">
            <w:pPr>
              <w:ind w:right="144"/>
              <w:jc w:val="right"/>
              <w:rPr>
                <w:rFonts w:ascii="Arial" w:hAnsi="Arial" w:cs="Arial"/>
                <w:noProof/>
                <w:sz w:val="19"/>
                <w:szCs w:val="19"/>
                <w:lang w:val="en-GB"/>
              </w:rPr>
            </w:pPr>
          </w:p>
        </w:tc>
        <w:tc>
          <w:tcPr>
            <w:tcW w:w="950" w:type="dxa"/>
            <w:shd w:val="clear" w:color="auto" w:fill="auto"/>
            <w:vAlign w:val="bottom"/>
          </w:tcPr>
          <w:p w:rsidR="000E18C9" w:rsidRPr="00D12999" w:rsidRDefault="000E18C9" w:rsidP="0098778F">
            <w:pPr>
              <w:ind w:right="144"/>
              <w:jc w:val="right"/>
              <w:rPr>
                <w:rFonts w:ascii="Arial" w:hAnsi="Arial" w:cs="Arial"/>
                <w:noProof/>
                <w:sz w:val="19"/>
                <w:szCs w:val="19"/>
                <w:lang w:val="en-GB"/>
              </w:rPr>
            </w:pPr>
          </w:p>
        </w:tc>
        <w:tc>
          <w:tcPr>
            <w:tcW w:w="1062" w:type="dxa"/>
            <w:shd w:val="clear" w:color="auto" w:fill="auto"/>
            <w:vAlign w:val="bottom"/>
          </w:tcPr>
          <w:p w:rsidR="000E18C9" w:rsidRPr="00D12999" w:rsidRDefault="000E18C9" w:rsidP="0098778F">
            <w:pPr>
              <w:ind w:right="144"/>
              <w:jc w:val="right"/>
              <w:rPr>
                <w:rFonts w:ascii="Arial" w:hAnsi="Arial" w:cs="Arial"/>
                <w:noProof/>
                <w:sz w:val="19"/>
                <w:szCs w:val="19"/>
                <w:lang w:val="en-GB"/>
              </w:rPr>
            </w:pPr>
          </w:p>
        </w:tc>
        <w:tc>
          <w:tcPr>
            <w:tcW w:w="1114" w:type="dxa"/>
            <w:shd w:val="clear" w:color="auto" w:fill="auto"/>
            <w:vAlign w:val="bottom"/>
          </w:tcPr>
          <w:p w:rsidR="000E18C9" w:rsidRPr="00D12999" w:rsidRDefault="000E18C9" w:rsidP="0098778F">
            <w:pPr>
              <w:ind w:right="144"/>
              <w:jc w:val="right"/>
              <w:rPr>
                <w:rFonts w:ascii="Arial" w:hAnsi="Arial" w:cs="Arial"/>
                <w:noProof/>
                <w:sz w:val="19"/>
                <w:szCs w:val="19"/>
                <w:lang w:val="en-GB"/>
              </w:rPr>
            </w:pPr>
          </w:p>
        </w:tc>
        <w:tc>
          <w:tcPr>
            <w:tcW w:w="867" w:type="dxa"/>
            <w:shd w:val="clear" w:color="auto" w:fill="auto"/>
            <w:vAlign w:val="bottom"/>
          </w:tcPr>
          <w:p w:rsidR="000E18C9" w:rsidRPr="00D12999" w:rsidRDefault="000E18C9" w:rsidP="0098778F">
            <w:pPr>
              <w:jc w:val="right"/>
              <w:rPr>
                <w:rFonts w:ascii="Arial" w:hAnsi="Arial" w:cs="Arial"/>
                <w:noProof/>
                <w:sz w:val="19"/>
                <w:szCs w:val="19"/>
                <w:lang w:val="en-GB"/>
              </w:rPr>
            </w:pPr>
          </w:p>
        </w:tc>
      </w:tr>
      <w:tr w:rsidR="000C4AFD" w:rsidRPr="00D12999" w:rsidTr="0098778F">
        <w:trPr>
          <w:jc w:val="center"/>
        </w:trPr>
        <w:tc>
          <w:tcPr>
            <w:tcW w:w="3870" w:type="dxa"/>
            <w:gridSpan w:val="2"/>
            <w:shd w:val="clear" w:color="auto" w:fill="auto"/>
            <w:noWrap/>
            <w:vAlign w:val="center"/>
          </w:tcPr>
          <w:p w:rsidR="000E18C9" w:rsidRPr="00D12999" w:rsidRDefault="000E18C9" w:rsidP="000E18C9">
            <w:pPr>
              <w:rPr>
                <w:rFonts w:ascii="Arial" w:hAnsi="Arial" w:cs="Arial"/>
                <w:noProof/>
                <w:sz w:val="19"/>
                <w:szCs w:val="19"/>
                <w:lang w:val="en-GB"/>
              </w:rPr>
            </w:pPr>
            <w:r w:rsidRPr="00D12999">
              <w:rPr>
                <w:rFonts w:ascii="Arial" w:hAnsi="Arial" w:cs="Arial"/>
                <w:noProof/>
                <w:color w:val="000000"/>
                <w:sz w:val="19"/>
                <w:szCs w:val="19"/>
                <w:lang w:val="en-GB" w:eastAsia="en-CA"/>
              </w:rPr>
              <w:t>Average Canadian banks</w:t>
            </w:r>
          </w:p>
        </w:tc>
        <w:tc>
          <w:tcPr>
            <w:tcW w:w="900" w:type="dxa"/>
            <w:shd w:val="clear" w:color="auto" w:fill="auto"/>
          </w:tcPr>
          <w:p w:rsidR="000E18C9" w:rsidRPr="00D12999" w:rsidRDefault="000E18C9" w:rsidP="000E18C9">
            <w:pPr>
              <w:jc w:val="right"/>
              <w:rPr>
                <w:rFonts w:ascii="Arial" w:hAnsi="Arial" w:cs="Arial"/>
                <w:noProof/>
                <w:sz w:val="19"/>
                <w:szCs w:val="19"/>
                <w:lang w:val="en-GB"/>
              </w:rPr>
            </w:pPr>
          </w:p>
        </w:tc>
        <w:tc>
          <w:tcPr>
            <w:tcW w:w="1260"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eastAsia="en-CA"/>
              </w:rPr>
            </w:pPr>
            <w:r w:rsidRPr="00D12999">
              <w:rPr>
                <w:rFonts w:ascii="Arial" w:hAnsi="Arial" w:cs="Arial"/>
                <w:noProof/>
                <w:color w:val="000000"/>
                <w:sz w:val="19"/>
                <w:szCs w:val="19"/>
                <w:lang w:val="en-GB"/>
              </w:rPr>
              <w:t xml:space="preserve">78,335 </w:t>
            </w:r>
          </w:p>
        </w:tc>
        <w:tc>
          <w:tcPr>
            <w:tcW w:w="990" w:type="dxa"/>
            <w:shd w:val="clear" w:color="auto" w:fill="auto"/>
            <w:vAlign w:val="center"/>
          </w:tcPr>
          <w:p w:rsidR="000E18C9" w:rsidRPr="00D12999" w:rsidRDefault="000E18C9" w:rsidP="0098778F">
            <w:pPr>
              <w:ind w:right="144"/>
              <w:jc w:val="right"/>
              <w:rPr>
                <w:rFonts w:ascii="Arial" w:hAnsi="Arial" w:cs="Arial"/>
                <w:noProof/>
                <w:sz w:val="19"/>
                <w:szCs w:val="19"/>
                <w:lang w:val="en-GB"/>
              </w:rPr>
            </w:pPr>
            <w:r w:rsidRPr="00D12999">
              <w:rPr>
                <w:rFonts w:ascii="Arial" w:hAnsi="Arial" w:cs="Arial"/>
                <w:noProof/>
                <w:color w:val="000000"/>
                <w:sz w:val="19"/>
                <w:szCs w:val="19"/>
                <w:lang w:val="en-GB"/>
              </w:rPr>
              <w:t xml:space="preserve">13.0 </w:t>
            </w:r>
          </w:p>
        </w:tc>
        <w:tc>
          <w:tcPr>
            <w:tcW w:w="1008" w:type="dxa"/>
            <w:shd w:val="clear" w:color="auto" w:fill="auto"/>
            <w:vAlign w:val="center"/>
          </w:tcPr>
          <w:p w:rsidR="000E18C9" w:rsidRPr="00D12999" w:rsidRDefault="000E18C9" w:rsidP="0098778F">
            <w:pPr>
              <w:ind w:right="144"/>
              <w:jc w:val="right"/>
              <w:rPr>
                <w:rFonts w:ascii="Arial" w:hAnsi="Arial" w:cs="Arial"/>
                <w:noProof/>
                <w:sz w:val="19"/>
                <w:szCs w:val="19"/>
                <w:lang w:val="en-GB"/>
              </w:rPr>
            </w:pPr>
            <w:r w:rsidRPr="00D12999">
              <w:rPr>
                <w:rFonts w:ascii="Arial" w:hAnsi="Arial" w:cs="Arial"/>
                <w:noProof/>
                <w:color w:val="000000"/>
                <w:sz w:val="19"/>
                <w:szCs w:val="19"/>
                <w:lang w:val="en-GB"/>
              </w:rPr>
              <w:t xml:space="preserve">15.4 </w:t>
            </w:r>
          </w:p>
        </w:tc>
        <w:tc>
          <w:tcPr>
            <w:tcW w:w="1242" w:type="dxa"/>
            <w:shd w:val="clear" w:color="auto" w:fill="auto"/>
            <w:vAlign w:val="center"/>
          </w:tcPr>
          <w:p w:rsidR="000E18C9" w:rsidRPr="00D12999" w:rsidRDefault="000E18C9" w:rsidP="0098778F">
            <w:pPr>
              <w:ind w:right="144"/>
              <w:jc w:val="right"/>
              <w:rPr>
                <w:rFonts w:ascii="Arial" w:hAnsi="Arial" w:cs="Arial"/>
                <w:noProof/>
                <w:sz w:val="19"/>
                <w:szCs w:val="19"/>
                <w:lang w:val="en-GB"/>
              </w:rPr>
            </w:pPr>
            <w:r w:rsidRPr="00D12999">
              <w:rPr>
                <w:rFonts w:ascii="Arial" w:hAnsi="Arial" w:cs="Arial"/>
                <w:noProof/>
                <w:color w:val="000000"/>
                <w:sz w:val="19"/>
                <w:szCs w:val="19"/>
                <w:lang w:val="en-GB"/>
              </w:rPr>
              <w:t xml:space="preserve">50.4 </w:t>
            </w:r>
          </w:p>
        </w:tc>
        <w:tc>
          <w:tcPr>
            <w:tcW w:w="950" w:type="dxa"/>
            <w:shd w:val="clear" w:color="auto" w:fill="auto"/>
            <w:vAlign w:val="center"/>
          </w:tcPr>
          <w:p w:rsidR="000E18C9" w:rsidRPr="00D12999" w:rsidRDefault="000E18C9" w:rsidP="0098778F">
            <w:pPr>
              <w:ind w:right="144"/>
              <w:jc w:val="right"/>
              <w:rPr>
                <w:rFonts w:ascii="Arial" w:hAnsi="Arial" w:cs="Arial"/>
                <w:noProof/>
                <w:sz w:val="19"/>
                <w:szCs w:val="19"/>
                <w:lang w:val="en-GB"/>
              </w:rPr>
            </w:pPr>
            <w:r w:rsidRPr="00D12999">
              <w:rPr>
                <w:rFonts w:ascii="Arial" w:hAnsi="Arial" w:cs="Arial"/>
                <w:noProof/>
                <w:color w:val="000000"/>
                <w:sz w:val="19"/>
                <w:szCs w:val="19"/>
                <w:lang w:val="en-GB"/>
              </w:rPr>
              <w:t xml:space="preserve">12.8 </w:t>
            </w:r>
          </w:p>
        </w:tc>
        <w:tc>
          <w:tcPr>
            <w:tcW w:w="1062" w:type="dxa"/>
            <w:shd w:val="clear" w:color="auto" w:fill="auto"/>
            <w:vAlign w:val="center"/>
          </w:tcPr>
          <w:p w:rsidR="000E18C9" w:rsidRPr="00D12999" w:rsidRDefault="000E18C9" w:rsidP="0098778F">
            <w:pPr>
              <w:ind w:right="144"/>
              <w:jc w:val="right"/>
              <w:rPr>
                <w:rFonts w:ascii="Arial" w:hAnsi="Arial" w:cs="Arial"/>
                <w:noProof/>
                <w:sz w:val="19"/>
                <w:szCs w:val="19"/>
                <w:lang w:val="en-GB"/>
              </w:rPr>
            </w:pPr>
            <w:r w:rsidRPr="00D12999">
              <w:rPr>
                <w:rFonts w:ascii="Arial" w:hAnsi="Arial" w:cs="Arial"/>
                <w:noProof/>
                <w:color w:val="000000"/>
                <w:sz w:val="19"/>
                <w:szCs w:val="19"/>
                <w:lang w:val="en-GB"/>
              </w:rPr>
              <w:t xml:space="preserve">1.8 </w:t>
            </w:r>
          </w:p>
        </w:tc>
        <w:tc>
          <w:tcPr>
            <w:tcW w:w="1114" w:type="dxa"/>
            <w:shd w:val="clear" w:color="auto" w:fill="auto"/>
            <w:vAlign w:val="bottom"/>
          </w:tcPr>
          <w:p w:rsidR="000E18C9" w:rsidRPr="00D12999" w:rsidRDefault="000E18C9" w:rsidP="0098778F">
            <w:pPr>
              <w:ind w:right="144"/>
              <w:jc w:val="right"/>
              <w:rPr>
                <w:rFonts w:ascii="Arial" w:hAnsi="Arial" w:cs="Arial"/>
                <w:noProof/>
                <w:sz w:val="19"/>
                <w:szCs w:val="19"/>
                <w:lang w:val="en-GB"/>
              </w:rPr>
            </w:pPr>
          </w:p>
        </w:tc>
        <w:tc>
          <w:tcPr>
            <w:tcW w:w="867" w:type="dxa"/>
            <w:shd w:val="clear" w:color="auto" w:fill="auto"/>
            <w:vAlign w:val="bottom"/>
          </w:tcPr>
          <w:p w:rsidR="000E18C9" w:rsidRPr="00D12999" w:rsidRDefault="000E18C9" w:rsidP="0098778F">
            <w:pPr>
              <w:jc w:val="right"/>
              <w:rPr>
                <w:rFonts w:ascii="Arial" w:hAnsi="Arial" w:cs="Arial"/>
                <w:noProof/>
                <w:sz w:val="19"/>
                <w:szCs w:val="19"/>
                <w:lang w:val="en-GB"/>
              </w:rPr>
            </w:pPr>
          </w:p>
        </w:tc>
      </w:tr>
      <w:tr w:rsidR="000C4AFD" w:rsidRPr="00D12999" w:rsidTr="0098778F">
        <w:trPr>
          <w:jc w:val="center"/>
        </w:trPr>
        <w:tc>
          <w:tcPr>
            <w:tcW w:w="3870" w:type="dxa"/>
            <w:gridSpan w:val="2"/>
            <w:shd w:val="clear" w:color="auto" w:fill="auto"/>
            <w:noWrap/>
            <w:vAlign w:val="center"/>
          </w:tcPr>
          <w:p w:rsidR="000E18C9" w:rsidRPr="00D12999" w:rsidRDefault="000E18C9" w:rsidP="000E18C9">
            <w:pPr>
              <w:rPr>
                <w:rFonts w:ascii="Arial" w:hAnsi="Arial" w:cs="Arial"/>
                <w:noProof/>
                <w:sz w:val="19"/>
                <w:szCs w:val="19"/>
                <w:lang w:val="en-GB"/>
              </w:rPr>
            </w:pPr>
            <w:r w:rsidRPr="00D12999">
              <w:rPr>
                <w:rFonts w:ascii="Arial" w:hAnsi="Arial" w:cs="Arial"/>
                <w:noProof/>
                <w:color w:val="000000"/>
                <w:sz w:val="19"/>
                <w:szCs w:val="19"/>
                <w:lang w:val="en-GB" w:eastAsia="en-CA"/>
              </w:rPr>
              <w:t>Average US diversified banks</w:t>
            </w:r>
          </w:p>
        </w:tc>
        <w:tc>
          <w:tcPr>
            <w:tcW w:w="900" w:type="dxa"/>
            <w:shd w:val="clear" w:color="auto" w:fill="auto"/>
          </w:tcPr>
          <w:p w:rsidR="000E18C9" w:rsidRPr="00D12999" w:rsidRDefault="000E18C9" w:rsidP="000E18C9">
            <w:pPr>
              <w:rPr>
                <w:rFonts w:ascii="Arial" w:hAnsi="Arial" w:cs="Arial"/>
                <w:noProof/>
                <w:sz w:val="19"/>
                <w:szCs w:val="19"/>
                <w:lang w:val="en-GB"/>
              </w:rPr>
            </w:pPr>
          </w:p>
        </w:tc>
        <w:tc>
          <w:tcPr>
            <w:tcW w:w="1260"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344,414 </w:t>
            </w:r>
          </w:p>
        </w:tc>
        <w:tc>
          <w:tcPr>
            <w:tcW w:w="990"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12.8 </w:t>
            </w:r>
          </w:p>
        </w:tc>
        <w:tc>
          <w:tcPr>
            <w:tcW w:w="1008"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23.3 </w:t>
            </w:r>
          </w:p>
        </w:tc>
        <w:tc>
          <w:tcPr>
            <w:tcW w:w="1242"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20.4 </w:t>
            </w:r>
          </w:p>
        </w:tc>
        <w:tc>
          <w:tcPr>
            <w:tcW w:w="950"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14.6 </w:t>
            </w:r>
          </w:p>
        </w:tc>
        <w:tc>
          <w:tcPr>
            <w:tcW w:w="1062"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1.2 </w:t>
            </w:r>
          </w:p>
        </w:tc>
        <w:tc>
          <w:tcPr>
            <w:tcW w:w="1114" w:type="dxa"/>
            <w:shd w:val="clear" w:color="auto" w:fill="auto"/>
            <w:vAlign w:val="bottom"/>
          </w:tcPr>
          <w:p w:rsidR="000E18C9" w:rsidRPr="00D12999" w:rsidRDefault="000E18C9" w:rsidP="0098778F">
            <w:pPr>
              <w:ind w:right="144"/>
              <w:jc w:val="right"/>
              <w:rPr>
                <w:rFonts w:ascii="Arial" w:hAnsi="Arial" w:cs="Arial"/>
                <w:noProof/>
                <w:sz w:val="19"/>
                <w:szCs w:val="19"/>
                <w:lang w:val="en-GB"/>
              </w:rPr>
            </w:pPr>
          </w:p>
        </w:tc>
        <w:tc>
          <w:tcPr>
            <w:tcW w:w="867" w:type="dxa"/>
            <w:shd w:val="clear" w:color="auto" w:fill="auto"/>
            <w:vAlign w:val="bottom"/>
          </w:tcPr>
          <w:p w:rsidR="000E18C9" w:rsidRPr="00D12999" w:rsidRDefault="000E18C9" w:rsidP="0098778F">
            <w:pPr>
              <w:jc w:val="right"/>
              <w:rPr>
                <w:rFonts w:ascii="Arial" w:hAnsi="Arial" w:cs="Arial"/>
                <w:noProof/>
                <w:sz w:val="19"/>
                <w:szCs w:val="19"/>
                <w:lang w:val="en-GB"/>
              </w:rPr>
            </w:pPr>
          </w:p>
        </w:tc>
      </w:tr>
      <w:tr w:rsidR="000C4AFD" w:rsidRPr="00D12999" w:rsidTr="0098778F">
        <w:trPr>
          <w:jc w:val="center"/>
        </w:trPr>
        <w:tc>
          <w:tcPr>
            <w:tcW w:w="3870" w:type="dxa"/>
            <w:gridSpan w:val="2"/>
            <w:shd w:val="clear" w:color="auto" w:fill="auto"/>
            <w:noWrap/>
            <w:vAlign w:val="center"/>
          </w:tcPr>
          <w:p w:rsidR="000E18C9" w:rsidRPr="00D12999" w:rsidRDefault="000E18C9" w:rsidP="000E18C9">
            <w:pPr>
              <w:rPr>
                <w:rFonts w:ascii="Arial" w:hAnsi="Arial" w:cs="Arial"/>
                <w:noProof/>
                <w:sz w:val="19"/>
                <w:szCs w:val="19"/>
                <w:lang w:val="en-GB"/>
              </w:rPr>
            </w:pPr>
            <w:r w:rsidRPr="00D12999">
              <w:rPr>
                <w:rFonts w:ascii="Arial" w:hAnsi="Arial" w:cs="Arial"/>
                <w:noProof/>
                <w:color w:val="000000"/>
                <w:sz w:val="19"/>
                <w:szCs w:val="19"/>
                <w:lang w:val="en-GB" w:eastAsia="en-CA"/>
              </w:rPr>
              <w:t>Average US regional banks</w:t>
            </w:r>
          </w:p>
        </w:tc>
        <w:tc>
          <w:tcPr>
            <w:tcW w:w="900" w:type="dxa"/>
            <w:shd w:val="clear" w:color="auto" w:fill="auto"/>
          </w:tcPr>
          <w:p w:rsidR="000E18C9" w:rsidRPr="00D12999" w:rsidRDefault="000E18C9" w:rsidP="000E18C9">
            <w:pPr>
              <w:rPr>
                <w:rFonts w:ascii="Arial" w:hAnsi="Arial" w:cs="Arial"/>
                <w:noProof/>
                <w:sz w:val="19"/>
                <w:szCs w:val="19"/>
                <w:lang w:val="en-GB"/>
              </w:rPr>
            </w:pPr>
          </w:p>
        </w:tc>
        <w:tc>
          <w:tcPr>
            <w:tcW w:w="1260"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40,334 </w:t>
            </w:r>
          </w:p>
        </w:tc>
        <w:tc>
          <w:tcPr>
            <w:tcW w:w="990"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14.9 </w:t>
            </w:r>
          </w:p>
        </w:tc>
        <w:tc>
          <w:tcPr>
            <w:tcW w:w="1008"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21.4 </w:t>
            </w:r>
          </w:p>
        </w:tc>
        <w:tc>
          <w:tcPr>
            <w:tcW w:w="1242"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33.8 </w:t>
            </w:r>
          </w:p>
        </w:tc>
        <w:tc>
          <w:tcPr>
            <w:tcW w:w="950"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 xml:space="preserve">17.7 </w:t>
            </w:r>
          </w:p>
        </w:tc>
        <w:tc>
          <w:tcPr>
            <w:tcW w:w="1062" w:type="dxa"/>
            <w:shd w:val="clear" w:color="auto" w:fill="auto"/>
            <w:vAlign w:val="center"/>
          </w:tcPr>
          <w:p w:rsidR="000E18C9" w:rsidRPr="00D12999" w:rsidRDefault="000E18C9" w:rsidP="0098778F">
            <w:pPr>
              <w:ind w:right="144"/>
              <w:jc w:val="right"/>
              <w:rPr>
                <w:rFonts w:ascii="Arial" w:hAnsi="Arial" w:cs="Arial"/>
                <w:noProof/>
                <w:color w:val="000000"/>
                <w:sz w:val="19"/>
                <w:szCs w:val="19"/>
                <w:lang w:val="en-GB"/>
              </w:rPr>
            </w:pPr>
            <w:r w:rsidRPr="00D12999">
              <w:rPr>
                <w:rFonts w:ascii="Arial" w:hAnsi="Arial" w:cs="Arial"/>
                <w:noProof/>
                <w:color w:val="000000"/>
                <w:sz w:val="19"/>
                <w:szCs w:val="19"/>
                <w:lang w:val="en-GB"/>
              </w:rPr>
              <w:t>1.4</w:t>
            </w:r>
          </w:p>
        </w:tc>
        <w:tc>
          <w:tcPr>
            <w:tcW w:w="1114" w:type="dxa"/>
            <w:shd w:val="clear" w:color="auto" w:fill="auto"/>
            <w:vAlign w:val="bottom"/>
          </w:tcPr>
          <w:p w:rsidR="000E18C9" w:rsidRPr="00D12999" w:rsidRDefault="000E18C9" w:rsidP="0098778F">
            <w:pPr>
              <w:ind w:right="144"/>
              <w:jc w:val="right"/>
              <w:rPr>
                <w:rFonts w:ascii="Arial" w:hAnsi="Arial" w:cs="Arial"/>
                <w:noProof/>
                <w:sz w:val="19"/>
                <w:szCs w:val="19"/>
                <w:lang w:val="en-GB"/>
              </w:rPr>
            </w:pPr>
          </w:p>
        </w:tc>
        <w:tc>
          <w:tcPr>
            <w:tcW w:w="867" w:type="dxa"/>
            <w:shd w:val="clear" w:color="auto" w:fill="auto"/>
            <w:vAlign w:val="bottom"/>
          </w:tcPr>
          <w:p w:rsidR="000E18C9" w:rsidRPr="00D12999" w:rsidRDefault="000E18C9" w:rsidP="0098778F">
            <w:pPr>
              <w:jc w:val="right"/>
              <w:rPr>
                <w:rFonts w:ascii="Arial" w:hAnsi="Arial" w:cs="Arial"/>
                <w:noProof/>
                <w:sz w:val="19"/>
                <w:szCs w:val="19"/>
                <w:lang w:val="en-GB"/>
              </w:rPr>
            </w:pPr>
          </w:p>
        </w:tc>
      </w:tr>
    </w:tbl>
    <w:p w:rsidR="000E18C9" w:rsidRPr="000E18C9" w:rsidRDefault="000E18C9" w:rsidP="000E18C9">
      <w:pPr>
        <w:jc w:val="both"/>
        <w:rPr>
          <w:rFonts w:eastAsia="Calibri"/>
          <w:noProof/>
          <w:sz w:val="22"/>
          <w:lang w:val="en-GB" w:eastAsia="ja-JP"/>
        </w:rPr>
      </w:pPr>
    </w:p>
    <w:p w:rsidR="000E18C9" w:rsidRPr="000E18C9" w:rsidRDefault="000E18C9" w:rsidP="000E18C9">
      <w:pPr>
        <w:jc w:val="both"/>
        <w:rPr>
          <w:rFonts w:ascii="Arial" w:eastAsia="Calibri" w:hAnsi="Arial"/>
          <w:noProof/>
          <w:sz w:val="17"/>
          <w:lang w:val="en-GB" w:eastAsia="ja-JP"/>
        </w:rPr>
      </w:pPr>
      <w:r w:rsidRPr="000E18C9">
        <w:rPr>
          <w:rFonts w:ascii="Arial" w:eastAsia="Calibri" w:hAnsi="Arial"/>
          <w:noProof/>
          <w:sz w:val="17"/>
          <w:lang w:val="en-GB" w:eastAsia="ja-JP"/>
        </w:rPr>
        <w:t xml:space="preserve">Note: CA$1.3837 = US$1; </w:t>
      </w:r>
      <w:r w:rsidR="00D12999">
        <w:rPr>
          <w:rFonts w:ascii="Arial" w:eastAsia="Calibri" w:hAnsi="Arial"/>
          <w:noProof/>
          <w:sz w:val="17"/>
          <w:lang w:val="en-GB" w:eastAsia="ja-JP"/>
        </w:rPr>
        <w:t xml:space="preserve">Market cap. (capital) in millions of dollars; </w:t>
      </w:r>
      <w:r w:rsidRPr="000E18C9">
        <w:rPr>
          <w:rFonts w:ascii="Arial" w:eastAsia="Calibri" w:hAnsi="Arial"/>
          <w:noProof/>
          <w:sz w:val="17"/>
          <w:lang w:val="en-GB" w:eastAsia="ja-JP"/>
        </w:rPr>
        <w:t xml:space="preserve">TSR = total shareholder return; P/E = price/earnings; S&amp;P = Standard &amp; Poor’s </w:t>
      </w:r>
    </w:p>
    <w:p w:rsidR="000E18C9" w:rsidRPr="000E18C9" w:rsidRDefault="000E18C9" w:rsidP="000E18C9">
      <w:pPr>
        <w:jc w:val="both"/>
        <w:rPr>
          <w:rFonts w:ascii="Arial" w:eastAsia="Calibri" w:hAnsi="Arial"/>
          <w:noProof/>
          <w:sz w:val="17"/>
          <w:lang w:val="en-GB" w:eastAsia="ja-JP"/>
        </w:rPr>
      </w:pPr>
      <w:r w:rsidRPr="000E18C9">
        <w:rPr>
          <w:rFonts w:ascii="Arial" w:eastAsia="Calibri" w:hAnsi="Arial"/>
          <w:noProof/>
          <w:sz w:val="17"/>
          <w:lang w:val="en-GB" w:eastAsia="ja-JP"/>
        </w:rPr>
        <w:t xml:space="preserve">Source: </w:t>
      </w:r>
      <w:r w:rsidR="00552CEC">
        <w:rPr>
          <w:rFonts w:ascii="Arial" w:eastAsia="Calibri" w:hAnsi="Arial"/>
          <w:noProof/>
          <w:sz w:val="17"/>
          <w:lang w:val="en-GB" w:eastAsia="ja-JP"/>
        </w:rPr>
        <w:t xml:space="preserve">Created by author using </w:t>
      </w:r>
      <w:r w:rsidRPr="000E18C9">
        <w:rPr>
          <w:rFonts w:ascii="Arial" w:eastAsia="Calibri" w:hAnsi="Arial"/>
          <w:noProof/>
          <w:sz w:val="17"/>
          <w:lang w:val="en-GB" w:eastAsia="ja-JP"/>
        </w:rPr>
        <w:t>Bloomberg</w:t>
      </w:r>
      <w:r w:rsidR="00552CEC">
        <w:rPr>
          <w:rFonts w:ascii="Arial" w:eastAsia="Calibri" w:hAnsi="Arial"/>
          <w:noProof/>
          <w:sz w:val="17"/>
          <w:lang w:val="en-GB" w:eastAsia="ja-JP"/>
        </w:rPr>
        <w:t xml:space="preserve"> data</w:t>
      </w:r>
      <w:r w:rsidRPr="000E18C9">
        <w:rPr>
          <w:rFonts w:ascii="Arial" w:eastAsia="Calibri" w:hAnsi="Arial"/>
          <w:noProof/>
          <w:sz w:val="17"/>
          <w:lang w:val="en-GB" w:eastAsia="ja-JP"/>
        </w:rPr>
        <w:t>.</w:t>
      </w:r>
    </w:p>
    <w:p w:rsidR="000E18C9" w:rsidRPr="000E18C9" w:rsidRDefault="000E18C9" w:rsidP="000E18C9">
      <w:pPr>
        <w:jc w:val="both"/>
        <w:rPr>
          <w:rFonts w:ascii="Arial" w:eastAsia="Calibri" w:hAnsi="Arial"/>
          <w:i/>
          <w:noProof/>
          <w:sz w:val="17"/>
          <w:lang w:val="en-GB" w:eastAsia="ja-JP"/>
        </w:rPr>
      </w:pPr>
    </w:p>
    <w:p w:rsidR="000E18C9" w:rsidRPr="000E18C9" w:rsidRDefault="000E18C9" w:rsidP="000E18C9">
      <w:pPr>
        <w:jc w:val="both"/>
        <w:rPr>
          <w:rFonts w:ascii="Arial" w:eastAsia="Calibri" w:hAnsi="Arial"/>
          <w:i/>
          <w:noProof/>
          <w:sz w:val="17"/>
          <w:lang w:val="en-GB" w:eastAsia="ja-JP"/>
        </w:rPr>
        <w:sectPr w:rsidR="000E18C9" w:rsidRPr="000E18C9" w:rsidSect="000C4AFD">
          <w:type w:val="continuous"/>
          <w:pgSz w:w="15840" w:h="12240" w:orient="landscape"/>
          <w:pgMar w:top="1080" w:right="1440" w:bottom="1440" w:left="1440" w:header="1080" w:footer="720" w:gutter="0"/>
          <w:cols w:space="708"/>
          <w:docGrid w:linePitch="326"/>
        </w:sectPr>
      </w:pPr>
    </w:p>
    <w:p w:rsidR="000E18C9" w:rsidRPr="000E18C9" w:rsidRDefault="000E18C9" w:rsidP="000C4AFD">
      <w:pPr>
        <w:pStyle w:val="Casehead1"/>
        <w:jc w:val="center"/>
        <w:rPr>
          <w:rFonts w:eastAsia="Calibri"/>
          <w:noProof/>
          <w:lang w:val="en-GB" w:eastAsia="ja-JP"/>
        </w:rPr>
      </w:pPr>
      <w:r w:rsidRPr="000E18C9">
        <w:rPr>
          <w:rFonts w:eastAsia="Calibri"/>
          <w:noProof/>
          <w:lang w:val="en-GB" w:eastAsia="ja-JP"/>
        </w:rPr>
        <w:lastRenderedPageBreak/>
        <w:t>APPENDIX A: Glossary of Terms</w:t>
      </w:r>
    </w:p>
    <w:p w:rsidR="000E18C9" w:rsidRPr="000E18C9" w:rsidRDefault="000E18C9" w:rsidP="000E18C9">
      <w:pPr>
        <w:tabs>
          <w:tab w:val="left" w:pos="5101"/>
        </w:tabs>
        <w:rPr>
          <w:rFonts w:ascii="Arial" w:hAnsi="Arial" w:cs="Arial"/>
          <w:b/>
          <w:noProof/>
          <w:lang w:val="en-GB"/>
        </w:rPr>
      </w:pPr>
    </w:p>
    <w:p w:rsidR="000E18C9" w:rsidRPr="000E18C9" w:rsidRDefault="000E18C9" w:rsidP="000E18C9">
      <w:pPr>
        <w:tabs>
          <w:tab w:val="left" w:pos="5101"/>
        </w:tabs>
        <w:jc w:val="both"/>
        <w:rPr>
          <w:rFonts w:ascii="Arial" w:hAnsi="Arial" w:cs="Arial"/>
          <w:noProof/>
          <w:lang w:val="en-GB"/>
        </w:rPr>
      </w:pPr>
      <w:r w:rsidRPr="005D45D2">
        <w:rPr>
          <w:rFonts w:ascii="Arial" w:hAnsi="Arial" w:cs="Arial"/>
          <w:b/>
          <w:noProof/>
          <w:lang w:val="en-GB"/>
        </w:rPr>
        <w:t>Allowance for credit losses:</w:t>
      </w:r>
      <w:r w:rsidRPr="000E18C9">
        <w:rPr>
          <w:rFonts w:ascii="Arial" w:hAnsi="Arial" w:cs="Arial"/>
          <w:noProof/>
          <w:lang w:val="en-GB"/>
        </w:rPr>
        <w:t xml:space="preserve"> The amount deemed adequate by management to absorb identified credit losses as well as losses that have been incurred but are not yet identifiable. The allowance is increased by the provision for credit losses and decreased by the amount of write-offs and net of recoveries, in the period.</w:t>
      </w:r>
    </w:p>
    <w:p w:rsidR="000E18C9" w:rsidRPr="000E18C9" w:rsidRDefault="000E18C9" w:rsidP="000E18C9">
      <w:pPr>
        <w:tabs>
          <w:tab w:val="left" w:pos="5101"/>
        </w:tabs>
        <w:jc w:val="both"/>
        <w:rPr>
          <w:rFonts w:ascii="Arial" w:hAnsi="Arial" w:cs="Arial"/>
          <w:noProof/>
          <w:lang w:val="en-GB"/>
        </w:rPr>
      </w:pPr>
    </w:p>
    <w:p w:rsidR="000E18C9" w:rsidRPr="000E18C9" w:rsidRDefault="000E18C9" w:rsidP="000E18C9">
      <w:pPr>
        <w:tabs>
          <w:tab w:val="left" w:pos="5101"/>
        </w:tabs>
        <w:jc w:val="both"/>
        <w:rPr>
          <w:rFonts w:ascii="Arial" w:hAnsi="Arial" w:cs="Arial"/>
          <w:noProof/>
          <w:lang w:val="en-GB"/>
        </w:rPr>
      </w:pPr>
      <w:r w:rsidRPr="005D45D2">
        <w:rPr>
          <w:rFonts w:ascii="Arial" w:hAnsi="Arial" w:cs="Arial"/>
          <w:b/>
          <w:noProof/>
          <w:lang w:val="en-GB"/>
        </w:rPr>
        <w:t>Book value per share:</w:t>
      </w:r>
      <w:r w:rsidRPr="005D45D2">
        <w:rPr>
          <w:rFonts w:ascii="Arial" w:hAnsi="Arial" w:cs="Arial"/>
          <w:i/>
          <w:noProof/>
          <w:lang w:val="en-GB"/>
        </w:rPr>
        <w:t xml:space="preserve"> </w:t>
      </w:r>
      <w:r w:rsidRPr="000E18C9">
        <w:rPr>
          <w:rFonts w:ascii="Arial" w:hAnsi="Arial" w:cs="Arial"/>
          <w:noProof/>
          <w:lang w:val="en-GB"/>
        </w:rPr>
        <w:t>The book value of the common equity on the balance sheet (common shares, retained earnings, and accumulated other comprehensive income or loss). Book value per share is book value divided by the number of common shares outstanding.</w:t>
      </w:r>
    </w:p>
    <w:p w:rsidR="000E18C9" w:rsidRPr="000E18C9" w:rsidRDefault="000E18C9" w:rsidP="000E18C9">
      <w:pPr>
        <w:tabs>
          <w:tab w:val="left" w:pos="5101"/>
        </w:tabs>
        <w:jc w:val="both"/>
        <w:rPr>
          <w:rFonts w:ascii="Arial" w:hAnsi="Arial" w:cs="Arial"/>
          <w:noProof/>
          <w:lang w:val="en-GB"/>
        </w:rPr>
      </w:pPr>
    </w:p>
    <w:p w:rsidR="000E18C9" w:rsidRPr="000E18C9" w:rsidRDefault="000E18C9" w:rsidP="000E18C9">
      <w:pPr>
        <w:tabs>
          <w:tab w:val="left" w:pos="5101"/>
        </w:tabs>
        <w:jc w:val="both"/>
        <w:rPr>
          <w:rFonts w:ascii="Arial" w:hAnsi="Arial" w:cs="Arial"/>
          <w:noProof/>
          <w:lang w:val="en-GB"/>
        </w:rPr>
      </w:pPr>
      <w:r w:rsidRPr="005D45D2">
        <w:rPr>
          <w:rFonts w:ascii="Arial" w:hAnsi="Arial" w:cs="Arial"/>
          <w:b/>
          <w:noProof/>
          <w:lang w:val="en-GB"/>
        </w:rPr>
        <w:t>Common equity tier 1 (CET1) capital:</w:t>
      </w:r>
      <w:r w:rsidRPr="000E18C9">
        <w:rPr>
          <w:rFonts w:ascii="Arial" w:hAnsi="Arial" w:cs="Arial"/>
          <w:b/>
          <w:i/>
          <w:noProof/>
          <w:lang w:val="en-GB"/>
        </w:rPr>
        <w:t xml:space="preserve"> </w:t>
      </w:r>
      <w:r w:rsidRPr="000E18C9">
        <w:rPr>
          <w:rFonts w:ascii="Arial" w:hAnsi="Arial" w:cs="Arial"/>
          <w:noProof/>
          <w:lang w:val="en-GB"/>
        </w:rPr>
        <w:t>A primary Basel III capital measure comprising mainly common equity, retained earnings, and qualifying non-controlling interest in subsidiaries. Regulatory deductions made to arrive at the CET1 capital include goodwill and intangibles, unconsolidated investments in banking, financial and insurance entities, deferred tax assets, defined benefit pension fund assets, and shortfalls in allowances. CET1 capital ratio represents the predominant measure of capital adequacy under Basel III and equals CET1 capital divided by risk-weighted assets.</w:t>
      </w:r>
    </w:p>
    <w:p w:rsidR="000E18C9" w:rsidRPr="000E18C9" w:rsidRDefault="000E18C9" w:rsidP="000E18C9">
      <w:pPr>
        <w:tabs>
          <w:tab w:val="left" w:pos="5101"/>
        </w:tabs>
        <w:jc w:val="both"/>
        <w:rPr>
          <w:rFonts w:ascii="Arial" w:hAnsi="Arial" w:cs="Arial"/>
          <w:noProof/>
          <w:lang w:val="en-GB"/>
        </w:rPr>
      </w:pPr>
    </w:p>
    <w:p w:rsidR="000E18C9" w:rsidRPr="000E18C9" w:rsidRDefault="000E18C9" w:rsidP="000E18C9">
      <w:pPr>
        <w:jc w:val="both"/>
        <w:rPr>
          <w:rFonts w:ascii="Arial" w:hAnsi="Arial" w:cs="Arial"/>
          <w:noProof/>
          <w:lang w:val="en-GB"/>
        </w:rPr>
      </w:pPr>
      <w:r w:rsidRPr="005D45D2">
        <w:rPr>
          <w:rFonts w:ascii="Arial" w:hAnsi="Arial" w:cs="Arial"/>
          <w:b/>
          <w:noProof/>
          <w:lang w:val="en-GB"/>
        </w:rPr>
        <w:t>Earnings per share (EPS):</w:t>
      </w:r>
      <w:r w:rsidRPr="000E18C9">
        <w:rPr>
          <w:rFonts w:ascii="Arial" w:hAnsi="Arial" w:cs="Arial"/>
          <w:noProof/>
          <w:lang w:val="en-GB"/>
        </w:rPr>
        <w:t xml:space="preserve"> Calculated as net income less preferred share dividends divided by the average number of common shares outstanding. For diluted EPS, the number of common shares outstanding is adjusted for the dilutive effects of stock options and other convertible securities. </w:t>
      </w:r>
    </w:p>
    <w:p w:rsidR="000E18C9" w:rsidRPr="000E18C9" w:rsidRDefault="000E18C9" w:rsidP="000E18C9">
      <w:pPr>
        <w:jc w:val="both"/>
        <w:rPr>
          <w:rFonts w:ascii="Arial" w:hAnsi="Arial" w:cs="Arial"/>
          <w:noProof/>
          <w:lang w:val="en-GB"/>
        </w:rPr>
      </w:pPr>
    </w:p>
    <w:p w:rsidR="000E18C9" w:rsidRPr="000E18C9" w:rsidRDefault="000E18C9" w:rsidP="000E18C9">
      <w:pPr>
        <w:tabs>
          <w:tab w:val="left" w:pos="5101"/>
        </w:tabs>
        <w:jc w:val="both"/>
        <w:rPr>
          <w:rFonts w:ascii="Arial" w:hAnsi="Arial" w:cs="Arial"/>
          <w:noProof/>
          <w:lang w:val="en-GB"/>
        </w:rPr>
      </w:pPr>
      <w:r w:rsidRPr="000E18C9">
        <w:rPr>
          <w:rFonts w:ascii="Arial" w:hAnsi="Arial" w:cs="Arial"/>
          <w:b/>
          <w:i/>
          <w:noProof/>
          <w:lang w:val="en-GB"/>
        </w:rPr>
        <w:t>Interest earning assets</w:t>
      </w:r>
      <w:r w:rsidRPr="005D45D2">
        <w:rPr>
          <w:rFonts w:ascii="Arial" w:hAnsi="Arial" w:cs="Arial"/>
          <w:b/>
          <w:noProof/>
          <w:lang w:val="en-GB"/>
        </w:rPr>
        <w:t>:</w:t>
      </w:r>
      <w:r w:rsidRPr="000E18C9">
        <w:rPr>
          <w:rFonts w:ascii="Arial" w:hAnsi="Arial" w:cs="Arial"/>
          <w:noProof/>
          <w:lang w:val="en-GB"/>
        </w:rPr>
        <w:t xml:space="preserve"> Any assets that pay a rate of interest, including loans, mortgages, money market securities, interbank loans, and securities. </w:t>
      </w:r>
    </w:p>
    <w:p w:rsidR="000E18C9" w:rsidRPr="000E18C9" w:rsidRDefault="000E18C9" w:rsidP="000E18C9">
      <w:pPr>
        <w:tabs>
          <w:tab w:val="left" w:pos="5101"/>
        </w:tabs>
        <w:jc w:val="both"/>
        <w:rPr>
          <w:rFonts w:ascii="Arial" w:hAnsi="Arial" w:cs="Arial"/>
          <w:noProof/>
          <w:lang w:val="en-GB"/>
        </w:rPr>
      </w:pPr>
    </w:p>
    <w:p w:rsidR="000E18C9" w:rsidRPr="000E18C9" w:rsidRDefault="000E18C9" w:rsidP="000E18C9">
      <w:pPr>
        <w:tabs>
          <w:tab w:val="left" w:pos="5101"/>
        </w:tabs>
        <w:jc w:val="both"/>
        <w:rPr>
          <w:rFonts w:ascii="Arial" w:hAnsi="Arial" w:cs="Arial"/>
          <w:noProof/>
          <w:lang w:val="en-GB"/>
        </w:rPr>
      </w:pPr>
      <w:r w:rsidRPr="005D45D2">
        <w:rPr>
          <w:rFonts w:ascii="Arial" w:hAnsi="Arial" w:cs="Arial"/>
          <w:b/>
          <w:noProof/>
          <w:lang w:val="en-GB"/>
        </w:rPr>
        <w:t>Market capitalization:</w:t>
      </w:r>
      <w:r w:rsidRPr="005D45D2">
        <w:rPr>
          <w:rFonts w:ascii="Arial" w:hAnsi="Arial" w:cs="Arial"/>
          <w:noProof/>
          <w:lang w:val="en-GB"/>
        </w:rPr>
        <w:t xml:space="preserve"> </w:t>
      </w:r>
      <w:r w:rsidRPr="000E18C9">
        <w:rPr>
          <w:rFonts w:ascii="Arial" w:hAnsi="Arial" w:cs="Arial"/>
          <w:noProof/>
          <w:lang w:val="en-GB"/>
        </w:rPr>
        <w:t>The market value of outstanding common shares; common shares outstanding times the market price per share. Market value per share is simply the share price.</w:t>
      </w:r>
    </w:p>
    <w:p w:rsidR="000E18C9" w:rsidRPr="000E18C9" w:rsidRDefault="000E18C9" w:rsidP="000E18C9">
      <w:pPr>
        <w:tabs>
          <w:tab w:val="left" w:pos="5101"/>
        </w:tabs>
        <w:jc w:val="both"/>
        <w:rPr>
          <w:rFonts w:ascii="Arial" w:hAnsi="Arial" w:cs="Arial"/>
          <w:noProof/>
          <w:lang w:val="en-GB"/>
        </w:rPr>
      </w:pPr>
    </w:p>
    <w:p w:rsidR="000E18C9" w:rsidRPr="000E18C9" w:rsidRDefault="000E18C9" w:rsidP="000E18C9">
      <w:pPr>
        <w:tabs>
          <w:tab w:val="left" w:pos="5101"/>
        </w:tabs>
        <w:jc w:val="both"/>
        <w:rPr>
          <w:rFonts w:ascii="Arial" w:hAnsi="Arial" w:cs="Arial"/>
          <w:noProof/>
          <w:lang w:val="en-GB"/>
        </w:rPr>
      </w:pPr>
      <w:r w:rsidRPr="005D45D2">
        <w:rPr>
          <w:rFonts w:ascii="Arial" w:hAnsi="Arial" w:cs="Arial"/>
          <w:b/>
          <w:noProof/>
          <w:lang w:val="en-GB"/>
        </w:rPr>
        <w:t>Net interest income (NII):</w:t>
      </w:r>
      <w:r w:rsidRPr="000E18C9">
        <w:rPr>
          <w:rFonts w:ascii="Arial" w:hAnsi="Arial" w:cs="Arial"/>
          <w:noProof/>
          <w:lang w:val="en-GB"/>
        </w:rPr>
        <w:t xml:space="preserve"> The difference between what is earned on assets such as loans and securities and what is paid on liabilities such as deposits and subordinated debentures.</w:t>
      </w:r>
    </w:p>
    <w:p w:rsidR="000E18C9" w:rsidRPr="000E18C9" w:rsidRDefault="000E18C9" w:rsidP="000E18C9">
      <w:pPr>
        <w:tabs>
          <w:tab w:val="left" w:pos="5101"/>
        </w:tabs>
        <w:jc w:val="both"/>
        <w:rPr>
          <w:rFonts w:ascii="Arial" w:hAnsi="Arial" w:cs="Arial"/>
          <w:noProof/>
          <w:lang w:val="en-GB"/>
        </w:rPr>
      </w:pPr>
    </w:p>
    <w:p w:rsidR="000E18C9" w:rsidRPr="000E18C9" w:rsidRDefault="000E18C9" w:rsidP="000E18C9">
      <w:pPr>
        <w:tabs>
          <w:tab w:val="left" w:pos="5101"/>
        </w:tabs>
        <w:jc w:val="both"/>
        <w:rPr>
          <w:rFonts w:ascii="Arial" w:hAnsi="Arial" w:cs="Arial"/>
          <w:b/>
          <w:i/>
          <w:noProof/>
          <w:lang w:val="en-GB"/>
        </w:rPr>
      </w:pPr>
      <w:r w:rsidRPr="005D45D2">
        <w:rPr>
          <w:rFonts w:ascii="Arial" w:hAnsi="Arial" w:cs="Arial"/>
          <w:b/>
          <w:noProof/>
          <w:lang w:val="en-GB"/>
        </w:rPr>
        <w:t>Non-controlling interest (formerly minority interest):</w:t>
      </w:r>
      <w:r w:rsidRPr="000E18C9">
        <w:rPr>
          <w:rFonts w:ascii="Arial" w:hAnsi="Arial" w:cs="Arial"/>
          <w:b/>
          <w:i/>
          <w:noProof/>
          <w:lang w:val="en-GB"/>
        </w:rPr>
        <w:t xml:space="preserve"> </w:t>
      </w:r>
      <w:r w:rsidRPr="000E18C9">
        <w:rPr>
          <w:rFonts w:ascii="Arial" w:hAnsi="Arial" w:cs="Arial"/>
          <w:noProof/>
          <w:lang w:val="en-GB"/>
        </w:rPr>
        <w:t>the portion of a subsidiary corporation’s stock not owned by the parent corporation. Non-controlling interest reflects the claim on assets belonging to other, non-controlling shareholders.</w:t>
      </w:r>
    </w:p>
    <w:p w:rsidR="000E18C9" w:rsidRPr="000E18C9" w:rsidRDefault="000E18C9" w:rsidP="000E18C9">
      <w:pPr>
        <w:tabs>
          <w:tab w:val="left" w:pos="5101"/>
        </w:tabs>
        <w:jc w:val="both"/>
        <w:rPr>
          <w:rFonts w:ascii="Arial" w:hAnsi="Arial" w:cs="Arial"/>
          <w:b/>
          <w:i/>
          <w:noProof/>
          <w:lang w:val="en-GB"/>
        </w:rPr>
      </w:pPr>
    </w:p>
    <w:p w:rsidR="000E18C9" w:rsidRPr="000E18C9" w:rsidRDefault="000E18C9" w:rsidP="000E18C9">
      <w:pPr>
        <w:tabs>
          <w:tab w:val="left" w:pos="5101"/>
        </w:tabs>
        <w:jc w:val="both"/>
        <w:rPr>
          <w:rFonts w:ascii="Arial" w:hAnsi="Arial" w:cs="Arial"/>
          <w:noProof/>
          <w:lang w:val="en-GB"/>
        </w:rPr>
      </w:pPr>
      <w:r w:rsidRPr="005D45D2">
        <w:rPr>
          <w:rFonts w:ascii="Arial" w:hAnsi="Arial" w:cs="Arial"/>
          <w:b/>
          <w:noProof/>
          <w:lang w:val="en-GB"/>
        </w:rPr>
        <w:t xml:space="preserve">Provision for credit losses (PCLs): </w:t>
      </w:r>
      <w:r w:rsidRPr="000E18C9">
        <w:rPr>
          <w:rFonts w:ascii="Arial" w:hAnsi="Arial" w:cs="Arial"/>
          <w:noProof/>
          <w:lang w:val="en-GB"/>
        </w:rPr>
        <w:t>The amount charged to income necessary to bring the allowance for credit losses to a level determined appropriate by management. PCLs recognize estimated losses on impaired loans, as well as losses that have been incurred but are not yet identified in the loans portfolio.</w:t>
      </w:r>
    </w:p>
    <w:p w:rsidR="000E18C9" w:rsidRPr="000E18C9" w:rsidRDefault="000E18C9" w:rsidP="000E18C9">
      <w:pPr>
        <w:tabs>
          <w:tab w:val="left" w:pos="5101"/>
        </w:tabs>
        <w:jc w:val="both"/>
        <w:rPr>
          <w:rFonts w:ascii="Arial" w:hAnsi="Arial" w:cs="Arial"/>
          <w:noProof/>
          <w:lang w:val="en-GB"/>
        </w:rPr>
      </w:pPr>
    </w:p>
    <w:p w:rsidR="000E18C9" w:rsidRPr="000E18C9" w:rsidRDefault="000E18C9" w:rsidP="000E18C9">
      <w:pPr>
        <w:tabs>
          <w:tab w:val="left" w:pos="5101"/>
        </w:tabs>
        <w:jc w:val="both"/>
        <w:rPr>
          <w:rFonts w:ascii="Arial" w:hAnsi="Arial" w:cs="Arial"/>
          <w:noProof/>
          <w:lang w:val="en-GB"/>
        </w:rPr>
      </w:pPr>
      <w:r w:rsidRPr="005D45D2">
        <w:rPr>
          <w:rFonts w:ascii="Arial" w:hAnsi="Arial" w:cs="Arial"/>
          <w:b/>
          <w:noProof/>
          <w:lang w:val="en-GB"/>
        </w:rPr>
        <w:t>Return on common equity (ROE):</w:t>
      </w:r>
      <w:r w:rsidRPr="000E18C9">
        <w:rPr>
          <w:rFonts w:ascii="Arial" w:hAnsi="Arial" w:cs="Arial"/>
          <w:b/>
          <w:i/>
          <w:noProof/>
          <w:lang w:val="en-GB"/>
        </w:rPr>
        <w:t xml:space="preserve"> </w:t>
      </w:r>
      <w:r w:rsidRPr="000E18C9">
        <w:rPr>
          <w:rFonts w:ascii="Arial" w:hAnsi="Arial" w:cs="Arial"/>
          <w:noProof/>
          <w:lang w:val="en-GB"/>
        </w:rPr>
        <w:t xml:space="preserve">Based on net income available to common shareholders divided by total average common equity for the period. </w:t>
      </w:r>
    </w:p>
    <w:p w:rsidR="000E18C9" w:rsidRPr="000E18C9" w:rsidRDefault="000E18C9" w:rsidP="000E18C9">
      <w:pPr>
        <w:tabs>
          <w:tab w:val="left" w:pos="5101"/>
        </w:tabs>
        <w:jc w:val="both"/>
        <w:rPr>
          <w:rFonts w:ascii="Arial" w:hAnsi="Arial" w:cs="Arial"/>
          <w:noProof/>
          <w:lang w:val="en-GB"/>
        </w:rPr>
      </w:pPr>
    </w:p>
    <w:p w:rsidR="000E18C9" w:rsidRPr="000E18C9" w:rsidRDefault="000E18C9" w:rsidP="000E18C9">
      <w:pPr>
        <w:tabs>
          <w:tab w:val="left" w:pos="5101"/>
        </w:tabs>
        <w:jc w:val="both"/>
        <w:rPr>
          <w:rFonts w:ascii="Arial" w:hAnsi="Arial" w:cs="Arial"/>
          <w:noProof/>
          <w:lang w:val="en-GB"/>
        </w:rPr>
      </w:pPr>
      <w:r w:rsidRPr="005D45D2">
        <w:rPr>
          <w:rFonts w:ascii="Arial" w:hAnsi="Arial" w:cs="Arial"/>
          <w:b/>
          <w:noProof/>
          <w:lang w:val="en-GB"/>
        </w:rPr>
        <w:t>Risk-weighted assets (RWA):</w:t>
      </w:r>
      <w:r w:rsidRPr="000E18C9">
        <w:rPr>
          <w:rFonts w:ascii="Arial" w:hAnsi="Arial" w:cs="Arial"/>
          <w:noProof/>
          <w:lang w:val="en-GB"/>
        </w:rPr>
        <w:t xml:space="preserve"> Assets calculated by applying a regulatory risk-weight factor to on- and off-balance sheet exposures. The risk-weight factors are established by the Office of the Superintendent of Financial Institutions (OSFI) to convert on- and off-balance sheet exposures to a comparable risk level.</w:t>
      </w:r>
    </w:p>
    <w:p w:rsidR="000E18C9" w:rsidRPr="000E18C9" w:rsidRDefault="000E18C9" w:rsidP="000E18C9">
      <w:pPr>
        <w:tabs>
          <w:tab w:val="left" w:pos="5101"/>
        </w:tabs>
        <w:jc w:val="both"/>
        <w:rPr>
          <w:rFonts w:ascii="Arial" w:hAnsi="Arial" w:cs="Arial"/>
          <w:noProof/>
          <w:lang w:val="en-GB"/>
        </w:rPr>
      </w:pPr>
    </w:p>
    <w:p w:rsidR="000E18C9" w:rsidRPr="000E18C9" w:rsidRDefault="000E18C9" w:rsidP="000E18C9">
      <w:pPr>
        <w:jc w:val="both"/>
        <w:rPr>
          <w:rFonts w:ascii="Arial" w:hAnsi="Arial" w:cs="Arial"/>
          <w:b/>
          <w:noProof/>
          <w:lang w:val="en-GB"/>
        </w:rPr>
      </w:pPr>
      <w:r w:rsidRPr="005D45D2">
        <w:rPr>
          <w:rFonts w:ascii="Arial" w:hAnsi="Arial" w:cs="Arial"/>
          <w:b/>
          <w:noProof/>
          <w:lang w:val="en-GB"/>
        </w:rPr>
        <w:t>Shareholders’ equity (also called stockholders’ equity):</w:t>
      </w:r>
      <w:r w:rsidRPr="000E18C9">
        <w:rPr>
          <w:rFonts w:ascii="Arial" w:hAnsi="Arial" w:cs="Arial"/>
          <w:b/>
          <w:noProof/>
          <w:lang w:val="en-GB"/>
        </w:rPr>
        <w:t xml:space="preserve"> </w:t>
      </w:r>
      <w:r w:rsidRPr="000E18C9">
        <w:rPr>
          <w:rFonts w:ascii="Arial" w:hAnsi="Arial" w:cs="Arial"/>
          <w:noProof/>
          <w:lang w:val="en-GB"/>
        </w:rPr>
        <w:t xml:space="preserve">Common equity (common shares, treasury shares, retained earnings, and other components of equity) plus preferred shares. </w:t>
      </w:r>
    </w:p>
    <w:p w:rsidR="000E18C9" w:rsidRPr="000E18C9" w:rsidRDefault="000E18C9" w:rsidP="000E18C9">
      <w:pPr>
        <w:jc w:val="both"/>
        <w:rPr>
          <w:rFonts w:ascii="Arial" w:hAnsi="Arial" w:cs="Arial"/>
          <w:b/>
          <w:noProof/>
          <w:lang w:val="en-GB"/>
        </w:rPr>
      </w:pPr>
    </w:p>
    <w:p w:rsidR="000E18C9" w:rsidRPr="000E18C9" w:rsidRDefault="000E18C9" w:rsidP="000E18C9">
      <w:pPr>
        <w:tabs>
          <w:tab w:val="left" w:pos="5101"/>
        </w:tabs>
        <w:jc w:val="both"/>
        <w:rPr>
          <w:rFonts w:ascii="Arial" w:hAnsi="Arial" w:cs="Arial"/>
          <w:noProof/>
          <w:lang w:val="en-GB"/>
        </w:rPr>
      </w:pPr>
      <w:r w:rsidRPr="005D45D2">
        <w:rPr>
          <w:rFonts w:ascii="Arial" w:hAnsi="Arial" w:cs="Arial"/>
          <w:b/>
          <w:noProof/>
          <w:lang w:val="en-GB"/>
        </w:rPr>
        <w:t>Tier 1 capital:</w:t>
      </w:r>
      <w:r w:rsidRPr="005D45D2">
        <w:rPr>
          <w:rFonts w:ascii="Arial" w:hAnsi="Arial" w:cs="Arial"/>
          <w:noProof/>
          <w:lang w:val="en-GB"/>
        </w:rPr>
        <w:t xml:space="preserve"> </w:t>
      </w:r>
      <w:r w:rsidRPr="000E18C9">
        <w:rPr>
          <w:rFonts w:ascii="Arial" w:hAnsi="Arial" w:cs="Arial"/>
          <w:noProof/>
          <w:lang w:val="en-GB"/>
        </w:rPr>
        <w:t>Comprises predominantly CET1, with additional tier 1 items such as preferred shares and non-controlling interests in subsidiaries tier 1 instruments.</w:t>
      </w:r>
    </w:p>
    <w:p w:rsidR="000E18C9" w:rsidRPr="000E18C9" w:rsidRDefault="000E18C9" w:rsidP="000E18C9">
      <w:pPr>
        <w:tabs>
          <w:tab w:val="left" w:pos="5101"/>
        </w:tabs>
        <w:jc w:val="both"/>
        <w:rPr>
          <w:rFonts w:ascii="Arial" w:hAnsi="Arial" w:cs="Arial"/>
          <w:noProof/>
          <w:lang w:val="en-GB"/>
        </w:rPr>
      </w:pPr>
    </w:p>
    <w:p w:rsidR="000E18C9" w:rsidRPr="000E18C9" w:rsidRDefault="000E18C9" w:rsidP="000E18C9">
      <w:pPr>
        <w:jc w:val="both"/>
        <w:rPr>
          <w:rFonts w:ascii="Arial" w:hAnsi="Arial" w:cs="Arial"/>
          <w:noProof/>
          <w:lang w:val="en-GB"/>
        </w:rPr>
      </w:pPr>
      <w:r w:rsidRPr="005D45D2">
        <w:rPr>
          <w:rFonts w:ascii="Arial" w:hAnsi="Arial" w:cs="Arial"/>
          <w:b/>
          <w:noProof/>
          <w:lang w:val="en-GB"/>
        </w:rPr>
        <w:t>Total shareholder return (TSR):</w:t>
      </w:r>
      <w:r w:rsidRPr="005D45D2">
        <w:rPr>
          <w:rFonts w:ascii="Arial" w:hAnsi="Arial" w:cs="Arial"/>
          <w:noProof/>
          <w:lang w:val="en-GB"/>
        </w:rPr>
        <w:t xml:space="preserve"> </w:t>
      </w:r>
      <w:r w:rsidRPr="000E18C9">
        <w:rPr>
          <w:rFonts w:ascii="Arial" w:hAnsi="Arial" w:cs="Arial"/>
          <w:noProof/>
          <w:lang w:val="en-GB"/>
        </w:rPr>
        <w:t xml:space="preserve">The change in the market price of the common share over some time- horizon plus dividends paid during this horizon. </w:t>
      </w:r>
      <w:r w:rsidRPr="000E18C9">
        <w:rPr>
          <w:rFonts w:ascii="Arial" w:hAnsi="Arial" w:cs="Arial"/>
          <w:noProof/>
          <w:lang w:val="en-GB"/>
        </w:rPr>
        <w:br w:type="page"/>
      </w:r>
    </w:p>
    <w:p w:rsidR="000E18C9" w:rsidRPr="000E18C9" w:rsidRDefault="000E18C9" w:rsidP="000C4AFD">
      <w:pPr>
        <w:pStyle w:val="Casehead1"/>
        <w:jc w:val="center"/>
        <w:rPr>
          <w:noProof/>
          <w:lang w:val="en-GB" w:eastAsia="en-CA"/>
        </w:rPr>
      </w:pPr>
      <w:r w:rsidRPr="000E18C9">
        <w:rPr>
          <w:noProof/>
          <w:lang w:val="en-GB" w:eastAsia="en-CA"/>
        </w:rPr>
        <w:lastRenderedPageBreak/>
        <w:t>APPENDIX B: Definitions for Financial Ratios</w:t>
      </w:r>
    </w:p>
    <w:p w:rsidR="000E18C9" w:rsidRPr="000E18C9" w:rsidRDefault="000E18C9" w:rsidP="000E18C9">
      <w:pPr>
        <w:tabs>
          <w:tab w:val="left" w:pos="5101"/>
        </w:tabs>
        <w:jc w:val="both"/>
        <w:rPr>
          <w:rFonts w:ascii="Arial" w:hAnsi="Arial" w:cs="Arial"/>
          <w:b/>
          <w:noProof/>
          <w:lang w:val="en-GB"/>
        </w:rPr>
      </w:pPr>
    </w:p>
    <w:p w:rsidR="000E18C9" w:rsidRPr="000E18C9" w:rsidRDefault="000E18C9" w:rsidP="000E18C9">
      <w:pPr>
        <w:jc w:val="both"/>
        <w:rPr>
          <w:rFonts w:ascii="Arial" w:hAnsi="Arial" w:cs="Arial"/>
          <w:noProof/>
          <w:lang w:val="en-GB"/>
        </w:rPr>
      </w:pPr>
      <w:r w:rsidRPr="000E18C9">
        <w:rPr>
          <w:rFonts w:ascii="Arial" w:hAnsi="Arial" w:cs="Arial"/>
          <w:noProof/>
          <w:lang w:val="en-GB"/>
        </w:rPr>
        <w:t xml:space="preserve">Return on common equity (ROE) = (Net income − preferred share dividends) ÷ average common equity </w:t>
      </w:r>
    </w:p>
    <w:p w:rsidR="000E18C9" w:rsidRPr="000E18C9" w:rsidRDefault="000E18C9" w:rsidP="000E18C9">
      <w:pPr>
        <w:jc w:val="both"/>
        <w:rPr>
          <w:rFonts w:ascii="Arial" w:hAnsi="Arial" w:cs="Arial"/>
          <w:noProof/>
          <w:lang w:val="en-GB"/>
        </w:rPr>
      </w:pPr>
    </w:p>
    <w:p w:rsidR="000E18C9" w:rsidRPr="000E18C9" w:rsidRDefault="000E18C9" w:rsidP="000E18C9">
      <w:pPr>
        <w:jc w:val="both"/>
        <w:rPr>
          <w:rFonts w:ascii="Arial" w:hAnsi="Arial" w:cs="Arial"/>
          <w:noProof/>
          <w:lang w:val="en-GB"/>
        </w:rPr>
      </w:pPr>
      <w:r w:rsidRPr="000E18C9">
        <w:rPr>
          <w:rFonts w:ascii="Arial" w:hAnsi="Arial" w:cs="Arial"/>
          <w:noProof/>
          <w:lang w:val="en-GB"/>
        </w:rPr>
        <w:t>Return on assets (ROA) = Net income ÷ average total assets</w:t>
      </w:r>
    </w:p>
    <w:p w:rsidR="000E18C9" w:rsidRPr="000E18C9" w:rsidRDefault="000E18C9" w:rsidP="000E18C9">
      <w:pPr>
        <w:jc w:val="both"/>
        <w:rPr>
          <w:rFonts w:ascii="Arial" w:hAnsi="Arial" w:cs="Arial"/>
          <w:noProof/>
          <w:lang w:val="en-GB"/>
        </w:rPr>
      </w:pPr>
    </w:p>
    <w:p w:rsidR="000E18C9" w:rsidRPr="000E18C9" w:rsidRDefault="000E18C9" w:rsidP="000E18C9">
      <w:pPr>
        <w:jc w:val="both"/>
        <w:rPr>
          <w:rFonts w:ascii="Arial" w:hAnsi="Arial" w:cs="Arial"/>
          <w:noProof/>
          <w:lang w:val="en-GB"/>
        </w:rPr>
      </w:pPr>
      <w:r w:rsidRPr="000E18C9">
        <w:rPr>
          <w:rFonts w:ascii="Arial" w:hAnsi="Arial" w:cs="Arial"/>
          <w:noProof/>
          <w:lang w:val="en-GB"/>
        </w:rPr>
        <w:t>Dividend payout = Dividends paid to common shareholders ÷ (net income less preferred share dividends)</w:t>
      </w:r>
    </w:p>
    <w:p w:rsidR="000E18C9" w:rsidRPr="000E18C9" w:rsidRDefault="000E18C9" w:rsidP="000E18C9">
      <w:pPr>
        <w:jc w:val="both"/>
        <w:rPr>
          <w:rFonts w:ascii="Arial" w:hAnsi="Arial" w:cs="Arial"/>
          <w:noProof/>
          <w:lang w:val="en-GB"/>
        </w:rPr>
      </w:pPr>
    </w:p>
    <w:p w:rsidR="000E18C9" w:rsidRPr="000E18C9" w:rsidRDefault="000E18C9" w:rsidP="000E18C9">
      <w:pPr>
        <w:jc w:val="both"/>
        <w:rPr>
          <w:rFonts w:ascii="Arial" w:hAnsi="Arial" w:cs="Arial"/>
          <w:noProof/>
          <w:lang w:val="en-GB"/>
        </w:rPr>
      </w:pPr>
      <w:r w:rsidRPr="000E18C9">
        <w:rPr>
          <w:rFonts w:ascii="Arial" w:hAnsi="Arial" w:cs="Arial"/>
          <w:noProof/>
          <w:lang w:val="en-GB"/>
        </w:rPr>
        <w:t>Net interest margin (NIM) = Net interest income ÷ average interest earning assets</w:t>
      </w:r>
    </w:p>
    <w:p w:rsidR="000E18C9" w:rsidRPr="000E18C9" w:rsidRDefault="000E18C9" w:rsidP="000E18C9">
      <w:pPr>
        <w:jc w:val="both"/>
        <w:rPr>
          <w:rFonts w:ascii="Arial" w:hAnsi="Arial" w:cs="Arial"/>
          <w:noProof/>
          <w:lang w:val="en-GB"/>
        </w:rPr>
      </w:pPr>
    </w:p>
    <w:p w:rsidR="000E18C9" w:rsidRPr="000E18C9" w:rsidRDefault="000E18C9" w:rsidP="000E18C9">
      <w:pPr>
        <w:jc w:val="both"/>
        <w:rPr>
          <w:rFonts w:ascii="Arial" w:hAnsi="Arial" w:cs="Arial"/>
          <w:noProof/>
          <w:lang w:val="en-GB"/>
        </w:rPr>
      </w:pPr>
      <w:r w:rsidRPr="000E18C9">
        <w:rPr>
          <w:rFonts w:ascii="Arial" w:hAnsi="Arial" w:cs="Arial"/>
          <w:noProof/>
          <w:lang w:val="en-GB"/>
        </w:rPr>
        <w:t>Revenues = Net interest income + non-interest income</w:t>
      </w:r>
    </w:p>
    <w:p w:rsidR="000E18C9" w:rsidRPr="000E18C9" w:rsidRDefault="000E18C9" w:rsidP="000E18C9">
      <w:pPr>
        <w:jc w:val="both"/>
        <w:rPr>
          <w:rFonts w:ascii="Arial" w:hAnsi="Arial" w:cs="Arial"/>
          <w:noProof/>
          <w:lang w:val="en-GB"/>
        </w:rPr>
      </w:pPr>
    </w:p>
    <w:p w:rsidR="000E18C9" w:rsidRPr="000E18C9" w:rsidRDefault="000E18C9" w:rsidP="000E18C9">
      <w:pPr>
        <w:jc w:val="both"/>
        <w:rPr>
          <w:rFonts w:ascii="Arial" w:hAnsi="Arial" w:cs="Arial"/>
          <w:noProof/>
          <w:lang w:val="en-GB"/>
        </w:rPr>
      </w:pPr>
      <w:r w:rsidRPr="000E18C9">
        <w:rPr>
          <w:rFonts w:ascii="Arial" w:hAnsi="Arial" w:cs="Arial"/>
          <w:noProof/>
          <w:lang w:val="en-GB"/>
        </w:rPr>
        <w:t>Efficiency ratio = Non-interest expense ÷ (net interest income + non-interest income)</w:t>
      </w:r>
    </w:p>
    <w:p w:rsidR="000E18C9" w:rsidRPr="000E18C9" w:rsidRDefault="000E18C9" w:rsidP="000E18C9">
      <w:pPr>
        <w:jc w:val="both"/>
        <w:rPr>
          <w:rFonts w:ascii="Arial" w:hAnsi="Arial" w:cs="Arial"/>
          <w:noProof/>
          <w:lang w:val="en-GB"/>
        </w:rPr>
      </w:pPr>
    </w:p>
    <w:p w:rsidR="000E18C9" w:rsidRPr="000E18C9" w:rsidRDefault="000E18C9" w:rsidP="000E18C9">
      <w:pPr>
        <w:jc w:val="both"/>
        <w:rPr>
          <w:rFonts w:ascii="Arial" w:hAnsi="Arial" w:cs="Arial"/>
          <w:noProof/>
          <w:lang w:val="en-GB"/>
        </w:rPr>
      </w:pPr>
      <w:r w:rsidRPr="000E18C9">
        <w:rPr>
          <w:rFonts w:ascii="Arial" w:hAnsi="Arial" w:cs="Arial"/>
          <w:noProof/>
          <w:lang w:val="en-GB"/>
        </w:rPr>
        <w:t xml:space="preserve">Provision for credit losses (PCLs) ÷ net loans = Provision for credit losses ÷ net loans </w:t>
      </w:r>
    </w:p>
    <w:p w:rsidR="000E18C9" w:rsidRPr="000E18C9" w:rsidRDefault="000E18C9" w:rsidP="000E18C9">
      <w:pPr>
        <w:jc w:val="both"/>
        <w:rPr>
          <w:rFonts w:ascii="Arial" w:hAnsi="Arial" w:cs="Arial"/>
          <w:noProof/>
          <w:lang w:val="en-GB"/>
        </w:rPr>
      </w:pPr>
    </w:p>
    <w:p w:rsidR="000E18C9" w:rsidRPr="000E18C9" w:rsidRDefault="000E18C9" w:rsidP="000E18C9">
      <w:pPr>
        <w:jc w:val="both"/>
        <w:rPr>
          <w:rFonts w:ascii="Arial" w:hAnsi="Arial" w:cs="Arial"/>
          <w:noProof/>
          <w:lang w:val="en-GB"/>
        </w:rPr>
      </w:pPr>
      <w:r w:rsidRPr="000E18C9">
        <w:rPr>
          <w:rFonts w:ascii="Arial" w:hAnsi="Arial" w:cs="Arial"/>
          <w:noProof/>
          <w:lang w:val="en-GB"/>
        </w:rPr>
        <w:t xml:space="preserve">Price ÷ Book = Market price per share ÷ book value per share </w:t>
      </w:r>
    </w:p>
    <w:p w:rsidR="000E18C9" w:rsidRPr="000E18C9" w:rsidRDefault="000E18C9" w:rsidP="000E18C9">
      <w:pPr>
        <w:jc w:val="both"/>
        <w:rPr>
          <w:rFonts w:ascii="Arial" w:hAnsi="Arial" w:cs="Arial"/>
          <w:noProof/>
          <w:lang w:val="en-GB"/>
        </w:rPr>
      </w:pPr>
    </w:p>
    <w:p w:rsidR="000E18C9" w:rsidRPr="000E18C9" w:rsidRDefault="000E18C9" w:rsidP="000E18C9">
      <w:pPr>
        <w:jc w:val="both"/>
        <w:rPr>
          <w:rFonts w:ascii="Arial" w:hAnsi="Arial" w:cs="Arial"/>
          <w:noProof/>
          <w:lang w:val="en-GB"/>
        </w:rPr>
      </w:pPr>
      <w:r w:rsidRPr="000E18C9">
        <w:rPr>
          <w:rFonts w:ascii="Arial" w:hAnsi="Arial" w:cs="Arial"/>
          <w:noProof/>
          <w:lang w:val="en-GB"/>
        </w:rPr>
        <w:t>Loans ÷ Assets = Net loans ÷ total assets</w:t>
      </w:r>
    </w:p>
    <w:p w:rsidR="000E18C9" w:rsidRPr="000E18C9" w:rsidRDefault="000E18C9" w:rsidP="000E18C9">
      <w:pPr>
        <w:jc w:val="both"/>
        <w:rPr>
          <w:rFonts w:ascii="Arial" w:hAnsi="Arial" w:cs="Arial"/>
          <w:noProof/>
          <w:lang w:val="en-GB"/>
        </w:rPr>
      </w:pPr>
    </w:p>
    <w:p w:rsidR="000E18C9" w:rsidRPr="000E18C9" w:rsidRDefault="000E18C9" w:rsidP="000E18C9">
      <w:pPr>
        <w:jc w:val="both"/>
        <w:rPr>
          <w:rFonts w:ascii="Arial" w:hAnsi="Arial" w:cs="Arial"/>
          <w:noProof/>
          <w:lang w:val="en-GB"/>
        </w:rPr>
      </w:pPr>
      <w:r w:rsidRPr="000E18C9">
        <w:rPr>
          <w:rFonts w:ascii="Arial" w:hAnsi="Arial" w:cs="Arial"/>
          <w:noProof/>
          <w:lang w:val="en-GB"/>
        </w:rPr>
        <w:t>Asset Growth = (Total assets current fiscal year ÷ total assets previous fiscal year) − 1</w:t>
      </w:r>
    </w:p>
    <w:p w:rsidR="000E18C9" w:rsidRPr="000E18C9" w:rsidRDefault="000E18C9" w:rsidP="000E18C9">
      <w:pPr>
        <w:jc w:val="both"/>
        <w:rPr>
          <w:rFonts w:ascii="Arial" w:hAnsi="Arial" w:cs="Arial"/>
          <w:noProof/>
          <w:lang w:val="en-GB"/>
        </w:rPr>
      </w:pPr>
    </w:p>
    <w:p w:rsidR="000E18C9" w:rsidRPr="000E18C9" w:rsidRDefault="000E18C9" w:rsidP="000E18C9">
      <w:pPr>
        <w:jc w:val="both"/>
        <w:rPr>
          <w:rFonts w:ascii="Arial" w:hAnsi="Arial" w:cs="Arial"/>
          <w:noProof/>
          <w:lang w:val="en-GB"/>
        </w:rPr>
      </w:pPr>
      <w:r w:rsidRPr="000E18C9">
        <w:rPr>
          <w:rFonts w:ascii="Arial" w:hAnsi="Arial" w:cs="Arial"/>
          <w:noProof/>
          <w:lang w:val="en-GB"/>
        </w:rPr>
        <w:t>Earnings per share (EPS) growth = (EPS current fiscal year ÷ EPS previous fiscal year) − 1</w:t>
      </w:r>
    </w:p>
    <w:p w:rsidR="000E18C9" w:rsidRPr="000E18C9" w:rsidRDefault="000E18C9" w:rsidP="000E18C9">
      <w:pPr>
        <w:tabs>
          <w:tab w:val="right" w:pos="7200"/>
          <w:tab w:val="right" w:pos="9000"/>
        </w:tabs>
        <w:rPr>
          <w:rFonts w:ascii="Arial" w:hAnsi="Arial" w:cs="Arial"/>
          <w:noProof/>
          <w:lang w:val="en-GB"/>
        </w:rPr>
      </w:pPr>
    </w:p>
    <w:p w:rsidR="00465348" w:rsidRPr="000E18C9" w:rsidRDefault="00465348" w:rsidP="000D7091">
      <w:pPr>
        <w:pStyle w:val="BodyTextMain"/>
        <w:rPr>
          <w:lang w:val="en-GB"/>
        </w:rPr>
      </w:pPr>
    </w:p>
    <w:p w:rsidR="000E18C9" w:rsidRDefault="000E18C9" w:rsidP="000D7091">
      <w:pPr>
        <w:pStyle w:val="BodyTextMain"/>
      </w:pPr>
    </w:p>
    <w:p w:rsidR="000E18C9" w:rsidRPr="009C2666" w:rsidRDefault="000E18C9" w:rsidP="000D7091">
      <w:pPr>
        <w:pStyle w:val="BodyTextMain"/>
      </w:pPr>
    </w:p>
    <w:sectPr w:rsidR="000E18C9" w:rsidRPr="009C2666" w:rsidSect="000C4AFD">
      <w:headerReference w:type="default" r:id="rId16"/>
      <w:headerReference w:type="first" r:id="rId17"/>
      <w:type w:val="continuous"/>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3C26" w:rsidRDefault="008C3C26" w:rsidP="00D75295">
      <w:r>
        <w:separator/>
      </w:r>
    </w:p>
  </w:endnote>
  <w:endnote w:type="continuationSeparator" w:id="0">
    <w:p w:rsidR="008C3C26" w:rsidRDefault="008C3C26"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3C26" w:rsidRPr="000C4AFD" w:rsidRDefault="008C3C26" w:rsidP="000C4A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3C26" w:rsidRDefault="008C3C26" w:rsidP="00D75295">
      <w:r>
        <w:separator/>
      </w:r>
    </w:p>
  </w:footnote>
  <w:footnote w:type="continuationSeparator" w:id="0">
    <w:p w:rsidR="008C3C26" w:rsidRDefault="008C3C26" w:rsidP="00D75295">
      <w:r>
        <w:continuationSeparator/>
      </w:r>
    </w:p>
  </w:footnote>
  <w:footnote w:id="1">
    <w:p w:rsidR="008C3C26" w:rsidRDefault="008C3C26" w:rsidP="000E18C9">
      <w:pPr>
        <w:pStyle w:val="FootnoteText1"/>
      </w:pPr>
      <w:r>
        <w:rPr>
          <w:rStyle w:val="FootnoteReference"/>
        </w:rPr>
        <w:footnoteRef/>
      </w:r>
      <w:r>
        <w:t xml:space="preserve"> Material in this section on U.S. banking is drawn from David H. Carpenter </w:t>
      </w:r>
      <w:r w:rsidRPr="00011C84">
        <w:t>and M. Maureen Murphy</w:t>
      </w:r>
      <w:r>
        <w:t>,</w:t>
      </w:r>
      <w:r w:rsidRPr="00011C84">
        <w:t xml:space="preserve"> “</w:t>
      </w:r>
      <w:r>
        <w:t>The ‘Volcker Rule’: Proposals to Limit ‘Speculative’ Proprietary Trading by Banks,</w:t>
      </w:r>
      <w:r w:rsidRPr="00011C84">
        <w:t>” Congressional Research Service</w:t>
      </w:r>
      <w:r>
        <w:t>,</w:t>
      </w:r>
      <w:r w:rsidRPr="00011C84">
        <w:t xml:space="preserve"> R</w:t>
      </w:r>
      <w:r>
        <w:t xml:space="preserve">41298, June 22, 2010, </w:t>
      </w:r>
      <w:r w:rsidRPr="00114E7F">
        <w:t>https://fas.org/sgp/crs/misc/R41298.pdf</w:t>
      </w:r>
      <w:r>
        <w:t xml:space="preserve">; Anthony Saunders and Marcia </w:t>
      </w:r>
      <w:proofErr w:type="spellStart"/>
      <w:r>
        <w:t>Millon</w:t>
      </w:r>
      <w:proofErr w:type="spellEnd"/>
      <w:r>
        <w:t xml:space="preserve"> Cornett, </w:t>
      </w:r>
      <w:r w:rsidRPr="00A16D95">
        <w:t>Financial Institutions Management</w:t>
      </w:r>
      <w:r>
        <w:t xml:space="preserve">, </w:t>
      </w:r>
      <w:r w:rsidRPr="00A16D95">
        <w:t>5</w:t>
      </w:r>
      <w:r>
        <w:t>th ed. (New York: McGraw-Hill Irwin, 2006); Company websites.</w:t>
      </w:r>
    </w:p>
  </w:footnote>
  <w:footnote w:id="2">
    <w:p w:rsidR="008C3C26" w:rsidRPr="0084657F" w:rsidRDefault="008C3C26" w:rsidP="000E18C9">
      <w:pPr>
        <w:pStyle w:val="FootnoteText1"/>
      </w:pPr>
      <w:r>
        <w:rPr>
          <w:rStyle w:val="FootnoteReference"/>
        </w:rPr>
        <w:footnoteRef/>
      </w:r>
      <w:r w:rsidRPr="0084657F">
        <w:t xml:space="preserve"> In one famous example, J.P. Morgan &amp; Co. spun off </w:t>
      </w:r>
      <w:r>
        <w:t>its</w:t>
      </w:r>
      <w:r w:rsidRPr="0084657F">
        <w:t xml:space="preserve"> securities operations in 1935</w:t>
      </w:r>
      <w:r>
        <w:t>,</w:t>
      </w:r>
      <w:r w:rsidRPr="0084657F">
        <w:t xml:space="preserve"> under the leadership of Henry S. Morgan and Harold Stanley</w:t>
      </w:r>
      <w:r>
        <w:t>,</w:t>
      </w:r>
      <w:r w:rsidRPr="0084657F">
        <w:t xml:space="preserve"> to form the investment bank Morgan Stanley.</w:t>
      </w:r>
    </w:p>
  </w:footnote>
  <w:footnote w:id="3">
    <w:p w:rsidR="008C3C26" w:rsidRDefault="008C3C26" w:rsidP="000E18C9">
      <w:pPr>
        <w:pStyle w:val="FootnoteText1"/>
      </w:pPr>
      <w:r>
        <w:rPr>
          <w:rStyle w:val="FootnoteReference"/>
        </w:rPr>
        <w:footnoteRef/>
      </w:r>
      <w:r>
        <w:t xml:space="preserve"> Section 20 of the </w:t>
      </w:r>
      <w:r w:rsidRPr="00A52F0C">
        <w:t>Glass</w:t>
      </w:r>
      <w:r>
        <w:t>–</w:t>
      </w:r>
      <w:r w:rsidRPr="00A52F0C">
        <w:t>Steagall Act</w:t>
      </w:r>
      <w:r>
        <w:t xml:space="preserve"> allowed commercial banks to own subsidiaries engaged in securities businesses as long as the revenues from restricted activities did not exceed some threshold of total revenues. </w:t>
      </w:r>
    </w:p>
  </w:footnote>
  <w:footnote w:id="4">
    <w:p w:rsidR="008C3C26" w:rsidRDefault="008C3C26" w:rsidP="000E18C9">
      <w:pPr>
        <w:pStyle w:val="FootnoteText1"/>
      </w:pPr>
      <w:r>
        <w:rPr>
          <w:rStyle w:val="FootnoteReference"/>
        </w:rPr>
        <w:footnoteRef/>
      </w:r>
      <w:r>
        <w:t xml:space="preserve"> Investment banking (or capital markets) is a generic term encompassing advisory businesses such as mergers and acquisitions and trading-based businesses such as securities sales, market making, and underwriting.</w:t>
      </w:r>
    </w:p>
  </w:footnote>
  <w:footnote w:id="5">
    <w:p w:rsidR="008C3C26" w:rsidRPr="005D45D2" w:rsidRDefault="008C3C26" w:rsidP="005D45D2">
      <w:pPr>
        <w:pStyle w:val="FootnoteText1"/>
      </w:pPr>
      <w:r w:rsidRPr="005D45D2">
        <w:rPr>
          <w:rStyle w:val="FootnoteReference"/>
        </w:rPr>
        <w:footnoteRef/>
      </w:r>
      <w:r w:rsidRPr="005D45D2">
        <w:t xml:space="preserve"> For non-financial companies, investors typically define ROE as net Income divided by shareholders’ equity, where shareholders’ equity = common equity + preferred shares + non-controlling interest.</w:t>
      </w:r>
    </w:p>
  </w:footnote>
  <w:footnote w:id="6">
    <w:p w:rsidR="008C3C26" w:rsidRDefault="008C3C26" w:rsidP="000E18C9">
      <w:pPr>
        <w:pStyle w:val="FootnoteText1"/>
      </w:pPr>
      <w:r>
        <w:rPr>
          <w:rStyle w:val="FootnoteReference"/>
        </w:rPr>
        <w:footnoteRef/>
      </w:r>
      <w:r>
        <w:t xml:space="preserve"> Basel III capital ratios include a capital conservation buffer of 2.5 per cent that bank supervisors can vary over time but do not include the capital surcharge for systemically important banks (SIBs). Currently, TD Bank is designated as a domestic SIB and faces a 1 per cent capital surcharge.</w:t>
      </w:r>
    </w:p>
  </w:footnote>
  <w:footnote w:id="7">
    <w:p w:rsidR="008C3C26" w:rsidRDefault="008C3C26" w:rsidP="000E18C9">
      <w:pPr>
        <w:pStyle w:val="FootnoteText1"/>
      </w:pPr>
      <w:r>
        <w:rPr>
          <w:rStyle w:val="FootnoteReference"/>
        </w:rPr>
        <w:footnoteRef/>
      </w:r>
      <w:r>
        <w:t xml:space="preserve"> An important third dimension is how a bank’s ratios relate to the bank’s business and financial strategy, but we do not discuss this dimension in this note.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3C26" w:rsidRDefault="008C3C26" w:rsidP="000E18C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BA0CBB">
      <w:rPr>
        <w:rFonts w:ascii="Arial" w:hAnsi="Arial"/>
        <w:b/>
        <w:noProof/>
      </w:rPr>
      <w:t>8</w:t>
    </w:r>
    <w:r>
      <w:rPr>
        <w:rFonts w:ascii="Arial" w:hAnsi="Arial"/>
        <w:b/>
      </w:rPr>
      <w:fldChar w:fldCharType="end"/>
    </w:r>
    <w:r>
      <w:rPr>
        <w:rFonts w:ascii="Arial" w:hAnsi="Arial"/>
        <w:b/>
      </w:rPr>
      <w:tab/>
      <w:t>9B18N001</w:t>
    </w:r>
  </w:p>
  <w:p w:rsidR="008C3C26" w:rsidRDefault="008C3C26" w:rsidP="000E18C9">
    <w:pPr>
      <w:tabs>
        <w:tab w:val="left" w:pos="-1440"/>
        <w:tab w:val="left" w:pos="-720"/>
        <w:tab w:val="left" w:leader="dot" w:pos="1"/>
        <w:tab w:val="left" w:pos="720"/>
        <w:tab w:val="left" w:pos="1728"/>
        <w:tab w:val="left" w:pos="4320"/>
        <w:tab w:val="left" w:pos="6480"/>
        <w:tab w:val="right" w:pos="8640"/>
        <w:tab w:val="right" w:pos="10800"/>
      </w:tabs>
      <w:ind w:left="-360"/>
      <w:rPr>
        <w:rFonts w:ascii="Arial" w:hAnsi="Arial"/>
      </w:rPr>
    </w:pPr>
  </w:p>
  <w:p w:rsidR="008C3C26" w:rsidRDefault="008C3C26" w:rsidP="000E18C9">
    <w:pPr>
      <w:tabs>
        <w:tab w:val="left" w:pos="-1440"/>
        <w:tab w:val="left" w:pos="-720"/>
        <w:tab w:val="left" w:leader="dot" w:pos="1"/>
        <w:tab w:val="left" w:pos="720"/>
        <w:tab w:val="left" w:pos="1728"/>
        <w:tab w:val="left" w:pos="4320"/>
        <w:tab w:val="left" w:pos="6480"/>
        <w:tab w:val="right" w:pos="8640"/>
        <w:tab w:val="right" w:pos="10800"/>
      </w:tabs>
      <w:ind w:left="-360"/>
      <w:rPr>
        <w:rFonts w:ascii="Arial" w:hAnsi="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3C26" w:rsidRDefault="008C3C2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3C26" w:rsidRPr="000C4AFD" w:rsidRDefault="008C3C26" w:rsidP="000C4AFD">
    <w:pPr>
      <w:pBdr>
        <w:bottom w:val="single" w:sz="18" w:space="1" w:color="auto"/>
      </w:pBdr>
      <w:tabs>
        <w:tab w:val="left" w:pos="-1440"/>
        <w:tab w:val="left" w:pos="-720"/>
        <w:tab w:val="right" w:pos="12960"/>
      </w:tabs>
      <w:rPr>
        <w:rFonts w:ascii="Arial" w:hAnsi="Arial"/>
        <w:lang w:val="fr-FR"/>
      </w:rPr>
    </w:pPr>
    <w:r w:rsidRPr="000C4AFD">
      <w:rPr>
        <w:rFonts w:ascii="Arial" w:hAnsi="Arial"/>
        <w:b/>
        <w:lang w:val="fr-FR"/>
      </w:rPr>
      <w:t xml:space="preserve">Page </w:t>
    </w:r>
    <w:r>
      <w:rPr>
        <w:rFonts w:ascii="Arial" w:hAnsi="Arial"/>
        <w:b/>
      </w:rPr>
      <w:fldChar w:fldCharType="begin"/>
    </w:r>
    <w:r w:rsidRPr="000C4AFD">
      <w:rPr>
        <w:rFonts w:ascii="Arial" w:hAnsi="Arial"/>
        <w:b/>
        <w:lang w:val="fr-FR"/>
      </w:rPr>
      <w:instrText>PAGE</w:instrText>
    </w:r>
    <w:r>
      <w:rPr>
        <w:rFonts w:ascii="Arial" w:hAnsi="Arial"/>
        <w:b/>
      </w:rPr>
      <w:fldChar w:fldCharType="separate"/>
    </w:r>
    <w:r w:rsidR="00BA0CBB">
      <w:rPr>
        <w:rFonts w:ascii="Arial" w:hAnsi="Arial"/>
        <w:b/>
        <w:noProof/>
        <w:lang w:val="fr-FR"/>
      </w:rPr>
      <w:t>10</w:t>
    </w:r>
    <w:r>
      <w:rPr>
        <w:rFonts w:ascii="Arial" w:hAnsi="Arial"/>
        <w:b/>
      </w:rPr>
      <w:fldChar w:fldCharType="end"/>
    </w:r>
    <w:r w:rsidRPr="000C4AFD">
      <w:rPr>
        <w:rFonts w:ascii="Arial" w:hAnsi="Arial"/>
        <w:b/>
        <w:lang w:val="fr-FR"/>
      </w:rPr>
      <w:tab/>
      <w:t>9B18N001</w:t>
    </w:r>
  </w:p>
  <w:p w:rsidR="008C3C26" w:rsidRPr="000C4AFD" w:rsidRDefault="008C3C26" w:rsidP="000C4AFD">
    <w:pPr>
      <w:tabs>
        <w:tab w:val="right" w:pos="12960"/>
      </w:tabs>
      <w:ind w:left="-360"/>
      <w:rPr>
        <w:rFonts w:ascii="Arial" w:hAnsi="Arial"/>
        <w:sz w:val="16"/>
        <w:szCs w:val="16"/>
        <w:lang w:val="fr-FR"/>
      </w:rPr>
    </w:pPr>
  </w:p>
  <w:p w:rsidR="008C3C26" w:rsidRPr="000C4AFD" w:rsidRDefault="008C3C26" w:rsidP="000C4AFD">
    <w:pPr>
      <w:tabs>
        <w:tab w:val="right" w:pos="12960"/>
      </w:tabs>
      <w:ind w:left="-360"/>
      <w:rPr>
        <w:rFonts w:ascii="Arial" w:hAnsi="Arial"/>
        <w:sz w:val="16"/>
        <w:szCs w:val="16"/>
        <w:lang w:val="fr-FR"/>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3C26" w:rsidRDefault="008C3C26">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3C26" w:rsidRPr="00C92CC4" w:rsidRDefault="008C3C26"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BA0CBB">
      <w:rPr>
        <w:rFonts w:ascii="Arial" w:hAnsi="Arial"/>
        <w:b/>
        <w:noProof/>
      </w:rPr>
      <w:t>12</w:t>
    </w:r>
    <w:r>
      <w:rPr>
        <w:rFonts w:ascii="Arial" w:hAnsi="Arial"/>
        <w:b/>
      </w:rPr>
      <w:fldChar w:fldCharType="end"/>
    </w:r>
    <w:r>
      <w:rPr>
        <w:rFonts w:ascii="Arial" w:hAnsi="Arial"/>
        <w:b/>
      </w:rPr>
      <w:tab/>
      <w:t>9B18N001</w:t>
    </w:r>
  </w:p>
  <w:p w:rsidR="008C3C26" w:rsidRDefault="008C3C26" w:rsidP="00D13667">
    <w:pPr>
      <w:pStyle w:val="Header"/>
      <w:tabs>
        <w:tab w:val="clear" w:pos="4680"/>
      </w:tabs>
      <w:rPr>
        <w:sz w:val="18"/>
        <w:szCs w:val="18"/>
      </w:rPr>
    </w:pPr>
  </w:p>
  <w:p w:rsidR="008C3C26" w:rsidRPr="00C92CC4" w:rsidRDefault="008C3C26" w:rsidP="00D13667">
    <w:pPr>
      <w:pStyle w:val="Header"/>
      <w:tabs>
        <w:tab w:val="clear" w:pos="4680"/>
      </w:tabs>
      <w:rPr>
        <w:sz w:val="18"/>
        <w:szCs w:val="18"/>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3C26" w:rsidRDefault="008C3C26" w:rsidP="000E18C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BA0CBB">
      <w:rPr>
        <w:rFonts w:ascii="Arial" w:hAnsi="Arial"/>
        <w:b/>
        <w:noProof/>
      </w:rPr>
      <w:t>11</w:t>
    </w:r>
    <w:r>
      <w:rPr>
        <w:rFonts w:ascii="Arial" w:hAnsi="Arial"/>
        <w:b/>
      </w:rPr>
      <w:fldChar w:fldCharType="end"/>
    </w:r>
    <w:r>
      <w:rPr>
        <w:rFonts w:ascii="Arial" w:hAnsi="Arial"/>
        <w:b/>
      </w:rPr>
      <w:tab/>
      <w:t>9B18N001</w:t>
    </w:r>
  </w:p>
  <w:p w:rsidR="008C3C26" w:rsidRDefault="008C3C26" w:rsidP="000E18C9">
    <w:pPr>
      <w:tabs>
        <w:tab w:val="left" w:pos="-1440"/>
        <w:tab w:val="left" w:pos="-720"/>
        <w:tab w:val="left" w:leader="dot" w:pos="1"/>
        <w:tab w:val="left" w:pos="720"/>
        <w:tab w:val="left" w:pos="1728"/>
        <w:tab w:val="left" w:pos="4320"/>
        <w:tab w:val="left" w:pos="6480"/>
        <w:tab w:val="right" w:pos="8640"/>
        <w:tab w:val="right" w:pos="10800"/>
      </w:tabs>
      <w:rPr>
        <w:rFonts w:ascii="Arial" w:hAnsi="Arial"/>
      </w:rPr>
    </w:pPr>
  </w:p>
  <w:p w:rsidR="008C3C26" w:rsidRDefault="008C3C26" w:rsidP="000E18C9">
    <w:pPr>
      <w:tabs>
        <w:tab w:val="left" w:pos="-1440"/>
        <w:tab w:val="left" w:pos="-720"/>
        <w:tab w:val="left" w:leader="dot" w:pos="1"/>
        <w:tab w:val="left" w:pos="720"/>
        <w:tab w:val="left" w:pos="1728"/>
        <w:tab w:val="left" w:pos="4320"/>
        <w:tab w:val="left" w:pos="6480"/>
        <w:tab w:val="right" w:pos="8640"/>
        <w:tab w:val="right" w:pos="10800"/>
      </w:tabs>
      <w:rPr>
        <w:rFonts w:ascii="Arial" w:hAnsi="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396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8102D"/>
    <w:rsid w:val="00094C0E"/>
    <w:rsid w:val="000C4AFD"/>
    <w:rsid w:val="000D7091"/>
    <w:rsid w:val="000E18C9"/>
    <w:rsid w:val="000F0C22"/>
    <w:rsid w:val="000F6B09"/>
    <w:rsid w:val="000F6FDC"/>
    <w:rsid w:val="00104567"/>
    <w:rsid w:val="00104916"/>
    <w:rsid w:val="00104AA7"/>
    <w:rsid w:val="0012732D"/>
    <w:rsid w:val="00143F25"/>
    <w:rsid w:val="00152682"/>
    <w:rsid w:val="00154FC9"/>
    <w:rsid w:val="0019241A"/>
    <w:rsid w:val="001A22D1"/>
    <w:rsid w:val="001A752D"/>
    <w:rsid w:val="001A757E"/>
    <w:rsid w:val="001B5032"/>
    <w:rsid w:val="001C7777"/>
    <w:rsid w:val="001E364F"/>
    <w:rsid w:val="00203AA1"/>
    <w:rsid w:val="00213E98"/>
    <w:rsid w:val="0023081A"/>
    <w:rsid w:val="002F460C"/>
    <w:rsid w:val="002F48D6"/>
    <w:rsid w:val="00317391"/>
    <w:rsid w:val="00326216"/>
    <w:rsid w:val="00336580"/>
    <w:rsid w:val="00354899"/>
    <w:rsid w:val="00355FD6"/>
    <w:rsid w:val="00364A5C"/>
    <w:rsid w:val="00373FB1"/>
    <w:rsid w:val="00396C76"/>
    <w:rsid w:val="003B30D8"/>
    <w:rsid w:val="003B7EF2"/>
    <w:rsid w:val="003C3FA4"/>
    <w:rsid w:val="003F2B0C"/>
    <w:rsid w:val="004105B2"/>
    <w:rsid w:val="004221E4"/>
    <w:rsid w:val="004273F8"/>
    <w:rsid w:val="004355A3"/>
    <w:rsid w:val="00446546"/>
    <w:rsid w:val="00452769"/>
    <w:rsid w:val="00465348"/>
    <w:rsid w:val="004B1CCB"/>
    <w:rsid w:val="004B632F"/>
    <w:rsid w:val="004D3FB1"/>
    <w:rsid w:val="004D6F21"/>
    <w:rsid w:val="004D73A5"/>
    <w:rsid w:val="005160F1"/>
    <w:rsid w:val="00524F2F"/>
    <w:rsid w:val="00527E5C"/>
    <w:rsid w:val="00532CF5"/>
    <w:rsid w:val="005528CB"/>
    <w:rsid w:val="00552CEC"/>
    <w:rsid w:val="00566771"/>
    <w:rsid w:val="00581E2E"/>
    <w:rsid w:val="00584F15"/>
    <w:rsid w:val="0059514B"/>
    <w:rsid w:val="005A1B0F"/>
    <w:rsid w:val="005D45D2"/>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0D94"/>
    <w:rsid w:val="007866A6"/>
    <w:rsid w:val="007A130D"/>
    <w:rsid w:val="007D1A2D"/>
    <w:rsid w:val="007D4102"/>
    <w:rsid w:val="007F43B7"/>
    <w:rsid w:val="00821FFC"/>
    <w:rsid w:val="008271CA"/>
    <w:rsid w:val="008467D5"/>
    <w:rsid w:val="008A4DC4"/>
    <w:rsid w:val="008B438C"/>
    <w:rsid w:val="008C3C26"/>
    <w:rsid w:val="008D06CA"/>
    <w:rsid w:val="008D3A46"/>
    <w:rsid w:val="009067A4"/>
    <w:rsid w:val="00933D68"/>
    <w:rsid w:val="009340DB"/>
    <w:rsid w:val="0094618C"/>
    <w:rsid w:val="0095684B"/>
    <w:rsid w:val="00972498"/>
    <w:rsid w:val="0097481F"/>
    <w:rsid w:val="00974CC6"/>
    <w:rsid w:val="00976AD4"/>
    <w:rsid w:val="0098778F"/>
    <w:rsid w:val="00995547"/>
    <w:rsid w:val="009A312F"/>
    <w:rsid w:val="009A5348"/>
    <w:rsid w:val="009B0AB7"/>
    <w:rsid w:val="009C76D5"/>
    <w:rsid w:val="009F7AA4"/>
    <w:rsid w:val="00A10AD7"/>
    <w:rsid w:val="00A559DB"/>
    <w:rsid w:val="00A569EA"/>
    <w:rsid w:val="00AF35FC"/>
    <w:rsid w:val="00AF5556"/>
    <w:rsid w:val="00B03639"/>
    <w:rsid w:val="00B0652A"/>
    <w:rsid w:val="00B40937"/>
    <w:rsid w:val="00B423EF"/>
    <w:rsid w:val="00B453DE"/>
    <w:rsid w:val="00B72597"/>
    <w:rsid w:val="00B901F9"/>
    <w:rsid w:val="00BA0CBB"/>
    <w:rsid w:val="00BD6EFB"/>
    <w:rsid w:val="00C1584D"/>
    <w:rsid w:val="00C15BE2"/>
    <w:rsid w:val="00C3447F"/>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2999"/>
    <w:rsid w:val="00D13667"/>
    <w:rsid w:val="00D15344"/>
    <w:rsid w:val="00D23F57"/>
    <w:rsid w:val="00D31BEC"/>
    <w:rsid w:val="00D63150"/>
    <w:rsid w:val="00D636BA"/>
    <w:rsid w:val="00D64A32"/>
    <w:rsid w:val="00D64EFC"/>
    <w:rsid w:val="00D75295"/>
    <w:rsid w:val="00D76CE9"/>
    <w:rsid w:val="00D97F12"/>
    <w:rsid w:val="00DA6095"/>
    <w:rsid w:val="00DB42E7"/>
    <w:rsid w:val="00DE01A6"/>
    <w:rsid w:val="00DE7A98"/>
    <w:rsid w:val="00DF32C2"/>
    <w:rsid w:val="00E471A7"/>
    <w:rsid w:val="00E635CF"/>
    <w:rsid w:val="00EB6E1C"/>
    <w:rsid w:val="00EC6E0A"/>
    <w:rsid w:val="00ED4E18"/>
    <w:rsid w:val="00EE1F37"/>
    <w:rsid w:val="00F0159C"/>
    <w:rsid w:val="00F105B7"/>
    <w:rsid w:val="00F13220"/>
    <w:rsid w:val="00F17A21"/>
    <w:rsid w:val="00F37B27"/>
    <w:rsid w:val="00F46556"/>
    <w:rsid w:val="00F50E91"/>
    <w:rsid w:val="00F57D29"/>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39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nhideWhenUsed="0" w:qFormat="1"/>
    <w:lsdException w:name="heading 2" w:qFormat="1"/>
    <w:lsdException w:name="heading 3" w:qFormat="1"/>
    <w:lsdException w:name="heading 4" w:qFormat="1"/>
    <w:lsdException w:name="heading 5" w:qFormat="1"/>
    <w:lsdException w:name="heading 6" w:uiPriority="9"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qFormat="1"/>
    <w:lsdException w:name="Title" w:semiHidden="0" w:unhideWhenUsed="0" w:qFormat="1"/>
    <w:lsdException w:name="Default Paragraph Font" w:uiPriority="1"/>
    <w:lsdException w:name="Subtitle" w:semiHidden="0" w:uiPriority="11" w:unhideWhenUsed="0"/>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iPriority w:val="99"/>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9"/>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9"/>
    <w:qFormat/>
    <w:rsid w:val="004273F8"/>
    <w:pPr>
      <w:keepNext/>
      <w:outlineLvl w:val="6"/>
    </w:pPr>
    <w:rPr>
      <w:b/>
      <w:bCs/>
      <w:sz w:val="24"/>
      <w:szCs w:val="24"/>
      <w:lang w:val="en-GB" w:eastAsia="x-none"/>
    </w:rPr>
  </w:style>
  <w:style w:type="paragraph" w:styleId="Heading8">
    <w:name w:val="heading 8"/>
    <w:basedOn w:val="Normal"/>
    <w:next w:val="Normal"/>
    <w:link w:val="Heading8Char"/>
    <w:uiPriority w:val="99"/>
    <w:qFormat/>
    <w:rsid w:val="00711642"/>
    <w:pPr>
      <w:tabs>
        <w:tab w:val="left" w:pos="0"/>
      </w:tabs>
      <w:jc w:val="center"/>
      <w:outlineLvl w:val="7"/>
    </w:pPr>
    <w:rPr>
      <w:b/>
      <w:sz w:val="18"/>
      <w:lang w:val="en-AU"/>
    </w:rPr>
  </w:style>
  <w:style w:type="paragraph" w:styleId="Heading9">
    <w:name w:val="heading 9"/>
    <w:basedOn w:val="Normal"/>
    <w:next w:val="Normal"/>
    <w:link w:val="Heading9Char"/>
    <w:uiPriority w:val="99"/>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9"/>
    <w:rsid w:val="004273F8"/>
    <w:rPr>
      <w:rFonts w:ascii="Cambria" w:eastAsia="Times New Roman" w:hAnsi="Cambria" w:cs="Times New Roman"/>
      <w:b/>
      <w:bCs/>
      <w:color w:val="4F81BD"/>
      <w:sz w:val="20"/>
      <w:szCs w:val="20"/>
      <w:lang w:val="x-none" w:eastAsia="x-none"/>
    </w:rPr>
  </w:style>
  <w:style w:type="character" w:customStyle="1" w:styleId="Heading4Char">
    <w:name w:val="Heading 4 Char"/>
    <w:basedOn w:val="DefaultParagraphFont"/>
    <w:link w:val="Heading4"/>
    <w:uiPriority w:val="99"/>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uiPriority w:val="99"/>
    <w:rsid w:val="001C7777"/>
    <w:rPr>
      <w:rFonts w:asciiTheme="majorHAnsi" w:eastAsiaTheme="majorEastAsia" w:hAnsiTheme="majorHAnsi" w:cstheme="majorBidi"/>
      <w:color w:val="243F60" w:themeColor="accent1" w:themeShade="7F"/>
      <w:sz w:val="20"/>
      <w:szCs w:val="20"/>
    </w:rPr>
  </w:style>
  <w:style w:type="character" w:customStyle="1" w:styleId="Heading7Char">
    <w:name w:val="Heading 7 Char"/>
    <w:basedOn w:val="DefaultParagraphFont"/>
    <w:link w:val="Heading7"/>
    <w:uiPriority w:val="99"/>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uiPriority w:val="99"/>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uiPriority w:val="9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uiPriority w:val="99"/>
    <w:qFormat/>
    <w:rsid w:val="000F0C22"/>
    <w:pPr>
      <w:jc w:val="both"/>
    </w:pPr>
    <w:rPr>
      <w:sz w:val="22"/>
      <w:szCs w:val="22"/>
    </w:rPr>
  </w:style>
  <w:style w:type="character" w:customStyle="1" w:styleId="BodyTextMainChar">
    <w:name w:val="Body Text Main Char"/>
    <w:basedOn w:val="DefaultParagraphFont"/>
    <w:link w:val="BodyTextMain"/>
    <w:uiPriority w:val="99"/>
    <w:rsid w:val="000F0C22"/>
    <w:rPr>
      <w:rFonts w:ascii="Times New Roman" w:eastAsia="Times New Roman" w:hAnsi="Times New Roman" w:cs="Times New Roman"/>
    </w:rPr>
  </w:style>
  <w:style w:type="paragraph" w:customStyle="1" w:styleId="Casehead1">
    <w:name w:val="Casehead 1"/>
    <w:basedOn w:val="BodyTextMain"/>
    <w:link w:val="Casehead1Char"/>
    <w:uiPriority w:val="99"/>
    <w:qFormat/>
    <w:rsid w:val="00213E98"/>
    <w:rPr>
      <w:rFonts w:ascii="Arial" w:hAnsi="Arial" w:cs="Arial"/>
      <w:b/>
      <w:caps/>
      <w:sz w:val="20"/>
      <w:szCs w:val="20"/>
    </w:rPr>
  </w:style>
  <w:style w:type="character" w:customStyle="1" w:styleId="Casehead1Char">
    <w:name w:val="Casehead 1 Char"/>
    <w:basedOn w:val="BodyTextMainChar"/>
    <w:link w:val="Casehead1"/>
    <w:uiPriority w:val="99"/>
    <w:rsid w:val="00213E98"/>
    <w:rPr>
      <w:rFonts w:ascii="Arial" w:eastAsia="Times New Roman" w:hAnsi="Arial" w:cs="Arial"/>
      <w:b/>
      <w:caps/>
      <w:sz w:val="20"/>
      <w:szCs w:val="20"/>
    </w:rPr>
  </w:style>
  <w:style w:type="paragraph" w:customStyle="1" w:styleId="Casehead2">
    <w:name w:val="Casehead 2"/>
    <w:basedOn w:val="Casehead1"/>
    <w:link w:val="Casehead2Char"/>
    <w:uiPriority w:val="99"/>
    <w:qFormat/>
    <w:rsid w:val="00213E98"/>
    <w:rPr>
      <w:caps w:val="0"/>
    </w:rPr>
  </w:style>
  <w:style w:type="character" w:customStyle="1" w:styleId="Casehead2Char">
    <w:name w:val="Casehead 2 Char"/>
    <w:basedOn w:val="Casehead1Char"/>
    <w:link w:val="Casehead2"/>
    <w:uiPriority w:val="99"/>
    <w:rsid w:val="00213E98"/>
    <w:rPr>
      <w:rFonts w:ascii="Arial" w:eastAsia="Times New Roman" w:hAnsi="Arial" w:cs="Arial"/>
      <w:b/>
      <w:caps w:val="0"/>
      <w:sz w:val="20"/>
      <w:szCs w:val="20"/>
    </w:rPr>
  </w:style>
  <w:style w:type="paragraph" w:customStyle="1" w:styleId="Casehead3">
    <w:name w:val="Casehead 3"/>
    <w:basedOn w:val="Casehead2"/>
    <w:link w:val="Casehead3Char"/>
    <w:uiPriority w:val="99"/>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uiPriority w:val="99"/>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uiPriority w:val="99"/>
    <w:qFormat/>
    <w:rsid w:val="006C0B1A"/>
    <w:rPr>
      <w:i/>
    </w:rPr>
  </w:style>
  <w:style w:type="character" w:customStyle="1" w:styleId="Casehead4Char">
    <w:name w:val="Casehead 4 Char"/>
    <w:basedOn w:val="Casehead3Char"/>
    <w:link w:val="Casehead4"/>
    <w:uiPriority w:val="99"/>
    <w:rsid w:val="006C0B1A"/>
    <w:rPr>
      <w:rFonts w:ascii="Times New Roman" w:eastAsia="Times New Roman" w:hAnsi="Times New Roman" w:cs="Times New Roman"/>
      <w:b w:val="0"/>
      <w:i/>
      <w:caps w:val="0"/>
      <w:sz w:val="20"/>
      <w:szCs w:val="20"/>
      <w:u w:val="single"/>
    </w:rPr>
  </w:style>
  <w:style w:type="paragraph" w:styleId="FootnoteText">
    <w:name w:val="footnote text"/>
    <w:aliases w:val="O"/>
    <w:basedOn w:val="Normal"/>
    <w:link w:val="FootnoteTextChar"/>
    <w:uiPriority w:val="99"/>
    <w:unhideWhenUsed/>
    <w:rsid w:val="006C0B1A"/>
  </w:style>
  <w:style w:type="character" w:customStyle="1" w:styleId="FootnoteTextChar">
    <w:name w:val="Footnote Text Char"/>
    <w:aliases w:val="O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uiPriority w:val="99"/>
    <w:qFormat/>
    <w:rsid w:val="006C0B1A"/>
    <w:pPr>
      <w:jc w:val="both"/>
    </w:pPr>
    <w:rPr>
      <w:rFonts w:ascii="Arial" w:hAnsi="Arial" w:cs="Arial"/>
      <w:i/>
      <w:sz w:val="17"/>
      <w:szCs w:val="17"/>
    </w:rPr>
  </w:style>
  <w:style w:type="character" w:customStyle="1" w:styleId="FootnoteChar">
    <w:name w:val="Footnote Char"/>
    <w:basedOn w:val="FootnoteTextChar"/>
    <w:link w:val="Footnote"/>
    <w:uiPriority w:val="99"/>
    <w:rsid w:val="006C0B1A"/>
    <w:rPr>
      <w:rFonts w:ascii="Arial" w:eastAsia="Times New Roman" w:hAnsi="Arial" w:cs="Arial"/>
      <w:i/>
      <w:sz w:val="17"/>
      <w:szCs w:val="17"/>
    </w:rPr>
  </w:style>
  <w:style w:type="paragraph" w:customStyle="1" w:styleId="Quotation3Lines">
    <w:name w:val="Quotation (3+ Lines)"/>
    <w:basedOn w:val="BodyTextMain"/>
    <w:link w:val="Quotation3LinesChar"/>
    <w:uiPriority w:val="99"/>
    <w:qFormat/>
    <w:rsid w:val="00752BCD"/>
    <w:pPr>
      <w:ind w:left="720" w:right="720"/>
    </w:pPr>
  </w:style>
  <w:style w:type="character" w:customStyle="1" w:styleId="Quotation3LinesChar">
    <w:name w:val="Quotation (3+ Lines) Char"/>
    <w:basedOn w:val="BodyTextMainChar"/>
    <w:link w:val="Quotation3Lines"/>
    <w:uiPriority w:val="99"/>
    <w:rsid w:val="00752BCD"/>
    <w:rPr>
      <w:rFonts w:ascii="Times New Roman" w:eastAsia="Times New Roman" w:hAnsi="Times New Roman" w:cs="Times New Roman"/>
    </w:rPr>
  </w:style>
  <w:style w:type="paragraph" w:customStyle="1" w:styleId="ExhibitNumber">
    <w:name w:val="Exhibit Number"/>
    <w:basedOn w:val="BodyTextMain"/>
    <w:link w:val="ExhibitNumberChar"/>
    <w:uiPriority w:val="99"/>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uiPriority w:val="99"/>
    <w:rsid w:val="00752BCD"/>
    <w:rPr>
      <w:rFonts w:ascii="Arial" w:eastAsia="Times New Roman" w:hAnsi="Arial" w:cs="Arial"/>
      <w:b/>
      <w:sz w:val="20"/>
      <w:szCs w:val="20"/>
    </w:rPr>
  </w:style>
  <w:style w:type="paragraph" w:customStyle="1" w:styleId="ExhibitHeading">
    <w:name w:val="Exhibit Heading"/>
    <w:basedOn w:val="BodyTextMain"/>
    <w:link w:val="ExhibitHeadingChar"/>
    <w:uiPriority w:val="99"/>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uiPriority w:val="99"/>
    <w:rsid w:val="00752BCD"/>
    <w:rPr>
      <w:rFonts w:ascii="Arial" w:eastAsia="Times New Roman" w:hAnsi="Arial" w:cs="Arial"/>
      <w:b/>
      <w:caps/>
      <w:sz w:val="20"/>
      <w:szCs w:val="20"/>
    </w:rPr>
  </w:style>
  <w:style w:type="paragraph" w:customStyle="1" w:styleId="CaseTitle">
    <w:name w:val="Case Title"/>
    <w:basedOn w:val="MainTitle"/>
    <w:link w:val="CaseTitleChar"/>
    <w:uiPriority w:val="99"/>
    <w:qFormat/>
    <w:rsid w:val="00752BCD"/>
  </w:style>
  <w:style w:type="character" w:customStyle="1" w:styleId="CaseTitleChar">
    <w:name w:val="Case Title Char"/>
    <w:basedOn w:val="MainTitleChar"/>
    <w:link w:val="CaseTitle"/>
    <w:uiPriority w:val="99"/>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uiPriority w:val="99"/>
    <w:qFormat/>
    <w:rsid w:val="00752BCD"/>
    <w:pPr>
      <w:jc w:val="center"/>
    </w:pPr>
  </w:style>
  <w:style w:type="character" w:customStyle="1" w:styleId="TeachingNoteTitleChar">
    <w:name w:val="Teaching Note Title Char"/>
    <w:basedOn w:val="CaseTitleChar"/>
    <w:link w:val="TeachingNoteTitle"/>
    <w:uiPriority w:val="99"/>
    <w:rsid w:val="00752BCD"/>
    <w:rPr>
      <w:rFonts w:ascii="Arial" w:hAnsi="Arial" w:cs="Arial"/>
      <w:b/>
      <w:bCs/>
      <w:caps/>
      <w:color w:val="000000"/>
      <w:sz w:val="28"/>
      <w:szCs w:val="28"/>
    </w:rPr>
  </w:style>
  <w:style w:type="paragraph" w:customStyle="1" w:styleId="ProductNumber">
    <w:name w:val="Product Number"/>
    <w:basedOn w:val="Normal"/>
    <w:link w:val="ProductNumberChar"/>
    <w:uiPriority w:val="99"/>
    <w:qFormat/>
    <w:rsid w:val="00752BCD"/>
    <w:pPr>
      <w:jc w:val="right"/>
    </w:pPr>
    <w:rPr>
      <w:rFonts w:ascii="Arial" w:hAnsi="Arial"/>
      <w:b/>
      <w:caps/>
      <w:sz w:val="24"/>
    </w:rPr>
  </w:style>
  <w:style w:type="character" w:customStyle="1" w:styleId="ProductNumberChar">
    <w:name w:val="Product Number Char"/>
    <w:basedOn w:val="DefaultParagraphFont"/>
    <w:link w:val="ProductNumber"/>
    <w:uiPriority w:val="99"/>
    <w:rsid w:val="00752BCD"/>
    <w:rPr>
      <w:rFonts w:ascii="Arial" w:eastAsia="Times New Roman" w:hAnsi="Arial" w:cs="Times New Roman"/>
      <w:b/>
      <w:caps/>
      <w:sz w:val="24"/>
      <w:szCs w:val="20"/>
    </w:rPr>
  </w:style>
  <w:style w:type="paragraph" w:customStyle="1" w:styleId="ExhibitText">
    <w:name w:val="Exhibit Text"/>
    <w:basedOn w:val="BodyTextMain"/>
    <w:link w:val="ExhibitTextChar"/>
    <w:uiPriority w:val="99"/>
    <w:qFormat/>
    <w:rsid w:val="00F105B7"/>
    <w:rPr>
      <w:rFonts w:ascii="Arial" w:hAnsi="Arial" w:cs="Arial"/>
      <w:sz w:val="20"/>
      <w:szCs w:val="20"/>
    </w:rPr>
  </w:style>
  <w:style w:type="character" w:customStyle="1" w:styleId="ExhibitTextChar">
    <w:name w:val="Exhibit Text Char"/>
    <w:basedOn w:val="BodyTextMainChar"/>
    <w:link w:val="ExhibitText"/>
    <w:uiPriority w:val="99"/>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uiPriority w:val="99"/>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uiPriority w:val="99"/>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uiPriority w:val="99"/>
    <w:rsid w:val="003B7EF2"/>
    <w:pPr>
      <w:pBdr>
        <w:top w:val="none" w:sz="0" w:space="0" w:color="auto"/>
      </w:pBdr>
    </w:pPr>
  </w:style>
  <w:style w:type="paragraph" w:styleId="BodyText">
    <w:name w:val="Body Text"/>
    <w:basedOn w:val="Normal"/>
    <w:link w:val="BodyTextChar"/>
    <w:uiPriority w:val="99"/>
    <w:unhideWhenUsed/>
    <w:rsid w:val="00CA3976"/>
    <w:pPr>
      <w:spacing w:after="120"/>
    </w:pPr>
  </w:style>
  <w:style w:type="character" w:customStyle="1" w:styleId="BodyTextChar">
    <w:name w:val="Body Text Char"/>
    <w:basedOn w:val="DefaultParagraphFont"/>
    <w:link w:val="BodyText"/>
    <w:uiPriority w:val="99"/>
    <w:rsid w:val="00CA3976"/>
    <w:rPr>
      <w:rFonts w:ascii="Times New Roman" w:eastAsia="Times New Roman" w:hAnsi="Times New Roman" w:cs="Times New Roman"/>
      <w:sz w:val="20"/>
      <w:szCs w:val="20"/>
    </w:rPr>
  </w:style>
  <w:style w:type="paragraph" w:styleId="ListParagraph">
    <w:name w:val="List Paragraph"/>
    <w:basedOn w:val="Normal"/>
    <w:uiPriority w:val="99"/>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5D45D2"/>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uiPriority w:val="99"/>
    <w:rsid w:val="004273F8"/>
  </w:style>
  <w:style w:type="character" w:customStyle="1" w:styleId="apple-converted-space">
    <w:name w:val="apple-converted-space"/>
    <w:basedOn w:val="DefaultParagraphFont"/>
    <w:uiPriority w:val="99"/>
    <w:rsid w:val="004273F8"/>
  </w:style>
  <w:style w:type="character" w:styleId="Strong">
    <w:name w:val="Strong"/>
    <w:uiPriority w:val="99"/>
    <w:qFormat/>
    <w:rsid w:val="004273F8"/>
    <w:rPr>
      <w:b/>
      <w:bCs/>
    </w:rPr>
  </w:style>
  <w:style w:type="character" w:styleId="IntenseReference">
    <w:name w:val="Intense Reference"/>
    <w:uiPriority w:val="99"/>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99"/>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99"/>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uiPriority w:val="99"/>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uiPriority w:val="99"/>
    <w:rsid w:val="00DE01A6"/>
    <w:pPr>
      <w:spacing w:after="0"/>
      <w:jc w:val="both"/>
    </w:pPr>
    <w:rPr>
      <w:sz w:val="24"/>
      <w:szCs w:val="24"/>
    </w:rPr>
  </w:style>
  <w:style w:type="paragraph" w:customStyle="1" w:styleId="nsource1">
    <w:name w:val="nsource1"/>
    <w:basedOn w:val="Normal"/>
    <w:uiPriority w:val="99"/>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uiPriority w:val="99"/>
    <w:rsid w:val="00711642"/>
    <w:pPr>
      <w:spacing w:after="120"/>
      <w:ind w:left="360"/>
    </w:pPr>
    <w:rPr>
      <w:sz w:val="16"/>
      <w:szCs w:val="16"/>
    </w:rPr>
  </w:style>
  <w:style w:type="character" w:customStyle="1" w:styleId="BodyTextIndent3Char">
    <w:name w:val="Body Text Indent 3 Char"/>
    <w:basedOn w:val="DefaultParagraphFont"/>
    <w:link w:val="BodyTextIndent3"/>
    <w:uiPriority w:val="99"/>
    <w:rsid w:val="00711642"/>
    <w:rPr>
      <w:rFonts w:ascii="Times New Roman" w:eastAsia="Times New Roman" w:hAnsi="Times New Roman" w:cs="Times New Roman"/>
      <w:sz w:val="16"/>
      <w:szCs w:val="16"/>
    </w:rPr>
  </w:style>
  <w:style w:type="character" w:styleId="PageNumber">
    <w:name w:val="page number"/>
    <w:basedOn w:val="DefaultParagraphFont"/>
    <w:uiPriority w:val="99"/>
    <w:rsid w:val="00711642"/>
  </w:style>
  <w:style w:type="paragraph" w:styleId="Title">
    <w:name w:val="Title"/>
    <w:basedOn w:val="Normal"/>
    <w:link w:val="TitleChar"/>
    <w:uiPriority w:val="99"/>
    <w:qFormat/>
    <w:rsid w:val="00711642"/>
    <w:pPr>
      <w:spacing w:after="240"/>
      <w:jc w:val="center"/>
    </w:pPr>
    <w:rPr>
      <w:b/>
      <w:sz w:val="24"/>
      <w:lang w:val="en-AU"/>
    </w:rPr>
  </w:style>
  <w:style w:type="character" w:customStyle="1" w:styleId="TitleChar">
    <w:name w:val="Title Char"/>
    <w:basedOn w:val="DefaultParagraphFont"/>
    <w:link w:val="Title"/>
    <w:uiPriority w:val="99"/>
    <w:rsid w:val="00711642"/>
    <w:rPr>
      <w:rFonts w:ascii="Times New Roman" w:eastAsia="Times New Roman" w:hAnsi="Times New Roman" w:cs="Times New Roman"/>
      <w:b/>
      <w:sz w:val="24"/>
      <w:szCs w:val="20"/>
      <w:lang w:val="en-AU"/>
    </w:rPr>
  </w:style>
  <w:style w:type="character" w:styleId="Emphasis">
    <w:name w:val="Emphasis"/>
    <w:uiPriority w:val="99"/>
    <w:qFormat/>
    <w:rsid w:val="00711642"/>
    <w:rPr>
      <w:i/>
      <w:iCs/>
    </w:rPr>
  </w:style>
  <w:style w:type="character" w:customStyle="1" w:styleId="citation">
    <w:name w:val="citation"/>
    <w:basedOn w:val="DefaultParagraphFont"/>
    <w:uiPriority w:val="99"/>
    <w:rsid w:val="0023081A"/>
  </w:style>
  <w:style w:type="character" w:customStyle="1" w:styleId="reference-accessdate">
    <w:name w:val="reference-accessdate"/>
    <w:basedOn w:val="DefaultParagraphFont"/>
    <w:uiPriority w:val="99"/>
    <w:rsid w:val="0023081A"/>
  </w:style>
  <w:style w:type="character" w:customStyle="1" w:styleId="xn-person">
    <w:name w:val="xn-person"/>
    <w:basedOn w:val="DefaultParagraphFont"/>
    <w:uiPriority w:val="99"/>
    <w:rsid w:val="0023081A"/>
  </w:style>
  <w:style w:type="character" w:customStyle="1" w:styleId="bold01">
    <w:name w:val="bold_01"/>
    <w:basedOn w:val="DefaultParagraphFont"/>
    <w:uiPriority w:val="99"/>
    <w:rsid w:val="0023081A"/>
  </w:style>
  <w:style w:type="character" w:customStyle="1" w:styleId="cst-tbl-subtitle">
    <w:name w:val="cst-tbl-subtitle"/>
    <w:basedOn w:val="DefaultParagraphFont"/>
    <w:uiPriority w:val="99"/>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paragraph" w:customStyle="1" w:styleId="casehead10">
    <w:name w:val="casehead1"/>
    <w:basedOn w:val="Normal"/>
    <w:next w:val="BodyText"/>
    <w:uiPriority w:val="99"/>
    <w:rsid w:val="001C7777"/>
    <w:rPr>
      <w:rFonts w:ascii="Arial" w:hAnsi="Arial"/>
      <w:b/>
      <w:caps/>
      <w:lang w:eastAsia="en-CA"/>
    </w:rPr>
  </w:style>
  <w:style w:type="paragraph" w:customStyle="1" w:styleId="casehead20">
    <w:name w:val="casehead2"/>
    <w:basedOn w:val="Normal"/>
    <w:next w:val="BodyText"/>
    <w:uiPriority w:val="99"/>
    <w:rsid w:val="001C7777"/>
    <w:rPr>
      <w:rFonts w:ascii="Arial" w:hAnsi="Arial"/>
      <w:b/>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nhideWhenUsed="0" w:qFormat="1"/>
    <w:lsdException w:name="heading 2" w:qFormat="1"/>
    <w:lsdException w:name="heading 3" w:qFormat="1"/>
    <w:lsdException w:name="heading 4" w:qFormat="1"/>
    <w:lsdException w:name="heading 5" w:qFormat="1"/>
    <w:lsdException w:name="heading 6" w:uiPriority="9"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qFormat="1"/>
    <w:lsdException w:name="Title" w:semiHidden="0" w:unhideWhenUsed="0" w:qFormat="1"/>
    <w:lsdException w:name="Default Paragraph Font" w:uiPriority="1"/>
    <w:lsdException w:name="Subtitle" w:semiHidden="0" w:uiPriority="11" w:unhideWhenUsed="0"/>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iPriority w:val="99"/>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9"/>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9"/>
    <w:qFormat/>
    <w:rsid w:val="004273F8"/>
    <w:pPr>
      <w:keepNext/>
      <w:outlineLvl w:val="6"/>
    </w:pPr>
    <w:rPr>
      <w:b/>
      <w:bCs/>
      <w:sz w:val="24"/>
      <w:szCs w:val="24"/>
      <w:lang w:val="en-GB" w:eastAsia="x-none"/>
    </w:rPr>
  </w:style>
  <w:style w:type="paragraph" w:styleId="Heading8">
    <w:name w:val="heading 8"/>
    <w:basedOn w:val="Normal"/>
    <w:next w:val="Normal"/>
    <w:link w:val="Heading8Char"/>
    <w:uiPriority w:val="99"/>
    <w:qFormat/>
    <w:rsid w:val="00711642"/>
    <w:pPr>
      <w:tabs>
        <w:tab w:val="left" w:pos="0"/>
      </w:tabs>
      <w:jc w:val="center"/>
      <w:outlineLvl w:val="7"/>
    </w:pPr>
    <w:rPr>
      <w:b/>
      <w:sz w:val="18"/>
      <w:lang w:val="en-AU"/>
    </w:rPr>
  </w:style>
  <w:style w:type="paragraph" w:styleId="Heading9">
    <w:name w:val="heading 9"/>
    <w:basedOn w:val="Normal"/>
    <w:next w:val="Normal"/>
    <w:link w:val="Heading9Char"/>
    <w:uiPriority w:val="99"/>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9"/>
    <w:rsid w:val="004273F8"/>
    <w:rPr>
      <w:rFonts w:ascii="Cambria" w:eastAsia="Times New Roman" w:hAnsi="Cambria" w:cs="Times New Roman"/>
      <w:b/>
      <w:bCs/>
      <w:color w:val="4F81BD"/>
      <w:sz w:val="20"/>
      <w:szCs w:val="20"/>
      <w:lang w:val="x-none" w:eastAsia="x-none"/>
    </w:rPr>
  </w:style>
  <w:style w:type="character" w:customStyle="1" w:styleId="Heading4Char">
    <w:name w:val="Heading 4 Char"/>
    <w:basedOn w:val="DefaultParagraphFont"/>
    <w:link w:val="Heading4"/>
    <w:uiPriority w:val="99"/>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uiPriority w:val="99"/>
    <w:rsid w:val="001C7777"/>
    <w:rPr>
      <w:rFonts w:asciiTheme="majorHAnsi" w:eastAsiaTheme="majorEastAsia" w:hAnsiTheme="majorHAnsi" w:cstheme="majorBidi"/>
      <w:color w:val="243F60" w:themeColor="accent1" w:themeShade="7F"/>
      <w:sz w:val="20"/>
      <w:szCs w:val="20"/>
    </w:rPr>
  </w:style>
  <w:style w:type="character" w:customStyle="1" w:styleId="Heading7Char">
    <w:name w:val="Heading 7 Char"/>
    <w:basedOn w:val="DefaultParagraphFont"/>
    <w:link w:val="Heading7"/>
    <w:uiPriority w:val="99"/>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uiPriority w:val="99"/>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uiPriority w:val="9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uiPriority w:val="99"/>
    <w:qFormat/>
    <w:rsid w:val="000F0C22"/>
    <w:pPr>
      <w:jc w:val="both"/>
    </w:pPr>
    <w:rPr>
      <w:sz w:val="22"/>
      <w:szCs w:val="22"/>
    </w:rPr>
  </w:style>
  <w:style w:type="character" w:customStyle="1" w:styleId="BodyTextMainChar">
    <w:name w:val="Body Text Main Char"/>
    <w:basedOn w:val="DefaultParagraphFont"/>
    <w:link w:val="BodyTextMain"/>
    <w:uiPriority w:val="99"/>
    <w:rsid w:val="000F0C22"/>
    <w:rPr>
      <w:rFonts w:ascii="Times New Roman" w:eastAsia="Times New Roman" w:hAnsi="Times New Roman" w:cs="Times New Roman"/>
    </w:rPr>
  </w:style>
  <w:style w:type="paragraph" w:customStyle="1" w:styleId="Casehead1">
    <w:name w:val="Casehead 1"/>
    <w:basedOn w:val="BodyTextMain"/>
    <w:link w:val="Casehead1Char"/>
    <w:uiPriority w:val="99"/>
    <w:qFormat/>
    <w:rsid w:val="00213E98"/>
    <w:rPr>
      <w:rFonts w:ascii="Arial" w:hAnsi="Arial" w:cs="Arial"/>
      <w:b/>
      <w:caps/>
      <w:sz w:val="20"/>
      <w:szCs w:val="20"/>
    </w:rPr>
  </w:style>
  <w:style w:type="character" w:customStyle="1" w:styleId="Casehead1Char">
    <w:name w:val="Casehead 1 Char"/>
    <w:basedOn w:val="BodyTextMainChar"/>
    <w:link w:val="Casehead1"/>
    <w:uiPriority w:val="99"/>
    <w:rsid w:val="00213E98"/>
    <w:rPr>
      <w:rFonts w:ascii="Arial" w:eastAsia="Times New Roman" w:hAnsi="Arial" w:cs="Arial"/>
      <w:b/>
      <w:caps/>
      <w:sz w:val="20"/>
      <w:szCs w:val="20"/>
    </w:rPr>
  </w:style>
  <w:style w:type="paragraph" w:customStyle="1" w:styleId="Casehead2">
    <w:name w:val="Casehead 2"/>
    <w:basedOn w:val="Casehead1"/>
    <w:link w:val="Casehead2Char"/>
    <w:uiPriority w:val="99"/>
    <w:qFormat/>
    <w:rsid w:val="00213E98"/>
    <w:rPr>
      <w:caps w:val="0"/>
    </w:rPr>
  </w:style>
  <w:style w:type="character" w:customStyle="1" w:styleId="Casehead2Char">
    <w:name w:val="Casehead 2 Char"/>
    <w:basedOn w:val="Casehead1Char"/>
    <w:link w:val="Casehead2"/>
    <w:uiPriority w:val="99"/>
    <w:rsid w:val="00213E98"/>
    <w:rPr>
      <w:rFonts w:ascii="Arial" w:eastAsia="Times New Roman" w:hAnsi="Arial" w:cs="Arial"/>
      <w:b/>
      <w:caps w:val="0"/>
      <w:sz w:val="20"/>
      <w:szCs w:val="20"/>
    </w:rPr>
  </w:style>
  <w:style w:type="paragraph" w:customStyle="1" w:styleId="Casehead3">
    <w:name w:val="Casehead 3"/>
    <w:basedOn w:val="Casehead2"/>
    <w:link w:val="Casehead3Char"/>
    <w:uiPriority w:val="99"/>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uiPriority w:val="99"/>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uiPriority w:val="99"/>
    <w:qFormat/>
    <w:rsid w:val="006C0B1A"/>
    <w:rPr>
      <w:i/>
    </w:rPr>
  </w:style>
  <w:style w:type="character" w:customStyle="1" w:styleId="Casehead4Char">
    <w:name w:val="Casehead 4 Char"/>
    <w:basedOn w:val="Casehead3Char"/>
    <w:link w:val="Casehead4"/>
    <w:uiPriority w:val="99"/>
    <w:rsid w:val="006C0B1A"/>
    <w:rPr>
      <w:rFonts w:ascii="Times New Roman" w:eastAsia="Times New Roman" w:hAnsi="Times New Roman" w:cs="Times New Roman"/>
      <w:b w:val="0"/>
      <w:i/>
      <w:caps w:val="0"/>
      <w:sz w:val="20"/>
      <w:szCs w:val="20"/>
      <w:u w:val="single"/>
    </w:rPr>
  </w:style>
  <w:style w:type="paragraph" w:styleId="FootnoteText">
    <w:name w:val="footnote text"/>
    <w:aliases w:val="O"/>
    <w:basedOn w:val="Normal"/>
    <w:link w:val="FootnoteTextChar"/>
    <w:uiPriority w:val="99"/>
    <w:unhideWhenUsed/>
    <w:rsid w:val="006C0B1A"/>
  </w:style>
  <w:style w:type="character" w:customStyle="1" w:styleId="FootnoteTextChar">
    <w:name w:val="Footnote Text Char"/>
    <w:aliases w:val="O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uiPriority w:val="99"/>
    <w:qFormat/>
    <w:rsid w:val="006C0B1A"/>
    <w:pPr>
      <w:jc w:val="both"/>
    </w:pPr>
    <w:rPr>
      <w:rFonts w:ascii="Arial" w:hAnsi="Arial" w:cs="Arial"/>
      <w:i/>
      <w:sz w:val="17"/>
      <w:szCs w:val="17"/>
    </w:rPr>
  </w:style>
  <w:style w:type="character" w:customStyle="1" w:styleId="FootnoteChar">
    <w:name w:val="Footnote Char"/>
    <w:basedOn w:val="FootnoteTextChar"/>
    <w:link w:val="Footnote"/>
    <w:uiPriority w:val="99"/>
    <w:rsid w:val="006C0B1A"/>
    <w:rPr>
      <w:rFonts w:ascii="Arial" w:eastAsia="Times New Roman" w:hAnsi="Arial" w:cs="Arial"/>
      <w:i/>
      <w:sz w:val="17"/>
      <w:szCs w:val="17"/>
    </w:rPr>
  </w:style>
  <w:style w:type="paragraph" w:customStyle="1" w:styleId="Quotation3Lines">
    <w:name w:val="Quotation (3+ Lines)"/>
    <w:basedOn w:val="BodyTextMain"/>
    <w:link w:val="Quotation3LinesChar"/>
    <w:uiPriority w:val="99"/>
    <w:qFormat/>
    <w:rsid w:val="00752BCD"/>
    <w:pPr>
      <w:ind w:left="720" w:right="720"/>
    </w:pPr>
  </w:style>
  <w:style w:type="character" w:customStyle="1" w:styleId="Quotation3LinesChar">
    <w:name w:val="Quotation (3+ Lines) Char"/>
    <w:basedOn w:val="BodyTextMainChar"/>
    <w:link w:val="Quotation3Lines"/>
    <w:uiPriority w:val="99"/>
    <w:rsid w:val="00752BCD"/>
    <w:rPr>
      <w:rFonts w:ascii="Times New Roman" w:eastAsia="Times New Roman" w:hAnsi="Times New Roman" w:cs="Times New Roman"/>
    </w:rPr>
  </w:style>
  <w:style w:type="paragraph" w:customStyle="1" w:styleId="ExhibitNumber">
    <w:name w:val="Exhibit Number"/>
    <w:basedOn w:val="BodyTextMain"/>
    <w:link w:val="ExhibitNumberChar"/>
    <w:uiPriority w:val="99"/>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uiPriority w:val="99"/>
    <w:rsid w:val="00752BCD"/>
    <w:rPr>
      <w:rFonts w:ascii="Arial" w:eastAsia="Times New Roman" w:hAnsi="Arial" w:cs="Arial"/>
      <w:b/>
      <w:sz w:val="20"/>
      <w:szCs w:val="20"/>
    </w:rPr>
  </w:style>
  <w:style w:type="paragraph" w:customStyle="1" w:styleId="ExhibitHeading">
    <w:name w:val="Exhibit Heading"/>
    <w:basedOn w:val="BodyTextMain"/>
    <w:link w:val="ExhibitHeadingChar"/>
    <w:uiPriority w:val="99"/>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uiPriority w:val="99"/>
    <w:rsid w:val="00752BCD"/>
    <w:rPr>
      <w:rFonts w:ascii="Arial" w:eastAsia="Times New Roman" w:hAnsi="Arial" w:cs="Arial"/>
      <w:b/>
      <w:caps/>
      <w:sz w:val="20"/>
      <w:szCs w:val="20"/>
    </w:rPr>
  </w:style>
  <w:style w:type="paragraph" w:customStyle="1" w:styleId="CaseTitle">
    <w:name w:val="Case Title"/>
    <w:basedOn w:val="MainTitle"/>
    <w:link w:val="CaseTitleChar"/>
    <w:uiPriority w:val="99"/>
    <w:qFormat/>
    <w:rsid w:val="00752BCD"/>
  </w:style>
  <w:style w:type="character" w:customStyle="1" w:styleId="CaseTitleChar">
    <w:name w:val="Case Title Char"/>
    <w:basedOn w:val="MainTitleChar"/>
    <w:link w:val="CaseTitle"/>
    <w:uiPriority w:val="99"/>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uiPriority w:val="99"/>
    <w:qFormat/>
    <w:rsid w:val="00752BCD"/>
    <w:pPr>
      <w:jc w:val="center"/>
    </w:pPr>
  </w:style>
  <w:style w:type="character" w:customStyle="1" w:styleId="TeachingNoteTitleChar">
    <w:name w:val="Teaching Note Title Char"/>
    <w:basedOn w:val="CaseTitleChar"/>
    <w:link w:val="TeachingNoteTitle"/>
    <w:uiPriority w:val="99"/>
    <w:rsid w:val="00752BCD"/>
    <w:rPr>
      <w:rFonts w:ascii="Arial" w:hAnsi="Arial" w:cs="Arial"/>
      <w:b/>
      <w:bCs/>
      <w:caps/>
      <w:color w:val="000000"/>
      <w:sz w:val="28"/>
      <w:szCs w:val="28"/>
    </w:rPr>
  </w:style>
  <w:style w:type="paragraph" w:customStyle="1" w:styleId="ProductNumber">
    <w:name w:val="Product Number"/>
    <w:basedOn w:val="Normal"/>
    <w:link w:val="ProductNumberChar"/>
    <w:uiPriority w:val="99"/>
    <w:qFormat/>
    <w:rsid w:val="00752BCD"/>
    <w:pPr>
      <w:jc w:val="right"/>
    </w:pPr>
    <w:rPr>
      <w:rFonts w:ascii="Arial" w:hAnsi="Arial"/>
      <w:b/>
      <w:caps/>
      <w:sz w:val="24"/>
    </w:rPr>
  </w:style>
  <w:style w:type="character" w:customStyle="1" w:styleId="ProductNumberChar">
    <w:name w:val="Product Number Char"/>
    <w:basedOn w:val="DefaultParagraphFont"/>
    <w:link w:val="ProductNumber"/>
    <w:uiPriority w:val="99"/>
    <w:rsid w:val="00752BCD"/>
    <w:rPr>
      <w:rFonts w:ascii="Arial" w:eastAsia="Times New Roman" w:hAnsi="Arial" w:cs="Times New Roman"/>
      <w:b/>
      <w:caps/>
      <w:sz w:val="24"/>
      <w:szCs w:val="20"/>
    </w:rPr>
  </w:style>
  <w:style w:type="paragraph" w:customStyle="1" w:styleId="ExhibitText">
    <w:name w:val="Exhibit Text"/>
    <w:basedOn w:val="BodyTextMain"/>
    <w:link w:val="ExhibitTextChar"/>
    <w:uiPriority w:val="99"/>
    <w:qFormat/>
    <w:rsid w:val="00F105B7"/>
    <w:rPr>
      <w:rFonts w:ascii="Arial" w:hAnsi="Arial" w:cs="Arial"/>
      <w:sz w:val="20"/>
      <w:szCs w:val="20"/>
    </w:rPr>
  </w:style>
  <w:style w:type="character" w:customStyle="1" w:styleId="ExhibitTextChar">
    <w:name w:val="Exhibit Text Char"/>
    <w:basedOn w:val="BodyTextMainChar"/>
    <w:link w:val="ExhibitText"/>
    <w:uiPriority w:val="99"/>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uiPriority w:val="99"/>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uiPriority w:val="99"/>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uiPriority w:val="99"/>
    <w:rsid w:val="003B7EF2"/>
    <w:pPr>
      <w:pBdr>
        <w:top w:val="none" w:sz="0" w:space="0" w:color="auto"/>
      </w:pBdr>
    </w:pPr>
  </w:style>
  <w:style w:type="paragraph" w:styleId="BodyText">
    <w:name w:val="Body Text"/>
    <w:basedOn w:val="Normal"/>
    <w:link w:val="BodyTextChar"/>
    <w:uiPriority w:val="99"/>
    <w:unhideWhenUsed/>
    <w:rsid w:val="00CA3976"/>
    <w:pPr>
      <w:spacing w:after="120"/>
    </w:pPr>
  </w:style>
  <w:style w:type="character" w:customStyle="1" w:styleId="BodyTextChar">
    <w:name w:val="Body Text Char"/>
    <w:basedOn w:val="DefaultParagraphFont"/>
    <w:link w:val="BodyText"/>
    <w:uiPriority w:val="99"/>
    <w:rsid w:val="00CA3976"/>
    <w:rPr>
      <w:rFonts w:ascii="Times New Roman" w:eastAsia="Times New Roman" w:hAnsi="Times New Roman" w:cs="Times New Roman"/>
      <w:sz w:val="20"/>
      <w:szCs w:val="20"/>
    </w:rPr>
  </w:style>
  <w:style w:type="paragraph" w:styleId="ListParagraph">
    <w:name w:val="List Paragraph"/>
    <w:basedOn w:val="Normal"/>
    <w:uiPriority w:val="99"/>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5D45D2"/>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uiPriority w:val="99"/>
    <w:rsid w:val="004273F8"/>
  </w:style>
  <w:style w:type="character" w:customStyle="1" w:styleId="apple-converted-space">
    <w:name w:val="apple-converted-space"/>
    <w:basedOn w:val="DefaultParagraphFont"/>
    <w:uiPriority w:val="99"/>
    <w:rsid w:val="004273F8"/>
  </w:style>
  <w:style w:type="character" w:styleId="Strong">
    <w:name w:val="Strong"/>
    <w:uiPriority w:val="99"/>
    <w:qFormat/>
    <w:rsid w:val="004273F8"/>
    <w:rPr>
      <w:b/>
      <w:bCs/>
    </w:rPr>
  </w:style>
  <w:style w:type="character" w:styleId="IntenseReference">
    <w:name w:val="Intense Reference"/>
    <w:uiPriority w:val="99"/>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99"/>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99"/>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uiPriority w:val="99"/>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uiPriority w:val="99"/>
    <w:rsid w:val="00DE01A6"/>
    <w:pPr>
      <w:spacing w:after="0"/>
      <w:jc w:val="both"/>
    </w:pPr>
    <w:rPr>
      <w:sz w:val="24"/>
      <w:szCs w:val="24"/>
    </w:rPr>
  </w:style>
  <w:style w:type="paragraph" w:customStyle="1" w:styleId="nsource1">
    <w:name w:val="nsource1"/>
    <w:basedOn w:val="Normal"/>
    <w:uiPriority w:val="99"/>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uiPriority w:val="99"/>
    <w:rsid w:val="00711642"/>
    <w:pPr>
      <w:spacing w:after="120"/>
      <w:ind w:left="360"/>
    </w:pPr>
    <w:rPr>
      <w:sz w:val="16"/>
      <w:szCs w:val="16"/>
    </w:rPr>
  </w:style>
  <w:style w:type="character" w:customStyle="1" w:styleId="BodyTextIndent3Char">
    <w:name w:val="Body Text Indent 3 Char"/>
    <w:basedOn w:val="DefaultParagraphFont"/>
    <w:link w:val="BodyTextIndent3"/>
    <w:uiPriority w:val="99"/>
    <w:rsid w:val="00711642"/>
    <w:rPr>
      <w:rFonts w:ascii="Times New Roman" w:eastAsia="Times New Roman" w:hAnsi="Times New Roman" w:cs="Times New Roman"/>
      <w:sz w:val="16"/>
      <w:szCs w:val="16"/>
    </w:rPr>
  </w:style>
  <w:style w:type="character" w:styleId="PageNumber">
    <w:name w:val="page number"/>
    <w:basedOn w:val="DefaultParagraphFont"/>
    <w:uiPriority w:val="99"/>
    <w:rsid w:val="00711642"/>
  </w:style>
  <w:style w:type="paragraph" w:styleId="Title">
    <w:name w:val="Title"/>
    <w:basedOn w:val="Normal"/>
    <w:link w:val="TitleChar"/>
    <w:uiPriority w:val="99"/>
    <w:qFormat/>
    <w:rsid w:val="00711642"/>
    <w:pPr>
      <w:spacing w:after="240"/>
      <w:jc w:val="center"/>
    </w:pPr>
    <w:rPr>
      <w:b/>
      <w:sz w:val="24"/>
      <w:lang w:val="en-AU"/>
    </w:rPr>
  </w:style>
  <w:style w:type="character" w:customStyle="1" w:styleId="TitleChar">
    <w:name w:val="Title Char"/>
    <w:basedOn w:val="DefaultParagraphFont"/>
    <w:link w:val="Title"/>
    <w:uiPriority w:val="99"/>
    <w:rsid w:val="00711642"/>
    <w:rPr>
      <w:rFonts w:ascii="Times New Roman" w:eastAsia="Times New Roman" w:hAnsi="Times New Roman" w:cs="Times New Roman"/>
      <w:b/>
      <w:sz w:val="24"/>
      <w:szCs w:val="20"/>
      <w:lang w:val="en-AU"/>
    </w:rPr>
  </w:style>
  <w:style w:type="character" w:styleId="Emphasis">
    <w:name w:val="Emphasis"/>
    <w:uiPriority w:val="99"/>
    <w:qFormat/>
    <w:rsid w:val="00711642"/>
    <w:rPr>
      <w:i/>
      <w:iCs/>
    </w:rPr>
  </w:style>
  <w:style w:type="character" w:customStyle="1" w:styleId="citation">
    <w:name w:val="citation"/>
    <w:basedOn w:val="DefaultParagraphFont"/>
    <w:uiPriority w:val="99"/>
    <w:rsid w:val="0023081A"/>
  </w:style>
  <w:style w:type="character" w:customStyle="1" w:styleId="reference-accessdate">
    <w:name w:val="reference-accessdate"/>
    <w:basedOn w:val="DefaultParagraphFont"/>
    <w:uiPriority w:val="99"/>
    <w:rsid w:val="0023081A"/>
  </w:style>
  <w:style w:type="character" w:customStyle="1" w:styleId="xn-person">
    <w:name w:val="xn-person"/>
    <w:basedOn w:val="DefaultParagraphFont"/>
    <w:uiPriority w:val="99"/>
    <w:rsid w:val="0023081A"/>
  </w:style>
  <w:style w:type="character" w:customStyle="1" w:styleId="bold01">
    <w:name w:val="bold_01"/>
    <w:basedOn w:val="DefaultParagraphFont"/>
    <w:uiPriority w:val="99"/>
    <w:rsid w:val="0023081A"/>
  </w:style>
  <w:style w:type="character" w:customStyle="1" w:styleId="cst-tbl-subtitle">
    <w:name w:val="cst-tbl-subtitle"/>
    <w:basedOn w:val="DefaultParagraphFont"/>
    <w:uiPriority w:val="99"/>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paragraph" w:customStyle="1" w:styleId="casehead10">
    <w:name w:val="casehead1"/>
    <w:basedOn w:val="Normal"/>
    <w:next w:val="BodyText"/>
    <w:uiPriority w:val="99"/>
    <w:rsid w:val="001C7777"/>
    <w:rPr>
      <w:rFonts w:ascii="Arial" w:hAnsi="Arial"/>
      <w:b/>
      <w:caps/>
      <w:lang w:eastAsia="en-CA"/>
    </w:rPr>
  </w:style>
  <w:style w:type="paragraph" w:customStyle="1" w:styleId="casehead20">
    <w:name w:val="casehead2"/>
    <w:basedOn w:val="Normal"/>
    <w:next w:val="BodyText"/>
    <w:uiPriority w:val="99"/>
    <w:rsid w:val="001C7777"/>
    <w:rPr>
      <w:rFonts w:ascii="Arial" w:hAnsi="Arial"/>
      <w:b/>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yperlink" Target="http://www.iveycases.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9700A8-2863-45B0-9D24-7305EBC2A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12</Pages>
  <Words>4891</Words>
  <Characters>27884</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32710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8</cp:revision>
  <cp:lastPrinted>2015-03-04T20:34:00Z</cp:lastPrinted>
  <dcterms:created xsi:type="dcterms:W3CDTF">2017-12-15T18:28:00Z</dcterms:created>
  <dcterms:modified xsi:type="dcterms:W3CDTF">2018-01-11T14:29:00Z</dcterms:modified>
</cp:coreProperties>
</file>