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4558"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3AD7E346" wp14:editId="0736C8E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804" cy="551245"/>
                    </a:xfrm>
                    <a:prstGeom prst="rect">
                      <a:avLst/>
                    </a:prstGeom>
                  </pic:spPr>
                </pic:pic>
              </a:graphicData>
            </a:graphic>
          </wp:inline>
        </w:drawing>
      </w:r>
      <w:r w:rsidR="00484277">
        <w:rPr>
          <w:rFonts w:ascii="Arial" w:hAnsi="Arial"/>
          <w:b/>
          <w:sz w:val="24"/>
        </w:rPr>
        <w:tab/>
      </w:r>
      <w:r w:rsidR="00484277">
        <w:rPr>
          <w:rFonts w:ascii="Arial" w:hAnsi="Arial"/>
          <w:b/>
          <w:sz w:val="24"/>
        </w:rPr>
        <w:tab/>
      </w:r>
      <w:r w:rsidR="00484277">
        <w:rPr>
          <w:rFonts w:ascii="Arial" w:hAnsi="Arial"/>
          <w:b/>
          <w:sz w:val="24"/>
        </w:rPr>
        <w:tab/>
      </w:r>
      <w:r w:rsidR="00484277">
        <w:rPr>
          <w:rFonts w:ascii="Arial" w:hAnsi="Arial"/>
          <w:b/>
          <w:sz w:val="24"/>
        </w:rPr>
        <w:tab/>
      </w:r>
      <w:r w:rsidR="00484277">
        <w:rPr>
          <w:rFonts w:ascii="Arial" w:hAnsi="Arial"/>
          <w:b/>
          <w:sz w:val="24"/>
        </w:rPr>
        <w:tab/>
      </w:r>
      <w:r w:rsidR="00484277">
        <w:rPr>
          <w:rFonts w:ascii="Arial" w:hAnsi="Arial"/>
          <w:b/>
          <w:noProof/>
          <w:sz w:val="24"/>
        </w:rPr>
        <w:drawing>
          <wp:inline distT="0" distB="0" distL="0" distR="0" wp14:anchorId="5BC677F2" wp14:editId="67F46EEE">
            <wp:extent cx="1304925" cy="5486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548640"/>
                    </a:xfrm>
                    <a:prstGeom prst="rect">
                      <a:avLst/>
                    </a:prstGeom>
                    <a:noFill/>
                  </pic:spPr>
                </pic:pic>
              </a:graphicData>
            </a:graphic>
          </wp:inline>
        </w:drawing>
      </w:r>
    </w:p>
    <w:p w14:paraId="1AD50049" w14:textId="65A74EAE" w:rsidR="00D75295" w:rsidRDefault="003C5249" w:rsidP="00F105B7">
      <w:pPr>
        <w:pStyle w:val="ProductNumber"/>
      </w:pPr>
      <w:r>
        <w:t>9B18N004</w:t>
      </w:r>
    </w:p>
    <w:p w14:paraId="7878B6A6" w14:textId="77777777" w:rsidR="00D75295" w:rsidRPr="003D0BA1" w:rsidRDefault="00D75295" w:rsidP="00D75295">
      <w:pPr>
        <w:jc w:val="right"/>
        <w:rPr>
          <w:rFonts w:ascii="Arial" w:hAnsi="Arial"/>
          <w:b/>
          <w:sz w:val="28"/>
          <w:szCs w:val="28"/>
        </w:rPr>
      </w:pPr>
    </w:p>
    <w:p w14:paraId="4A03FF1B" w14:textId="77777777" w:rsidR="00013360" w:rsidRPr="003D0BA1" w:rsidRDefault="00013360" w:rsidP="00D75295">
      <w:pPr>
        <w:jc w:val="right"/>
        <w:rPr>
          <w:rFonts w:ascii="Arial" w:hAnsi="Arial"/>
          <w:b/>
          <w:sz w:val="28"/>
          <w:szCs w:val="28"/>
        </w:rPr>
      </w:pPr>
    </w:p>
    <w:p w14:paraId="165E91F1" w14:textId="77777777" w:rsidR="00013360" w:rsidRDefault="000C7D3F" w:rsidP="00013360">
      <w:pPr>
        <w:pStyle w:val="CaseTitle"/>
        <w:spacing w:after="0" w:line="240" w:lineRule="auto"/>
        <w:rPr>
          <w:sz w:val="20"/>
          <w:szCs w:val="20"/>
        </w:rPr>
      </w:pPr>
      <w:r w:rsidRPr="000C7D3F">
        <w:rPr>
          <w:rFonts w:eastAsia="Times New Roman"/>
          <w:szCs w:val="20"/>
          <w:lang w:val="en-GB"/>
        </w:rPr>
        <w:t>STANDARD CHARTERED PLC: RIDING THE MARKET DURING CORPORATE RESTRUCTURING</w:t>
      </w:r>
      <w:r w:rsidR="00484277">
        <w:rPr>
          <w:rStyle w:val="EndnoteReference"/>
          <w:rFonts w:eastAsia="Times New Roman"/>
          <w:szCs w:val="20"/>
          <w:lang w:val="en-GB"/>
        </w:rPr>
        <w:endnoteReference w:id="1"/>
      </w:r>
    </w:p>
    <w:p w14:paraId="451189F1" w14:textId="77777777" w:rsidR="00CA3976" w:rsidRDefault="00CA3976" w:rsidP="00013360">
      <w:pPr>
        <w:pStyle w:val="CaseTitle"/>
        <w:spacing w:after="0" w:line="240" w:lineRule="auto"/>
        <w:rPr>
          <w:sz w:val="20"/>
          <w:szCs w:val="20"/>
        </w:rPr>
      </w:pPr>
    </w:p>
    <w:p w14:paraId="4CE5AFA7" w14:textId="77777777" w:rsidR="00013360" w:rsidRPr="00013360" w:rsidRDefault="00013360" w:rsidP="00013360">
      <w:pPr>
        <w:pStyle w:val="CaseTitle"/>
        <w:spacing w:after="0" w:line="240" w:lineRule="auto"/>
        <w:rPr>
          <w:sz w:val="20"/>
          <w:szCs w:val="20"/>
        </w:rPr>
      </w:pPr>
    </w:p>
    <w:p w14:paraId="22906FFD" w14:textId="77777777" w:rsidR="00627C63" w:rsidRPr="00627C63" w:rsidRDefault="000C7D3F" w:rsidP="00627C63">
      <w:pPr>
        <w:pStyle w:val="StyleCopyrightStatementAfter0ptBottomSinglesolidline1"/>
      </w:pPr>
      <w:r w:rsidRPr="000C7D3F">
        <w:rPr>
          <w:lang w:val="en-CA"/>
        </w:rPr>
        <w:t xml:space="preserve">Weina Zhang, Ruth S. K. Tan, and </w:t>
      </w:r>
      <w:proofErr w:type="spellStart"/>
      <w:r w:rsidRPr="000C7D3F">
        <w:rPr>
          <w:lang w:val="en-CA"/>
        </w:rPr>
        <w:t>Zsuzsa</w:t>
      </w:r>
      <w:proofErr w:type="spellEnd"/>
      <w:r w:rsidRPr="000C7D3F">
        <w:rPr>
          <w:lang w:val="en-CA"/>
        </w:rPr>
        <w:t xml:space="preserve"> R. </w:t>
      </w:r>
      <w:proofErr w:type="spellStart"/>
      <w:r w:rsidRPr="000C7D3F">
        <w:rPr>
          <w:lang w:val="en-CA"/>
        </w:rPr>
        <w:t>Huszár</w:t>
      </w:r>
      <w:proofErr w:type="spellEnd"/>
      <w:r w:rsidRPr="000C7D3F">
        <w:rPr>
          <w:lang w:val="en-GB"/>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A24F9FB" w14:textId="77777777" w:rsidR="00751E0B" w:rsidRDefault="00751E0B" w:rsidP="00751E0B">
      <w:pPr>
        <w:pStyle w:val="StyleCopyrightStatementAfter0ptBottomSinglesolidline1"/>
      </w:pPr>
    </w:p>
    <w:p w14:paraId="1796C716" w14:textId="77777777" w:rsidR="00A569EA" w:rsidRPr="00E23AB7" w:rsidRDefault="00A569EA" w:rsidP="0048427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0E60539D" w14:textId="77777777" w:rsidR="00A569EA" w:rsidRPr="00E23AB7" w:rsidRDefault="00A569EA" w:rsidP="0048427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0745F7D" w14:textId="005AA282" w:rsidR="00751E0B" w:rsidRDefault="00A569EA" w:rsidP="00751E0B">
      <w:pPr>
        <w:pStyle w:val="StyleStyleCopyrightStatementAfter0ptBottomSinglesolid"/>
      </w:pPr>
      <w:r w:rsidRPr="00E23AB7">
        <w:rPr>
          <w:rFonts w:cs="Arial"/>
          <w:szCs w:val="16"/>
        </w:rPr>
        <w:t>Copyright © 20</w:t>
      </w:r>
      <w:r w:rsidR="000C7D3F">
        <w:rPr>
          <w:rFonts w:cs="Arial"/>
          <w:szCs w:val="16"/>
        </w:rPr>
        <w:t>18</w:t>
      </w:r>
      <w:r w:rsidRPr="00E23AB7">
        <w:rPr>
          <w:rFonts w:cs="Arial"/>
          <w:szCs w:val="16"/>
        </w:rPr>
        <w:t xml:space="preserve">, </w:t>
      </w:r>
      <w:r w:rsidR="00322A61">
        <w:rPr>
          <w:rFonts w:cs="Arial"/>
          <w:szCs w:val="16"/>
        </w:rPr>
        <w:t xml:space="preserve">National University of Singapore and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0C7D3F">
        <w:t>18</w:t>
      </w:r>
      <w:r w:rsidR="001C7777">
        <w:t>-</w:t>
      </w:r>
      <w:r w:rsidR="000C7D3F">
        <w:t>03</w:t>
      </w:r>
      <w:r w:rsidR="00751E0B">
        <w:t>-</w:t>
      </w:r>
      <w:r w:rsidR="00084F3F">
        <w:t>23</w:t>
      </w:r>
    </w:p>
    <w:p w14:paraId="2B8013C1" w14:textId="77777777" w:rsidR="00751E0B" w:rsidRPr="003B7EF2" w:rsidRDefault="00751E0B" w:rsidP="00751E0B">
      <w:pPr>
        <w:pStyle w:val="StyleCopyrightStatementAfter0ptBottomSinglesolidline1"/>
        <w:rPr>
          <w:rFonts w:ascii="Times New Roman" w:hAnsi="Times New Roman"/>
          <w:sz w:val="20"/>
        </w:rPr>
      </w:pPr>
    </w:p>
    <w:p w14:paraId="6B82A8AE" w14:textId="77777777" w:rsidR="004B632F" w:rsidRDefault="004B632F" w:rsidP="004B632F">
      <w:pPr>
        <w:pStyle w:val="StyleCopyrightStatementAfter0ptBottomSinglesolidline1"/>
        <w:rPr>
          <w:rFonts w:ascii="Times New Roman" w:hAnsi="Times New Roman"/>
          <w:sz w:val="20"/>
        </w:rPr>
      </w:pPr>
    </w:p>
    <w:p w14:paraId="0E8E05B0" w14:textId="65445A42" w:rsidR="000C7D3F" w:rsidRPr="000C7D3F" w:rsidRDefault="000C7D3F" w:rsidP="000C7D3F">
      <w:pPr>
        <w:jc w:val="both"/>
        <w:rPr>
          <w:sz w:val="22"/>
          <w:szCs w:val="22"/>
          <w:lang w:val="en-CA"/>
        </w:rPr>
      </w:pPr>
      <w:r w:rsidRPr="000C7D3F">
        <w:rPr>
          <w:sz w:val="22"/>
          <w:szCs w:val="22"/>
          <w:lang w:val="en-CA"/>
        </w:rPr>
        <w:t>On January 9, 2014, Standard Chartered PLC (</w:t>
      </w:r>
      <w:proofErr w:type="spellStart"/>
      <w:r w:rsidRPr="000C7D3F">
        <w:rPr>
          <w:sz w:val="22"/>
          <w:szCs w:val="22"/>
          <w:lang w:val="en-CA"/>
        </w:rPr>
        <w:t>StanChart</w:t>
      </w:r>
      <w:proofErr w:type="spellEnd"/>
      <w:r w:rsidRPr="000C7D3F">
        <w:rPr>
          <w:sz w:val="22"/>
          <w:szCs w:val="22"/>
          <w:lang w:val="en-CA"/>
        </w:rPr>
        <w:t xml:space="preserve">) announced its plan to restructure as part of its new corporate strategy, which had been outlined on November 11, 2013, during the company’s “Investor Day.” The restructuring would integrate </w:t>
      </w:r>
      <w:proofErr w:type="spellStart"/>
      <w:r w:rsidRPr="000C7D3F">
        <w:rPr>
          <w:sz w:val="22"/>
          <w:szCs w:val="22"/>
          <w:lang w:val="en-CA"/>
        </w:rPr>
        <w:t>StanChart’s</w:t>
      </w:r>
      <w:proofErr w:type="spellEnd"/>
      <w:r w:rsidRPr="000C7D3F">
        <w:rPr>
          <w:sz w:val="22"/>
          <w:szCs w:val="22"/>
          <w:lang w:val="en-CA"/>
        </w:rPr>
        <w:t xml:space="preserve"> two businesses, wholesale banking and consumer banking, into one business as of April 1, 2014. The integrated business would have three new customer segments to be serviced by five global product groups. The three customer segments were corporate and institutional clients (CIC), commercial and private banking clients (CPC), and retail customers (RC). CIC accounted for approximately 60 per cent of </w:t>
      </w:r>
      <w:proofErr w:type="spellStart"/>
      <w:r w:rsidRPr="000C7D3F">
        <w:rPr>
          <w:sz w:val="22"/>
          <w:szCs w:val="22"/>
          <w:lang w:val="en-CA"/>
        </w:rPr>
        <w:t>StanChart’s</w:t>
      </w:r>
      <w:proofErr w:type="spellEnd"/>
      <w:r w:rsidRPr="000C7D3F">
        <w:rPr>
          <w:sz w:val="22"/>
          <w:szCs w:val="22"/>
          <w:lang w:val="en-CA"/>
        </w:rPr>
        <w:t xml:space="preserve"> income in 2012</w:t>
      </w:r>
      <w:r w:rsidR="006C2A64">
        <w:rPr>
          <w:sz w:val="22"/>
          <w:szCs w:val="22"/>
          <w:lang w:val="en-CA"/>
        </w:rPr>
        <w:t>,</w:t>
      </w:r>
      <w:r w:rsidRPr="000C7D3F">
        <w:rPr>
          <w:sz w:val="22"/>
          <w:szCs w:val="22"/>
          <w:lang w:val="en-CA"/>
        </w:rPr>
        <w:t xml:space="preserve"> CPC accounted for another 10 per cent</w:t>
      </w:r>
      <w:r w:rsidR="006C2A64">
        <w:rPr>
          <w:sz w:val="22"/>
          <w:szCs w:val="22"/>
          <w:lang w:val="en-CA"/>
        </w:rPr>
        <w:t>,</w:t>
      </w:r>
      <w:r w:rsidRPr="000C7D3F">
        <w:rPr>
          <w:sz w:val="22"/>
          <w:szCs w:val="22"/>
          <w:lang w:val="en-CA"/>
        </w:rPr>
        <w:t xml:space="preserve"> and RC accounted for the remaining 30 per cent. The five global product groups were financial markets, corporate finance, transaction banking, wealth products, and retail products.</w:t>
      </w:r>
      <w:r w:rsidRPr="000C7D3F">
        <w:rPr>
          <w:sz w:val="22"/>
          <w:szCs w:val="22"/>
          <w:vertAlign w:val="superscript"/>
          <w:lang w:val="en-GB"/>
        </w:rPr>
        <w:endnoteReference w:id="2"/>
      </w:r>
      <w:r w:rsidRPr="000C7D3F">
        <w:rPr>
          <w:sz w:val="22"/>
          <w:szCs w:val="22"/>
          <w:lang w:val="en-CA"/>
        </w:rPr>
        <w:t xml:space="preserve"> </w:t>
      </w:r>
    </w:p>
    <w:p w14:paraId="797CE8C2" w14:textId="77777777" w:rsidR="000C7D3F" w:rsidRPr="00DE5A3A" w:rsidRDefault="000C7D3F" w:rsidP="00DE5A3A">
      <w:pPr>
        <w:pStyle w:val="BodyTextMain"/>
        <w:rPr>
          <w:lang w:val="en-CA"/>
        </w:rPr>
      </w:pPr>
    </w:p>
    <w:p w14:paraId="47FA40AE" w14:textId="61AABA2D" w:rsidR="000C7D3F" w:rsidRPr="000C7D3F" w:rsidRDefault="000C7D3F" w:rsidP="000C7D3F">
      <w:pPr>
        <w:jc w:val="both"/>
        <w:rPr>
          <w:sz w:val="22"/>
          <w:szCs w:val="22"/>
          <w:lang w:val="en-CA"/>
        </w:rPr>
      </w:pPr>
      <w:r w:rsidRPr="000C7D3F">
        <w:rPr>
          <w:sz w:val="22"/>
          <w:szCs w:val="22"/>
          <w:lang w:val="en-CA"/>
        </w:rPr>
        <w:t xml:space="preserve">On the day of the announcement, the trading volume of the </w:t>
      </w:r>
      <w:proofErr w:type="spellStart"/>
      <w:r w:rsidRPr="000C7D3F">
        <w:rPr>
          <w:sz w:val="22"/>
          <w:szCs w:val="22"/>
          <w:lang w:val="en-CA"/>
        </w:rPr>
        <w:t>StanChart</w:t>
      </w:r>
      <w:proofErr w:type="spellEnd"/>
      <w:r w:rsidRPr="000C7D3F">
        <w:rPr>
          <w:sz w:val="22"/>
          <w:szCs w:val="22"/>
          <w:lang w:val="en-CA"/>
        </w:rPr>
        <w:t xml:space="preserve"> stocks surged four times to </w:t>
      </w:r>
      <w:proofErr w:type="gramStart"/>
      <w:r w:rsidR="006C2A64">
        <w:rPr>
          <w:sz w:val="22"/>
          <w:szCs w:val="22"/>
          <w:lang w:val="en-CA"/>
        </w:rPr>
        <w:t>approximately</w:t>
      </w:r>
      <w:proofErr w:type="gramEnd"/>
      <w:r w:rsidR="006C2A64" w:rsidRPr="000C7D3F">
        <w:rPr>
          <w:sz w:val="22"/>
          <w:szCs w:val="22"/>
          <w:lang w:val="en-CA"/>
        </w:rPr>
        <w:t xml:space="preserve"> </w:t>
      </w:r>
      <w:r w:rsidRPr="000C7D3F">
        <w:rPr>
          <w:sz w:val="22"/>
          <w:szCs w:val="22"/>
          <w:lang w:val="en-CA"/>
        </w:rPr>
        <w:t>19 million shares. Nevertheless, the share price closed slightly lower at £12.3040,</w:t>
      </w:r>
      <w:r w:rsidRPr="000C7D3F">
        <w:rPr>
          <w:sz w:val="22"/>
          <w:szCs w:val="22"/>
          <w:vertAlign w:val="superscript"/>
          <w:lang w:val="en-CA"/>
        </w:rPr>
        <w:endnoteReference w:id="3"/>
      </w:r>
      <w:r w:rsidRPr="000C7D3F">
        <w:rPr>
          <w:sz w:val="22"/>
          <w:szCs w:val="22"/>
          <w:lang w:val="en-CA"/>
        </w:rPr>
        <w:t xml:space="preserve"> down from £12.5772 recorded the day before (see Exhibit 1). </w:t>
      </w:r>
    </w:p>
    <w:p w14:paraId="669023C2" w14:textId="77777777" w:rsidR="000C7D3F" w:rsidRPr="00DE5A3A" w:rsidRDefault="000C7D3F" w:rsidP="00DE5A3A">
      <w:pPr>
        <w:pStyle w:val="BodyTextMain"/>
        <w:rPr>
          <w:lang w:val="en-CA"/>
        </w:rPr>
      </w:pPr>
    </w:p>
    <w:p w14:paraId="42B8AD6E" w14:textId="77777777" w:rsidR="000C7D3F" w:rsidRPr="000C7D3F" w:rsidRDefault="000C7D3F" w:rsidP="000C7D3F">
      <w:pPr>
        <w:jc w:val="both"/>
        <w:rPr>
          <w:sz w:val="22"/>
          <w:szCs w:val="22"/>
          <w:lang w:val="en-CA"/>
        </w:rPr>
      </w:pPr>
      <w:r w:rsidRPr="000C7D3F">
        <w:rPr>
          <w:sz w:val="22"/>
          <w:szCs w:val="22"/>
          <w:lang w:val="en-CA"/>
        </w:rPr>
        <w:t xml:space="preserve">At the same time, the five </w:t>
      </w:r>
      <w:proofErr w:type="spellStart"/>
      <w:r w:rsidRPr="000C7D3F">
        <w:rPr>
          <w:sz w:val="22"/>
          <w:szCs w:val="22"/>
          <w:lang w:val="en-CA"/>
        </w:rPr>
        <w:t>StanChart</w:t>
      </w:r>
      <w:proofErr w:type="spellEnd"/>
      <w:r w:rsidRPr="000C7D3F">
        <w:rPr>
          <w:sz w:val="22"/>
          <w:szCs w:val="22"/>
          <w:lang w:val="en-CA"/>
        </w:rPr>
        <w:t xml:space="preserve"> corporate bonds were also actively traded. The bond rated the highest (SCBFF3764769) by Standard &amp; Poor’s (S&amp;P), a major U.S. credit rating agency, had a rating of BBB with a 6.4 per cent semi-annual coupon rate. The other four bonds were rated one notch lower, at BBB−. The bond </w:t>
      </w:r>
      <w:r w:rsidRPr="000C7D3F">
        <w:rPr>
          <w:sz w:val="22"/>
          <w:szCs w:val="22"/>
          <w:lang w:val="en-SG" w:eastAsia="zh-CN"/>
        </w:rPr>
        <w:t xml:space="preserve">SCBFF3764769 </w:t>
      </w:r>
      <w:r w:rsidRPr="000C7D3F">
        <w:rPr>
          <w:sz w:val="22"/>
          <w:szCs w:val="22"/>
          <w:lang w:val="en-CA"/>
        </w:rPr>
        <w:t>closed at US$112.972</w:t>
      </w:r>
      <w:r w:rsidRPr="000C7D3F">
        <w:rPr>
          <w:sz w:val="22"/>
          <w:szCs w:val="22"/>
          <w:vertAlign w:val="superscript"/>
          <w:lang w:val="en-CA"/>
        </w:rPr>
        <w:endnoteReference w:id="4"/>
      </w:r>
      <w:r w:rsidRPr="000C7D3F">
        <w:rPr>
          <w:sz w:val="22"/>
          <w:szCs w:val="22"/>
          <w:lang w:val="en-CA"/>
        </w:rPr>
        <w:t xml:space="preserve"> on January 9, 2014, slightly lower than the closing of $113.650 on the prior day (see Exhibit 1). </w:t>
      </w:r>
    </w:p>
    <w:p w14:paraId="41E23AA4" w14:textId="77777777" w:rsidR="000C7D3F" w:rsidRPr="00DE5A3A" w:rsidRDefault="000C7D3F" w:rsidP="00DE5A3A">
      <w:pPr>
        <w:pStyle w:val="BodyTextMain"/>
        <w:rPr>
          <w:lang w:val="en-CA"/>
        </w:rPr>
      </w:pPr>
    </w:p>
    <w:p w14:paraId="1EF06BB7" w14:textId="6DB52ADC" w:rsidR="000C7D3F" w:rsidRPr="000C7D3F" w:rsidRDefault="000C7D3F" w:rsidP="000C7D3F">
      <w:pPr>
        <w:jc w:val="both"/>
        <w:rPr>
          <w:sz w:val="22"/>
          <w:szCs w:val="22"/>
          <w:lang w:val="en-CA"/>
        </w:rPr>
      </w:pPr>
      <w:proofErr w:type="spellStart"/>
      <w:r w:rsidRPr="000C7D3F">
        <w:rPr>
          <w:sz w:val="22"/>
          <w:szCs w:val="22"/>
          <w:lang w:val="en-CA"/>
        </w:rPr>
        <w:t>StanChart’s</w:t>
      </w:r>
      <w:proofErr w:type="spellEnd"/>
      <w:r w:rsidRPr="000C7D3F">
        <w:rPr>
          <w:sz w:val="22"/>
          <w:szCs w:val="22"/>
          <w:lang w:val="en-CA"/>
        </w:rPr>
        <w:t xml:space="preserve"> restructuring announcement was not a total surprise</w:t>
      </w:r>
      <w:r w:rsidR="00B91507">
        <w:rPr>
          <w:sz w:val="22"/>
          <w:szCs w:val="22"/>
          <w:lang w:val="en-CA"/>
        </w:rPr>
        <w:t>,</w:t>
      </w:r>
      <w:r w:rsidRPr="000C7D3F">
        <w:rPr>
          <w:sz w:val="22"/>
          <w:szCs w:val="22"/>
          <w:lang w:val="en-CA"/>
        </w:rPr>
        <w:t xml:space="preserve"> given the sluggish performance of the financial industry after the 2008 global financial crisis. Several international banks listed on the London Stock Exchange, such as Hong Kong and Shanghai Banking Corporation (HSBC), Royal Bank of Scotland (RBS), and Barclays, had also announced major restructuring plans after the crisis. For example, on December 24, 2013, RBS increased its target for job cuts at its investment banking business to 3,800.</w:t>
      </w:r>
      <w:r w:rsidRPr="000C7D3F">
        <w:rPr>
          <w:sz w:val="22"/>
          <w:szCs w:val="22"/>
          <w:vertAlign w:val="superscript"/>
          <w:lang w:val="en-CA"/>
        </w:rPr>
        <w:endnoteReference w:id="5"/>
      </w:r>
      <w:r w:rsidRPr="000C7D3F">
        <w:rPr>
          <w:sz w:val="22"/>
          <w:szCs w:val="22"/>
          <w:lang w:val="en-CA"/>
        </w:rPr>
        <w:t xml:space="preserve"> RBS’s chief executive officer (CEO), Stephen Hester, had already cut 34,000 jobs since arriving at RBS in 2009.</w:t>
      </w:r>
      <w:r w:rsidRPr="000C7D3F">
        <w:rPr>
          <w:sz w:val="22"/>
          <w:szCs w:val="22"/>
          <w:vertAlign w:val="superscript"/>
          <w:lang w:val="en-CA"/>
        </w:rPr>
        <w:endnoteReference w:id="6"/>
      </w:r>
      <w:r w:rsidRPr="000C7D3F">
        <w:rPr>
          <w:sz w:val="22"/>
          <w:szCs w:val="22"/>
          <w:lang w:val="en-CA"/>
        </w:rPr>
        <w:t xml:space="preserve"> Barclays had undertaken a similar strategy. On February 12, 2013, the newly appointed CEO of Barclays, Anthony Jenkins, announced that Barclays would cut 3,700 jobs as part of a strategic overhaul and would focus on operations in the United Kingdom, the United States, and Africa.</w:t>
      </w:r>
      <w:r w:rsidRPr="000C7D3F">
        <w:rPr>
          <w:sz w:val="22"/>
          <w:szCs w:val="22"/>
          <w:vertAlign w:val="superscript"/>
          <w:lang w:val="en-CA"/>
        </w:rPr>
        <w:endnoteReference w:id="7"/>
      </w:r>
      <w:r w:rsidRPr="000C7D3F">
        <w:rPr>
          <w:sz w:val="22"/>
          <w:szCs w:val="22"/>
          <w:lang w:val="en-CA"/>
        </w:rPr>
        <w:t xml:space="preserve"> HSBC also cut jobs, announcing on May 13, 2013, that it planned to cut an additional 14,000 jobs to focus on high-growth markets in Asia.</w:t>
      </w:r>
      <w:r w:rsidRPr="000C7D3F">
        <w:rPr>
          <w:sz w:val="22"/>
          <w:szCs w:val="22"/>
          <w:vertAlign w:val="superscript"/>
          <w:lang w:val="en-CA"/>
        </w:rPr>
        <w:endnoteReference w:id="8"/>
      </w:r>
    </w:p>
    <w:p w14:paraId="0860FF8F" w14:textId="5A3A23F2" w:rsidR="000C7D3F" w:rsidRPr="000C7D3F" w:rsidRDefault="000C7D3F" w:rsidP="000C7D3F">
      <w:pPr>
        <w:jc w:val="both"/>
        <w:rPr>
          <w:sz w:val="22"/>
          <w:szCs w:val="22"/>
          <w:lang w:val="en-GB"/>
        </w:rPr>
      </w:pPr>
      <w:r w:rsidRPr="000C7D3F">
        <w:rPr>
          <w:sz w:val="22"/>
          <w:szCs w:val="22"/>
          <w:lang w:val="en-CA"/>
        </w:rPr>
        <w:lastRenderedPageBreak/>
        <w:t xml:space="preserve">In 2012, amid the struggle of various financial institutions in coping with the consequence of the 2008 global financial crisis, U.S. lawmakers started to investigate these international banks. </w:t>
      </w:r>
      <w:r w:rsidRPr="000C7D3F">
        <w:rPr>
          <w:sz w:val="22"/>
          <w:szCs w:val="22"/>
          <w:lang w:val="en-GB"/>
        </w:rPr>
        <w:t>On June 28, 2012, Barclays was fined £290 million for attempting to manipulate the London Interbank Offered Rate (LIBOR) in 2005.</w:t>
      </w:r>
      <w:r w:rsidRPr="000C7D3F">
        <w:rPr>
          <w:sz w:val="22"/>
          <w:szCs w:val="22"/>
          <w:vertAlign w:val="superscript"/>
          <w:lang w:val="en-GB"/>
        </w:rPr>
        <w:endnoteReference w:id="9"/>
      </w:r>
      <w:r w:rsidRPr="000C7D3F">
        <w:rPr>
          <w:sz w:val="22"/>
          <w:szCs w:val="22"/>
          <w:lang w:val="en-GB"/>
        </w:rPr>
        <w:t xml:space="preserve"> On July 11, 2012, HSBC was accused of falling short in its compliance practices and facilitating money laundering for drug barons in Mexico.</w:t>
      </w:r>
      <w:r w:rsidRPr="000C7D3F">
        <w:rPr>
          <w:sz w:val="22"/>
          <w:szCs w:val="22"/>
          <w:vertAlign w:val="superscript"/>
          <w:lang w:val="en-GB"/>
        </w:rPr>
        <w:endnoteReference w:id="10"/>
      </w:r>
    </w:p>
    <w:p w14:paraId="0C38CDA5" w14:textId="77777777" w:rsidR="000C7D3F" w:rsidRPr="000C7D3F" w:rsidRDefault="000C7D3F" w:rsidP="00DE5A3A">
      <w:pPr>
        <w:pStyle w:val="BodyTextMain"/>
        <w:rPr>
          <w:lang w:val="en-CA"/>
        </w:rPr>
      </w:pPr>
    </w:p>
    <w:p w14:paraId="7A35EB5C" w14:textId="4216C7C5" w:rsidR="000C7D3F" w:rsidRPr="000C7D3F" w:rsidRDefault="000C7D3F" w:rsidP="000C7D3F">
      <w:pPr>
        <w:jc w:val="both"/>
        <w:rPr>
          <w:sz w:val="22"/>
          <w:szCs w:val="22"/>
          <w:lang w:val="en-GB"/>
        </w:rPr>
      </w:pPr>
      <w:proofErr w:type="spellStart"/>
      <w:r w:rsidRPr="000C7D3F">
        <w:rPr>
          <w:sz w:val="22"/>
          <w:szCs w:val="22"/>
          <w:lang w:val="en-CA"/>
        </w:rPr>
        <w:t>StanChart</w:t>
      </w:r>
      <w:proofErr w:type="spellEnd"/>
      <w:r w:rsidRPr="000C7D3F">
        <w:rPr>
          <w:sz w:val="22"/>
          <w:szCs w:val="22"/>
          <w:lang w:val="en-CA"/>
        </w:rPr>
        <w:t xml:space="preserve"> was also investigated. On August 14, 2012, it agreed to pay a fine of $340 million to the </w:t>
      </w:r>
      <w:r w:rsidRPr="000C7D3F">
        <w:rPr>
          <w:sz w:val="22"/>
          <w:szCs w:val="22"/>
          <w:lang w:val="en-GB"/>
        </w:rPr>
        <w:t>New York State Department of Financial Services</w:t>
      </w:r>
      <w:r w:rsidRPr="000C7D3F">
        <w:rPr>
          <w:sz w:val="22"/>
          <w:szCs w:val="22"/>
          <w:lang w:val="en-CA"/>
        </w:rPr>
        <w:t xml:space="preserve"> (DFS) for </w:t>
      </w:r>
      <w:r w:rsidR="00B91507">
        <w:rPr>
          <w:sz w:val="22"/>
          <w:szCs w:val="22"/>
          <w:lang w:val="en-CA"/>
        </w:rPr>
        <w:t xml:space="preserve">having </w:t>
      </w:r>
      <w:r w:rsidR="00B91507" w:rsidRPr="000C7D3F">
        <w:rPr>
          <w:sz w:val="22"/>
          <w:szCs w:val="22"/>
          <w:lang w:val="en-CA"/>
        </w:rPr>
        <w:t>violat</w:t>
      </w:r>
      <w:r w:rsidR="00B91507">
        <w:rPr>
          <w:sz w:val="22"/>
          <w:szCs w:val="22"/>
          <w:lang w:val="en-CA"/>
        </w:rPr>
        <w:t>ed</w:t>
      </w:r>
      <w:r w:rsidR="00B91507" w:rsidRPr="000C7D3F">
        <w:rPr>
          <w:sz w:val="22"/>
          <w:szCs w:val="22"/>
          <w:lang w:val="en-CA"/>
        </w:rPr>
        <w:t xml:space="preserve"> </w:t>
      </w:r>
      <w:r w:rsidRPr="000C7D3F">
        <w:rPr>
          <w:sz w:val="22"/>
          <w:szCs w:val="22"/>
          <w:lang w:val="en-CA"/>
        </w:rPr>
        <w:t>U.S. sanctions against Iran.</w:t>
      </w:r>
      <w:r w:rsidRPr="000C7D3F">
        <w:rPr>
          <w:sz w:val="22"/>
          <w:szCs w:val="22"/>
          <w:vertAlign w:val="superscript"/>
          <w:lang w:val="en-GB"/>
        </w:rPr>
        <w:endnoteReference w:id="11"/>
      </w:r>
      <w:r w:rsidRPr="000C7D3F">
        <w:rPr>
          <w:sz w:val="22"/>
          <w:szCs w:val="22"/>
          <w:lang w:val="en-CA"/>
        </w:rPr>
        <w:t xml:space="preserve"> In December 2012, it was reported that in addition to the payment to the DFS, </w:t>
      </w:r>
      <w:proofErr w:type="spellStart"/>
      <w:r w:rsidRPr="000C7D3F">
        <w:rPr>
          <w:sz w:val="22"/>
          <w:szCs w:val="22"/>
          <w:lang w:val="en-CA"/>
        </w:rPr>
        <w:t>StanChart</w:t>
      </w:r>
      <w:proofErr w:type="spellEnd"/>
      <w:r w:rsidRPr="000C7D3F">
        <w:rPr>
          <w:sz w:val="22"/>
          <w:szCs w:val="22"/>
          <w:lang w:val="en-CA"/>
        </w:rPr>
        <w:t xml:space="preserve"> had to pay a </w:t>
      </w:r>
      <w:r w:rsidR="00516FDA">
        <w:rPr>
          <w:sz w:val="22"/>
          <w:szCs w:val="22"/>
          <w:lang w:val="en-CA"/>
        </w:rPr>
        <w:t>further</w:t>
      </w:r>
      <w:r w:rsidR="00516FDA" w:rsidRPr="000C7D3F">
        <w:rPr>
          <w:sz w:val="22"/>
          <w:szCs w:val="22"/>
          <w:lang w:val="en-CA"/>
        </w:rPr>
        <w:t xml:space="preserve"> </w:t>
      </w:r>
      <w:r w:rsidRPr="000C7D3F">
        <w:rPr>
          <w:sz w:val="22"/>
          <w:szCs w:val="22"/>
          <w:lang w:val="en-CA"/>
        </w:rPr>
        <w:t>penalty of $</w:t>
      </w:r>
      <w:r w:rsidR="00516FDA">
        <w:rPr>
          <w:sz w:val="22"/>
          <w:szCs w:val="22"/>
          <w:lang w:val="en-CA"/>
        </w:rPr>
        <w:t>32</w:t>
      </w:r>
      <w:r w:rsidR="00516FDA" w:rsidRPr="000C7D3F">
        <w:rPr>
          <w:sz w:val="22"/>
          <w:szCs w:val="22"/>
          <w:lang w:val="en-CA"/>
        </w:rPr>
        <w:t xml:space="preserve">7 </w:t>
      </w:r>
      <w:r w:rsidRPr="000C7D3F">
        <w:rPr>
          <w:sz w:val="22"/>
          <w:szCs w:val="22"/>
          <w:lang w:val="en-CA"/>
        </w:rPr>
        <w:t xml:space="preserve">million, comprising </w:t>
      </w:r>
      <w:r w:rsidRPr="000C7D3F">
        <w:rPr>
          <w:sz w:val="22"/>
          <w:szCs w:val="22"/>
          <w:lang w:val="en-GB"/>
        </w:rPr>
        <w:t>$95 million to the U.S. Attorney’s Office for the Southern District of New York, Department of Justice; $132 million to the Office of Foreign Assets Control, Department of the Treasury; and $100 million to the Federal Reserve System.</w:t>
      </w:r>
      <w:r w:rsidRPr="000C7D3F">
        <w:rPr>
          <w:sz w:val="22"/>
          <w:szCs w:val="22"/>
          <w:vertAlign w:val="superscript"/>
          <w:lang w:val="en-GB"/>
        </w:rPr>
        <w:endnoteReference w:id="12"/>
      </w:r>
      <w:r w:rsidR="00D9261C">
        <w:rPr>
          <w:sz w:val="22"/>
          <w:szCs w:val="22"/>
          <w:lang w:val="en-GB"/>
        </w:rPr>
        <w:t xml:space="preserve"> Hence, </w:t>
      </w:r>
      <w:proofErr w:type="spellStart"/>
      <w:r w:rsidR="00D9261C">
        <w:rPr>
          <w:sz w:val="22"/>
          <w:szCs w:val="22"/>
          <w:lang w:val="en-GB"/>
        </w:rPr>
        <w:t>StanChart</w:t>
      </w:r>
      <w:proofErr w:type="spellEnd"/>
      <w:r w:rsidR="00D9261C">
        <w:rPr>
          <w:sz w:val="22"/>
          <w:szCs w:val="22"/>
          <w:lang w:val="en-GB"/>
        </w:rPr>
        <w:t xml:space="preserve"> had to pay a total penalty of $667 million ($340 million + $327 million).</w:t>
      </w:r>
      <w:r w:rsidR="00322A61">
        <w:rPr>
          <w:sz w:val="22"/>
          <w:szCs w:val="22"/>
          <w:lang w:val="en-GB"/>
        </w:rPr>
        <w:t xml:space="preserve"> In 2015, how would a rational investor have taken advantage of the corporate restructuring event at </w:t>
      </w:r>
      <w:proofErr w:type="spellStart"/>
      <w:r w:rsidR="00322A61">
        <w:rPr>
          <w:sz w:val="22"/>
          <w:szCs w:val="22"/>
          <w:lang w:val="en-GB"/>
        </w:rPr>
        <w:t>StanChart</w:t>
      </w:r>
      <w:proofErr w:type="spellEnd"/>
      <w:r w:rsidR="00322A61">
        <w:rPr>
          <w:sz w:val="22"/>
          <w:szCs w:val="22"/>
          <w:lang w:val="en-GB"/>
        </w:rPr>
        <w:t>?</w:t>
      </w:r>
    </w:p>
    <w:p w14:paraId="01932003" w14:textId="77777777" w:rsidR="000C7D3F" w:rsidRPr="000C7D3F" w:rsidRDefault="000C7D3F" w:rsidP="00DE5A3A">
      <w:pPr>
        <w:pStyle w:val="BodyTextMain"/>
        <w:rPr>
          <w:lang w:val="en-CA"/>
        </w:rPr>
      </w:pPr>
    </w:p>
    <w:p w14:paraId="043FC2AC" w14:textId="77777777" w:rsidR="000C7D3F" w:rsidRPr="000C7D3F" w:rsidRDefault="000C7D3F" w:rsidP="00DE5A3A">
      <w:pPr>
        <w:pStyle w:val="BodyTextMain"/>
        <w:rPr>
          <w:lang w:val="en-CA"/>
        </w:rPr>
      </w:pPr>
    </w:p>
    <w:p w14:paraId="1D1C0114" w14:textId="77777777" w:rsidR="000C7D3F" w:rsidRPr="000C7D3F" w:rsidRDefault="000C7D3F" w:rsidP="000C7D3F">
      <w:pPr>
        <w:jc w:val="both"/>
        <w:outlineLvl w:val="0"/>
        <w:rPr>
          <w:rFonts w:ascii="Arial" w:hAnsi="Arial" w:cs="Arial"/>
          <w:b/>
          <w:caps/>
          <w:lang w:val="en-CA"/>
        </w:rPr>
      </w:pPr>
      <w:r w:rsidRPr="000C7D3F">
        <w:rPr>
          <w:rFonts w:ascii="Arial" w:hAnsi="Arial" w:cs="Arial"/>
          <w:b/>
          <w:caps/>
          <w:lang w:val="en-CA"/>
        </w:rPr>
        <w:t>RESTRUCTURING STANCHART</w:t>
      </w:r>
    </w:p>
    <w:p w14:paraId="56620AE7" w14:textId="77777777" w:rsidR="000C7D3F" w:rsidRPr="000C7D3F" w:rsidRDefault="000C7D3F" w:rsidP="00DE5A3A">
      <w:pPr>
        <w:pStyle w:val="BodyTextMain"/>
        <w:rPr>
          <w:lang w:val="en-CA"/>
        </w:rPr>
      </w:pPr>
    </w:p>
    <w:p w14:paraId="0A492809" w14:textId="77777777" w:rsidR="000C7D3F" w:rsidRPr="000C7D3F" w:rsidRDefault="000C7D3F" w:rsidP="000C7D3F">
      <w:pPr>
        <w:jc w:val="both"/>
        <w:rPr>
          <w:rFonts w:ascii="Arial" w:hAnsi="Arial" w:cs="Arial"/>
          <w:b/>
          <w:lang w:val="en-CA"/>
        </w:rPr>
      </w:pPr>
      <w:r w:rsidRPr="000C7D3F">
        <w:rPr>
          <w:rFonts w:ascii="Arial" w:hAnsi="Arial" w:cs="Arial"/>
          <w:b/>
          <w:lang w:val="en-CA"/>
        </w:rPr>
        <w:t>Background</w:t>
      </w:r>
    </w:p>
    <w:p w14:paraId="3391907A" w14:textId="77777777" w:rsidR="000C7D3F" w:rsidRPr="000C7D3F" w:rsidRDefault="000C7D3F" w:rsidP="00DE5A3A">
      <w:pPr>
        <w:pStyle w:val="BodyTextMain"/>
        <w:rPr>
          <w:lang w:val="en-CA"/>
        </w:rPr>
      </w:pPr>
    </w:p>
    <w:p w14:paraId="72605C6D" w14:textId="199BA0F3" w:rsidR="000C7D3F" w:rsidRPr="000C7D3F" w:rsidRDefault="000C7D3F" w:rsidP="000C7D3F">
      <w:pPr>
        <w:jc w:val="both"/>
        <w:rPr>
          <w:sz w:val="22"/>
          <w:szCs w:val="22"/>
          <w:lang w:val="en-CA"/>
        </w:rPr>
      </w:pPr>
      <w:proofErr w:type="spellStart"/>
      <w:r w:rsidRPr="000C7D3F">
        <w:rPr>
          <w:sz w:val="22"/>
          <w:szCs w:val="22"/>
          <w:lang w:val="en-CA"/>
        </w:rPr>
        <w:t>StanChart</w:t>
      </w:r>
      <w:proofErr w:type="spellEnd"/>
      <w:r w:rsidRPr="000C7D3F">
        <w:rPr>
          <w:sz w:val="22"/>
          <w:szCs w:val="22"/>
          <w:lang w:val="en-CA"/>
        </w:rPr>
        <w:t xml:space="preserve"> was a British multinational banking and financial services company headquartered in London, England.</w:t>
      </w:r>
      <w:r w:rsidRPr="000C7D3F">
        <w:rPr>
          <w:sz w:val="22"/>
          <w:szCs w:val="22"/>
          <w:vertAlign w:val="superscript"/>
          <w:lang w:val="en-GB"/>
        </w:rPr>
        <w:endnoteReference w:id="13"/>
      </w:r>
      <w:r w:rsidRPr="000C7D3F">
        <w:rPr>
          <w:sz w:val="22"/>
          <w:szCs w:val="22"/>
          <w:lang w:val="en-CA"/>
        </w:rPr>
        <w:t xml:space="preserve"> It was formed in 1969 </w:t>
      </w:r>
      <w:r w:rsidR="0048059C">
        <w:rPr>
          <w:sz w:val="22"/>
          <w:szCs w:val="22"/>
          <w:lang w:val="en-CA"/>
        </w:rPr>
        <w:t>from the merger of</w:t>
      </w:r>
      <w:r w:rsidR="0048059C" w:rsidRPr="000C7D3F">
        <w:rPr>
          <w:sz w:val="22"/>
          <w:szCs w:val="22"/>
          <w:lang w:val="en-CA"/>
        </w:rPr>
        <w:t xml:space="preserve"> </w:t>
      </w:r>
      <w:r w:rsidRPr="000C7D3F">
        <w:rPr>
          <w:sz w:val="22"/>
          <w:szCs w:val="22"/>
          <w:lang w:val="en-CA"/>
        </w:rPr>
        <w:t>two banks: the Standard Bank of British South Africa (founded in 1862) and the Chartered Bank of India, Australia and China (founded in 1853).</w:t>
      </w:r>
      <w:r w:rsidRPr="000C7D3F">
        <w:rPr>
          <w:sz w:val="22"/>
          <w:szCs w:val="22"/>
          <w:vertAlign w:val="superscript"/>
          <w:lang w:val="en-GB"/>
        </w:rPr>
        <w:endnoteReference w:id="14"/>
      </w:r>
      <w:r w:rsidRPr="000C7D3F">
        <w:rPr>
          <w:sz w:val="22"/>
          <w:szCs w:val="22"/>
          <w:lang w:val="en-CA"/>
        </w:rPr>
        <w:t xml:space="preserve"> </w:t>
      </w:r>
      <w:proofErr w:type="spellStart"/>
      <w:r w:rsidRPr="000C7D3F">
        <w:rPr>
          <w:sz w:val="22"/>
          <w:szCs w:val="22"/>
          <w:lang w:val="en-CA"/>
        </w:rPr>
        <w:t>StanChart</w:t>
      </w:r>
      <w:proofErr w:type="spellEnd"/>
      <w:r w:rsidRPr="000C7D3F">
        <w:rPr>
          <w:sz w:val="22"/>
          <w:szCs w:val="22"/>
          <w:lang w:val="en-CA"/>
        </w:rPr>
        <w:t xml:space="preserve"> was first listed on the London Stock Exchange </w:t>
      </w:r>
      <w:r w:rsidR="00F578EB">
        <w:rPr>
          <w:sz w:val="22"/>
          <w:szCs w:val="22"/>
          <w:lang w:val="en-CA"/>
        </w:rPr>
        <w:t>in</w:t>
      </w:r>
      <w:r w:rsidR="00F578EB" w:rsidRPr="000C7D3F">
        <w:rPr>
          <w:sz w:val="22"/>
          <w:szCs w:val="22"/>
          <w:lang w:val="en-CA"/>
        </w:rPr>
        <w:t xml:space="preserve"> </w:t>
      </w:r>
      <w:r w:rsidRPr="000C7D3F">
        <w:rPr>
          <w:sz w:val="22"/>
          <w:szCs w:val="22"/>
          <w:lang w:val="en-CA"/>
        </w:rPr>
        <w:t>1969.</w:t>
      </w:r>
      <w:r w:rsidRPr="000C7D3F">
        <w:rPr>
          <w:sz w:val="22"/>
          <w:szCs w:val="22"/>
          <w:vertAlign w:val="superscript"/>
          <w:lang w:val="en-GB"/>
        </w:rPr>
        <w:endnoteReference w:id="15"/>
      </w:r>
      <w:r w:rsidRPr="000C7D3F">
        <w:rPr>
          <w:sz w:val="22"/>
          <w:szCs w:val="22"/>
          <w:lang w:val="en-CA"/>
        </w:rPr>
        <w:t xml:space="preserve"> It also had secondary listing</w:t>
      </w:r>
      <w:r w:rsidR="0048059C">
        <w:rPr>
          <w:sz w:val="22"/>
          <w:szCs w:val="22"/>
          <w:lang w:val="en-CA"/>
        </w:rPr>
        <w:t>s</w:t>
      </w:r>
      <w:r w:rsidRPr="000C7D3F">
        <w:rPr>
          <w:sz w:val="22"/>
          <w:szCs w:val="22"/>
          <w:lang w:val="en-CA"/>
        </w:rPr>
        <w:t xml:space="preserve"> on the Hong Kong Stock Exchange and the National Stock Exchange of India.</w:t>
      </w:r>
      <w:r w:rsidRPr="000C7D3F">
        <w:rPr>
          <w:sz w:val="22"/>
          <w:szCs w:val="22"/>
          <w:vertAlign w:val="superscript"/>
          <w:lang w:val="en-GB"/>
        </w:rPr>
        <w:endnoteReference w:id="16"/>
      </w:r>
      <w:r w:rsidRPr="000C7D3F">
        <w:rPr>
          <w:sz w:val="22"/>
          <w:szCs w:val="22"/>
          <w:lang w:val="en-CA"/>
        </w:rPr>
        <w:t xml:space="preserve"> In 2014, </w:t>
      </w:r>
      <w:proofErr w:type="spellStart"/>
      <w:r w:rsidRPr="000C7D3F">
        <w:rPr>
          <w:sz w:val="22"/>
          <w:szCs w:val="22"/>
          <w:lang w:val="en-CA"/>
        </w:rPr>
        <w:t>StanChart</w:t>
      </w:r>
      <w:proofErr w:type="spellEnd"/>
      <w:r w:rsidRPr="000C7D3F">
        <w:rPr>
          <w:sz w:val="22"/>
          <w:szCs w:val="22"/>
          <w:lang w:val="en-CA"/>
        </w:rPr>
        <w:t xml:space="preserve"> had a network of more than 1,700 offices across more than 70 markets with a total employment of 88,000 people.</w:t>
      </w:r>
      <w:r w:rsidRPr="000C7D3F">
        <w:rPr>
          <w:sz w:val="22"/>
          <w:szCs w:val="22"/>
          <w:vertAlign w:val="superscript"/>
          <w:lang w:val="en-GB"/>
        </w:rPr>
        <w:endnoteReference w:id="17"/>
      </w:r>
      <w:r w:rsidRPr="000C7D3F">
        <w:rPr>
          <w:sz w:val="22"/>
          <w:szCs w:val="22"/>
          <w:lang w:val="en-CA"/>
        </w:rPr>
        <w:t xml:space="preserve"> </w:t>
      </w:r>
    </w:p>
    <w:p w14:paraId="75C6C611" w14:textId="77777777" w:rsidR="000C7D3F" w:rsidRPr="000C7D3F" w:rsidRDefault="000C7D3F" w:rsidP="00DE5A3A">
      <w:pPr>
        <w:pStyle w:val="BodyTextMain"/>
        <w:rPr>
          <w:lang w:val="en-CA"/>
        </w:rPr>
      </w:pPr>
    </w:p>
    <w:p w14:paraId="65A97FC5" w14:textId="0EE4BEB5" w:rsidR="000C7D3F" w:rsidRPr="000C7D3F" w:rsidRDefault="000C7D3F" w:rsidP="000C7D3F">
      <w:pPr>
        <w:jc w:val="both"/>
        <w:rPr>
          <w:sz w:val="22"/>
          <w:szCs w:val="22"/>
          <w:lang w:val="en-CA"/>
        </w:rPr>
      </w:pPr>
      <w:r w:rsidRPr="000C7D3F">
        <w:rPr>
          <w:sz w:val="22"/>
          <w:szCs w:val="22"/>
          <w:lang w:val="en-CA"/>
        </w:rPr>
        <w:t xml:space="preserve">In the post global financial crisis period from 2008 to 2013, </w:t>
      </w:r>
      <w:proofErr w:type="spellStart"/>
      <w:r w:rsidRPr="000C7D3F">
        <w:rPr>
          <w:sz w:val="22"/>
          <w:szCs w:val="22"/>
          <w:lang w:val="en-CA"/>
        </w:rPr>
        <w:t>StanChart</w:t>
      </w:r>
      <w:proofErr w:type="spellEnd"/>
      <w:r w:rsidRPr="000C7D3F">
        <w:rPr>
          <w:sz w:val="22"/>
          <w:szCs w:val="22"/>
          <w:lang w:val="en-CA"/>
        </w:rPr>
        <w:t xml:space="preserve"> had experienced significant growth (see Exhibit </w:t>
      </w:r>
      <w:r w:rsidR="003127DD">
        <w:rPr>
          <w:sz w:val="22"/>
          <w:szCs w:val="22"/>
          <w:lang w:val="en-CA"/>
        </w:rPr>
        <w:t>2</w:t>
      </w:r>
      <w:r w:rsidRPr="000C7D3F">
        <w:rPr>
          <w:sz w:val="22"/>
          <w:szCs w:val="22"/>
          <w:lang w:val="en-CA"/>
        </w:rPr>
        <w:t xml:space="preserve"> and </w:t>
      </w:r>
      <w:r w:rsidR="003127DD">
        <w:rPr>
          <w:sz w:val="22"/>
          <w:szCs w:val="22"/>
          <w:lang w:val="en-CA"/>
        </w:rPr>
        <w:t>3</w:t>
      </w:r>
      <w:r w:rsidR="001D572D">
        <w:rPr>
          <w:sz w:val="22"/>
          <w:szCs w:val="22"/>
          <w:lang w:val="en-CA"/>
        </w:rPr>
        <w:t>)</w:t>
      </w:r>
      <w:r w:rsidRPr="000C7D3F">
        <w:rPr>
          <w:sz w:val="22"/>
          <w:szCs w:val="22"/>
          <w:lang w:val="en-CA"/>
        </w:rPr>
        <w:t>. It gained from its Asian focus</w:t>
      </w:r>
      <w:r w:rsidR="00277CA5">
        <w:rPr>
          <w:sz w:val="22"/>
          <w:szCs w:val="22"/>
          <w:lang w:val="en-CA"/>
        </w:rPr>
        <w:t>,</w:t>
      </w:r>
      <w:r w:rsidRPr="000C7D3F">
        <w:rPr>
          <w:sz w:val="22"/>
          <w:szCs w:val="22"/>
          <w:lang w:val="en-CA"/>
        </w:rPr>
        <w:t xml:space="preserve"> as emerging markets grew faster than the U.S. and European economies (see Exhibit </w:t>
      </w:r>
      <w:r w:rsidR="003127DD">
        <w:rPr>
          <w:sz w:val="22"/>
          <w:szCs w:val="22"/>
          <w:lang w:val="en-CA"/>
        </w:rPr>
        <w:t>4</w:t>
      </w:r>
      <w:r w:rsidRPr="000C7D3F">
        <w:rPr>
          <w:sz w:val="22"/>
          <w:szCs w:val="22"/>
          <w:lang w:val="en-CA"/>
        </w:rPr>
        <w:t>).</w:t>
      </w:r>
      <w:r w:rsidRPr="000C7D3F">
        <w:rPr>
          <w:sz w:val="22"/>
          <w:szCs w:val="22"/>
          <w:vertAlign w:val="superscript"/>
          <w:lang w:val="en-GB"/>
        </w:rPr>
        <w:endnoteReference w:id="18"/>
      </w:r>
      <w:r w:rsidRPr="000C7D3F">
        <w:rPr>
          <w:sz w:val="22"/>
          <w:szCs w:val="22"/>
          <w:lang w:val="en-CA"/>
        </w:rPr>
        <w:t xml:space="preserve"> </w:t>
      </w:r>
      <w:proofErr w:type="spellStart"/>
      <w:r w:rsidRPr="000C7D3F">
        <w:rPr>
          <w:sz w:val="22"/>
          <w:szCs w:val="22"/>
          <w:lang w:val="en-CA"/>
        </w:rPr>
        <w:t>StanChart</w:t>
      </w:r>
      <w:proofErr w:type="spellEnd"/>
      <w:r w:rsidRPr="000C7D3F">
        <w:rPr>
          <w:sz w:val="22"/>
          <w:szCs w:val="22"/>
          <w:lang w:val="en-CA"/>
        </w:rPr>
        <w:t xml:space="preserve"> had performed better than its three competitors before July 2013</w:t>
      </w:r>
      <w:r w:rsidR="0048059C">
        <w:rPr>
          <w:sz w:val="22"/>
          <w:szCs w:val="22"/>
          <w:lang w:val="en-CA"/>
        </w:rPr>
        <w:t>,</w:t>
      </w:r>
      <w:r w:rsidRPr="000C7D3F">
        <w:rPr>
          <w:sz w:val="22"/>
          <w:szCs w:val="22"/>
          <w:lang w:val="en-CA"/>
        </w:rPr>
        <w:t xml:space="preserve"> with </w:t>
      </w:r>
      <w:proofErr w:type="spellStart"/>
      <w:r w:rsidRPr="000C7D3F">
        <w:rPr>
          <w:sz w:val="22"/>
          <w:szCs w:val="22"/>
          <w:lang w:val="en-CA"/>
        </w:rPr>
        <w:t>StanChart’s</w:t>
      </w:r>
      <w:proofErr w:type="spellEnd"/>
      <w:r w:rsidRPr="000C7D3F">
        <w:rPr>
          <w:sz w:val="22"/>
          <w:szCs w:val="22"/>
          <w:lang w:val="en-CA"/>
        </w:rPr>
        <w:t xml:space="preserve"> stock price peaking on March 5, 2013, at £17.0631 (see Exhibits 5 and 6).</w:t>
      </w:r>
    </w:p>
    <w:p w14:paraId="3297A3AD" w14:textId="77777777" w:rsidR="000C7D3F" w:rsidRPr="000C7D3F" w:rsidRDefault="000C7D3F" w:rsidP="00DE5A3A">
      <w:pPr>
        <w:pStyle w:val="BodyTextMain"/>
        <w:rPr>
          <w:lang w:val="en-CA"/>
        </w:rPr>
      </w:pPr>
    </w:p>
    <w:p w14:paraId="7E6EE807" w14:textId="77777777" w:rsidR="000C7D3F" w:rsidRPr="000C7D3F" w:rsidRDefault="000C7D3F" w:rsidP="000C7D3F">
      <w:pPr>
        <w:jc w:val="both"/>
        <w:rPr>
          <w:sz w:val="22"/>
          <w:szCs w:val="22"/>
          <w:lang w:val="en-CA"/>
        </w:rPr>
      </w:pPr>
      <w:proofErr w:type="spellStart"/>
      <w:r w:rsidRPr="000C7D3F">
        <w:rPr>
          <w:sz w:val="22"/>
          <w:szCs w:val="22"/>
          <w:lang w:val="en-CA"/>
        </w:rPr>
        <w:t>StanChart</w:t>
      </w:r>
      <w:proofErr w:type="spellEnd"/>
      <w:r w:rsidRPr="000C7D3F">
        <w:rPr>
          <w:sz w:val="22"/>
          <w:szCs w:val="22"/>
          <w:lang w:val="en-CA"/>
        </w:rPr>
        <w:t xml:space="preserve"> had been a viable investment option for many institutional investors. One of the key institutional holders, </w:t>
      </w:r>
      <w:proofErr w:type="spellStart"/>
      <w:r w:rsidRPr="000C7D3F">
        <w:rPr>
          <w:sz w:val="22"/>
          <w:szCs w:val="22"/>
          <w:lang w:val="en-CA"/>
        </w:rPr>
        <w:t>Temasek</w:t>
      </w:r>
      <w:proofErr w:type="spellEnd"/>
      <w:r w:rsidRPr="000C7D3F">
        <w:rPr>
          <w:sz w:val="22"/>
          <w:szCs w:val="22"/>
          <w:lang w:val="en-CA"/>
        </w:rPr>
        <w:t xml:space="preserve"> Holdings (one of the two major sovereign wealth funds in Singapore), had actively advocated for restructuring </w:t>
      </w:r>
      <w:proofErr w:type="spellStart"/>
      <w:r w:rsidRPr="000C7D3F">
        <w:rPr>
          <w:sz w:val="22"/>
          <w:szCs w:val="22"/>
          <w:lang w:val="en-CA"/>
        </w:rPr>
        <w:t>StanChart</w:t>
      </w:r>
      <w:proofErr w:type="spellEnd"/>
      <w:r w:rsidRPr="000C7D3F">
        <w:rPr>
          <w:sz w:val="22"/>
          <w:szCs w:val="22"/>
          <w:lang w:val="en-CA"/>
        </w:rPr>
        <w:t xml:space="preserve"> to cut down cost and stay competitive.</w:t>
      </w:r>
    </w:p>
    <w:p w14:paraId="7FC85FFB" w14:textId="77777777" w:rsidR="000C7D3F" w:rsidRPr="000C7D3F" w:rsidRDefault="000C7D3F" w:rsidP="00DE5A3A">
      <w:pPr>
        <w:pStyle w:val="BodyTextMain"/>
        <w:rPr>
          <w:lang w:val="en-CA"/>
        </w:rPr>
      </w:pPr>
    </w:p>
    <w:p w14:paraId="451721BC" w14:textId="77777777" w:rsidR="000C7D3F" w:rsidRPr="000C7D3F" w:rsidRDefault="000C7D3F" w:rsidP="00DE5A3A">
      <w:pPr>
        <w:pStyle w:val="BodyTextMain"/>
        <w:rPr>
          <w:lang w:val="en-CA"/>
        </w:rPr>
      </w:pPr>
    </w:p>
    <w:p w14:paraId="23760563" w14:textId="77777777" w:rsidR="000C7D3F" w:rsidRPr="000C7D3F" w:rsidRDefault="000C7D3F" w:rsidP="000C7D3F">
      <w:pPr>
        <w:jc w:val="both"/>
        <w:rPr>
          <w:rFonts w:ascii="Arial" w:hAnsi="Arial" w:cs="Arial"/>
          <w:b/>
          <w:lang w:val="en-CA"/>
        </w:rPr>
      </w:pPr>
      <w:r w:rsidRPr="000C7D3F">
        <w:rPr>
          <w:rFonts w:ascii="Arial" w:hAnsi="Arial" w:cs="Arial"/>
          <w:b/>
          <w:lang w:val="en-CA"/>
        </w:rPr>
        <w:t>Details</w:t>
      </w:r>
    </w:p>
    <w:p w14:paraId="01B96383" w14:textId="77777777" w:rsidR="000C7D3F" w:rsidRPr="000C7D3F" w:rsidRDefault="000C7D3F" w:rsidP="000C7D3F">
      <w:pPr>
        <w:jc w:val="both"/>
        <w:rPr>
          <w:sz w:val="18"/>
          <w:szCs w:val="18"/>
          <w:lang w:val="en-CA"/>
        </w:rPr>
      </w:pPr>
    </w:p>
    <w:p w14:paraId="402B4313" w14:textId="6D4A7881" w:rsidR="000C7D3F" w:rsidRPr="000C7D3F" w:rsidRDefault="000C7D3F" w:rsidP="000C7D3F">
      <w:pPr>
        <w:jc w:val="both"/>
        <w:rPr>
          <w:sz w:val="22"/>
          <w:szCs w:val="22"/>
          <w:lang w:val="en-CA"/>
        </w:rPr>
      </w:pPr>
      <w:r w:rsidRPr="000C7D3F">
        <w:rPr>
          <w:sz w:val="22"/>
          <w:szCs w:val="22"/>
          <w:lang w:val="en-CA"/>
        </w:rPr>
        <w:t xml:space="preserve">The aim of </w:t>
      </w:r>
      <w:proofErr w:type="spellStart"/>
      <w:r w:rsidRPr="000C7D3F">
        <w:rPr>
          <w:sz w:val="22"/>
          <w:szCs w:val="22"/>
          <w:lang w:val="en-CA"/>
        </w:rPr>
        <w:t>StanChart’s</w:t>
      </w:r>
      <w:proofErr w:type="spellEnd"/>
      <w:r w:rsidRPr="000C7D3F">
        <w:rPr>
          <w:sz w:val="22"/>
          <w:szCs w:val="22"/>
          <w:lang w:val="en-CA"/>
        </w:rPr>
        <w:t xml:space="preserve"> new corporate strategy was to focus on banking</w:t>
      </w:r>
      <w:r w:rsidR="005476A1">
        <w:rPr>
          <w:sz w:val="22"/>
          <w:szCs w:val="22"/>
          <w:lang w:val="en-CA"/>
        </w:rPr>
        <w:t>;</w:t>
      </w:r>
      <w:r w:rsidRPr="000C7D3F">
        <w:rPr>
          <w:sz w:val="22"/>
          <w:szCs w:val="22"/>
          <w:lang w:val="en-CA"/>
        </w:rPr>
        <w:t xml:space="preserve"> the people and companies driving investment</w:t>
      </w:r>
      <w:r w:rsidR="005476A1">
        <w:rPr>
          <w:sz w:val="22"/>
          <w:szCs w:val="22"/>
          <w:lang w:val="en-CA"/>
        </w:rPr>
        <w:t>;</w:t>
      </w:r>
      <w:r w:rsidRPr="000C7D3F">
        <w:rPr>
          <w:sz w:val="22"/>
          <w:szCs w:val="22"/>
          <w:lang w:val="en-CA"/>
        </w:rPr>
        <w:t xml:space="preserve"> trade</w:t>
      </w:r>
      <w:r w:rsidR="005476A1">
        <w:rPr>
          <w:sz w:val="22"/>
          <w:szCs w:val="22"/>
          <w:lang w:val="en-CA"/>
        </w:rPr>
        <w:t>;</w:t>
      </w:r>
      <w:r w:rsidRPr="000C7D3F">
        <w:rPr>
          <w:sz w:val="22"/>
          <w:szCs w:val="22"/>
          <w:lang w:val="en-CA"/>
        </w:rPr>
        <w:t xml:space="preserve"> and the creation of wealth across Asia, Africa, and the Middle East. As of January 1, 2014, </w:t>
      </w:r>
      <w:proofErr w:type="spellStart"/>
      <w:r w:rsidRPr="000C7D3F">
        <w:rPr>
          <w:sz w:val="22"/>
          <w:szCs w:val="22"/>
          <w:lang w:val="en-CA"/>
        </w:rPr>
        <w:t>StanChart</w:t>
      </w:r>
      <w:proofErr w:type="spellEnd"/>
      <w:r w:rsidRPr="000C7D3F">
        <w:rPr>
          <w:sz w:val="22"/>
          <w:szCs w:val="22"/>
          <w:lang w:val="en-CA"/>
        </w:rPr>
        <w:t xml:space="preserve"> had already implemented a simplified structure of eight geographical regions to enable greater efficiency and effectiveness. Greater China, the Association of Southeast Asian Nations (ASEAN), Northeast Asia, and South Asia would continue to report to </w:t>
      </w:r>
      <w:proofErr w:type="spellStart"/>
      <w:r w:rsidRPr="000C7D3F">
        <w:rPr>
          <w:sz w:val="22"/>
          <w:szCs w:val="22"/>
          <w:lang w:val="en-CA"/>
        </w:rPr>
        <w:t>Jaspal</w:t>
      </w:r>
      <w:proofErr w:type="spellEnd"/>
      <w:r w:rsidRPr="000C7D3F">
        <w:rPr>
          <w:sz w:val="22"/>
          <w:szCs w:val="22"/>
          <w:lang w:val="en-CA"/>
        </w:rPr>
        <w:t xml:space="preserve"> </w:t>
      </w:r>
      <w:proofErr w:type="spellStart"/>
      <w:r w:rsidRPr="000C7D3F">
        <w:rPr>
          <w:sz w:val="22"/>
          <w:szCs w:val="22"/>
          <w:lang w:val="en-CA"/>
        </w:rPr>
        <w:t>Bindra</w:t>
      </w:r>
      <w:proofErr w:type="spellEnd"/>
      <w:r w:rsidRPr="000C7D3F">
        <w:rPr>
          <w:sz w:val="22"/>
          <w:szCs w:val="22"/>
          <w:lang w:val="en-CA"/>
        </w:rPr>
        <w:t>, group executive director and CEO, Asia. Operations in the Middle East, North Africa, and Pakistan (MENAP)</w:t>
      </w:r>
      <w:r w:rsidR="005476A1">
        <w:rPr>
          <w:sz w:val="22"/>
          <w:szCs w:val="22"/>
          <w:lang w:val="en-CA"/>
        </w:rPr>
        <w:t>;</w:t>
      </w:r>
      <w:r w:rsidRPr="000C7D3F">
        <w:rPr>
          <w:sz w:val="22"/>
          <w:szCs w:val="22"/>
          <w:lang w:val="en-CA"/>
        </w:rPr>
        <w:t xml:space="preserve"> Africa</w:t>
      </w:r>
      <w:r w:rsidR="005476A1">
        <w:rPr>
          <w:sz w:val="22"/>
          <w:szCs w:val="22"/>
          <w:lang w:val="en-CA"/>
        </w:rPr>
        <w:t>;</w:t>
      </w:r>
      <w:r w:rsidRPr="000C7D3F">
        <w:rPr>
          <w:sz w:val="22"/>
          <w:szCs w:val="22"/>
          <w:lang w:val="en-CA"/>
        </w:rPr>
        <w:t xml:space="preserve"> Europe</w:t>
      </w:r>
      <w:r w:rsidR="005476A1">
        <w:rPr>
          <w:sz w:val="22"/>
          <w:szCs w:val="22"/>
          <w:lang w:val="en-CA"/>
        </w:rPr>
        <w:t>;</w:t>
      </w:r>
      <w:r w:rsidRPr="000C7D3F">
        <w:rPr>
          <w:sz w:val="22"/>
          <w:szCs w:val="22"/>
          <w:lang w:val="en-CA"/>
        </w:rPr>
        <w:t xml:space="preserve"> and the Americas would continue to report to V. Shankar, group executive director and CEO, MENAP, Africa, Europe, and the Americas.</w:t>
      </w:r>
      <w:r w:rsidRPr="000C7D3F">
        <w:rPr>
          <w:sz w:val="22"/>
          <w:szCs w:val="22"/>
          <w:vertAlign w:val="superscript"/>
          <w:lang w:val="en-GB"/>
        </w:rPr>
        <w:endnoteReference w:id="19"/>
      </w:r>
      <w:r w:rsidRPr="000C7D3F">
        <w:rPr>
          <w:sz w:val="22"/>
          <w:szCs w:val="22"/>
          <w:lang w:val="en-CA"/>
        </w:rPr>
        <w:t xml:space="preserve"> Both </w:t>
      </w:r>
      <w:proofErr w:type="spellStart"/>
      <w:r w:rsidRPr="000C7D3F">
        <w:rPr>
          <w:sz w:val="22"/>
          <w:szCs w:val="22"/>
          <w:lang w:val="en-CA"/>
        </w:rPr>
        <w:t>Bindra</w:t>
      </w:r>
      <w:proofErr w:type="spellEnd"/>
      <w:r w:rsidRPr="000C7D3F">
        <w:rPr>
          <w:sz w:val="22"/>
          <w:szCs w:val="22"/>
          <w:lang w:val="en-CA"/>
        </w:rPr>
        <w:t xml:space="preserve"> and Shankar would continue to report to Peter Sands, the group chief executive. </w:t>
      </w:r>
      <w:proofErr w:type="spellStart"/>
      <w:r w:rsidRPr="000C7D3F">
        <w:rPr>
          <w:sz w:val="22"/>
          <w:szCs w:val="22"/>
          <w:lang w:val="en-CA"/>
        </w:rPr>
        <w:t>StanChart’s</w:t>
      </w:r>
      <w:proofErr w:type="spellEnd"/>
      <w:r w:rsidRPr="000C7D3F">
        <w:rPr>
          <w:sz w:val="22"/>
          <w:szCs w:val="22"/>
          <w:lang w:val="en-CA"/>
        </w:rPr>
        <w:t xml:space="preserve"> global support and control functions had already been reconfigured to align with the new regional structure and would undergo further changes in response to the reorganization of the business. These functions also would continue to report to Sands. </w:t>
      </w:r>
    </w:p>
    <w:p w14:paraId="29721243" w14:textId="77777777" w:rsidR="00E21607" w:rsidRDefault="000C7D3F" w:rsidP="000C7D3F">
      <w:pPr>
        <w:jc w:val="both"/>
        <w:rPr>
          <w:sz w:val="22"/>
          <w:szCs w:val="22"/>
          <w:lang w:val="en-CA"/>
        </w:rPr>
      </w:pPr>
      <w:bookmarkStart w:id="0" w:name="_GoBack"/>
      <w:bookmarkEnd w:id="0"/>
      <w:r w:rsidRPr="000C7D3F">
        <w:rPr>
          <w:sz w:val="22"/>
          <w:szCs w:val="22"/>
          <w:lang w:val="en-CA"/>
        </w:rPr>
        <w:lastRenderedPageBreak/>
        <w:t xml:space="preserve">Sands was one of </w:t>
      </w:r>
      <w:proofErr w:type="spellStart"/>
      <w:r w:rsidRPr="000C7D3F">
        <w:rPr>
          <w:sz w:val="22"/>
          <w:szCs w:val="22"/>
          <w:lang w:val="en-CA"/>
        </w:rPr>
        <w:t>StanChart’s</w:t>
      </w:r>
      <w:proofErr w:type="spellEnd"/>
      <w:r w:rsidRPr="000C7D3F">
        <w:rPr>
          <w:sz w:val="22"/>
          <w:szCs w:val="22"/>
          <w:lang w:val="en-CA"/>
        </w:rPr>
        <w:t xml:space="preserve"> longest-serving bank chief executives. He had led the bank through the growing Asian lending market. During the recent global financial crisis, the U.K. government had actually turned to him as a key adviser. Sands stated that “the reconfiguration of our business is a critical next step as we implement our refreshed strategy and reinvigorate our growth momentum.”</w:t>
      </w:r>
      <w:r w:rsidRPr="000C7D3F">
        <w:rPr>
          <w:sz w:val="22"/>
          <w:szCs w:val="22"/>
          <w:vertAlign w:val="superscript"/>
          <w:lang w:val="en-CA"/>
        </w:rPr>
        <w:endnoteReference w:id="20"/>
      </w:r>
      <w:r w:rsidRPr="000C7D3F">
        <w:rPr>
          <w:sz w:val="22"/>
          <w:szCs w:val="22"/>
          <w:lang w:val="en-CA"/>
        </w:rPr>
        <w:t xml:space="preserve"> He further commented that the reorganization </w:t>
      </w:r>
    </w:p>
    <w:p w14:paraId="03B2BEF4" w14:textId="77777777" w:rsidR="00E21607" w:rsidRPr="00DE5A3A" w:rsidRDefault="00E21607" w:rsidP="00DE5A3A">
      <w:pPr>
        <w:pStyle w:val="BodyTextMain"/>
        <w:rPr>
          <w:lang w:val="en-CA"/>
        </w:rPr>
      </w:pPr>
    </w:p>
    <w:p w14:paraId="13A94759" w14:textId="1390CD12" w:rsidR="000C7D3F" w:rsidRPr="000C7D3F" w:rsidRDefault="000C7D3F" w:rsidP="00E21607">
      <w:pPr>
        <w:ind w:left="567"/>
        <w:jc w:val="both"/>
        <w:rPr>
          <w:sz w:val="22"/>
          <w:szCs w:val="22"/>
          <w:lang w:val="en-CA"/>
        </w:rPr>
      </w:pPr>
      <w:proofErr w:type="gramStart"/>
      <w:r w:rsidRPr="000C7D3F">
        <w:rPr>
          <w:sz w:val="22"/>
          <w:szCs w:val="22"/>
          <w:lang w:val="en-CA"/>
        </w:rPr>
        <w:t>would</w:t>
      </w:r>
      <w:proofErr w:type="gramEnd"/>
      <w:r w:rsidRPr="000C7D3F">
        <w:rPr>
          <w:sz w:val="22"/>
          <w:szCs w:val="22"/>
          <w:lang w:val="en-CA"/>
        </w:rPr>
        <w:t xml:space="preserve"> sharpen our focus on distinct customer segments, enabling us to deploy capital, liquidity and investment spend more effectively, and deliver both productivity gains and improvements in the quality of the service and products we offered our customers. Further changes would take place in the support and control functions as they adapted to the reshaping of the business and region.</w:t>
      </w:r>
      <w:r w:rsidRPr="000C7D3F">
        <w:rPr>
          <w:sz w:val="22"/>
          <w:szCs w:val="22"/>
          <w:vertAlign w:val="superscript"/>
          <w:lang w:val="en-GB"/>
        </w:rPr>
        <w:endnoteReference w:id="21"/>
      </w:r>
    </w:p>
    <w:p w14:paraId="6022DFE5" w14:textId="77777777" w:rsidR="000C7D3F" w:rsidRPr="000C7D3F" w:rsidRDefault="000C7D3F" w:rsidP="00DE5A3A">
      <w:pPr>
        <w:pStyle w:val="BodyTextMain"/>
        <w:rPr>
          <w:lang w:val="en-CA"/>
        </w:rPr>
      </w:pPr>
    </w:p>
    <w:p w14:paraId="34F447BB" w14:textId="6F8B915B" w:rsidR="000C7D3F" w:rsidRPr="000C7D3F" w:rsidRDefault="000C7D3F" w:rsidP="000C7D3F">
      <w:pPr>
        <w:jc w:val="both"/>
        <w:rPr>
          <w:sz w:val="22"/>
          <w:szCs w:val="22"/>
          <w:lang w:val="en-CA"/>
        </w:rPr>
      </w:pPr>
      <w:r w:rsidRPr="000C7D3F">
        <w:rPr>
          <w:sz w:val="22"/>
          <w:szCs w:val="22"/>
          <w:lang w:val="en-CA"/>
        </w:rPr>
        <w:t>It was also announced that the newly appointed deputy group chief executive, Mike Rees, would lead the new combined business and would also report to Sands, effective April 1, 2014.</w:t>
      </w:r>
      <w:r w:rsidRPr="000C7D3F">
        <w:rPr>
          <w:sz w:val="22"/>
          <w:szCs w:val="22"/>
          <w:vertAlign w:val="superscript"/>
          <w:lang w:val="en-GB"/>
        </w:rPr>
        <w:endnoteReference w:id="22"/>
      </w:r>
      <w:r w:rsidRPr="000C7D3F">
        <w:rPr>
          <w:sz w:val="22"/>
          <w:szCs w:val="22"/>
          <w:lang w:val="en-CA"/>
        </w:rPr>
        <w:t xml:space="preserve"> Rees had joined </w:t>
      </w:r>
      <w:proofErr w:type="spellStart"/>
      <w:r w:rsidRPr="000C7D3F">
        <w:rPr>
          <w:sz w:val="22"/>
          <w:szCs w:val="22"/>
          <w:lang w:val="en-CA"/>
        </w:rPr>
        <w:t>StanChart</w:t>
      </w:r>
      <w:proofErr w:type="spellEnd"/>
      <w:r w:rsidRPr="000C7D3F">
        <w:rPr>
          <w:sz w:val="22"/>
          <w:szCs w:val="22"/>
          <w:lang w:val="en-CA"/>
        </w:rPr>
        <w:t xml:space="preserve"> in 1990. From 2002, he was the CEO of wholesale banking. He was appointed to the </w:t>
      </w:r>
      <w:r w:rsidR="00E21607">
        <w:rPr>
          <w:sz w:val="22"/>
          <w:szCs w:val="22"/>
          <w:lang w:val="en-CA"/>
        </w:rPr>
        <w:t>b</w:t>
      </w:r>
      <w:r w:rsidRPr="000C7D3F">
        <w:rPr>
          <w:sz w:val="22"/>
          <w:szCs w:val="22"/>
          <w:lang w:val="en-CA"/>
        </w:rPr>
        <w:t xml:space="preserve">oard of </w:t>
      </w:r>
      <w:r w:rsidR="00E21607">
        <w:rPr>
          <w:sz w:val="22"/>
          <w:szCs w:val="22"/>
          <w:lang w:val="en-CA"/>
        </w:rPr>
        <w:t>d</w:t>
      </w:r>
      <w:r w:rsidRPr="000C7D3F">
        <w:rPr>
          <w:sz w:val="22"/>
          <w:szCs w:val="22"/>
          <w:lang w:val="en-CA"/>
        </w:rPr>
        <w:t xml:space="preserve">irectors as group executive director in August 2009. Rees and Sands would lead </w:t>
      </w:r>
      <w:proofErr w:type="spellStart"/>
      <w:r w:rsidRPr="000C7D3F">
        <w:rPr>
          <w:sz w:val="22"/>
          <w:szCs w:val="22"/>
          <w:lang w:val="en-CA"/>
        </w:rPr>
        <w:t>StanChart</w:t>
      </w:r>
      <w:proofErr w:type="spellEnd"/>
      <w:r w:rsidRPr="000C7D3F">
        <w:rPr>
          <w:sz w:val="22"/>
          <w:szCs w:val="22"/>
          <w:lang w:val="en-CA"/>
        </w:rPr>
        <w:t xml:space="preserve"> through restructuring. </w:t>
      </w:r>
    </w:p>
    <w:p w14:paraId="1A70AE39" w14:textId="77777777" w:rsidR="000C7D3F" w:rsidRPr="000C7D3F" w:rsidRDefault="000C7D3F" w:rsidP="00DE5A3A">
      <w:pPr>
        <w:pStyle w:val="BodyTextMain"/>
        <w:rPr>
          <w:lang w:val="en-CA"/>
        </w:rPr>
      </w:pPr>
    </w:p>
    <w:p w14:paraId="6FD879A6" w14:textId="77777777" w:rsidR="000C7D3F" w:rsidRPr="000C7D3F" w:rsidRDefault="000C7D3F" w:rsidP="00DE5A3A">
      <w:pPr>
        <w:pStyle w:val="BodyTextMain"/>
        <w:rPr>
          <w:lang w:val="en-CA"/>
        </w:rPr>
      </w:pPr>
    </w:p>
    <w:p w14:paraId="5EBFD74E" w14:textId="77777777" w:rsidR="000C7D3F" w:rsidRPr="000C7D3F" w:rsidRDefault="000C7D3F" w:rsidP="000C7D3F">
      <w:pPr>
        <w:jc w:val="both"/>
        <w:outlineLvl w:val="0"/>
        <w:rPr>
          <w:rFonts w:ascii="Arial" w:hAnsi="Arial" w:cs="Arial"/>
          <w:b/>
          <w:caps/>
          <w:lang w:val="en-CA"/>
        </w:rPr>
      </w:pPr>
      <w:r w:rsidRPr="000C7D3F">
        <w:rPr>
          <w:rFonts w:ascii="Arial" w:hAnsi="Arial" w:cs="Arial"/>
          <w:b/>
          <w:caps/>
          <w:lang w:val="en-CA"/>
        </w:rPr>
        <w:t>POST-RESTRUCTURING</w:t>
      </w:r>
    </w:p>
    <w:p w14:paraId="00B3AAE0" w14:textId="77777777" w:rsidR="000C7D3F" w:rsidRPr="000C7D3F" w:rsidRDefault="000C7D3F" w:rsidP="00DE5A3A">
      <w:pPr>
        <w:pStyle w:val="BodyTextMain"/>
        <w:rPr>
          <w:lang w:val="en-CA"/>
        </w:rPr>
      </w:pPr>
    </w:p>
    <w:p w14:paraId="07AEF732" w14:textId="77777777" w:rsidR="000C7D3F" w:rsidRPr="000C7D3F" w:rsidRDefault="000C7D3F" w:rsidP="000C7D3F">
      <w:pPr>
        <w:jc w:val="both"/>
        <w:rPr>
          <w:sz w:val="22"/>
          <w:szCs w:val="22"/>
          <w:lang w:val="en-CA"/>
        </w:rPr>
      </w:pPr>
      <w:r w:rsidRPr="000C7D3F">
        <w:rPr>
          <w:sz w:val="22"/>
          <w:szCs w:val="22"/>
          <w:lang w:val="en-CA"/>
        </w:rPr>
        <w:t xml:space="preserve">After the restructuring announcement on January 9, 2014, </w:t>
      </w:r>
      <w:proofErr w:type="spellStart"/>
      <w:r w:rsidRPr="000C7D3F">
        <w:rPr>
          <w:sz w:val="22"/>
          <w:szCs w:val="22"/>
          <w:lang w:val="en-CA"/>
        </w:rPr>
        <w:t>StanChart’s</w:t>
      </w:r>
      <w:proofErr w:type="spellEnd"/>
      <w:r w:rsidRPr="000C7D3F">
        <w:rPr>
          <w:sz w:val="22"/>
          <w:szCs w:val="22"/>
          <w:lang w:val="en-CA"/>
        </w:rPr>
        <w:t xml:space="preserve"> share and bond prices experienced some volatility but seemed to gain some upward momentum. The share price increased to as high as £13.283 on May 28, 2014. The BBB-rated bond price increased to as high as $115.564 on February 21, 2014.</w:t>
      </w:r>
    </w:p>
    <w:p w14:paraId="5E4DE5E5" w14:textId="77777777" w:rsidR="000C7D3F" w:rsidRPr="000C7D3F" w:rsidRDefault="000C7D3F" w:rsidP="00DE5A3A">
      <w:pPr>
        <w:pStyle w:val="BodyTextMain"/>
        <w:rPr>
          <w:lang w:val="en-CA"/>
        </w:rPr>
      </w:pPr>
    </w:p>
    <w:p w14:paraId="6D797863" w14:textId="33B7E19C" w:rsidR="000C7D3F" w:rsidRPr="000C7D3F" w:rsidRDefault="000C7D3F" w:rsidP="000C7D3F">
      <w:pPr>
        <w:jc w:val="both"/>
        <w:rPr>
          <w:sz w:val="22"/>
          <w:szCs w:val="22"/>
          <w:lang w:val="en-CA"/>
        </w:rPr>
      </w:pPr>
      <w:r w:rsidRPr="000C7D3F">
        <w:rPr>
          <w:sz w:val="22"/>
          <w:szCs w:val="22"/>
          <w:lang w:val="en-CA"/>
        </w:rPr>
        <w:t xml:space="preserve">On March 5, 2014, </w:t>
      </w:r>
      <w:proofErr w:type="spellStart"/>
      <w:r w:rsidRPr="000C7D3F">
        <w:rPr>
          <w:sz w:val="22"/>
          <w:szCs w:val="22"/>
          <w:lang w:val="en-CA"/>
        </w:rPr>
        <w:t>StanChart</w:t>
      </w:r>
      <w:proofErr w:type="spellEnd"/>
      <w:r w:rsidRPr="000C7D3F">
        <w:rPr>
          <w:sz w:val="22"/>
          <w:szCs w:val="22"/>
          <w:lang w:val="en-CA"/>
        </w:rPr>
        <w:t xml:space="preserve"> released its full financial report for 2013.</w:t>
      </w:r>
      <w:r w:rsidRPr="000C7D3F">
        <w:rPr>
          <w:sz w:val="22"/>
          <w:szCs w:val="22"/>
          <w:vertAlign w:val="superscript"/>
          <w:lang w:val="en-GB"/>
        </w:rPr>
        <w:endnoteReference w:id="23"/>
      </w:r>
      <w:r w:rsidRPr="000C7D3F">
        <w:rPr>
          <w:sz w:val="22"/>
          <w:szCs w:val="22"/>
          <w:lang w:val="en-CA"/>
        </w:rPr>
        <w:t xml:space="preserve"> The operating income was reported to be 1 per cent lower than the prior year</w:t>
      </w:r>
      <w:r w:rsidR="00EF2E73">
        <w:rPr>
          <w:sz w:val="22"/>
          <w:szCs w:val="22"/>
          <w:lang w:val="en-CA"/>
        </w:rPr>
        <w:t>,</w:t>
      </w:r>
      <w:r w:rsidRPr="000C7D3F">
        <w:rPr>
          <w:sz w:val="22"/>
          <w:szCs w:val="22"/>
          <w:lang w:val="en-CA"/>
        </w:rPr>
        <w:t xml:space="preserve"> and its emerging-markets-fuel</w:t>
      </w:r>
      <w:r w:rsidR="00EF2E73">
        <w:rPr>
          <w:sz w:val="22"/>
          <w:szCs w:val="22"/>
          <w:lang w:val="en-CA"/>
        </w:rPr>
        <w:t>l</w:t>
      </w:r>
      <w:r w:rsidRPr="000C7D3F">
        <w:rPr>
          <w:sz w:val="22"/>
          <w:szCs w:val="22"/>
          <w:lang w:val="en-CA"/>
        </w:rPr>
        <w:t>ed growth slowed for the first time in a decade.</w:t>
      </w:r>
      <w:r w:rsidRPr="000C7D3F">
        <w:rPr>
          <w:sz w:val="22"/>
          <w:szCs w:val="22"/>
          <w:vertAlign w:val="superscript"/>
          <w:lang w:val="en-GB"/>
        </w:rPr>
        <w:endnoteReference w:id="24"/>
      </w:r>
    </w:p>
    <w:p w14:paraId="680C6F97" w14:textId="77777777" w:rsidR="000C7D3F" w:rsidRPr="000C7D3F" w:rsidRDefault="000C7D3F" w:rsidP="00DE5A3A">
      <w:pPr>
        <w:pStyle w:val="BodyTextMain"/>
        <w:rPr>
          <w:lang w:val="en-CA"/>
        </w:rPr>
      </w:pPr>
    </w:p>
    <w:p w14:paraId="4021D6FC" w14:textId="0CE9C862" w:rsidR="000C7D3F" w:rsidRPr="000C7D3F" w:rsidRDefault="000C7D3F" w:rsidP="000C7D3F">
      <w:pPr>
        <w:jc w:val="both"/>
        <w:rPr>
          <w:sz w:val="22"/>
          <w:szCs w:val="22"/>
          <w:lang w:val="en-CA"/>
        </w:rPr>
      </w:pPr>
      <w:r w:rsidRPr="000C7D3F">
        <w:rPr>
          <w:sz w:val="22"/>
          <w:szCs w:val="22"/>
          <w:lang w:val="en-CA"/>
        </w:rPr>
        <w:t xml:space="preserve">In July 2014, </w:t>
      </w:r>
      <w:proofErr w:type="spellStart"/>
      <w:r w:rsidRPr="000C7D3F">
        <w:rPr>
          <w:sz w:val="22"/>
          <w:szCs w:val="22"/>
          <w:lang w:val="en-CA"/>
        </w:rPr>
        <w:t>StanChart’s</w:t>
      </w:r>
      <w:proofErr w:type="spellEnd"/>
      <w:r w:rsidRPr="000C7D3F">
        <w:rPr>
          <w:sz w:val="22"/>
          <w:szCs w:val="22"/>
          <w:lang w:val="en-CA"/>
        </w:rPr>
        <w:t xml:space="preserve"> share price started to decline. Its third quarter earnings were hit hard by a surge in bad loans and </w:t>
      </w:r>
      <w:r w:rsidR="00EF2E73">
        <w:rPr>
          <w:sz w:val="22"/>
          <w:szCs w:val="22"/>
          <w:lang w:val="en-CA"/>
        </w:rPr>
        <w:t xml:space="preserve">by </w:t>
      </w:r>
      <w:r w:rsidRPr="000C7D3F">
        <w:rPr>
          <w:sz w:val="22"/>
          <w:szCs w:val="22"/>
          <w:lang w:val="en-CA"/>
        </w:rPr>
        <w:t>higher regulation and compliance costs reported in October 2014, causing further decline of the stock price.</w:t>
      </w:r>
      <w:r w:rsidRPr="000C7D3F">
        <w:rPr>
          <w:sz w:val="22"/>
          <w:szCs w:val="22"/>
          <w:vertAlign w:val="superscript"/>
          <w:lang w:val="en-GB"/>
        </w:rPr>
        <w:endnoteReference w:id="25"/>
      </w:r>
      <w:r w:rsidRPr="000C7D3F">
        <w:rPr>
          <w:rFonts w:eastAsia="SimSun"/>
          <w:sz w:val="22"/>
          <w:szCs w:val="22"/>
          <w:lang w:val="en-GB"/>
        </w:rPr>
        <w:t xml:space="preserve"> </w:t>
      </w:r>
    </w:p>
    <w:p w14:paraId="6D41674C" w14:textId="77777777" w:rsidR="000C7D3F" w:rsidRPr="000C7D3F" w:rsidRDefault="000C7D3F" w:rsidP="00DE5A3A">
      <w:pPr>
        <w:pStyle w:val="BodyTextMain"/>
        <w:rPr>
          <w:lang w:val="en-CA"/>
        </w:rPr>
      </w:pPr>
    </w:p>
    <w:p w14:paraId="0124C214" w14:textId="77777777" w:rsidR="000C7D3F" w:rsidRPr="000C7D3F" w:rsidRDefault="000C7D3F" w:rsidP="000C7D3F">
      <w:pPr>
        <w:jc w:val="both"/>
        <w:rPr>
          <w:sz w:val="22"/>
          <w:szCs w:val="22"/>
          <w:lang w:val="en-CA"/>
        </w:rPr>
      </w:pPr>
      <w:r w:rsidRPr="000C7D3F">
        <w:rPr>
          <w:sz w:val="22"/>
          <w:szCs w:val="22"/>
          <w:lang w:val="en-CA"/>
        </w:rPr>
        <w:t xml:space="preserve">In November 2014, S&amp;P downgraded </w:t>
      </w:r>
      <w:proofErr w:type="spellStart"/>
      <w:r w:rsidRPr="000C7D3F">
        <w:rPr>
          <w:sz w:val="22"/>
          <w:szCs w:val="22"/>
          <w:lang w:val="en-CA"/>
        </w:rPr>
        <w:t>StanChart’s</w:t>
      </w:r>
      <w:proofErr w:type="spellEnd"/>
      <w:r w:rsidRPr="000C7D3F">
        <w:rPr>
          <w:sz w:val="22"/>
          <w:szCs w:val="22"/>
          <w:lang w:val="en-CA"/>
        </w:rPr>
        <w:t xml:space="preserve"> long-term debt from AA− to A+ and its short-term debt from A-1+ to A-1.</w:t>
      </w:r>
      <w:r w:rsidRPr="000C7D3F">
        <w:rPr>
          <w:sz w:val="22"/>
          <w:szCs w:val="22"/>
          <w:vertAlign w:val="superscript"/>
          <w:lang w:val="en-GB"/>
        </w:rPr>
        <w:endnoteReference w:id="26"/>
      </w:r>
      <w:r w:rsidRPr="000C7D3F">
        <w:rPr>
          <w:sz w:val="22"/>
          <w:szCs w:val="22"/>
          <w:lang w:val="en-CA"/>
        </w:rPr>
        <w:t xml:space="preserve"> The new rating reflected a higher credit risk assessment of </w:t>
      </w:r>
      <w:proofErr w:type="spellStart"/>
      <w:r w:rsidRPr="000C7D3F">
        <w:rPr>
          <w:sz w:val="22"/>
          <w:szCs w:val="22"/>
          <w:lang w:val="en-CA"/>
        </w:rPr>
        <w:t>StanChart</w:t>
      </w:r>
      <w:proofErr w:type="spellEnd"/>
      <w:r w:rsidRPr="000C7D3F">
        <w:rPr>
          <w:sz w:val="22"/>
          <w:szCs w:val="22"/>
          <w:lang w:val="en-CA"/>
        </w:rPr>
        <w:t xml:space="preserve"> due to the adverse effects of changes in circumstances and economic conditions.</w:t>
      </w:r>
      <w:r w:rsidRPr="000C7D3F">
        <w:rPr>
          <w:sz w:val="22"/>
          <w:szCs w:val="22"/>
          <w:vertAlign w:val="superscript"/>
          <w:lang w:val="en-GB"/>
        </w:rPr>
        <w:endnoteReference w:id="27"/>
      </w:r>
      <w:r w:rsidRPr="000C7D3F">
        <w:rPr>
          <w:sz w:val="22"/>
          <w:szCs w:val="22"/>
          <w:lang w:val="en-CA"/>
        </w:rPr>
        <w:t xml:space="preserve"> The downgrade was the first downgrade for </w:t>
      </w:r>
      <w:proofErr w:type="spellStart"/>
      <w:r w:rsidRPr="000C7D3F">
        <w:rPr>
          <w:sz w:val="22"/>
          <w:szCs w:val="22"/>
          <w:lang w:val="en-CA"/>
        </w:rPr>
        <w:t>StanChart</w:t>
      </w:r>
      <w:proofErr w:type="spellEnd"/>
      <w:r w:rsidRPr="000C7D3F">
        <w:rPr>
          <w:sz w:val="22"/>
          <w:szCs w:val="22"/>
          <w:lang w:val="en-CA"/>
        </w:rPr>
        <w:t xml:space="preserve"> since S&amp;P issued the first rating in 1994, 20 years before.</w:t>
      </w:r>
      <w:r w:rsidRPr="000C7D3F">
        <w:rPr>
          <w:sz w:val="22"/>
          <w:szCs w:val="22"/>
          <w:vertAlign w:val="superscript"/>
          <w:lang w:val="en-GB"/>
        </w:rPr>
        <w:endnoteReference w:id="28"/>
      </w:r>
      <w:r w:rsidRPr="000C7D3F">
        <w:rPr>
          <w:sz w:val="22"/>
          <w:szCs w:val="22"/>
          <w:lang w:val="en-CA"/>
        </w:rPr>
        <w:t xml:space="preserve"> </w:t>
      </w:r>
    </w:p>
    <w:p w14:paraId="7A36294B" w14:textId="77777777" w:rsidR="000C7D3F" w:rsidRPr="000C7D3F" w:rsidRDefault="000C7D3F" w:rsidP="00DE5A3A">
      <w:pPr>
        <w:pStyle w:val="BodyTextMain"/>
        <w:rPr>
          <w:lang w:val="en-CA"/>
        </w:rPr>
      </w:pPr>
    </w:p>
    <w:p w14:paraId="0ADB0CA6" w14:textId="77777777" w:rsidR="000C7D3F" w:rsidRPr="000C7D3F" w:rsidRDefault="000C7D3F" w:rsidP="00DE5A3A">
      <w:pPr>
        <w:pStyle w:val="BodyTextMain"/>
        <w:rPr>
          <w:lang w:val="en-CA"/>
        </w:rPr>
      </w:pPr>
    </w:p>
    <w:p w14:paraId="1080F8A0" w14:textId="77777777" w:rsidR="000C7D3F" w:rsidRPr="000C7D3F" w:rsidRDefault="000C7D3F" w:rsidP="000C7D3F">
      <w:pPr>
        <w:jc w:val="both"/>
        <w:outlineLvl w:val="0"/>
        <w:rPr>
          <w:rFonts w:ascii="Arial" w:hAnsi="Arial" w:cs="Arial"/>
          <w:b/>
          <w:caps/>
          <w:lang w:val="en-CA"/>
        </w:rPr>
      </w:pPr>
      <w:r w:rsidRPr="000C7D3F">
        <w:rPr>
          <w:rFonts w:ascii="Arial" w:hAnsi="Arial" w:cs="Arial"/>
          <w:b/>
          <w:caps/>
          <w:lang w:val="en-CA"/>
        </w:rPr>
        <w:t>TRADING OPPORTUNITIES DURING CORPORATE RESTRUCtuRING</w:t>
      </w:r>
    </w:p>
    <w:p w14:paraId="3ECECE11" w14:textId="77777777" w:rsidR="000C7D3F" w:rsidRPr="000C7D3F" w:rsidRDefault="000C7D3F" w:rsidP="00DE5A3A">
      <w:pPr>
        <w:pStyle w:val="BodyTextMain"/>
        <w:rPr>
          <w:lang w:val="en-CA"/>
        </w:rPr>
      </w:pPr>
    </w:p>
    <w:p w14:paraId="1EC44801" w14:textId="77777777" w:rsidR="000C7D3F" w:rsidRPr="000C7D3F" w:rsidRDefault="000C7D3F" w:rsidP="000C7D3F">
      <w:pPr>
        <w:jc w:val="both"/>
        <w:rPr>
          <w:sz w:val="22"/>
          <w:szCs w:val="22"/>
          <w:lang w:val="en-CA"/>
        </w:rPr>
      </w:pPr>
      <w:r w:rsidRPr="000C7D3F">
        <w:rPr>
          <w:sz w:val="22"/>
          <w:szCs w:val="22"/>
          <w:lang w:val="en-CA"/>
        </w:rPr>
        <w:t xml:space="preserve">Given that </w:t>
      </w:r>
      <w:proofErr w:type="spellStart"/>
      <w:r w:rsidRPr="000C7D3F">
        <w:rPr>
          <w:sz w:val="22"/>
          <w:szCs w:val="22"/>
          <w:lang w:val="en-CA"/>
        </w:rPr>
        <w:t>StanChart</w:t>
      </w:r>
      <w:proofErr w:type="spellEnd"/>
      <w:r w:rsidRPr="000C7D3F">
        <w:rPr>
          <w:sz w:val="22"/>
          <w:szCs w:val="22"/>
          <w:lang w:val="en-CA"/>
        </w:rPr>
        <w:t xml:space="preserve"> made its restructuring announcement on January 9, 2014, how would investors take advantage of the news? More specifically, what could investors gain in the following scenarios?</w:t>
      </w:r>
    </w:p>
    <w:p w14:paraId="6B0B226E" w14:textId="77777777" w:rsidR="000C7D3F" w:rsidRPr="000C7D3F" w:rsidRDefault="000C7D3F" w:rsidP="00DE5A3A">
      <w:pPr>
        <w:pStyle w:val="BodyTextMain"/>
        <w:rPr>
          <w:lang w:val="en-CA"/>
        </w:rPr>
      </w:pPr>
    </w:p>
    <w:p w14:paraId="2534CE86" w14:textId="642FD1A8" w:rsidR="000C7D3F" w:rsidRPr="000C7D3F" w:rsidRDefault="000C7D3F" w:rsidP="000C7D3F">
      <w:pPr>
        <w:numPr>
          <w:ilvl w:val="0"/>
          <w:numId w:val="40"/>
        </w:numPr>
        <w:jc w:val="both"/>
        <w:rPr>
          <w:spacing w:val="-2"/>
          <w:kern w:val="22"/>
          <w:sz w:val="22"/>
          <w:szCs w:val="22"/>
          <w:lang w:val="en-CA"/>
        </w:rPr>
      </w:pPr>
      <w:r w:rsidRPr="000C7D3F">
        <w:rPr>
          <w:spacing w:val="-2"/>
          <w:kern w:val="22"/>
          <w:sz w:val="22"/>
          <w:szCs w:val="22"/>
          <w:lang w:val="en-GB"/>
        </w:rPr>
        <w:t xml:space="preserve">If the investor had bought 10,000 </w:t>
      </w:r>
      <w:proofErr w:type="spellStart"/>
      <w:r w:rsidRPr="000C7D3F">
        <w:rPr>
          <w:spacing w:val="-2"/>
          <w:kern w:val="22"/>
          <w:sz w:val="22"/>
          <w:szCs w:val="22"/>
          <w:lang w:val="en-GB"/>
        </w:rPr>
        <w:t>StanChart</w:t>
      </w:r>
      <w:proofErr w:type="spellEnd"/>
      <w:r w:rsidRPr="000C7D3F">
        <w:rPr>
          <w:spacing w:val="-2"/>
          <w:kern w:val="22"/>
          <w:sz w:val="22"/>
          <w:szCs w:val="22"/>
          <w:lang w:val="en-GB"/>
        </w:rPr>
        <w:t xml:space="preserve"> shares and 1,000 BBB</w:t>
      </w:r>
      <w:r w:rsidR="006C4583">
        <w:rPr>
          <w:spacing w:val="-2"/>
          <w:kern w:val="22"/>
          <w:sz w:val="22"/>
          <w:szCs w:val="22"/>
          <w:lang w:val="en-GB"/>
        </w:rPr>
        <w:t>-</w:t>
      </w:r>
      <w:r w:rsidRPr="000C7D3F">
        <w:rPr>
          <w:spacing w:val="-2"/>
          <w:kern w:val="22"/>
          <w:sz w:val="22"/>
          <w:szCs w:val="22"/>
          <w:lang w:val="en-GB"/>
        </w:rPr>
        <w:t xml:space="preserve">rated </w:t>
      </w:r>
      <w:proofErr w:type="spellStart"/>
      <w:r w:rsidRPr="000C7D3F">
        <w:rPr>
          <w:spacing w:val="-2"/>
          <w:kern w:val="22"/>
          <w:sz w:val="22"/>
          <w:szCs w:val="22"/>
          <w:lang w:val="en-GB"/>
        </w:rPr>
        <w:t>StanChart</w:t>
      </w:r>
      <w:proofErr w:type="spellEnd"/>
      <w:r w:rsidRPr="000C7D3F">
        <w:rPr>
          <w:spacing w:val="-2"/>
          <w:kern w:val="22"/>
          <w:sz w:val="22"/>
          <w:szCs w:val="22"/>
          <w:lang w:val="en-GB"/>
        </w:rPr>
        <w:t xml:space="preserve"> bonds on January 9 and sold them by April 29, 2014, what would </w:t>
      </w:r>
      <w:r w:rsidR="006C4583">
        <w:rPr>
          <w:spacing w:val="-2"/>
          <w:kern w:val="22"/>
          <w:sz w:val="22"/>
          <w:szCs w:val="22"/>
          <w:lang w:val="en-GB"/>
        </w:rPr>
        <w:t xml:space="preserve">be </w:t>
      </w:r>
      <w:r w:rsidRPr="000C7D3F">
        <w:rPr>
          <w:spacing w:val="-2"/>
          <w:kern w:val="22"/>
          <w:sz w:val="22"/>
          <w:szCs w:val="22"/>
          <w:lang w:val="en-GB"/>
        </w:rPr>
        <w:t>the investor’s expected and actual performance</w:t>
      </w:r>
      <w:r w:rsidRPr="000C7D3F">
        <w:rPr>
          <w:spacing w:val="-2"/>
          <w:kern w:val="22"/>
          <w:sz w:val="22"/>
          <w:szCs w:val="22"/>
          <w:lang w:val="en-CA"/>
        </w:rPr>
        <w:t>?</w:t>
      </w:r>
      <w:r w:rsidRPr="000C7D3F">
        <w:rPr>
          <w:spacing w:val="-2"/>
          <w:kern w:val="22"/>
          <w:sz w:val="22"/>
          <w:szCs w:val="22"/>
          <w:vertAlign w:val="superscript"/>
          <w:lang w:val="en-CA"/>
        </w:rPr>
        <w:endnoteReference w:id="29"/>
      </w:r>
    </w:p>
    <w:p w14:paraId="75E3A831" w14:textId="77777777" w:rsidR="000C7D3F" w:rsidRPr="000C7D3F" w:rsidRDefault="000C7D3F" w:rsidP="000C7D3F">
      <w:pPr>
        <w:numPr>
          <w:ilvl w:val="0"/>
          <w:numId w:val="40"/>
        </w:numPr>
        <w:jc w:val="both"/>
        <w:rPr>
          <w:sz w:val="22"/>
          <w:szCs w:val="22"/>
          <w:lang w:val="en-CA"/>
        </w:rPr>
      </w:pPr>
      <w:r w:rsidRPr="000C7D3F">
        <w:rPr>
          <w:sz w:val="22"/>
          <w:szCs w:val="22"/>
          <w:lang w:val="en-CA"/>
        </w:rPr>
        <w:t xml:space="preserve">How would the investment perform if the investor had engaged a long–short trading strategy on </w:t>
      </w:r>
      <w:proofErr w:type="spellStart"/>
      <w:r w:rsidRPr="000C7D3F">
        <w:rPr>
          <w:sz w:val="22"/>
          <w:szCs w:val="22"/>
          <w:lang w:val="en-CA"/>
        </w:rPr>
        <w:t>StanChart</w:t>
      </w:r>
      <w:proofErr w:type="spellEnd"/>
      <w:r w:rsidRPr="000C7D3F">
        <w:rPr>
          <w:sz w:val="22"/>
          <w:szCs w:val="22"/>
          <w:lang w:val="en-CA"/>
        </w:rPr>
        <w:t xml:space="preserve"> stock and one of its peers from January 9 to April 29, 2014?</w:t>
      </w:r>
    </w:p>
    <w:p w14:paraId="39B864E0" w14:textId="198AF4FF" w:rsidR="000C7D3F" w:rsidRPr="000C7D3F" w:rsidRDefault="000C7D3F" w:rsidP="000C7D3F">
      <w:pPr>
        <w:numPr>
          <w:ilvl w:val="0"/>
          <w:numId w:val="40"/>
        </w:numPr>
        <w:jc w:val="both"/>
        <w:rPr>
          <w:sz w:val="22"/>
          <w:szCs w:val="22"/>
          <w:lang w:val="en-CA"/>
        </w:rPr>
      </w:pPr>
      <w:r w:rsidRPr="000C7D3F">
        <w:rPr>
          <w:sz w:val="22"/>
          <w:szCs w:val="22"/>
          <w:lang w:val="en-CA"/>
        </w:rPr>
        <w:t xml:space="preserve">What if the investor decided to invest over the same period from January 9 to April 29, 2014 in 1,000 units of each of the other four bonds issued by </w:t>
      </w:r>
      <w:proofErr w:type="spellStart"/>
      <w:r w:rsidRPr="000C7D3F">
        <w:rPr>
          <w:sz w:val="22"/>
          <w:szCs w:val="22"/>
          <w:lang w:val="en-CA"/>
        </w:rPr>
        <w:t>StanChart</w:t>
      </w:r>
      <w:proofErr w:type="spellEnd"/>
      <w:r w:rsidRPr="000C7D3F">
        <w:rPr>
          <w:sz w:val="22"/>
          <w:szCs w:val="22"/>
          <w:lang w:val="en-CA"/>
        </w:rPr>
        <w:t xml:space="preserve"> (see Exhibit 7)?</w:t>
      </w:r>
    </w:p>
    <w:p w14:paraId="7202AFA0" w14:textId="02E5A1BF" w:rsidR="000C7D3F" w:rsidRPr="000C7D3F" w:rsidRDefault="000C7D3F" w:rsidP="000C7D3F">
      <w:pPr>
        <w:numPr>
          <w:ilvl w:val="0"/>
          <w:numId w:val="40"/>
        </w:numPr>
        <w:jc w:val="both"/>
        <w:rPr>
          <w:sz w:val="22"/>
          <w:szCs w:val="22"/>
          <w:lang w:val="en-CA"/>
        </w:rPr>
      </w:pPr>
      <w:r w:rsidRPr="000C7D3F">
        <w:rPr>
          <w:sz w:val="22"/>
          <w:szCs w:val="22"/>
          <w:lang w:val="en-CA"/>
        </w:rPr>
        <w:lastRenderedPageBreak/>
        <w:t xml:space="preserve">What would be the respective expected and actual performance of the investment if the investor had bought 10,000 </w:t>
      </w:r>
      <w:proofErr w:type="spellStart"/>
      <w:r w:rsidRPr="000C7D3F">
        <w:rPr>
          <w:sz w:val="22"/>
          <w:szCs w:val="22"/>
          <w:lang w:val="en-CA"/>
        </w:rPr>
        <w:t>StanChart</w:t>
      </w:r>
      <w:proofErr w:type="spellEnd"/>
      <w:r w:rsidRPr="000C7D3F">
        <w:rPr>
          <w:sz w:val="22"/>
          <w:szCs w:val="22"/>
          <w:lang w:val="en-CA"/>
        </w:rPr>
        <w:t xml:space="preserve"> shares </w:t>
      </w:r>
      <w:r w:rsidR="004A0A44">
        <w:rPr>
          <w:sz w:val="22"/>
          <w:szCs w:val="22"/>
          <w:lang w:val="en-CA"/>
        </w:rPr>
        <w:t xml:space="preserve">and 1,000 BBB-rated </w:t>
      </w:r>
      <w:proofErr w:type="spellStart"/>
      <w:r w:rsidR="004A0A44">
        <w:rPr>
          <w:sz w:val="22"/>
          <w:szCs w:val="22"/>
          <w:lang w:val="en-CA"/>
        </w:rPr>
        <w:t>StanChart</w:t>
      </w:r>
      <w:proofErr w:type="spellEnd"/>
      <w:r w:rsidR="004A0A44">
        <w:rPr>
          <w:sz w:val="22"/>
          <w:szCs w:val="22"/>
          <w:lang w:val="en-CA"/>
        </w:rPr>
        <w:t xml:space="preserve"> bonds </w:t>
      </w:r>
      <w:r w:rsidRPr="000C7D3F">
        <w:rPr>
          <w:sz w:val="22"/>
          <w:szCs w:val="22"/>
          <w:lang w:val="en-CA"/>
        </w:rPr>
        <w:t>on January 9 and sold them in 6 months (July 13, 2014) and 12 months (January 9, 2015)?</w:t>
      </w:r>
    </w:p>
    <w:p w14:paraId="6C188D8D" w14:textId="77777777" w:rsidR="000C7D3F" w:rsidRPr="000C7D3F" w:rsidRDefault="000C7D3F" w:rsidP="00DE5A3A">
      <w:pPr>
        <w:pStyle w:val="BodyTextMain"/>
        <w:rPr>
          <w:lang w:val="en-CA"/>
        </w:rPr>
      </w:pPr>
    </w:p>
    <w:p w14:paraId="04FB40F4" w14:textId="0AAFEA01" w:rsidR="000C7D3F" w:rsidRPr="00DE5A3A" w:rsidRDefault="000C7D3F" w:rsidP="000C7D3F">
      <w:pPr>
        <w:jc w:val="both"/>
        <w:rPr>
          <w:kern w:val="22"/>
          <w:sz w:val="22"/>
          <w:szCs w:val="22"/>
          <w:lang w:val="en-CA"/>
        </w:rPr>
      </w:pPr>
      <w:r w:rsidRPr="00DE5A3A">
        <w:rPr>
          <w:kern w:val="22"/>
          <w:sz w:val="22"/>
          <w:szCs w:val="22"/>
          <w:lang w:val="en-GB"/>
        </w:rPr>
        <w:t xml:space="preserve">While answering the above four questions, </w:t>
      </w:r>
      <w:r w:rsidR="006C4583" w:rsidRPr="00DE5A3A">
        <w:rPr>
          <w:kern w:val="22"/>
          <w:sz w:val="22"/>
          <w:szCs w:val="22"/>
          <w:lang w:val="en-GB"/>
        </w:rPr>
        <w:t>students should</w:t>
      </w:r>
      <w:r w:rsidRPr="00DE5A3A">
        <w:rPr>
          <w:kern w:val="22"/>
          <w:sz w:val="22"/>
          <w:szCs w:val="22"/>
          <w:lang w:val="en-GB"/>
        </w:rPr>
        <w:t xml:space="preserve"> also consider other practical trading</w:t>
      </w:r>
      <w:r w:rsidR="006C4583" w:rsidRPr="00DE5A3A">
        <w:rPr>
          <w:kern w:val="22"/>
          <w:sz w:val="22"/>
          <w:szCs w:val="22"/>
          <w:lang w:val="en-GB"/>
        </w:rPr>
        <w:t>-</w:t>
      </w:r>
      <w:r w:rsidRPr="00DE5A3A">
        <w:rPr>
          <w:kern w:val="22"/>
          <w:sz w:val="22"/>
          <w:szCs w:val="22"/>
          <w:lang w:val="en-GB"/>
        </w:rPr>
        <w:t>related issues</w:t>
      </w:r>
      <w:r w:rsidR="006C4583" w:rsidRPr="00DE5A3A">
        <w:rPr>
          <w:kern w:val="22"/>
          <w:sz w:val="22"/>
          <w:szCs w:val="22"/>
          <w:lang w:val="en-GB"/>
        </w:rPr>
        <w:t>,</w:t>
      </w:r>
      <w:r w:rsidRPr="00DE5A3A">
        <w:rPr>
          <w:kern w:val="22"/>
          <w:sz w:val="22"/>
          <w:szCs w:val="22"/>
          <w:lang w:val="en-GB"/>
        </w:rPr>
        <w:t xml:space="preserve"> such as </w:t>
      </w:r>
      <w:r w:rsidRPr="00DE5A3A">
        <w:rPr>
          <w:kern w:val="22"/>
          <w:sz w:val="22"/>
          <w:szCs w:val="22"/>
          <w:lang w:val="en-CA"/>
        </w:rPr>
        <w:t>the shorting costs and additional securities’ lending income from the brokerage house (see Exhibits 8 and 9).</w:t>
      </w:r>
      <w:r w:rsidR="006840F6" w:rsidRPr="00DE5A3A">
        <w:rPr>
          <w:kern w:val="22"/>
          <w:sz w:val="22"/>
          <w:szCs w:val="22"/>
          <w:lang w:val="en-CA"/>
        </w:rPr>
        <w:t xml:space="preserve"> </w:t>
      </w:r>
    </w:p>
    <w:p w14:paraId="35F78551" w14:textId="77777777" w:rsidR="000C7D3F" w:rsidRPr="00DE5A3A" w:rsidRDefault="000C7D3F" w:rsidP="00DE5A3A">
      <w:pPr>
        <w:pStyle w:val="BodyTextMain"/>
        <w:rPr>
          <w:lang w:val="en-CA"/>
        </w:rPr>
      </w:pPr>
    </w:p>
    <w:p w14:paraId="73C24280" w14:textId="3019E259" w:rsidR="000C7D3F" w:rsidRDefault="000C7D3F" w:rsidP="00484277">
      <w:pPr>
        <w:pStyle w:val="BodyTextMain"/>
      </w:pPr>
      <w:r w:rsidRPr="000C7D3F">
        <w:t xml:space="preserve">Other than evaluating the possible investment performance in </w:t>
      </w:r>
      <w:proofErr w:type="spellStart"/>
      <w:r w:rsidRPr="000C7D3F">
        <w:t>StanChart</w:t>
      </w:r>
      <w:proofErr w:type="spellEnd"/>
      <w:r w:rsidRPr="000C7D3F">
        <w:t xml:space="preserve">, </w:t>
      </w:r>
      <w:r w:rsidR="006C4583">
        <w:t>is</w:t>
      </w:r>
      <w:r w:rsidRPr="000C7D3F">
        <w:t xml:space="preserve"> a more generalized investment strategy </w:t>
      </w:r>
      <w:r w:rsidR="006C4583">
        <w:t xml:space="preserve">possible </w:t>
      </w:r>
      <w:r w:rsidRPr="000C7D3F">
        <w:t>to exploit trading opportunities under similar corporate restructuring?</w:t>
      </w:r>
      <w:r>
        <w:br w:type="page"/>
      </w:r>
    </w:p>
    <w:p w14:paraId="7E7E0CAD" w14:textId="35219384" w:rsidR="000C7D3F" w:rsidRPr="000C7D3F" w:rsidRDefault="000C7D3F" w:rsidP="000C7D3F">
      <w:pPr>
        <w:jc w:val="center"/>
        <w:outlineLvl w:val="0"/>
        <w:rPr>
          <w:rFonts w:ascii="Arial" w:hAnsi="Arial" w:cs="Arial"/>
          <w:b/>
          <w:caps/>
          <w:lang w:val="en-CA"/>
        </w:rPr>
      </w:pPr>
      <w:r w:rsidRPr="000C7D3F">
        <w:rPr>
          <w:rFonts w:ascii="Arial" w:hAnsi="Arial" w:cs="Arial"/>
          <w:b/>
          <w:caps/>
          <w:lang w:val="en-CA"/>
        </w:rPr>
        <w:lastRenderedPageBreak/>
        <w:t>Exhibit 1: Performance of standard chartered’s stocks and bonds</w:t>
      </w:r>
      <w:r w:rsidR="006C4583">
        <w:rPr>
          <w:rFonts w:ascii="Arial" w:hAnsi="Arial" w:cs="Arial"/>
          <w:b/>
          <w:caps/>
          <w:lang w:val="en-CA"/>
        </w:rPr>
        <w:t>, selected dates, January 2014 to January 2015</w:t>
      </w:r>
    </w:p>
    <w:p w14:paraId="44B94381" w14:textId="77777777" w:rsidR="000C7D3F" w:rsidRPr="000C7D3F" w:rsidRDefault="000C7D3F" w:rsidP="000C7D3F">
      <w:pPr>
        <w:jc w:val="both"/>
        <w:rPr>
          <w:rFonts w:ascii="Arial" w:hAnsi="Arial" w:cs="Arial"/>
          <w:lang w:val="en-CA"/>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1507"/>
        <w:gridCol w:w="1508"/>
        <w:gridCol w:w="1508"/>
        <w:gridCol w:w="1580"/>
      </w:tblGrid>
      <w:tr w:rsidR="000C7D3F" w:rsidRPr="000C7D3F" w14:paraId="5FB3DBE1" w14:textId="77777777" w:rsidTr="00322A61">
        <w:trPr>
          <w:trHeight w:val="288"/>
          <w:jc w:val="center"/>
        </w:trPr>
        <w:tc>
          <w:tcPr>
            <w:tcW w:w="3318" w:type="dxa"/>
            <w:noWrap/>
            <w:hideMark/>
          </w:tcPr>
          <w:p w14:paraId="125F930B" w14:textId="77777777" w:rsidR="000C7D3F" w:rsidRPr="000C7D3F" w:rsidRDefault="000C7D3F" w:rsidP="000C7D3F">
            <w:pPr>
              <w:jc w:val="both"/>
              <w:rPr>
                <w:rFonts w:ascii="Arial" w:hAnsi="Arial" w:cs="Arial"/>
                <w:sz w:val="18"/>
                <w:szCs w:val="18"/>
                <w:lang w:val="en-SG" w:eastAsia="zh-CN"/>
              </w:rPr>
            </w:pPr>
            <w:r w:rsidRPr="000C7D3F">
              <w:rPr>
                <w:rFonts w:ascii="Arial" w:hAnsi="Arial" w:cs="Arial"/>
                <w:sz w:val="18"/>
                <w:szCs w:val="18"/>
                <w:lang w:val="en-SG" w:eastAsia="zh-CN"/>
              </w:rPr>
              <w:t xml:space="preserve"> </w:t>
            </w:r>
          </w:p>
        </w:tc>
        <w:tc>
          <w:tcPr>
            <w:tcW w:w="1542" w:type="dxa"/>
            <w:noWrap/>
            <w:vAlign w:val="center"/>
            <w:hideMark/>
          </w:tcPr>
          <w:p w14:paraId="7798C50A" w14:textId="77777777"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Jan. 9, 2014</w:t>
            </w:r>
          </w:p>
        </w:tc>
        <w:tc>
          <w:tcPr>
            <w:tcW w:w="1543" w:type="dxa"/>
            <w:noWrap/>
            <w:vAlign w:val="center"/>
            <w:hideMark/>
          </w:tcPr>
          <w:p w14:paraId="3ACC0BBE" w14:textId="77777777"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April 29, 2014</w:t>
            </w:r>
          </w:p>
        </w:tc>
        <w:tc>
          <w:tcPr>
            <w:tcW w:w="1543" w:type="dxa"/>
            <w:noWrap/>
            <w:vAlign w:val="center"/>
            <w:hideMark/>
          </w:tcPr>
          <w:p w14:paraId="40EB3C49" w14:textId="77777777"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July 13, 2014</w:t>
            </w:r>
          </w:p>
        </w:tc>
        <w:tc>
          <w:tcPr>
            <w:tcW w:w="1617" w:type="dxa"/>
            <w:noWrap/>
            <w:vAlign w:val="center"/>
            <w:hideMark/>
          </w:tcPr>
          <w:p w14:paraId="1B748235" w14:textId="77777777"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Jan. 9, 2015</w:t>
            </w:r>
          </w:p>
        </w:tc>
      </w:tr>
      <w:tr w:rsidR="000C7D3F" w:rsidRPr="000C7D3F" w14:paraId="1F6E32A4" w14:textId="77777777" w:rsidTr="00322A61">
        <w:trPr>
          <w:trHeight w:val="288"/>
          <w:jc w:val="center"/>
        </w:trPr>
        <w:tc>
          <w:tcPr>
            <w:tcW w:w="3318" w:type="dxa"/>
            <w:noWrap/>
            <w:vAlign w:val="center"/>
            <w:hideMark/>
          </w:tcPr>
          <w:p w14:paraId="12074286" w14:textId="77777777" w:rsidR="000C7D3F" w:rsidRPr="000C7D3F" w:rsidRDefault="000C7D3F" w:rsidP="000C7D3F">
            <w:pPr>
              <w:rPr>
                <w:rFonts w:ascii="Arial" w:hAnsi="Arial" w:cs="Arial"/>
                <w:sz w:val="18"/>
                <w:szCs w:val="18"/>
                <w:lang w:val="en-SG" w:eastAsia="zh-CN"/>
              </w:rPr>
            </w:pPr>
            <w:proofErr w:type="spellStart"/>
            <w:r w:rsidRPr="000C7D3F">
              <w:rPr>
                <w:rFonts w:ascii="Arial" w:hAnsi="Arial" w:cs="Arial"/>
                <w:sz w:val="18"/>
                <w:szCs w:val="18"/>
                <w:lang w:val="en-SG" w:eastAsia="zh-CN"/>
              </w:rPr>
              <w:t>StanChart</w:t>
            </w:r>
            <w:proofErr w:type="spellEnd"/>
            <w:r w:rsidRPr="000C7D3F">
              <w:rPr>
                <w:rFonts w:ascii="Arial" w:hAnsi="Arial" w:cs="Arial"/>
                <w:sz w:val="18"/>
                <w:szCs w:val="18"/>
                <w:lang w:val="en-SG" w:eastAsia="zh-CN"/>
              </w:rPr>
              <w:t xml:space="preserve"> Stock Price (in GBP)</w:t>
            </w:r>
          </w:p>
        </w:tc>
        <w:tc>
          <w:tcPr>
            <w:tcW w:w="1542" w:type="dxa"/>
            <w:noWrap/>
            <w:vAlign w:val="center"/>
            <w:hideMark/>
          </w:tcPr>
          <w:p w14:paraId="3B8FC4DA" w14:textId="77777777" w:rsidR="000C7D3F" w:rsidRPr="000C7D3F" w:rsidRDefault="000C7D3F" w:rsidP="003127DD">
            <w:pPr>
              <w:tabs>
                <w:tab w:val="decimal" w:pos="608"/>
              </w:tabs>
              <w:rPr>
                <w:rFonts w:ascii="Arial" w:hAnsi="Arial" w:cs="Arial"/>
                <w:sz w:val="18"/>
                <w:szCs w:val="18"/>
                <w:lang w:val="en-SG" w:eastAsia="zh-CN"/>
              </w:rPr>
            </w:pPr>
            <w:r w:rsidRPr="000C7D3F">
              <w:rPr>
                <w:rFonts w:ascii="Arial" w:hAnsi="Arial" w:cs="Arial"/>
                <w:sz w:val="18"/>
                <w:szCs w:val="18"/>
                <w:lang w:val="en-SG" w:eastAsia="zh-CN"/>
              </w:rPr>
              <w:t>12.3040</w:t>
            </w:r>
          </w:p>
        </w:tc>
        <w:tc>
          <w:tcPr>
            <w:tcW w:w="1543" w:type="dxa"/>
            <w:noWrap/>
            <w:vAlign w:val="center"/>
            <w:hideMark/>
          </w:tcPr>
          <w:p w14:paraId="157FC58D" w14:textId="77777777" w:rsidR="000C7D3F" w:rsidRPr="000C7D3F" w:rsidRDefault="000C7D3F" w:rsidP="003127DD">
            <w:pPr>
              <w:tabs>
                <w:tab w:val="decimal" w:pos="626"/>
              </w:tabs>
              <w:rPr>
                <w:rFonts w:ascii="Arial" w:hAnsi="Arial" w:cs="Arial"/>
                <w:sz w:val="18"/>
                <w:szCs w:val="18"/>
                <w:lang w:val="en-SG" w:eastAsia="zh-CN"/>
              </w:rPr>
            </w:pPr>
            <w:r w:rsidRPr="000C7D3F">
              <w:rPr>
                <w:rFonts w:ascii="Arial" w:hAnsi="Arial" w:cs="Arial"/>
                <w:sz w:val="18"/>
                <w:szCs w:val="18"/>
                <w:lang w:val="en-SG" w:eastAsia="zh-CN"/>
              </w:rPr>
              <w:t>12.8593</w:t>
            </w:r>
          </w:p>
        </w:tc>
        <w:tc>
          <w:tcPr>
            <w:tcW w:w="1543" w:type="dxa"/>
            <w:noWrap/>
            <w:vAlign w:val="center"/>
            <w:hideMark/>
          </w:tcPr>
          <w:p w14:paraId="61CA6A58" w14:textId="77777777" w:rsidR="000C7D3F" w:rsidRPr="000C7D3F" w:rsidRDefault="000C7D3F" w:rsidP="003127DD">
            <w:pPr>
              <w:tabs>
                <w:tab w:val="decimal" w:pos="642"/>
              </w:tabs>
              <w:rPr>
                <w:rFonts w:ascii="Arial" w:hAnsi="Arial" w:cs="Arial"/>
                <w:sz w:val="18"/>
                <w:szCs w:val="18"/>
                <w:lang w:val="en-SG" w:eastAsia="zh-CN"/>
              </w:rPr>
            </w:pPr>
            <w:r w:rsidRPr="000C7D3F">
              <w:rPr>
                <w:rFonts w:ascii="Arial" w:hAnsi="Arial" w:cs="Arial"/>
                <w:sz w:val="18"/>
                <w:szCs w:val="18"/>
                <w:lang w:val="en-SG" w:eastAsia="zh-CN"/>
              </w:rPr>
              <w:t>11.7655</w:t>
            </w:r>
          </w:p>
        </w:tc>
        <w:tc>
          <w:tcPr>
            <w:tcW w:w="1617" w:type="dxa"/>
            <w:noWrap/>
            <w:vAlign w:val="center"/>
            <w:hideMark/>
          </w:tcPr>
          <w:p w14:paraId="2D5E8DAF" w14:textId="77777777" w:rsidR="000C7D3F" w:rsidRPr="000C7D3F" w:rsidRDefault="000C7D3F" w:rsidP="003127DD">
            <w:pPr>
              <w:tabs>
                <w:tab w:val="decimal" w:pos="658"/>
              </w:tabs>
              <w:rPr>
                <w:rFonts w:ascii="Arial" w:hAnsi="Arial" w:cs="Arial"/>
                <w:sz w:val="18"/>
                <w:szCs w:val="18"/>
                <w:lang w:val="en-SG" w:eastAsia="zh-CN"/>
              </w:rPr>
            </w:pPr>
            <w:r w:rsidRPr="000C7D3F">
              <w:rPr>
                <w:rFonts w:ascii="Arial" w:hAnsi="Arial" w:cs="Arial"/>
                <w:sz w:val="18"/>
                <w:szCs w:val="18"/>
                <w:lang w:val="en-SG" w:eastAsia="zh-CN"/>
              </w:rPr>
              <w:t>9.7070</w:t>
            </w:r>
          </w:p>
        </w:tc>
      </w:tr>
      <w:tr w:rsidR="000C7D3F" w:rsidRPr="000C7D3F" w14:paraId="22DE699E" w14:textId="77777777" w:rsidTr="00322A61">
        <w:trPr>
          <w:trHeight w:val="288"/>
          <w:jc w:val="center"/>
        </w:trPr>
        <w:tc>
          <w:tcPr>
            <w:tcW w:w="3318" w:type="dxa"/>
            <w:noWrap/>
            <w:vAlign w:val="center"/>
            <w:hideMark/>
          </w:tcPr>
          <w:p w14:paraId="61997CAB"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Dividends (in GBP)</w:t>
            </w:r>
          </w:p>
        </w:tc>
        <w:tc>
          <w:tcPr>
            <w:tcW w:w="1542" w:type="dxa"/>
            <w:noWrap/>
            <w:vAlign w:val="center"/>
            <w:hideMark/>
          </w:tcPr>
          <w:p w14:paraId="585083B6" w14:textId="77777777" w:rsidR="000C7D3F" w:rsidRPr="000C7D3F" w:rsidRDefault="000C7D3F" w:rsidP="003127DD">
            <w:pPr>
              <w:tabs>
                <w:tab w:val="decimal" w:pos="608"/>
              </w:tabs>
              <w:jc w:val="center"/>
              <w:rPr>
                <w:rFonts w:ascii="Arial" w:hAnsi="Arial" w:cs="Arial"/>
                <w:sz w:val="18"/>
                <w:szCs w:val="18"/>
                <w:lang w:val="en-SG" w:eastAsia="zh-CN"/>
              </w:rPr>
            </w:pPr>
          </w:p>
        </w:tc>
        <w:tc>
          <w:tcPr>
            <w:tcW w:w="1543" w:type="dxa"/>
            <w:noWrap/>
            <w:vAlign w:val="center"/>
            <w:hideMark/>
          </w:tcPr>
          <w:p w14:paraId="23D9C3EC" w14:textId="77777777" w:rsidR="000C7D3F" w:rsidRPr="000C7D3F" w:rsidRDefault="000C7D3F" w:rsidP="003127DD">
            <w:pPr>
              <w:tabs>
                <w:tab w:val="decimal" w:pos="626"/>
              </w:tabs>
              <w:rPr>
                <w:rFonts w:ascii="Arial" w:hAnsi="Arial" w:cs="Arial"/>
                <w:sz w:val="18"/>
                <w:szCs w:val="18"/>
                <w:lang w:val="en-SG" w:eastAsia="zh-CN"/>
              </w:rPr>
            </w:pPr>
            <w:r w:rsidRPr="000C7D3F">
              <w:rPr>
                <w:rFonts w:ascii="Arial" w:hAnsi="Arial" w:cs="Arial"/>
                <w:sz w:val="18"/>
                <w:szCs w:val="18"/>
                <w:lang w:val="en-SG" w:eastAsia="zh-CN"/>
              </w:rPr>
              <w:t>0.3392</w:t>
            </w:r>
          </w:p>
        </w:tc>
        <w:tc>
          <w:tcPr>
            <w:tcW w:w="1543" w:type="dxa"/>
            <w:noWrap/>
            <w:vAlign w:val="center"/>
            <w:hideMark/>
          </w:tcPr>
          <w:p w14:paraId="743DF04D" w14:textId="77777777" w:rsidR="000C7D3F" w:rsidRPr="000C7D3F" w:rsidRDefault="000C7D3F" w:rsidP="003127DD">
            <w:pPr>
              <w:tabs>
                <w:tab w:val="decimal" w:pos="642"/>
              </w:tabs>
              <w:jc w:val="center"/>
              <w:rPr>
                <w:rFonts w:ascii="Arial" w:hAnsi="Arial" w:cs="Arial"/>
                <w:sz w:val="18"/>
                <w:szCs w:val="18"/>
                <w:lang w:val="en-SG" w:eastAsia="zh-CN"/>
              </w:rPr>
            </w:pPr>
          </w:p>
        </w:tc>
        <w:tc>
          <w:tcPr>
            <w:tcW w:w="1617" w:type="dxa"/>
            <w:noWrap/>
            <w:vAlign w:val="center"/>
            <w:hideMark/>
          </w:tcPr>
          <w:p w14:paraId="0738A353" w14:textId="77777777" w:rsidR="000C7D3F" w:rsidRPr="000C7D3F" w:rsidRDefault="000C7D3F" w:rsidP="003127DD">
            <w:pPr>
              <w:tabs>
                <w:tab w:val="decimal" w:pos="658"/>
              </w:tabs>
              <w:rPr>
                <w:rFonts w:ascii="Arial" w:hAnsi="Arial" w:cs="Arial"/>
                <w:sz w:val="18"/>
                <w:szCs w:val="18"/>
                <w:lang w:val="en-SG" w:eastAsia="zh-CN"/>
              </w:rPr>
            </w:pPr>
            <w:r w:rsidRPr="000C7D3F">
              <w:rPr>
                <w:rFonts w:ascii="Arial" w:hAnsi="Arial" w:cs="Arial"/>
                <w:sz w:val="18"/>
                <w:szCs w:val="18"/>
                <w:lang w:val="en-SG" w:eastAsia="zh-CN"/>
              </w:rPr>
              <w:t>0.1800</w:t>
            </w:r>
          </w:p>
        </w:tc>
      </w:tr>
      <w:tr w:rsidR="000C7D3F" w:rsidRPr="000C7D3F" w14:paraId="4707D102" w14:textId="77777777" w:rsidTr="00322A61">
        <w:trPr>
          <w:trHeight w:val="288"/>
          <w:jc w:val="center"/>
        </w:trPr>
        <w:tc>
          <w:tcPr>
            <w:tcW w:w="3318" w:type="dxa"/>
            <w:noWrap/>
            <w:hideMark/>
          </w:tcPr>
          <w:p w14:paraId="49868A4B"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Ex-Dividend Date</w:t>
            </w:r>
          </w:p>
        </w:tc>
        <w:tc>
          <w:tcPr>
            <w:tcW w:w="1542" w:type="dxa"/>
            <w:noWrap/>
            <w:vAlign w:val="center"/>
            <w:hideMark/>
          </w:tcPr>
          <w:p w14:paraId="49744C6B" w14:textId="77777777" w:rsidR="000C7D3F" w:rsidRPr="000C7D3F" w:rsidRDefault="000C7D3F" w:rsidP="003127DD">
            <w:pPr>
              <w:tabs>
                <w:tab w:val="decimal" w:pos="608"/>
              </w:tabs>
              <w:jc w:val="center"/>
              <w:rPr>
                <w:rFonts w:ascii="Arial" w:hAnsi="Arial" w:cs="Arial"/>
                <w:sz w:val="18"/>
                <w:szCs w:val="18"/>
                <w:lang w:val="en-SG" w:eastAsia="zh-CN"/>
              </w:rPr>
            </w:pPr>
          </w:p>
        </w:tc>
        <w:tc>
          <w:tcPr>
            <w:tcW w:w="1543" w:type="dxa"/>
            <w:noWrap/>
            <w:vAlign w:val="center"/>
            <w:hideMark/>
          </w:tcPr>
          <w:p w14:paraId="0DA4714D" w14:textId="6C0D47C5" w:rsidR="000C7D3F" w:rsidRPr="000C7D3F" w:rsidRDefault="000C7D3F" w:rsidP="003127DD">
            <w:pPr>
              <w:tabs>
                <w:tab w:val="decimal" w:pos="626"/>
              </w:tabs>
              <w:jc w:val="center"/>
              <w:rPr>
                <w:rFonts w:ascii="Arial" w:hAnsi="Arial" w:cs="Arial"/>
                <w:sz w:val="18"/>
                <w:szCs w:val="18"/>
                <w:lang w:val="en-SG" w:eastAsia="zh-CN"/>
              </w:rPr>
            </w:pPr>
            <w:r w:rsidRPr="000C7D3F">
              <w:rPr>
                <w:rFonts w:ascii="Arial" w:hAnsi="Arial" w:cs="Arial"/>
                <w:sz w:val="18"/>
                <w:szCs w:val="18"/>
                <w:lang w:val="en-SG" w:eastAsia="zh-CN"/>
              </w:rPr>
              <w:t>Mar</w:t>
            </w:r>
            <w:r w:rsidR="006C4583">
              <w:rPr>
                <w:rFonts w:ascii="Arial" w:hAnsi="Arial" w:cs="Arial"/>
                <w:sz w:val="18"/>
                <w:szCs w:val="18"/>
                <w:lang w:val="en-SG" w:eastAsia="zh-CN"/>
              </w:rPr>
              <w:t>ch</w:t>
            </w:r>
            <w:r w:rsidRPr="000C7D3F">
              <w:rPr>
                <w:rFonts w:ascii="Arial" w:hAnsi="Arial" w:cs="Arial"/>
                <w:sz w:val="18"/>
                <w:szCs w:val="18"/>
                <w:lang w:val="en-SG" w:eastAsia="zh-CN"/>
              </w:rPr>
              <w:t xml:space="preserve"> 12, 2014</w:t>
            </w:r>
          </w:p>
        </w:tc>
        <w:tc>
          <w:tcPr>
            <w:tcW w:w="1543" w:type="dxa"/>
            <w:noWrap/>
            <w:vAlign w:val="center"/>
            <w:hideMark/>
          </w:tcPr>
          <w:p w14:paraId="789B54EF" w14:textId="77777777" w:rsidR="000C7D3F" w:rsidRPr="000C7D3F" w:rsidRDefault="000C7D3F" w:rsidP="003127DD">
            <w:pPr>
              <w:tabs>
                <w:tab w:val="decimal" w:pos="642"/>
              </w:tabs>
              <w:jc w:val="center"/>
              <w:rPr>
                <w:rFonts w:ascii="Arial" w:hAnsi="Arial" w:cs="Arial"/>
                <w:sz w:val="18"/>
                <w:szCs w:val="18"/>
                <w:lang w:val="en-SG" w:eastAsia="zh-CN"/>
              </w:rPr>
            </w:pPr>
          </w:p>
        </w:tc>
        <w:tc>
          <w:tcPr>
            <w:tcW w:w="1617" w:type="dxa"/>
            <w:noWrap/>
            <w:vAlign w:val="center"/>
            <w:hideMark/>
          </w:tcPr>
          <w:p w14:paraId="7A165D57" w14:textId="54874FCB" w:rsidR="000C7D3F" w:rsidRPr="000C7D3F" w:rsidRDefault="000C7D3F" w:rsidP="003127DD">
            <w:pPr>
              <w:tabs>
                <w:tab w:val="decimal" w:pos="658"/>
              </w:tabs>
              <w:jc w:val="center"/>
              <w:rPr>
                <w:rFonts w:ascii="Arial" w:hAnsi="Arial" w:cs="Arial"/>
                <w:sz w:val="18"/>
                <w:szCs w:val="18"/>
                <w:lang w:val="en-SG" w:eastAsia="zh-CN"/>
              </w:rPr>
            </w:pPr>
            <w:r w:rsidRPr="000C7D3F">
              <w:rPr>
                <w:rFonts w:ascii="Arial" w:hAnsi="Arial" w:cs="Arial"/>
                <w:sz w:val="18"/>
                <w:szCs w:val="18"/>
                <w:lang w:val="en-SG" w:eastAsia="zh-CN"/>
              </w:rPr>
              <w:t>Aug</w:t>
            </w:r>
            <w:r w:rsidR="006C4583">
              <w:rPr>
                <w:rFonts w:ascii="Arial" w:hAnsi="Arial" w:cs="Arial"/>
                <w:sz w:val="18"/>
                <w:szCs w:val="18"/>
                <w:lang w:val="en-SG" w:eastAsia="zh-CN"/>
              </w:rPr>
              <w:t>ust</w:t>
            </w:r>
            <w:r w:rsidRPr="000C7D3F">
              <w:rPr>
                <w:rFonts w:ascii="Arial" w:hAnsi="Arial" w:cs="Arial"/>
                <w:sz w:val="18"/>
                <w:szCs w:val="18"/>
                <w:lang w:val="en-SG" w:eastAsia="zh-CN"/>
              </w:rPr>
              <w:t xml:space="preserve"> 13, 2014</w:t>
            </w:r>
          </w:p>
        </w:tc>
      </w:tr>
      <w:tr w:rsidR="000C7D3F" w:rsidRPr="000C7D3F" w14:paraId="2EDE0DA9" w14:textId="77777777" w:rsidTr="00322A61">
        <w:trPr>
          <w:trHeight w:val="288"/>
          <w:jc w:val="center"/>
        </w:trPr>
        <w:tc>
          <w:tcPr>
            <w:tcW w:w="3318" w:type="dxa"/>
            <w:noWrap/>
            <w:hideMark/>
          </w:tcPr>
          <w:p w14:paraId="11EA240E"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Dividend Payment Date</w:t>
            </w:r>
          </w:p>
        </w:tc>
        <w:tc>
          <w:tcPr>
            <w:tcW w:w="1542" w:type="dxa"/>
            <w:noWrap/>
            <w:vAlign w:val="center"/>
            <w:hideMark/>
          </w:tcPr>
          <w:p w14:paraId="5E75D6E5" w14:textId="77777777" w:rsidR="000C7D3F" w:rsidRPr="000C7D3F" w:rsidRDefault="000C7D3F" w:rsidP="003127DD">
            <w:pPr>
              <w:tabs>
                <w:tab w:val="decimal" w:pos="608"/>
              </w:tabs>
              <w:jc w:val="center"/>
              <w:rPr>
                <w:rFonts w:ascii="Arial" w:hAnsi="Arial" w:cs="Arial"/>
                <w:sz w:val="18"/>
                <w:szCs w:val="18"/>
                <w:lang w:val="en-SG" w:eastAsia="zh-CN"/>
              </w:rPr>
            </w:pPr>
          </w:p>
        </w:tc>
        <w:tc>
          <w:tcPr>
            <w:tcW w:w="1543" w:type="dxa"/>
            <w:noWrap/>
            <w:vAlign w:val="center"/>
            <w:hideMark/>
          </w:tcPr>
          <w:p w14:paraId="69C1F6AA" w14:textId="77777777" w:rsidR="000C7D3F" w:rsidRPr="000C7D3F" w:rsidRDefault="000C7D3F" w:rsidP="003127DD">
            <w:pPr>
              <w:tabs>
                <w:tab w:val="decimal" w:pos="626"/>
              </w:tabs>
              <w:jc w:val="center"/>
              <w:rPr>
                <w:rFonts w:ascii="Arial" w:hAnsi="Arial" w:cs="Arial"/>
                <w:sz w:val="18"/>
                <w:szCs w:val="18"/>
                <w:lang w:val="en-SG" w:eastAsia="zh-CN"/>
              </w:rPr>
            </w:pPr>
            <w:r w:rsidRPr="000C7D3F">
              <w:rPr>
                <w:rFonts w:ascii="Arial" w:hAnsi="Arial" w:cs="Arial"/>
                <w:sz w:val="18"/>
                <w:szCs w:val="18"/>
                <w:lang w:val="en-SG" w:eastAsia="zh-CN"/>
              </w:rPr>
              <w:t>May 14, 2014</w:t>
            </w:r>
          </w:p>
        </w:tc>
        <w:tc>
          <w:tcPr>
            <w:tcW w:w="1543" w:type="dxa"/>
            <w:noWrap/>
            <w:vAlign w:val="center"/>
            <w:hideMark/>
          </w:tcPr>
          <w:p w14:paraId="5120D20A" w14:textId="77777777" w:rsidR="000C7D3F" w:rsidRPr="000C7D3F" w:rsidRDefault="000C7D3F" w:rsidP="003127DD">
            <w:pPr>
              <w:tabs>
                <w:tab w:val="decimal" w:pos="642"/>
              </w:tabs>
              <w:jc w:val="center"/>
              <w:rPr>
                <w:rFonts w:ascii="Arial" w:hAnsi="Arial" w:cs="Arial"/>
                <w:sz w:val="18"/>
                <w:szCs w:val="18"/>
                <w:lang w:val="en-SG" w:eastAsia="zh-CN"/>
              </w:rPr>
            </w:pPr>
          </w:p>
        </w:tc>
        <w:tc>
          <w:tcPr>
            <w:tcW w:w="1617" w:type="dxa"/>
            <w:noWrap/>
            <w:vAlign w:val="center"/>
            <w:hideMark/>
          </w:tcPr>
          <w:p w14:paraId="7326B441" w14:textId="660D0911" w:rsidR="000C7D3F" w:rsidRPr="000C7D3F" w:rsidRDefault="000C7D3F" w:rsidP="003127DD">
            <w:pPr>
              <w:tabs>
                <w:tab w:val="decimal" w:pos="658"/>
              </w:tabs>
              <w:jc w:val="center"/>
              <w:rPr>
                <w:rFonts w:ascii="Arial" w:hAnsi="Arial" w:cs="Arial"/>
                <w:sz w:val="18"/>
                <w:szCs w:val="18"/>
                <w:lang w:val="en-SG" w:eastAsia="zh-CN"/>
              </w:rPr>
            </w:pPr>
            <w:r w:rsidRPr="000C7D3F">
              <w:rPr>
                <w:rFonts w:ascii="Arial" w:hAnsi="Arial" w:cs="Arial"/>
                <w:sz w:val="18"/>
                <w:szCs w:val="18"/>
                <w:lang w:val="en-SG" w:eastAsia="zh-CN"/>
              </w:rPr>
              <w:t>Oct</w:t>
            </w:r>
            <w:r w:rsidR="006C4583">
              <w:rPr>
                <w:rFonts w:ascii="Arial" w:hAnsi="Arial" w:cs="Arial"/>
                <w:sz w:val="18"/>
                <w:szCs w:val="18"/>
                <w:lang w:val="en-SG" w:eastAsia="zh-CN"/>
              </w:rPr>
              <w:t>ober</w:t>
            </w:r>
            <w:r w:rsidRPr="000C7D3F">
              <w:rPr>
                <w:rFonts w:ascii="Arial" w:hAnsi="Arial" w:cs="Arial"/>
                <w:sz w:val="18"/>
                <w:szCs w:val="18"/>
                <w:lang w:val="en-SG" w:eastAsia="zh-CN"/>
              </w:rPr>
              <w:t xml:space="preserve"> 20, 2014</w:t>
            </w:r>
          </w:p>
        </w:tc>
      </w:tr>
      <w:tr w:rsidR="000C7D3F" w:rsidRPr="000C7D3F" w14:paraId="1491C1EC" w14:textId="77777777" w:rsidTr="00322A61">
        <w:trPr>
          <w:trHeight w:val="288"/>
          <w:jc w:val="center"/>
        </w:trPr>
        <w:tc>
          <w:tcPr>
            <w:tcW w:w="3318" w:type="dxa"/>
            <w:noWrap/>
            <w:vAlign w:val="center"/>
            <w:hideMark/>
          </w:tcPr>
          <w:p w14:paraId="17BEE38A" w14:textId="77777777" w:rsidR="000C7D3F" w:rsidRPr="000C7D3F" w:rsidRDefault="000C7D3F" w:rsidP="000C7D3F">
            <w:pPr>
              <w:rPr>
                <w:rFonts w:ascii="Arial" w:hAnsi="Arial" w:cs="Arial"/>
                <w:sz w:val="18"/>
                <w:szCs w:val="18"/>
                <w:lang w:val="en-SG" w:eastAsia="zh-CN"/>
              </w:rPr>
            </w:pPr>
            <w:proofErr w:type="spellStart"/>
            <w:r w:rsidRPr="000C7D3F">
              <w:rPr>
                <w:rFonts w:ascii="Arial" w:hAnsi="Arial" w:cs="Arial"/>
                <w:sz w:val="18"/>
                <w:szCs w:val="18"/>
                <w:lang w:val="en-SG" w:eastAsia="zh-CN"/>
              </w:rPr>
              <w:t>StanChart</w:t>
            </w:r>
            <w:proofErr w:type="spellEnd"/>
            <w:r w:rsidRPr="000C7D3F">
              <w:rPr>
                <w:rFonts w:ascii="Arial" w:hAnsi="Arial" w:cs="Arial"/>
                <w:sz w:val="18"/>
                <w:szCs w:val="18"/>
                <w:lang w:val="en-SG" w:eastAsia="zh-CN"/>
              </w:rPr>
              <w:t xml:space="preserve"> Bond SCBFF3764769 Price (in USD)</w:t>
            </w:r>
          </w:p>
        </w:tc>
        <w:tc>
          <w:tcPr>
            <w:tcW w:w="1542" w:type="dxa"/>
            <w:noWrap/>
            <w:vAlign w:val="center"/>
            <w:hideMark/>
          </w:tcPr>
          <w:p w14:paraId="112BE221" w14:textId="77777777" w:rsidR="000C7D3F" w:rsidRPr="000C7D3F" w:rsidRDefault="000C7D3F" w:rsidP="003127DD">
            <w:pPr>
              <w:tabs>
                <w:tab w:val="decimal" w:pos="608"/>
              </w:tabs>
              <w:rPr>
                <w:rFonts w:ascii="Arial" w:hAnsi="Arial" w:cs="Arial"/>
                <w:sz w:val="18"/>
                <w:szCs w:val="18"/>
                <w:lang w:val="en-SG" w:eastAsia="zh-CN"/>
              </w:rPr>
            </w:pPr>
            <w:r w:rsidRPr="000C7D3F">
              <w:rPr>
                <w:rFonts w:ascii="Arial" w:hAnsi="Arial" w:cs="Arial"/>
                <w:sz w:val="18"/>
                <w:szCs w:val="18"/>
                <w:lang w:val="en-SG" w:eastAsia="zh-CN"/>
              </w:rPr>
              <w:t>112.9720</w:t>
            </w:r>
          </w:p>
        </w:tc>
        <w:tc>
          <w:tcPr>
            <w:tcW w:w="1543" w:type="dxa"/>
            <w:noWrap/>
            <w:vAlign w:val="center"/>
            <w:hideMark/>
          </w:tcPr>
          <w:p w14:paraId="5B8EB9EB" w14:textId="77777777" w:rsidR="000C7D3F" w:rsidRPr="000C7D3F" w:rsidRDefault="000C7D3F" w:rsidP="003127DD">
            <w:pPr>
              <w:tabs>
                <w:tab w:val="decimal" w:pos="626"/>
              </w:tabs>
              <w:rPr>
                <w:rFonts w:ascii="Arial" w:hAnsi="Arial" w:cs="Arial"/>
                <w:sz w:val="18"/>
                <w:szCs w:val="18"/>
                <w:lang w:val="en-SG" w:eastAsia="zh-CN"/>
              </w:rPr>
            </w:pPr>
            <w:r w:rsidRPr="000C7D3F">
              <w:rPr>
                <w:rFonts w:ascii="Arial" w:hAnsi="Arial" w:cs="Arial"/>
                <w:sz w:val="18"/>
                <w:szCs w:val="18"/>
                <w:lang w:val="en-SG" w:eastAsia="zh-CN"/>
              </w:rPr>
              <w:t>113.8730</w:t>
            </w:r>
          </w:p>
        </w:tc>
        <w:tc>
          <w:tcPr>
            <w:tcW w:w="1543" w:type="dxa"/>
            <w:noWrap/>
            <w:vAlign w:val="center"/>
            <w:hideMark/>
          </w:tcPr>
          <w:p w14:paraId="0D7F537A" w14:textId="77777777" w:rsidR="000C7D3F" w:rsidRPr="000C7D3F" w:rsidRDefault="000C7D3F" w:rsidP="003127DD">
            <w:pPr>
              <w:tabs>
                <w:tab w:val="decimal" w:pos="642"/>
              </w:tabs>
              <w:rPr>
                <w:rFonts w:ascii="Arial" w:hAnsi="Arial" w:cs="Arial"/>
                <w:sz w:val="18"/>
                <w:szCs w:val="18"/>
                <w:lang w:val="en-SG" w:eastAsia="zh-CN"/>
              </w:rPr>
            </w:pPr>
            <w:r w:rsidRPr="000C7D3F">
              <w:rPr>
                <w:rFonts w:ascii="Arial" w:hAnsi="Arial" w:cs="Arial"/>
                <w:sz w:val="18"/>
                <w:szCs w:val="18"/>
                <w:lang w:val="en-SG" w:eastAsia="zh-CN"/>
              </w:rPr>
              <w:t>113.5000</w:t>
            </w:r>
          </w:p>
        </w:tc>
        <w:tc>
          <w:tcPr>
            <w:tcW w:w="1617" w:type="dxa"/>
            <w:noWrap/>
            <w:vAlign w:val="center"/>
            <w:hideMark/>
          </w:tcPr>
          <w:p w14:paraId="68B22065" w14:textId="77777777" w:rsidR="000C7D3F" w:rsidRPr="000C7D3F" w:rsidRDefault="000C7D3F" w:rsidP="003127DD">
            <w:pPr>
              <w:tabs>
                <w:tab w:val="decimal" w:pos="658"/>
              </w:tabs>
              <w:rPr>
                <w:rFonts w:ascii="Arial" w:hAnsi="Arial" w:cs="Arial"/>
                <w:sz w:val="18"/>
                <w:szCs w:val="18"/>
                <w:lang w:val="en-SG" w:eastAsia="zh-CN"/>
              </w:rPr>
            </w:pPr>
            <w:r w:rsidRPr="000C7D3F">
              <w:rPr>
                <w:rFonts w:ascii="Arial" w:hAnsi="Arial" w:cs="Arial"/>
                <w:sz w:val="18"/>
                <w:szCs w:val="18"/>
                <w:lang w:val="en-SG" w:eastAsia="zh-CN"/>
              </w:rPr>
              <w:t>110.4200</w:t>
            </w:r>
          </w:p>
        </w:tc>
      </w:tr>
      <w:tr w:rsidR="000C7D3F" w:rsidRPr="000C7D3F" w14:paraId="19545E9B" w14:textId="77777777" w:rsidTr="00322A61">
        <w:trPr>
          <w:trHeight w:val="288"/>
          <w:jc w:val="center"/>
        </w:trPr>
        <w:tc>
          <w:tcPr>
            <w:tcW w:w="3318" w:type="dxa"/>
            <w:vAlign w:val="center"/>
            <w:hideMark/>
          </w:tcPr>
          <w:p w14:paraId="36C93E8C"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Exchange Rate: GBP per USD</w:t>
            </w:r>
          </w:p>
        </w:tc>
        <w:tc>
          <w:tcPr>
            <w:tcW w:w="1542" w:type="dxa"/>
            <w:noWrap/>
            <w:vAlign w:val="center"/>
            <w:hideMark/>
          </w:tcPr>
          <w:p w14:paraId="61714318" w14:textId="77777777" w:rsidR="000C7D3F" w:rsidRPr="000C7D3F" w:rsidRDefault="000C7D3F" w:rsidP="003127DD">
            <w:pPr>
              <w:tabs>
                <w:tab w:val="decimal" w:pos="608"/>
              </w:tabs>
              <w:rPr>
                <w:rFonts w:ascii="Arial" w:hAnsi="Arial" w:cs="Arial"/>
                <w:sz w:val="18"/>
                <w:szCs w:val="18"/>
                <w:lang w:val="en-SG" w:eastAsia="zh-CN"/>
              </w:rPr>
            </w:pPr>
            <w:r w:rsidRPr="000C7D3F">
              <w:rPr>
                <w:rFonts w:ascii="Arial" w:hAnsi="Arial" w:cs="Arial"/>
                <w:sz w:val="18"/>
                <w:szCs w:val="18"/>
                <w:lang w:val="en-SG" w:eastAsia="zh-CN"/>
              </w:rPr>
              <w:t>0.6074</w:t>
            </w:r>
          </w:p>
        </w:tc>
        <w:tc>
          <w:tcPr>
            <w:tcW w:w="1543" w:type="dxa"/>
            <w:noWrap/>
            <w:vAlign w:val="center"/>
            <w:hideMark/>
          </w:tcPr>
          <w:p w14:paraId="5127DF70" w14:textId="77777777" w:rsidR="000C7D3F" w:rsidRPr="000C7D3F" w:rsidRDefault="000C7D3F" w:rsidP="003127DD">
            <w:pPr>
              <w:tabs>
                <w:tab w:val="decimal" w:pos="626"/>
              </w:tabs>
              <w:rPr>
                <w:rFonts w:ascii="Arial" w:hAnsi="Arial" w:cs="Arial"/>
                <w:sz w:val="18"/>
                <w:szCs w:val="18"/>
                <w:lang w:val="en-SG" w:eastAsia="zh-CN"/>
              </w:rPr>
            </w:pPr>
            <w:r w:rsidRPr="000C7D3F">
              <w:rPr>
                <w:rFonts w:ascii="Arial" w:hAnsi="Arial" w:cs="Arial"/>
                <w:sz w:val="18"/>
                <w:szCs w:val="18"/>
                <w:lang w:val="en-SG" w:eastAsia="zh-CN"/>
              </w:rPr>
              <w:t>0.5936</w:t>
            </w:r>
          </w:p>
        </w:tc>
        <w:tc>
          <w:tcPr>
            <w:tcW w:w="1543" w:type="dxa"/>
            <w:noWrap/>
            <w:vAlign w:val="center"/>
            <w:hideMark/>
          </w:tcPr>
          <w:p w14:paraId="01B39EDD" w14:textId="77777777" w:rsidR="000C7D3F" w:rsidRPr="000C7D3F" w:rsidRDefault="000C7D3F" w:rsidP="003127DD">
            <w:pPr>
              <w:tabs>
                <w:tab w:val="decimal" w:pos="642"/>
              </w:tabs>
              <w:rPr>
                <w:rFonts w:ascii="Arial" w:hAnsi="Arial" w:cs="Arial"/>
                <w:sz w:val="18"/>
                <w:szCs w:val="18"/>
                <w:lang w:val="en-SG" w:eastAsia="zh-CN"/>
              </w:rPr>
            </w:pPr>
            <w:r w:rsidRPr="000C7D3F">
              <w:rPr>
                <w:rFonts w:ascii="Arial" w:hAnsi="Arial" w:cs="Arial"/>
                <w:sz w:val="18"/>
                <w:szCs w:val="18"/>
                <w:lang w:val="en-SG" w:eastAsia="zh-CN"/>
              </w:rPr>
              <w:t>0.5837</w:t>
            </w:r>
          </w:p>
        </w:tc>
        <w:tc>
          <w:tcPr>
            <w:tcW w:w="1617" w:type="dxa"/>
            <w:noWrap/>
            <w:vAlign w:val="center"/>
            <w:hideMark/>
          </w:tcPr>
          <w:p w14:paraId="62E22939" w14:textId="77777777" w:rsidR="000C7D3F" w:rsidRPr="000C7D3F" w:rsidRDefault="000C7D3F" w:rsidP="003127DD">
            <w:pPr>
              <w:tabs>
                <w:tab w:val="decimal" w:pos="658"/>
              </w:tabs>
              <w:rPr>
                <w:rFonts w:ascii="Arial" w:hAnsi="Arial" w:cs="Arial"/>
                <w:sz w:val="18"/>
                <w:szCs w:val="18"/>
                <w:lang w:val="en-SG" w:eastAsia="zh-CN"/>
              </w:rPr>
            </w:pPr>
            <w:r w:rsidRPr="000C7D3F">
              <w:rPr>
                <w:rFonts w:ascii="Arial" w:hAnsi="Arial" w:cs="Arial"/>
                <w:sz w:val="18"/>
                <w:szCs w:val="18"/>
                <w:lang w:val="en-SG" w:eastAsia="zh-CN"/>
              </w:rPr>
              <w:t>0.6625</w:t>
            </w:r>
          </w:p>
        </w:tc>
      </w:tr>
      <w:tr w:rsidR="000C7D3F" w:rsidRPr="000C7D3F" w14:paraId="52F51E99" w14:textId="77777777" w:rsidTr="00322A61">
        <w:trPr>
          <w:trHeight w:val="288"/>
          <w:jc w:val="center"/>
        </w:trPr>
        <w:tc>
          <w:tcPr>
            <w:tcW w:w="3318" w:type="dxa"/>
            <w:noWrap/>
            <w:vAlign w:val="center"/>
            <w:hideMark/>
          </w:tcPr>
          <w:p w14:paraId="54BE2431" w14:textId="1D21C7B7" w:rsidR="000C7D3F" w:rsidRPr="000C7D3F" w:rsidRDefault="000C7D3F" w:rsidP="00B91507">
            <w:pPr>
              <w:rPr>
                <w:rFonts w:ascii="Arial" w:hAnsi="Arial" w:cs="Arial"/>
                <w:sz w:val="18"/>
                <w:szCs w:val="18"/>
                <w:lang w:val="en-SG" w:eastAsia="zh-CN"/>
              </w:rPr>
            </w:pPr>
            <w:r w:rsidRPr="000C7D3F">
              <w:rPr>
                <w:rFonts w:ascii="Arial" w:hAnsi="Arial" w:cs="Arial"/>
                <w:sz w:val="18"/>
                <w:szCs w:val="18"/>
                <w:lang w:val="en-SG" w:eastAsia="zh-CN"/>
              </w:rPr>
              <w:t>Annualized Risk</w:t>
            </w:r>
            <w:r w:rsidR="00524B27">
              <w:rPr>
                <w:rFonts w:ascii="Arial" w:hAnsi="Arial" w:cs="Arial"/>
                <w:sz w:val="18"/>
                <w:szCs w:val="18"/>
                <w:lang w:val="en-SG" w:eastAsia="zh-CN"/>
              </w:rPr>
              <w:t>-</w:t>
            </w:r>
            <w:r w:rsidRPr="000C7D3F">
              <w:rPr>
                <w:rFonts w:ascii="Arial" w:hAnsi="Arial" w:cs="Arial"/>
                <w:sz w:val="18"/>
                <w:szCs w:val="18"/>
                <w:lang w:val="en-SG" w:eastAsia="zh-CN"/>
              </w:rPr>
              <w:t xml:space="preserve">Free Rate </w:t>
            </w:r>
          </w:p>
        </w:tc>
        <w:tc>
          <w:tcPr>
            <w:tcW w:w="1542" w:type="dxa"/>
            <w:noWrap/>
            <w:vAlign w:val="center"/>
            <w:hideMark/>
          </w:tcPr>
          <w:p w14:paraId="1D7F5B5F" w14:textId="77777777" w:rsidR="000C7D3F" w:rsidRPr="000C7D3F" w:rsidRDefault="000C7D3F" w:rsidP="003127DD">
            <w:pPr>
              <w:tabs>
                <w:tab w:val="decimal" w:pos="608"/>
              </w:tabs>
              <w:rPr>
                <w:rFonts w:ascii="Arial" w:hAnsi="Arial" w:cs="Arial"/>
                <w:sz w:val="18"/>
                <w:szCs w:val="18"/>
                <w:lang w:val="en-SG" w:eastAsia="zh-CN"/>
              </w:rPr>
            </w:pPr>
            <w:r w:rsidRPr="000C7D3F">
              <w:rPr>
                <w:rFonts w:ascii="Arial" w:hAnsi="Arial" w:cs="Arial"/>
                <w:sz w:val="18"/>
                <w:szCs w:val="18"/>
                <w:lang w:val="en-SG" w:eastAsia="zh-CN"/>
              </w:rPr>
              <w:t>0.13%</w:t>
            </w:r>
          </w:p>
        </w:tc>
        <w:tc>
          <w:tcPr>
            <w:tcW w:w="1543" w:type="dxa"/>
            <w:noWrap/>
            <w:vAlign w:val="center"/>
            <w:hideMark/>
          </w:tcPr>
          <w:p w14:paraId="39E110BF" w14:textId="77777777" w:rsidR="000C7D3F" w:rsidRPr="000C7D3F" w:rsidRDefault="000C7D3F" w:rsidP="003127DD">
            <w:pPr>
              <w:tabs>
                <w:tab w:val="decimal" w:pos="626"/>
              </w:tabs>
              <w:rPr>
                <w:rFonts w:ascii="Arial" w:hAnsi="Arial" w:cs="Arial"/>
                <w:sz w:val="18"/>
                <w:szCs w:val="18"/>
                <w:lang w:val="en-SG" w:eastAsia="zh-CN"/>
              </w:rPr>
            </w:pPr>
            <w:r w:rsidRPr="000C7D3F">
              <w:rPr>
                <w:rFonts w:ascii="Arial" w:hAnsi="Arial" w:cs="Arial"/>
                <w:sz w:val="18"/>
                <w:szCs w:val="18"/>
                <w:lang w:val="en-SG" w:eastAsia="zh-CN"/>
              </w:rPr>
              <w:t>0.11%</w:t>
            </w:r>
          </w:p>
        </w:tc>
        <w:tc>
          <w:tcPr>
            <w:tcW w:w="1543" w:type="dxa"/>
            <w:noWrap/>
            <w:vAlign w:val="center"/>
            <w:hideMark/>
          </w:tcPr>
          <w:p w14:paraId="0A4C42EF" w14:textId="77777777" w:rsidR="000C7D3F" w:rsidRPr="000C7D3F" w:rsidRDefault="000C7D3F" w:rsidP="003127DD">
            <w:pPr>
              <w:tabs>
                <w:tab w:val="decimal" w:pos="642"/>
              </w:tabs>
              <w:rPr>
                <w:rFonts w:ascii="Arial" w:hAnsi="Arial" w:cs="Arial"/>
                <w:sz w:val="18"/>
                <w:szCs w:val="18"/>
                <w:lang w:val="en-SG" w:eastAsia="zh-CN"/>
              </w:rPr>
            </w:pPr>
            <w:r w:rsidRPr="000C7D3F">
              <w:rPr>
                <w:rFonts w:ascii="Arial" w:hAnsi="Arial" w:cs="Arial"/>
                <w:sz w:val="18"/>
                <w:szCs w:val="18"/>
                <w:lang w:val="en-SG" w:eastAsia="zh-CN"/>
              </w:rPr>
              <w:t>0.10%</w:t>
            </w:r>
          </w:p>
        </w:tc>
        <w:tc>
          <w:tcPr>
            <w:tcW w:w="1617" w:type="dxa"/>
            <w:noWrap/>
            <w:vAlign w:val="center"/>
            <w:hideMark/>
          </w:tcPr>
          <w:p w14:paraId="2AB0929B" w14:textId="77777777" w:rsidR="000C7D3F" w:rsidRPr="000C7D3F" w:rsidRDefault="000C7D3F" w:rsidP="003127DD">
            <w:pPr>
              <w:tabs>
                <w:tab w:val="decimal" w:pos="658"/>
              </w:tabs>
              <w:rPr>
                <w:rFonts w:ascii="Arial" w:hAnsi="Arial" w:cs="Arial"/>
                <w:sz w:val="18"/>
                <w:szCs w:val="18"/>
                <w:lang w:val="en-SG" w:eastAsia="zh-CN"/>
              </w:rPr>
            </w:pPr>
            <w:r w:rsidRPr="000C7D3F">
              <w:rPr>
                <w:rFonts w:ascii="Arial" w:hAnsi="Arial" w:cs="Arial"/>
                <w:sz w:val="18"/>
                <w:szCs w:val="18"/>
                <w:lang w:val="en-SG" w:eastAsia="zh-CN"/>
              </w:rPr>
              <w:t>0.21%</w:t>
            </w:r>
          </w:p>
        </w:tc>
      </w:tr>
      <w:tr w:rsidR="000C7D3F" w:rsidRPr="000C7D3F" w14:paraId="427C5AE2" w14:textId="77777777" w:rsidTr="00322A61">
        <w:trPr>
          <w:trHeight w:val="288"/>
          <w:jc w:val="center"/>
        </w:trPr>
        <w:tc>
          <w:tcPr>
            <w:tcW w:w="3318" w:type="dxa"/>
            <w:noWrap/>
            <w:vAlign w:val="center"/>
            <w:hideMark/>
          </w:tcPr>
          <w:p w14:paraId="20A3A8B4"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 xml:space="preserve">Annualized Market Return </w:t>
            </w:r>
          </w:p>
        </w:tc>
        <w:tc>
          <w:tcPr>
            <w:tcW w:w="1542" w:type="dxa"/>
            <w:noWrap/>
            <w:vAlign w:val="center"/>
            <w:hideMark/>
          </w:tcPr>
          <w:p w14:paraId="418BC20E" w14:textId="77777777" w:rsidR="000C7D3F" w:rsidRPr="000C7D3F" w:rsidRDefault="000C7D3F" w:rsidP="003127DD">
            <w:pPr>
              <w:tabs>
                <w:tab w:val="decimal" w:pos="608"/>
              </w:tabs>
              <w:rPr>
                <w:rFonts w:ascii="Arial" w:hAnsi="Arial" w:cs="Arial"/>
                <w:sz w:val="18"/>
                <w:szCs w:val="18"/>
                <w:lang w:val="en-SG" w:eastAsia="zh-CN"/>
              </w:rPr>
            </w:pPr>
            <w:r w:rsidRPr="000C7D3F">
              <w:rPr>
                <w:rFonts w:ascii="Arial" w:hAnsi="Arial" w:cs="Arial"/>
                <w:sz w:val="18"/>
                <w:szCs w:val="18"/>
                <w:lang w:val="en-SG" w:eastAsia="zh-CN"/>
              </w:rPr>
              <w:t>11.00%</w:t>
            </w:r>
          </w:p>
        </w:tc>
        <w:tc>
          <w:tcPr>
            <w:tcW w:w="1543" w:type="dxa"/>
            <w:noWrap/>
            <w:vAlign w:val="center"/>
            <w:hideMark/>
          </w:tcPr>
          <w:p w14:paraId="29A06390" w14:textId="77777777" w:rsidR="000C7D3F" w:rsidRPr="000C7D3F" w:rsidRDefault="000C7D3F" w:rsidP="003127DD">
            <w:pPr>
              <w:tabs>
                <w:tab w:val="decimal" w:pos="626"/>
              </w:tabs>
              <w:rPr>
                <w:rFonts w:ascii="Arial" w:hAnsi="Arial" w:cs="Arial"/>
                <w:sz w:val="18"/>
                <w:szCs w:val="18"/>
                <w:lang w:val="en-SG" w:eastAsia="zh-CN"/>
              </w:rPr>
            </w:pPr>
            <w:r w:rsidRPr="000C7D3F">
              <w:rPr>
                <w:rFonts w:ascii="Arial" w:hAnsi="Arial" w:cs="Arial"/>
                <w:sz w:val="18"/>
                <w:szCs w:val="18"/>
                <w:lang w:val="en-SG" w:eastAsia="zh-CN"/>
              </w:rPr>
              <w:t>2.30%</w:t>
            </w:r>
          </w:p>
        </w:tc>
        <w:tc>
          <w:tcPr>
            <w:tcW w:w="1543" w:type="dxa"/>
            <w:noWrap/>
            <w:vAlign w:val="center"/>
            <w:hideMark/>
          </w:tcPr>
          <w:p w14:paraId="091841F0" w14:textId="77777777" w:rsidR="000C7D3F" w:rsidRPr="000C7D3F" w:rsidRDefault="000C7D3F" w:rsidP="003127DD">
            <w:pPr>
              <w:tabs>
                <w:tab w:val="decimal" w:pos="642"/>
              </w:tabs>
              <w:rPr>
                <w:rFonts w:ascii="Arial" w:hAnsi="Arial" w:cs="Arial"/>
                <w:sz w:val="18"/>
                <w:szCs w:val="18"/>
                <w:lang w:val="en-SG" w:eastAsia="zh-CN"/>
              </w:rPr>
            </w:pPr>
            <w:r w:rsidRPr="000C7D3F">
              <w:rPr>
                <w:rFonts w:ascii="Arial" w:hAnsi="Arial" w:cs="Arial"/>
                <w:sz w:val="18"/>
                <w:szCs w:val="18"/>
                <w:lang w:val="en-SG" w:eastAsia="zh-CN"/>
              </w:rPr>
              <w:t>−0.94%</w:t>
            </w:r>
          </w:p>
        </w:tc>
        <w:tc>
          <w:tcPr>
            <w:tcW w:w="1617" w:type="dxa"/>
            <w:noWrap/>
            <w:vAlign w:val="center"/>
            <w:hideMark/>
          </w:tcPr>
          <w:p w14:paraId="02A657A1" w14:textId="77777777" w:rsidR="000C7D3F" w:rsidRPr="000C7D3F" w:rsidRDefault="000C7D3F" w:rsidP="003127DD">
            <w:pPr>
              <w:tabs>
                <w:tab w:val="decimal" w:pos="658"/>
              </w:tabs>
              <w:rPr>
                <w:rFonts w:ascii="Arial" w:hAnsi="Arial" w:cs="Arial"/>
                <w:sz w:val="18"/>
                <w:szCs w:val="18"/>
                <w:lang w:val="en-SG" w:eastAsia="zh-CN"/>
              </w:rPr>
            </w:pPr>
            <w:r w:rsidRPr="000C7D3F">
              <w:rPr>
                <w:rFonts w:ascii="Arial" w:hAnsi="Arial" w:cs="Arial"/>
                <w:sz w:val="18"/>
                <w:szCs w:val="18"/>
                <w:lang w:val="en-SG" w:eastAsia="zh-CN"/>
              </w:rPr>
              <w:t>−2.26%</w:t>
            </w:r>
          </w:p>
        </w:tc>
      </w:tr>
      <w:tr w:rsidR="000C7D3F" w:rsidRPr="000C7D3F" w14:paraId="57A46AFE" w14:textId="77777777" w:rsidTr="00322A61">
        <w:trPr>
          <w:trHeight w:val="288"/>
          <w:jc w:val="center"/>
        </w:trPr>
        <w:tc>
          <w:tcPr>
            <w:tcW w:w="3318" w:type="dxa"/>
            <w:vAlign w:val="center"/>
            <w:hideMark/>
          </w:tcPr>
          <w:p w14:paraId="37B76E11"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U.K. BBB Investment Grade Corporate Bond Yield to Maturity</w:t>
            </w:r>
          </w:p>
        </w:tc>
        <w:tc>
          <w:tcPr>
            <w:tcW w:w="1542" w:type="dxa"/>
            <w:noWrap/>
            <w:vAlign w:val="center"/>
            <w:hideMark/>
          </w:tcPr>
          <w:p w14:paraId="1306441E" w14:textId="77777777" w:rsidR="000C7D3F" w:rsidRPr="000C7D3F" w:rsidRDefault="000C7D3F" w:rsidP="003127DD">
            <w:pPr>
              <w:tabs>
                <w:tab w:val="decimal" w:pos="608"/>
              </w:tabs>
              <w:rPr>
                <w:rFonts w:ascii="Arial" w:hAnsi="Arial" w:cs="Arial"/>
                <w:sz w:val="18"/>
                <w:szCs w:val="18"/>
                <w:lang w:val="en-SG" w:eastAsia="zh-CN"/>
              </w:rPr>
            </w:pPr>
            <w:r w:rsidRPr="000C7D3F">
              <w:rPr>
                <w:rFonts w:ascii="Arial" w:hAnsi="Arial" w:cs="Arial"/>
                <w:sz w:val="18"/>
                <w:szCs w:val="18"/>
                <w:lang w:val="en-SG" w:eastAsia="zh-CN"/>
              </w:rPr>
              <w:t>4.14%</w:t>
            </w:r>
          </w:p>
        </w:tc>
        <w:tc>
          <w:tcPr>
            <w:tcW w:w="1543" w:type="dxa"/>
            <w:noWrap/>
            <w:vAlign w:val="center"/>
            <w:hideMark/>
          </w:tcPr>
          <w:p w14:paraId="726FE061" w14:textId="77777777" w:rsidR="000C7D3F" w:rsidRPr="000C7D3F" w:rsidRDefault="000C7D3F" w:rsidP="003127DD">
            <w:pPr>
              <w:tabs>
                <w:tab w:val="decimal" w:pos="626"/>
              </w:tabs>
              <w:rPr>
                <w:rFonts w:ascii="Arial" w:hAnsi="Arial" w:cs="Arial"/>
                <w:sz w:val="18"/>
                <w:szCs w:val="18"/>
                <w:lang w:val="en-SG" w:eastAsia="zh-CN"/>
              </w:rPr>
            </w:pPr>
            <w:r w:rsidRPr="000C7D3F">
              <w:rPr>
                <w:rFonts w:ascii="Arial" w:hAnsi="Arial" w:cs="Arial"/>
                <w:sz w:val="18"/>
                <w:szCs w:val="18"/>
                <w:lang w:val="en-SG" w:eastAsia="zh-CN"/>
              </w:rPr>
              <w:t>3.97%</w:t>
            </w:r>
          </w:p>
        </w:tc>
        <w:tc>
          <w:tcPr>
            <w:tcW w:w="1543" w:type="dxa"/>
            <w:noWrap/>
            <w:vAlign w:val="center"/>
            <w:hideMark/>
          </w:tcPr>
          <w:p w14:paraId="48FFCCE5" w14:textId="77777777" w:rsidR="000C7D3F" w:rsidRPr="000C7D3F" w:rsidRDefault="000C7D3F" w:rsidP="003127DD">
            <w:pPr>
              <w:tabs>
                <w:tab w:val="decimal" w:pos="642"/>
              </w:tabs>
              <w:rPr>
                <w:rFonts w:ascii="Arial" w:hAnsi="Arial" w:cs="Arial"/>
                <w:sz w:val="18"/>
                <w:szCs w:val="18"/>
                <w:lang w:val="en-SG" w:eastAsia="zh-CN"/>
              </w:rPr>
            </w:pPr>
            <w:r w:rsidRPr="000C7D3F">
              <w:rPr>
                <w:rFonts w:ascii="Arial" w:hAnsi="Arial" w:cs="Arial"/>
                <w:sz w:val="18"/>
                <w:szCs w:val="18"/>
                <w:lang w:val="en-SG" w:eastAsia="zh-CN"/>
              </w:rPr>
              <w:t>3.92%</w:t>
            </w:r>
          </w:p>
        </w:tc>
        <w:tc>
          <w:tcPr>
            <w:tcW w:w="1617" w:type="dxa"/>
            <w:noWrap/>
            <w:vAlign w:val="center"/>
            <w:hideMark/>
          </w:tcPr>
          <w:p w14:paraId="18643726" w14:textId="77777777" w:rsidR="000C7D3F" w:rsidRPr="000C7D3F" w:rsidRDefault="000C7D3F" w:rsidP="003127DD">
            <w:pPr>
              <w:tabs>
                <w:tab w:val="decimal" w:pos="658"/>
              </w:tabs>
              <w:rPr>
                <w:rFonts w:ascii="Arial" w:hAnsi="Arial" w:cs="Arial"/>
                <w:sz w:val="18"/>
                <w:szCs w:val="18"/>
                <w:lang w:val="en-SG" w:eastAsia="zh-CN"/>
              </w:rPr>
            </w:pPr>
            <w:r w:rsidRPr="000C7D3F">
              <w:rPr>
                <w:rFonts w:ascii="Arial" w:hAnsi="Arial" w:cs="Arial"/>
                <w:sz w:val="18"/>
                <w:szCs w:val="18"/>
                <w:lang w:val="en-SG" w:eastAsia="zh-CN"/>
              </w:rPr>
              <w:t>3.30%</w:t>
            </w:r>
          </w:p>
        </w:tc>
      </w:tr>
    </w:tbl>
    <w:p w14:paraId="59A98955" w14:textId="77777777" w:rsidR="000C7D3F" w:rsidRPr="000C7D3F" w:rsidRDefault="000C7D3F" w:rsidP="000C7D3F">
      <w:pPr>
        <w:jc w:val="both"/>
        <w:rPr>
          <w:rFonts w:ascii="Arial" w:hAnsi="Arial" w:cs="Arial"/>
          <w:lang w:val="en-CA"/>
        </w:rPr>
      </w:pPr>
    </w:p>
    <w:p w14:paraId="580673C5" w14:textId="33F77898" w:rsidR="000C7D3F" w:rsidRPr="000C7D3F" w:rsidRDefault="000C7D3F" w:rsidP="000C7D3F">
      <w:pPr>
        <w:jc w:val="both"/>
        <w:rPr>
          <w:rFonts w:ascii="Arial" w:hAnsi="Arial" w:cs="Arial"/>
          <w:sz w:val="17"/>
          <w:szCs w:val="17"/>
          <w:lang w:val="en-CA"/>
        </w:rPr>
      </w:pPr>
      <w:r w:rsidRPr="000C7D3F">
        <w:rPr>
          <w:rFonts w:ascii="Arial" w:hAnsi="Arial" w:cs="Arial"/>
          <w:sz w:val="17"/>
          <w:szCs w:val="17"/>
          <w:lang w:val="en-CA"/>
        </w:rPr>
        <w:t xml:space="preserve">Note: </w:t>
      </w:r>
      <w:proofErr w:type="spellStart"/>
      <w:r w:rsidRPr="000C7D3F">
        <w:rPr>
          <w:rFonts w:ascii="Arial" w:hAnsi="Arial" w:cs="Arial"/>
          <w:sz w:val="17"/>
          <w:szCs w:val="17"/>
          <w:lang w:val="en-CA"/>
        </w:rPr>
        <w:t>StanChart</w:t>
      </w:r>
      <w:proofErr w:type="spellEnd"/>
      <w:r w:rsidRPr="000C7D3F">
        <w:rPr>
          <w:rFonts w:ascii="Arial" w:hAnsi="Arial" w:cs="Arial"/>
          <w:sz w:val="17"/>
          <w:szCs w:val="17"/>
          <w:lang w:val="en-CA"/>
        </w:rPr>
        <w:t xml:space="preserve"> = Standard Chartered PLC; GBP = British pounds; USD = U.S. dollars; U.K. = United Kingdom</w:t>
      </w:r>
    </w:p>
    <w:p w14:paraId="0A942A01" w14:textId="77777777" w:rsidR="000C7D3F" w:rsidRPr="000C7D3F" w:rsidRDefault="000C7D3F" w:rsidP="000C7D3F">
      <w:pPr>
        <w:jc w:val="both"/>
        <w:rPr>
          <w:rFonts w:ascii="Arial" w:hAnsi="Arial" w:cs="Arial"/>
          <w:sz w:val="17"/>
          <w:szCs w:val="17"/>
          <w:lang w:val="en-CA"/>
        </w:rPr>
      </w:pPr>
      <w:r w:rsidRPr="000C7D3F">
        <w:rPr>
          <w:rFonts w:ascii="Arial" w:hAnsi="Arial" w:cs="Arial"/>
          <w:sz w:val="17"/>
          <w:szCs w:val="17"/>
          <w:lang w:val="en-CA"/>
        </w:rPr>
        <w:t>Source: “Stock Prices of Shares for Standard Chartered PLC,” Yahoo Finance, accessed March 20, 2016, sg.finance.yahoo.com/q/</w:t>
      </w:r>
      <w:proofErr w:type="spellStart"/>
      <w:r w:rsidRPr="000C7D3F">
        <w:rPr>
          <w:rFonts w:ascii="Arial" w:hAnsi="Arial" w:cs="Arial"/>
          <w:sz w:val="17"/>
          <w:szCs w:val="17"/>
          <w:lang w:val="en-CA"/>
        </w:rPr>
        <w:t>ks?s</w:t>
      </w:r>
      <w:proofErr w:type="spellEnd"/>
      <w:r w:rsidRPr="000C7D3F">
        <w:rPr>
          <w:rFonts w:ascii="Arial" w:hAnsi="Arial" w:cs="Arial"/>
          <w:sz w:val="17"/>
          <w:szCs w:val="17"/>
          <w:lang w:val="en-CA"/>
        </w:rPr>
        <w:t xml:space="preserve">=STAN.L; “Bond Prices for Standard Chartered PLC,” Financial Industry Regulatory Authority (FINRA) and </w:t>
      </w:r>
      <w:proofErr w:type="spellStart"/>
      <w:r w:rsidRPr="000C7D3F">
        <w:rPr>
          <w:rFonts w:ascii="Arial" w:hAnsi="Arial" w:cs="Arial"/>
          <w:sz w:val="17"/>
          <w:szCs w:val="17"/>
          <w:lang w:val="en-CA"/>
        </w:rPr>
        <w:t>Cbonds</w:t>
      </w:r>
      <w:proofErr w:type="spellEnd"/>
      <w:r w:rsidRPr="000C7D3F">
        <w:rPr>
          <w:rFonts w:ascii="Arial" w:hAnsi="Arial" w:cs="Arial"/>
          <w:sz w:val="17"/>
          <w:szCs w:val="17"/>
          <w:lang w:val="en-CA"/>
        </w:rPr>
        <w:t xml:space="preserve"> Financial Information, accessed March 20, 2016; “GBP per USD,” </w:t>
      </w:r>
      <w:proofErr w:type="spellStart"/>
      <w:r w:rsidRPr="000C7D3F">
        <w:rPr>
          <w:rFonts w:ascii="Arial" w:hAnsi="Arial" w:cs="Arial"/>
          <w:sz w:val="17"/>
          <w:szCs w:val="17"/>
          <w:lang w:val="en-CA"/>
        </w:rPr>
        <w:t>FactSet</w:t>
      </w:r>
      <w:proofErr w:type="spellEnd"/>
      <w:r w:rsidRPr="000C7D3F">
        <w:rPr>
          <w:rFonts w:ascii="Arial" w:hAnsi="Arial" w:cs="Arial"/>
          <w:sz w:val="17"/>
          <w:szCs w:val="17"/>
          <w:lang w:val="en-CA"/>
        </w:rPr>
        <w:t xml:space="preserve"> Research, accessed March 20, 2016; “1-year US Treasury Bill,” Federal Reserve Bank at St. Louis, accessed March 20, 2016, </w:t>
      </w:r>
      <w:r w:rsidRPr="000C7D3F">
        <w:rPr>
          <w:rFonts w:ascii="Arial" w:hAnsi="Arial" w:cs="Arial"/>
          <w:sz w:val="17"/>
          <w:szCs w:val="17"/>
          <w:lang w:val="en-GB"/>
        </w:rPr>
        <w:t>https://fred.stlouisfed.org/series/DGS1</w:t>
      </w:r>
      <w:r w:rsidRPr="000C7D3F">
        <w:rPr>
          <w:rFonts w:ascii="Arial" w:hAnsi="Arial" w:cs="Arial"/>
          <w:sz w:val="17"/>
          <w:szCs w:val="17"/>
          <w:lang w:val="en-CA"/>
        </w:rPr>
        <w:t>; “FTSE 100 Index”, Yahoo Finance, accessed March 20, 2016, sg.finance.yahoo.com/quote/%5EFTSE?p=%5EFTSE; “S&amp;P U.K. BBB Investment Grade Corporate Bond Yield,” Standard &amp; Poor’s, accessed March 20, 2016, us.spindices.com/indices/fixed-income/sp-uk-bbb-investment-grade-corporate-bond-index.</w:t>
      </w:r>
    </w:p>
    <w:p w14:paraId="711C2F3E" w14:textId="77777777" w:rsidR="000C7D3F" w:rsidRPr="000C7D3F" w:rsidRDefault="000C7D3F" w:rsidP="000C7D3F">
      <w:pPr>
        <w:jc w:val="both"/>
        <w:rPr>
          <w:rFonts w:ascii="Arial" w:hAnsi="Arial" w:cs="Arial"/>
          <w:lang w:val="en-CA"/>
        </w:rPr>
      </w:pPr>
    </w:p>
    <w:p w14:paraId="614D5748" w14:textId="77777777" w:rsidR="000C7D3F" w:rsidRPr="000C7D3F" w:rsidRDefault="000C7D3F" w:rsidP="000C7D3F">
      <w:pPr>
        <w:jc w:val="both"/>
        <w:rPr>
          <w:rFonts w:ascii="Arial" w:hAnsi="Arial" w:cs="Arial"/>
          <w:b/>
          <w:caps/>
          <w:lang w:val="en-CA"/>
        </w:rPr>
      </w:pPr>
    </w:p>
    <w:p w14:paraId="1C79949F" w14:textId="77777777" w:rsidR="003127DD" w:rsidRPr="000C7D3F" w:rsidRDefault="003127DD" w:rsidP="003127DD">
      <w:pPr>
        <w:jc w:val="center"/>
        <w:outlineLvl w:val="0"/>
        <w:rPr>
          <w:rFonts w:ascii="Arial" w:hAnsi="Arial" w:cs="Arial"/>
          <w:b/>
          <w:caps/>
          <w:lang w:val="en-CA"/>
        </w:rPr>
      </w:pPr>
      <w:r w:rsidRPr="000C7D3F">
        <w:rPr>
          <w:rFonts w:ascii="Arial" w:hAnsi="Arial" w:cs="Arial"/>
          <w:b/>
          <w:caps/>
          <w:lang w:val="en-CA"/>
        </w:rPr>
        <w:t xml:space="preserve">Exhibit </w:t>
      </w:r>
      <w:r>
        <w:rPr>
          <w:rFonts w:ascii="Arial" w:hAnsi="Arial" w:cs="Arial"/>
          <w:b/>
          <w:caps/>
          <w:lang w:val="en-CA"/>
        </w:rPr>
        <w:t>2</w:t>
      </w:r>
      <w:r w:rsidRPr="000C7D3F">
        <w:rPr>
          <w:rFonts w:ascii="Arial" w:hAnsi="Arial" w:cs="Arial"/>
          <w:b/>
          <w:caps/>
          <w:lang w:val="en-CA"/>
        </w:rPr>
        <w:t xml:space="preserve">: </w:t>
      </w:r>
      <w:r>
        <w:rPr>
          <w:rFonts w:ascii="Arial" w:hAnsi="Arial" w:cs="Arial"/>
          <w:b/>
          <w:caps/>
          <w:lang w:val="en-CA"/>
        </w:rPr>
        <w:t xml:space="preserve">standard chartered’s </w:t>
      </w:r>
      <w:r w:rsidRPr="000C7D3F">
        <w:rPr>
          <w:rFonts w:ascii="Arial" w:hAnsi="Arial" w:cs="Arial"/>
          <w:b/>
          <w:caps/>
          <w:lang w:val="en-CA"/>
        </w:rPr>
        <w:t>INCOME STATEMENTS</w:t>
      </w:r>
      <w:r>
        <w:rPr>
          <w:rFonts w:ascii="Arial" w:hAnsi="Arial" w:cs="Arial"/>
          <w:b/>
          <w:caps/>
          <w:lang w:val="en-CA"/>
        </w:rPr>
        <w:t>, 2008–2013</w:t>
      </w:r>
      <w:r w:rsidRPr="000C7D3F">
        <w:rPr>
          <w:rFonts w:ascii="Arial" w:hAnsi="Arial" w:cs="Arial"/>
          <w:b/>
          <w:caps/>
          <w:lang w:val="en-CA"/>
        </w:rPr>
        <w:t xml:space="preserve"> (in US$ MILLIONS)</w:t>
      </w:r>
    </w:p>
    <w:p w14:paraId="7F47665C" w14:textId="77777777" w:rsidR="003127DD" w:rsidRPr="000C7D3F" w:rsidRDefault="003127DD" w:rsidP="003127DD">
      <w:pPr>
        <w:jc w:val="both"/>
        <w:rPr>
          <w:rFonts w:ascii="Arial" w:hAnsi="Arial" w:cs="Arial"/>
          <w:sz w:val="12"/>
          <w:szCs w:val="12"/>
          <w:lang w:val="en-CA"/>
        </w:rPr>
      </w:pPr>
    </w:p>
    <w:tbl>
      <w:tblPr>
        <w:tblW w:w="48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1068"/>
        <w:gridCol w:w="1069"/>
        <w:gridCol w:w="1069"/>
        <w:gridCol w:w="1069"/>
        <w:gridCol w:w="1069"/>
        <w:gridCol w:w="1069"/>
      </w:tblGrid>
      <w:tr w:rsidR="003127DD" w:rsidRPr="000C7D3F" w14:paraId="6854C381" w14:textId="77777777" w:rsidTr="003127DD">
        <w:trPr>
          <w:trHeight w:val="259"/>
          <w:jc w:val="center"/>
        </w:trPr>
        <w:tc>
          <w:tcPr>
            <w:tcW w:w="2720" w:type="dxa"/>
            <w:noWrap/>
            <w:vAlign w:val="center"/>
            <w:hideMark/>
          </w:tcPr>
          <w:p w14:paraId="712EC603"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 xml:space="preserve"> </w:t>
            </w:r>
          </w:p>
        </w:tc>
        <w:tc>
          <w:tcPr>
            <w:tcW w:w="1069" w:type="dxa"/>
            <w:vAlign w:val="center"/>
          </w:tcPr>
          <w:p w14:paraId="2A6F6531"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2008</w:t>
            </w:r>
          </w:p>
        </w:tc>
        <w:tc>
          <w:tcPr>
            <w:tcW w:w="1069" w:type="dxa"/>
            <w:vAlign w:val="center"/>
          </w:tcPr>
          <w:p w14:paraId="0E89C545"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2009</w:t>
            </w:r>
          </w:p>
        </w:tc>
        <w:tc>
          <w:tcPr>
            <w:tcW w:w="1069" w:type="dxa"/>
            <w:vAlign w:val="center"/>
          </w:tcPr>
          <w:p w14:paraId="5661B1F2"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2010</w:t>
            </w:r>
          </w:p>
        </w:tc>
        <w:tc>
          <w:tcPr>
            <w:tcW w:w="1069" w:type="dxa"/>
            <w:vAlign w:val="center"/>
          </w:tcPr>
          <w:p w14:paraId="7CF46E7F"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2011</w:t>
            </w:r>
          </w:p>
        </w:tc>
        <w:tc>
          <w:tcPr>
            <w:tcW w:w="1069" w:type="dxa"/>
            <w:vAlign w:val="center"/>
          </w:tcPr>
          <w:p w14:paraId="483FF952"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2012</w:t>
            </w:r>
          </w:p>
        </w:tc>
        <w:tc>
          <w:tcPr>
            <w:tcW w:w="1069" w:type="dxa"/>
            <w:noWrap/>
            <w:vAlign w:val="center"/>
            <w:hideMark/>
          </w:tcPr>
          <w:p w14:paraId="594C89F1"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2013</w:t>
            </w:r>
          </w:p>
        </w:tc>
      </w:tr>
      <w:tr w:rsidR="003127DD" w:rsidRPr="000C7D3F" w14:paraId="1DD02FF3" w14:textId="77777777" w:rsidTr="003127DD">
        <w:trPr>
          <w:trHeight w:val="259"/>
          <w:jc w:val="center"/>
        </w:trPr>
        <w:tc>
          <w:tcPr>
            <w:tcW w:w="2720" w:type="dxa"/>
            <w:noWrap/>
            <w:vAlign w:val="center"/>
            <w:hideMark/>
          </w:tcPr>
          <w:p w14:paraId="16DD2DB8"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Interest income</w:t>
            </w:r>
          </w:p>
        </w:tc>
        <w:tc>
          <w:tcPr>
            <w:tcW w:w="1069" w:type="dxa"/>
            <w:vAlign w:val="center"/>
          </w:tcPr>
          <w:p w14:paraId="3E2F970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16,378</w:t>
            </w:r>
          </w:p>
        </w:tc>
        <w:tc>
          <w:tcPr>
            <w:tcW w:w="1069" w:type="dxa"/>
            <w:vAlign w:val="center"/>
          </w:tcPr>
          <w:p w14:paraId="42C0CCD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12,926</w:t>
            </w:r>
          </w:p>
        </w:tc>
        <w:tc>
          <w:tcPr>
            <w:tcW w:w="1069" w:type="dxa"/>
            <w:vAlign w:val="center"/>
          </w:tcPr>
          <w:p w14:paraId="797E4464"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13,500</w:t>
            </w:r>
          </w:p>
        </w:tc>
        <w:tc>
          <w:tcPr>
            <w:tcW w:w="1069" w:type="dxa"/>
            <w:vAlign w:val="center"/>
          </w:tcPr>
          <w:p w14:paraId="7C12A1B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16,584</w:t>
            </w:r>
          </w:p>
        </w:tc>
        <w:tc>
          <w:tcPr>
            <w:tcW w:w="1069" w:type="dxa"/>
            <w:vAlign w:val="center"/>
          </w:tcPr>
          <w:p w14:paraId="71D1FCC2"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17,827</w:t>
            </w:r>
          </w:p>
        </w:tc>
        <w:tc>
          <w:tcPr>
            <w:tcW w:w="1069" w:type="dxa"/>
            <w:noWrap/>
            <w:vAlign w:val="center"/>
            <w:hideMark/>
          </w:tcPr>
          <w:p w14:paraId="1FDA8940"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17,593</w:t>
            </w:r>
          </w:p>
        </w:tc>
      </w:tr>
      <w:tr w:rsidR="003127DD" w:rsidRPr="000C7D3F" w14:paraId="321F4435" w14:textId="77777777" w:rsidTr="003127DD">
        <w:trPr>
          <w:trHeight w:val="259"/>
          <w:jc w:val="center"/>
        </w:trPr>
        <w:tc>
          <w:tcPr>
            <w:tcW w:w="2720" w:type="dxa"/>
            <w:noWrap/>
            <w:vAlign w:val="center"/>
            <w:hideMark/>
          </w:tcPr>
          <w:p w14:paraId="56CC2CA2"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Interest expense</w:t>
            </w:r>
          </w:p>
        </w:tc>
        <w:tc>
          <w:tcPr>
            <w:tcW w:w="1069" w:type="dxa"/>
            <w:vAlign w:val="center"/>
          </w:tcPr>
          <w:p w14:paraId="71D914E5"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8,991</w:t>
            </w:r>
          </w:p>
        </w:tc>
        <w:tc>
          <w:tcPr>
            <w:tcW w:w="1069" w:type="dxa"/>
            <w:vAlign w:val="center"/>
          </w:tcPr>
          <w:p w14:paraId="3003916C"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5,303</w:t>
            </w:r>
          </w:p>
        </w:tc>
        <w:tc>
          <w:tcPr>
            <w:tcW w:w="1069" w:type="dxa"/>
            <w:vAlign w:val="center"/>
          </w:tcPr>
          <w:p w14:paraId="13EEBC5F"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5,030</w:t>
            </w:r>
          </w:p>
        </w:tc>
        <w:tc>
          <w:tcPr>
            <w:tcW w:w="1069" w:type="dxa"/>
            <w:vAlign w:val="center"/>
          </w:tcPr>
          <w:p w14:paraId="48BD3DB6"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6,431</w:t>
            </w:r>
          </w:p>
        </w:tc>
        <w:tc>
          <w:tcPr>
            <w:tcW w:w="1069" w:type="dxa"/>
            <w:vAlign w:val="center"/>
          </w:tcPr>
          <w:p w14:paraId="1EF5479C"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7,046</w:t>
            </w:r>
          </w:p>
        </w:tc>
        <w:tc>
          <w:tcPr>
            <w:tcW w:w="1069" w:type="dxa"/>
            <w:noWrap/>
            <w:vAlign w:val="center"/>
            <w:hideMark/>
          </w:tcPr>
          <w:p w14:paraId="42C8F30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6,437</w:t>
            </w:r>
          </w:p>
        </w:tc>
      </w:tr>
      <w:tr w:rsidR="003127DD" w:rsidRPr="000C7D3F" w14:paraId="4D0A10E2" w14:textId="77777777" w:rsidTr="003127DD">
        <w:trPr>
          <w:trHeight w:val="259"/>
          <w:jc w:val="center"/>
        </w:trPr>
        <w:tc>
          <w:tcPr>
            <w:tcW w:w="2720" w:type="dxa"/>
            <w:noWrap/>
            <w:vAlign w:val="center"/>
            <w:hideMark/>
          </w:tcPr>
          <w:p w14:paraId="74886CBC"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Net interest income</w:t>
            </w:r>
          </w:p>
        </w:tc>
        <w:tc>
          <w:tcPr>
            <w:tcW w:w="1069" w:type="dxa"/>
            <w:vAlign w:val="center"/>
          </w:tcPr>
          <w:p w14:paraId="30C04D14"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7,387</w:t>
            </w:r>
          </w:p>
        </w:tc>
        <w:tc>
          <w:tcPr>
            <w:tcW w:w="1069" w:type="dxa"/>
            <w:vAlign w:val="center"/>
          </w:tcPr>
          <w:p w14:paraId="5C59B794"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7,623</w:t>
            </w:r>
          </w:p>
        </w:tc>
        <w:tc>
          <w:tcPr>
            <w:tcW w:w="1069" w:type="dxa"/>
            <w:vAlign w:val="center"/>
          </w:tcPr>
          <w:p w14:paraId="78E49542"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8,470</w:t>
            </w:r>
          </w:p>
        </w:tc>
        <w:tc>
          <w:tcPr>
            <w:tcW w:w="1069" w:type="dxa"/>
            <w:vAlign w:val="center"/>
          </w:tcPr>
          <w:p w14:paraId="743F05C7"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10,153</w:t>
            </w:r>
          </w:p>
        </w:tc>
        <w:tc>
          <w:tcPr>
            <w:tcW w:w="1069" w:type="dxa"/>
            <w:vAlign w:val="center"/>
          </w:tcPr>
          <w:p w14:paraId="30CD866D"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10,781</w:t>
            </w:r>
          </w:p>
        </w:tc>
        <w:tc>
          <w:tcPr>
            <w:tcW w:w="1069" w:type="dxa"/>
            <w:noWrap/>
            <w:vAlign w:val="center"/>
            <w:hideMark/>
          </w:tcPr>
          <w:p w14:paraId="57AAC310"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11,156</w:t>
            </w:r>
          </w:p>
        </w:tc>
      </w:tr>
      <w:tr w:rsidR="003127DD" w:rsidRPr="000C7D3F" w14:paraId="299DCD05" w14:textId="77777777" w:rsidTr="003127DD">
        <w:trPr>
          <w:trHeight w:val="259"/>
          <w:jc w:val="center"/>
        </w:trPr>
        <w:tc>
          <w:tcPr>
            <w:tcW w:w="2720" w:type="dxa"/>
            <w:noWrap/>
            <w:vAlign w:val="center"/>
            <w:hideMark/>
          </w:tcPr>
          <w:p w14:paraId="1636804D"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Noninterest income</w:t>
            </w:r>
          </w:p>
        </w:tc>
        <w:tc>
          <w:tcPr>
            <w:tcW w:w="1069" w:type="dxa"/>
            <w:vAlign w:val="center"/>
          </w:tcPr>
          <w:p w14:paraId="43E4C76A"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6,581</w:t>
            </w:r>
          </w:p>
        </w:tc>
        <w:tc>
          <w:tcPr>
            <w:tcW w:w="1069" w:type="dxa"/>
            <w:vAlign w:val="center"/>
          </w:tcPr>
          <w:p w14:paraId="3AC30540"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7,561</w:t>
            </w:r>
          </w:p>
        </w:tc>
        <w:tc>
          <w:tcPr>
            <w:tcW w:w="1069" w:type="dxa"/>
            <w:vAlign w:val="center"/>
          </w:tcPr>
          <w:p w14:paraId="66AD369F"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7,592</w:t>
            </w:r>
          </w:p>
        </w:tc>
        <w:tc>
          <w:tcPr>
            <w:tcW w:w="1069" w:type="dxa"/>
            <w:vAlign w:val="center"/>
          </w:tcPr>
          <w:p w14:paraId="1E1571D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7,484</w:t>
            </w:r>
          </w:p>
        </w:tc>
        <w:tc>
          <w:tcPr>
            <w:tcW w:w="1069" w:type="dxa"/>
            <w:vAlign w:val="center"/>
          </w:tcPr>
          <w:p w14:paraId="37BC22A9"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8,002</w:t>
            </w:r>
          </w:p>
        </w:tc>
        <w:tc>
          <w:tcPr>
            <w:tcW w:w="1069" w:type="dxa"/>
            <w:noWrap/>
            <w:vAlign w:val="center"/>
            <w:hideMark/>
          </w:tcPr>
          <w:p w14:paraId="478A8F07"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7,621</w:t>
            </w:r>
          </w:p>
        </w:tc>
      </w:tr>
      <w:tr w:rsidR="003127DD" w:rsidRPr="000C7D3F" w14:paraId="06ED0E6B" w14:textId="77777777" w:rsidTr="003127DD">
        <w:trPr>
          <w:trHeight w:val="259"/>
          <w:jc w:val="center"/>
        </w:trPr>
        <w:tc>
          <w:tcPr>
            <w:tcW w:w="2720" w:type="dxa"/>
            <w:noWrap/>
            <w:vAlign w:val="center"/>
            <w:hideMark/>
          </w:tcPr>
          <w:p w14:paraId="25CF0B9D"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Total income</w:t>
            </w:r>
          </w:p>
        </w:tc>
        <w:tc>
          <w:tcPr>
            <w:tcW w:w="1069" w:type="dxa"/>
            <w:vAlign w:val="center"/>
          </w:tcPr>
          <w:p w14:paraId="12FD54DD"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13,968</w:t>
            </w:r>
          </w:p>
        </w:tc>
        <w:tc>
          <w:tcPr>
            <w:tcW w:w="1069" w:type="dxa"/>
            <w:vAlign w:val="center"/>
          </w:tcPr>
          <w:p w14:paraId="1BAD590F"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15,184</w:t>
            </w:r>
          </w:p>
        </w:tc>
        <w:tc>
          <w:tcPr>
            <w:tcW w:w="1069" w:type="dxa"/>
            <w:vAlign w:val="center"/>
          </w:tcPr>
          <w:p w14:paraId="643E65D2"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16,062</w:t>
            </w:r>
          </w:p>
        </w:tc>
        <w:tc>
          <w:tcPr>
            <w:tcW w:w="1069" w:type="dxa"/>
            <w:vAlign w:val="center"/>
          </w:tcPr>
          <w:p w14:paraId="48D50D2B"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17,637</w:t>
            </w:r>
          </w:p>
        </w:tc>
        <w:tc>
          <w:tcPr>
            <w:tcW w:w="1069" w:type="dxa"/>
            <w:vAlign w:val="center"/>
          </w:tcPr>
          <w:p w14:paraId="30670955"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18,783</w:t>
            </w:r>
          </w:p>
        </w:tc>
        <w:tc>
          <w:tcPr>
            <w:tcW w:w="1069" w:type="dxa"/>
            <w:noWrap/>
            <w:vAlign w:val="center"/>
            <w:hideMark/>
          </w:tcPr>
          <w:p w14:paraId="7BDDCC2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18,777</w:t>
            </w:r>
          </w:p>
        </w:tc>
      </w:tr>
      <w:tr w:rsidR="003127DD" w:rsidRPr="000C7D3F" w14:paraId="0A59147C" w14:textId="77777777" w:rsidTr="003127DD">
        <w:trPr>
          <w:trHeight w:val="259"/>
          <w:jc w:val="center"/>
        </w:trPr>
        <w:tc>
          <w:tcPr>
            <w:tcW w:w="2720" w:type="dxa"/>
            <w:noWrap/>
            <w:vAlign w:val="center"/>
            <w:hideMark/>
          </w:tcPr>
          <w:p w14:paraId="4F4EDF3C"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Provision for credit losses</w:t>
            </w:r>
          </w:p>
        </w:tc>
        <w:tc>
          <w:tcPr>
            <w:tcW w:w="1069" w:type="dxa"/>
            <w:vAlign w:val="center"/>
          </w:tcPr>
          <w:p w14:paraId="1FD6DBC3"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1,321</w:t>
            </w:r>
          </w:p>
        </w:tc>
        <w:tc>
          <w:tcPr>
            <w:tcW w:w="1069" w:type="dxa"/>
            <w:vAlign w:val="center"/>
          </w:tcPr>
          <w:p w14:paraId="10B98EF3"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2,000</w:t>
            </w:r>
          </w:p>
        </w:tc>
        <w:tc>
          <w:tcPr>
            <w:tcW w:w="1069" w:type="dxa"/>
            <w:vAlign w:val="center"/>
          </w:tcPr>
          <w:p w14:paraId="39ADC237"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883</w:t>
            </w:r>
          </w:p>
        </w:tc>
        <w:tc>
          <w:tcPr>
            <w:tcW w:w="1069" w:type="dxa"/>
            <w:vAlign w:val="center"/>
          </w:tcPr>
          <w:p w14:paraId="5A008BD3"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908</w:t>
            </w:r>
          </w:p>
        </w:tc>
        <w:tc>
          <w:tcPr>
            <w:tcW w:w="1069" w:type="dxa"/>
            <w:vAlign w:val="center"/>
          </w:tcPr>
          <w:p w14:paraId="6201014E"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1,196</w:t>
            </w:r>
          </w:p>
        </w:tc>
        <w:tc>
          <w:tcPr>
            <w:tcW w:w="1069" w:type="dxa"/>
            <w:noWrap/>
            <w:vAlign w:val="center"/>
            <w:hideMark/>
          </w:tcPr>
          <w:p w14:paraId="5B9BFD8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1,617</w:t>
            </w:r>
          </w:p>
        </w:tc>
      </w:tr>
      <w:tr w:rsidR="003127DD" w:rsidRPr="000C7D3F" w14:paraId="7C525D35" w14:textId="77777777" w:rsidTr="003127DD">
        <w:trPr>
          <w:trHeight w:val="259"/>
          <w:jc w:val="center"/>
        </w:trPr>
        <w:tc>
          <w:tcPr>
            <w:tcW w:w="2720" w:type="dxa"/>
            <w:noWrap/>
            <w:vAlign w:val="center"/>
            <w:hideMark/>
          </w:tcPr>
          <w:p w14:paraId="16738BA0"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Gross income</w:t>
            </w:r>
          </w:p>
        </w:tc>
        <w:tc>
          <w:tcPr>
            <w:tcW w:w="1069" w:type="dxa"/>
            <w:vAlign w:val="center"/>
          </w:tcPr>
          <w:p w14:paraId="69C043E7"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12,647</w:t>
            </w:r>
          </w:p>
        </w:tc>
        <w:tc>
          <w:tcPr>
            <w:tcW w:w="1069" w:type="dxa"/>
            <w:vAlign w:val="center"/>
          </w:tcPr>
          <w:p w14:paraId="0FF9D966"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13,184</w:t>
            </w:r>
          </w:p>
        </w:tc>
        <w:tc>
          <w:tcPr>
            <w:tcW w:w="1069" w:type="dxa"/>
            <w:vAlign w:val="center"/>
          </w:tcPr>
          <w:p w14:paraId="7F15E7C8"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15,179</w:t>
            </w:r>
          </w:p>
        </w:tc>
        <w:tc>
          <w:tcPr>
            <w:tcW w:w="1069" w:type="dxa"/>
            <w:vAlign w:val="center"/>
          </w:tcPr>
          <w:p w14:paraId="0669D9AC"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16,729</w:t>
            </w:r>
          </w:p>
        </w:tc>
        <w:tc>
          <w:tcPr>
            <w:tcW w:w="1069" w:type="dxa"/>
            <w:vAlign w:val="center"/>
          </w:tcPr>
          <w:p w14:paraId="25D05242"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17,587</w:t>
            </w:r>
          </w:p>
        </w:tc>
        <w:tc>
          <w:tcPr>
            <w:tcW w:w="1069" w:type="dxa"/>
            <w:noWrap/>
            <w:vAlign w:val="center"/>
            <w:hideMark/>
          </w:tcPr>
          <w:p w14:paraId="43F07F59"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17,160</w:t>
            </w:r>
          </w:p>
        </w:tc>
      </w:tr>
      <w:tr w:rsidR="003127DD" w:rsidRPr="000C7D3F" w14:paraId="61EF1F0F" w14:textId="77777777" w:rsidTr="003127DD">
        <w:trPr>
          <w:trHeight w:val="259"/>
          <w:jc w:val="center"/>
        </w:trPr>
        <w:tc>
          <w:tcPr>
            <w:tcW w:w="2720" w:type="dxa"/>
            <w:noWrap/>
            <w:vAlign w:val="center"/>
            <w:hideMark/>
          </w:tcPr>
          <w:p w14:paraId="7ECEBF53"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Noninterest expense</w:t>
            </w:r>
          </w:p>
        </w:tc>
        <w:tc>
          <w:tcPr>
            <w:tcW w:w="1069" w:type="dxa"/>
            <w:vAlign w:val="center"/>
          </w:tcPr>
          <w:p w14:paraId="5C8EC3C5"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7,611</w:t>
            </w:r>
          </w:p>
        </w:tc>
        <w:tc>
          <w:tcPr>
            <w:tcW w:w="1069" w:type="dxa"/>
            <w:vAlign w:val="center"/>
          </w:tcPr>
          <w:p w14:paraId="6BF936B4"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7,952</w:t>
            </w:r>
          </w:p>
        </w:tc>
        <w:tc>
          <w:tcPr>
            <w:tcW w:w="1069" w:type="dxa"/>
            <w:vAlign w:val="center"/>
          </w:tcPr>
          <w:p w14:paraId="52B484EF"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9,023</w:t>
            </w:r>
          </w:p>
        </w:tc>
        <w:tc>
          <w:tcPr>
            <w:tcW w:w="1069" w:type="dxa"/>
            <w:vAlign w:val="center"/>
          </w:tcPr>
          <w:p w14:paraId="725CB43D"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9,917</w:t>
            </w:r>
          </w:p>
        </w:tc>
        <w:tc>
          <w:tcPr>
            <w:tcW w:w="1069" w:type="dxa"/>
            <w:vAlign w:val="center"/>
          </w:tcPr>
          <w:p w14:paraId="697B8C2E"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10,722</w:t>
            </w:r>
          </w:p>
        </w:tc>
        <w:tc>
          <w:tcPr>
            <w:tcW w:w="1069" w:type="dxa"/>
            <w:noWrap/>
            <w:vAlign w:val="center"/>
            <w:hideMark/>
          </w:tcPr>
          <w:p w14:paraId="43BDC303"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10,193</w:t>
            </w:r>
          </w:p>
        </w:tc>
      </w:tr>
      <w:tr w:rsidR="003127DD" w:rsidRPr="000C7D3F" w14:paraId="2A59D0AE" w14:textId="77777777" w:rsidTr="003127DD">
        <w:trPr>
          <w:trHeight w:val="259"/>
          <w:jc w:val="center"/>
        </w:trPr>
        <w:tc>
          <w:tcPr>
            <w:tcW w:w="2720" w:type="dxa"/>
            <w:vAlign w:val="center"/>
            <w:hideMark/>
          </w:tcPr>
          <w:p w14:paraId="2D875B8A"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Others (other impairment and profit from associates)</w:t>
            </w:r>
          </w:p>
        </w:tc>
        <w:tc>
          <w:tcPr>
            <w:tcW w:w="1069" w:type="dxa"/>
            <w:vAlign w:val="center"/>
          </w:tcPr>
          <w:p w14:paraId="3CCF95D9"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−468</w:t>
            </w:r>
          </w:p>
        </w:tc>
        <w:tc>
          <w:tcPr>
            <w:tcW w:w="1069" w:type="dxa"/>
            <w:vAlign w:val="center"/>
          </w:tcPr>
          <w:p w14:paraId="02B48213"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−81</w:t>
            </w:r>
          </w:p>
        </w:tc>
        <w:tc>
          <w:tcPr>
            <w:tcW w:w="1069" w:type="dxa"/>
            <w:vAlign w:val="center"/>
          </w:tcPr>
          <w:p w14:paraId="61EEB704"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−34</w:t>
            </w:r>
          </w:p>
        </w:tc>
        <w:tc>
          <w:tcPr>
            <w:tcW w:w="1069" w:type="dxa"/>
            <w:vAlign w:val="center"/>
          </w:tcPr>
          <w:p w14:paraId="1DF0036D"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−37</w:t>
            </w:r>
          </w:p>
        </w:tc>
        <w:tc>
          <w:tcPr>
            <w:tcW w:w="1069" w:type="dxa"/>
            <w:vAlign w:val="center"/>
          </w:tcPr>
          <w:p w14:paraId="1BC03774"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−14</w:t>
            </w:r>
          </w:p>
        </w:tc>
        <w:tc>
          <w:tcPr>
            <w:tcW w:w="1069" w:type="dxa"/>
            <w:noWrap/>
            <w:vAlign w:val="center"/>
            <w:hideMark/>
          </w:tcPr>
          <w:p w14:paraId="381C223A"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−903</w:t>
            </w:r>
          </w:p>
        </w:tc>
      </w:tr>
      <w:tr w:rsidR="003127DD" w:rsidRPr="000C7D3F" w14:paraId="4F71A0CB" w14:textId="77777777" w:rsidTr="003127DD">
        <w:trPr>
          <w:trHeight w:val="259"/>
          <w:jc w:val="center"/>
        </w:trPr>
        <w:tc>
          <w:tcPr>
            <w:tcW w:w="2720" w:type="dxa"/>
            <w:noWrap/>
            <w:vAlign w:val="center"/>
            <w:hideMark/>
          </w:tcPr>
          <w:p w14:paraId="52A7733C"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Profit before tax</w:t>
            </w:r>
          </w:p>
        </w:tc>
        <w:tc>
          <w:tcPr>
            <w:tcW w:w="1069" w:type="dxa"/>
            <w:vAlign w:val="center"/>
          </w:tcPr>
          <w:p w14:paraId="7CFC9E55"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4,568</w:t>
            </w:r>
          </w:p>
        </w:tc>
        <w:tc>
          <w:tcPr>
            <w:tcW w:w="1069" w:type="dxa"/>
            <w:vAlign w:val="center"/>
          </w:tcPr>
          <w:p w14:paraId="02532568"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5,151</w:t>
            </w:r>
          </w:p>
        </w:tc>
        <w:tc>
          <w:tcPr>
            <w:tcW w:w="1069" w:type="dxa"/>
            <w:vAlign w:val="center"/>
          </w:tcPr>
          <w:p w14:paraId="4ACECA7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6,122</w:t>
            </w:r>
          </w:p>
        </w:tc>
        <w:tc>
          <w:tcPr>
            <w:tcW w:w="1069" w:type="dxa"/>
            <w:vAlign w:val="center"/>
          </w:tcPr>
          <w:p w14:paraId="7A392BB7"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6,775</w:t>
            </w:r>
          </w:p>
        </w:tc>
        <w:tc>
          <w:tcPr>
            <w:tcW w:w="1069" w:type="dxa"/>
            <w:vAlign w:val="center"/>
          </w:tcPr>
          <w:p w14:paraId="7E4EF414"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6,851</w:t>
            </w:r>
          </w:p>
        </w:tc>
        <w:tc>
          <w:tcPr>
            <w:tcW w:w="1069" w:type="dxa"/>
            <w:noWrap/>
            <w:vAlign w:val="center"/>
            <w:hideMark/>
          </w:tcPr>
          <w:p w14:paraId="35F692FC"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6,064</w:t>
            </w:r>
          </w:p>
        </w:tc>
      </w:tr>
      <w:tr w:rsidR="003127DD" w:rsidRPr="000C7D3F" w14:paraId="183C937B" w14:textId="77777777" w:rsidTr="003127DD">
        <w:trPr>
          <w:trHeight w:val="259"/>
          <w:jc w:val="center"/>
        </w:trPr>
        <w:tc>
          <w:tcPr>
            <w:tcW w:w="2720" w:type="dxa"/>
            <w:noWrap/>
            <w:vAlign w:val="center"/>
            <w:hideMark/>
          </w:tcPr>
          <w:p w14:paraId="55325E04"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Provision for income taxes</w:t>
            </w:r>
          </w:p>
        </w:tc>
        <w:tc>
          <w:tcPr>
            <w:tcW w:w="1069" w:type="dxa"/>
            <w:vAlign w:val="center"/>
          </w:tcPr>
          <w:p w14:paraId="084DAA3B"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1,224</w:t>
            </w:r>
          </w:p>
        </w:tc>
        <w:tc>
          <w:tcPr>
            <w:tcW w:w="1069" w:type="dxa"/>
            <w:vAlign w:val="center"/>
          </w:tcPr>
          <w:p w14:paraId="268846B1"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1,674</w:t>
            </w:r>
          </w:p>
        </w:tc>
        <w:tc>
          <w:tcPr>
            <w:tcW w:w="1069" w:type="dxa"/>
            <w:vAlign w:val="center"/>
          </w:tcPr>
          <w:p w14:paraId="550CC30D"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1,708</w:t>
            </w:r>
          </w:p>
        </w:tc>
        <w:tc>
          <w:tcPr>
            <w:tcW w:w="1069" w:type="dxa"/>
            <w:vAlign w:val="center"/>
          </w:tcPr>
          <w:p w14:paraId="65A39FE3"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1,842</w:t>
            </w:r>
          </w:p>
        </w:tc>
        <w:tc>
          <w:tcPr>
            <w:tcW w:w="1069" w:type="dxa"/>
            <w:vAlign w:val="center"/>
          </w:tcPr>
          <w:p w14:paraId="5139C352"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1,866</w:t>
            </w:r>
          </w:p>
        </w:tc>
        <w:tc>
          <w:tcPr>
            <w:tcW w:w="1069" w:type="dxa"/>
            <w:noWrap/>
            <w:vAlign w:val="center"/>
            <w:hideMark/>
          </w:tcPr>
          <w:p w14:paraId="3007044C" w14:textId="77777777" w:rsidR="003127DD" w:rsidRPr="000C7D3F" w:rsidRDefault="003127DD" w:rsidP="003127DD">
            <w:pPr>
              <w:jc w:val="right"/>
              <w:rPr>
                <w:rFonts w:ascii="Arial" w:hAnsi="Arial" w:cs="Arial"/>
                <w:sz w:val="18"/>
                <w:szCs w:val="18"/>
                <w:lang w:val="en-SG" w:eastAsia="zh-CN"/>
              </w:rPr>
            </w:pPr>
            <w:r w:rsidRPr="000C7D3F">
              <w:rPr>
                <w:rFonts w:ascii="Arial" w:hAnsi="Arial" w:cs="Arial"/>
                <w:sz w:val="18"/>
                <w:szCs w:val="18"/>
                <w:lang w:val="en-SG" w:eastAsia="zh-CN"/>
              </w:rPr>
              <w:t>1,864</w:t>
            </w:r>
          </w:p>
        </w:tc>
      </w:tr>
      <w:tr w:rsidR="003127DD" w:rsidRPr="000C7D3F" w14:paraId="634784DD" w14:textId="77777777" w:rsidTr="003127DD">
        <w:trPr>
          <w:trHeight w:val="259"/>
          <w:jc w:val="center"/>
        </w:trPr>
        <w:tc>
          <w:tcPr>
            <w:tcW w:w="2720" w:type="dxa"/>
            <w:noWrap/>
            <w:vAlign w:val="center"/>
            <w:hideMark/>
          </w:tcPr>
          <w:p w14:paraId="66F28E2D" w14:textId="77777777" w:rsidR="003127DD" w:rsidRPr="000C7D3F" w:rsidRDefault="003127DD" w:rsidP="003127DD">
            <w:pPr>
              <w:rPr>
                <w:rFonts w:ascii="Arial" w:hAnsi="Arial" w:cs="Arial"/>
                <w:b/>
                <w:bCs/>
                <w:sz w:val="18"/>
                <w:szCs w:val="18"/>
                <w:lang w:val="en-SG" w:eastAsia="zh-CN"/>
              </w:rPr>
            </w:pPr>
            <w:r w:rsidRPr="000C7D3F">
              <w:rPr>
                <w:rFonts w:ascii="Arial" w:hAnsi="Arial" w:cs="Arial"/>
                <w:b/>
                <w:bCs/>
                <w:sz w:val="18"/>
                <w:szCs w:val="18"/>
                <w:lang w:val="en-SG" w:eastAsia="zh-CN"/>
              </w:rPr>
              <w:t>Net Income</w:t>
            </w:r>
          </w:p>
        </w:tc>
        <w:tc>
          <w:tcPr>
            <w:tcW w:w="1069" w:type="dxa"/>
            <w:vAlign w:val="center"/>
          </w:tcPr>
          <w:p w14:paraId="024552E8" w14:textId="77777777" w:rsidR="003127DD" w:rsidRPr="000C7D3F" w:rsidRDefault="003127DD" w:rsidP="003127DD">
            <w:pPr>
              <w:jc w:val="right"/>
              <w:rPr>
                <w:rFonts w:ascii="Arial" w:hAnsi="Arial" w:cs="Arial"/>
                <w:b/>
                <w:sz w:val="18"/>
                <w:szCs w:val="18"/>
                <w:lang w:val="en-SG" w:eastAsia="zh-CN"/>
              </w:rPr>
            </w:pPr>
            <w:r w:rsidRPr="000C7D3F">
              <w:rPr>
                <w:rFonts w:ascii="Arial" w:hAnsi="Arial" w:cs="Arial"/>
                <w:b/>
                <w:sz w:val="18"/>
                <w:szCs w:val="18"/>
                <w:lang w:val="en-SG" w:eastAsia="zh-CN"/>
              </w:rPr>
              <w:t>3,344</w:t>
            </w:r>
          </w:p>
        </w:tc>
        <w:tc>
          <w:tcPr>
            <w:tcW w:w="1069" w:type="dxa"/>
            <w:vAlign w:val="center"/>
          </w:tcPr>
          <w:p w14:paraId="388A39BE" w14:textId="77777777" w:rsidR="003127DD" w:rsidRPr="000C7D3F" w:rsidRDefault="003127DD" w:rsidP="003127DD">
            <w:pPr>
              <w:jc w:val="right"/>
              <w:rPr>
                <w:rFonts w:ascii="Arial" w:hAnsi="Arial" w:cs="Arial"/>
                <w:b/>
                <w:sz w:val="18"/>
                <w:szCs w:val="18"/>
                <w:lang w:val="en-SG" w:eastAsia="zh-CN"/>
              </w:rPr>
            </w:pPr>
            <w:r w:rsidRPr="000C7D3F">
              <w:rPr>
                <w:rFonts w:ascii="Arial" w:hAnsi="Arial" w:cs="Arial"/>
                <w:b/>
                <w:sz w:val="18"/>
                <w:szCs w:val="18"/>
                <w:lang w:val="en-SG" w:eastAsia="zh-CN"/>
              </w:rPr>
              <w:t>3,477</w:t>
            </w:r>
          </w:p>
        </w:tc>
        <w:tc>
          <w:tcPr>
            <w:tcW w:w="1069" w:type="dxa"/>
            <w:vAlign w:val="center"/>
          </w:tcPr>
          <w:p w14:paraId="29D5EEFE" w14:textId="77777777" w:rsidR="003127DD" w:rsidRPr="000C7D3F" w:rsidRDefault="003127DD" w:rsidP="003127DD">
            <w:pPr>
              <w:jc w:val="right"/>
              <w:rPr>
                <w:rFonts w:ascii="Arial" w:hAnsi="Arial" w:cs="Arial"/>
                <w:b/>
                <w:sz w:val="18"/>
                <w:szCs w:val="18"/>
                <w:lang w:val="en-SG" w:eastAsia="zh-CN"/>
              </w:rPr>
            </w:pPr>
            <w:r w:rsidRPr="000C7D3F">
              <w:rPr>
                <w:rFonts w:ascii="Arial" w:hAnsi="Arial" w:cs="Arial"/>
                <w:b/>
                <w:sz w:val="18"/>
                <w:szCs w:val="18"/>
                <w:lang w:val="en-SG" w:eastAsia="zh-CN"/>
              </w:rPr>
              <w:t>4,414</w:t>
            </w:r>
          </w:p>
        </w:tc>
        <w:tc>
          <w:tcPr>
            <w:tcW w:w="1069" w:type="dxa"/>
            <w:vAlign w:val="center"/>
          </w:tcPr>
          <w:p w14:paraId="0F3E3CE6" w14:textId="77777777" w:rsidR="003127DD" w:rsidRPr="000C7D3F" w:rsidRDefault="003127DD" w:rsidP="003127DD">
            <w:pPr>
              <w:jc w:val="right"/>
              <w:rPr>
                <w:rFonts w:ascii="Arial" w:hAnsi="Arial" w:cs="Arial"/>
                <w:b/>
                <w:sz w:val="18"/>
                <w:szCs w:val="18"/>
                <w:lang w:val="en-SG" w:eastAsia="zh-CN"/>
              </w:rPr>
            </w:pPr>
            <w:r w:rsidRPr="000C7D3F">
              <w:rPr>
                <w:rFonts w:ascii="Arial" w:hAnsi="Arial" w:cs="Arial"/>
                <w:b/>
                <w:sz w:val="18"/>
                <w:szCs w:val="18"/>
                <w:lang w:val="en-SG" w:eastAsia="zh-CN"/>
              </w:rPr>
              <w:t>4,933</w:t>
            </w:r>
          </w:p>
        </w:tc>
        <w:tc>
          <w:tcPr>
            <w:tcW w:w="1069" w:type="dxa"/>
            <w:vAlign w:val="center"/>
          </w:tcPr>
          <w:p w14:paraId="61B306FD" w14:textId="77777777" w:rsidR="003127DD" w:rsidRPr="000C7D3F" w:rsidRDefault="003127DD" w:rsidP="003127DD">
            <w:pPr>
              <w:jc w:val="right"/>
              <w:rPr>
                <w:rFonts w:ascii="Arial" w:hAnsi="Arial" w:cs="Arial"/>
                <w:b/>
                <w:sz w:val="18"/>
                <w:szCs w:val="18"/>
                <w:lang w:val="en-SG" w:eastAsia="zh-CN"/>
              </w:rPr>
            </w:pPr>
            <w:r w:rsidRPr="000C7D3F">
              <w:rPr>
                <w:rFonts w:ascii="Arial" w:hAnsi="Arial" w:cs="Arial"/>
                <w:b/>
                <w:sz w:val="18"/>
                <w:szCs w:val="18"/>
                <w:lang w:val="en-SG" w:eastAsia="zh-CN"/>
              </w:rPr>
              <w:t>4,985</w:t>
            </w:r>
          </w:p>
        </w:tc>
        <w:tc>
          <w:tcPr>
            <w:tcW w:w="1069" w:type="dxa"/>
            <w:noWrap/>
            <w:vAlign w:val="center"/>
            <w:hideMark/>
          </w:tcPr>
          <w:p w14:paraId="2C200409" w14:textId="77777777" w:rsidR="003127DD" w:rsidRPr="000C7D3F" w:rsidRDefault="003127DD" w:rsidP="003127DD">
            <w:pPr>
              <w:jc w:val="right"/>
              <w:rPr>
                <w:rFonts w:ascii="Arial" w:hAnsi="Arial" w:cs="Arial"/>
                <w:b/>
                <w:sz w:val="18"/>
                <w:szCs w:val="18"/>
                <w:lang w:val="en-SG" w:eastAsia="zh-CN"/>
              </w:rPr>
            </w:pPr>
            <w:r w:rsidRPr="000C7D3F">
              <w:rPr>
                <w:rFonts w:ascii="Arial" w:hAnsi="Arial" w:cs="Arial"/>
                <w:b/>
                <w:sz w:val="18"/>
                <w:szCs w:val="18"/>
                <w:lang w:val="en-SG" w:eastAsia="zh-CN"/>
              </w:rPr>
              <w:t>4,200</w:t>
            </w:r>
          </w:p>
        </w:tc>
      </w:tr>
    </w:tbl>
    <w:p w14:paraId="49C109F2" w14:textId="77777777" w:rsidR="003127DD" w:rsidRPr="000C7D3F" w:rsidRDefault="003127DD" w:rsidP="003127DD">
      <w:pPr>
        <w:pStyle w:val="ExhibitText"/>
        <w:rPr>
          <w:lang w:val="en-CA"/>
        </w:rPr>
      </w:pPr>
    </w:p>
    <w:p w14:paraId="0DA765D4" w14:textId="77777777" w:rsidR="003127DD" w:rsidRPr="000C7D3F" w:rsidRDefault="003127DD" w:rsidP="003127DD">
      <w:pPr>
        <w:jc w:val="both"/>
        <w:rPr>
          <w:rFonts w:ascii="Arial" w:hAnsi="Arial" w:cs="Arial"/>
          <w:sz w:val="17"/>
          <w:szCs w:val="17"/>
          <w:lang w:val="en-CA"/>
        </w:rPr>
      </w:pPr>
      <w:r w:rsidRPr="000C7D3F">
        <w:rPr>
          <w:rFonts w:ascii="Arial" w:hAnsi="Arial" w:cs="Arial"/>
          <w:sz w:val="17"/>
          <w:szCs w:val="17"/>
          <w:lang w:val="en-CA"/>
        </w:rPr>
        <w:t xml:space="preserve">Source: Standard Chartered PLC, </w:t>
      </w:r>
      <w:r w:rsidRPr="000C7D3F">
        <w:rPr>
          <w:rFonts w:ascii="Arial" w:hAnsi="Arial" w:cs="Arial"/>
          <w:i/>
          <w:sz w:val="17"/>
          <w:szCs w:val="17"/>
          <w:lang w:val="en-CA"/>
        </w:rPr>
        <w:t>Driving Investment, Trade and the Creation of Wealth across Asia, Africa and the Middle East: Annual Report 2013</w:t>
      </w:r>
      <w:r w:rsidRPr="000C7D3F">
        <w:rPr>
          <w:rFonts w:ascii="Arial" w:hAnsi="Arial" w:cs="Arial"/>
          <w:sz w:val="17"/>
          <w:szCs w:val="17"/>
          <w:lang w:val="en-CA"/>
        </w:rPr>
        <w:t>, accessed February 16, 2015, www.sc.com/annual-report/2013.</w:t>
      </w:r>
    </w:p>
    <w:p w14:paraId="4CB0332A" w14:textId="09BBB345" w:rsidR="000C7D3F" w:rsidRPr="00484277" w:rsidRDefault="000C7D3F" w:rsidP="00484277">
      <w:pPr>
        <w:pStyle w:val="Footnote"/>
        <w:rPr>
          <w:spacing w:val="-4"/>
          <w:kern w:val="17"/>
        </w:rPr>
      </w:pPr>
    </w:p>
    <w:p w14:paraId="1EA79E8A" w14:textId="77777777" w:rsidR="000C7D3F" w:rsidRDefault="000C7D3F">
      <w:pPr>
        <w:spacing w:after="200" w:line="276" w:lineRule="auto"/>
        <w:rPr>
          <w:spacing w:val="-4"/>
          <w:kern w:val="17"/>
          <w:lang w:val="en-GB"/>
        </w:rPr>
      </w:pPr>
      <w:r>
        <w:rPr>
          <w:spacing w:val="-4"/>
          <w:kern w:val="17"/>
          <w:lang w:val="en-GB"/>
        </w:rPr>
        <w:br w:type="page"/>
      </w:r>
    </w:p>
    <w:p w14:paraId="7963C457" w14:textId="20D450E0" w:rsidR="000C7D3F" w:rsidRPr="000C7D3F" w:rsidRDefault="000C7D3F" w:rsidP="000C7D3F">
      <w:pPr>
        <w:jc w:val="center"/>
        <w:outlineLvl w:val="0"/>
        <w:rPr>
          <w:rFonts w:ascii="Arial" w:hAnsi="Arial" w:cs="Arial"/>
          <w:b/>
          <w:caps/>
          <w:lang w:val="en-CA"/>
        </w:rPr>
      </w:pPr>
      <w:r w:rsidRPr="000C7D3F">
        <w:rPr>
          <w:rFonts w:ascii="Arial" w:hAnsi="Arial" w:cs="Arial"/>
          <w:b/>
          <w:caps/>
          <w:lang w:val="en-CA"/>
        </w:rPr>
        <w:lastRenderedPageBreak/>
        <w:t xml:space="preserve">Exhibit </w:t>
      </w:r>
      <w:r w:rsidR="003127DD">
        <w:rPr>
          <w:rFonts w:ascii="Arial" w:hAnsi="Arial" w:cs="Arial"/>
          <w:b/>
          <w:caps/>
          <w:lang w:val="en-CA"/>
        </w:rPr>
        <w:t>3</w:t>
      </w:r>
      <w:r w:rsidRPr="000C7D3F">
        <w:rPr>
          <w:rFonts w:ascii="Arial" w:hAnsi="Arial" w:cs="Arial"/>
          <w:b/>
          <w:caps/>
          <w:lang w:val="en-CA"/>
        </w:rPr>
        <w:t xml:space="preserve">: </w:t>
      </w:r>
      <w:r w:rsidR="00F97FBB">
        <w:rPr>
          <w:rFonts w:ascii="Arial" w:hAnsi="Arial" w:cs="Arial"/>
          <w:b/>
          <w:caps/>
          <w:lang w:val="en-CA"/>
        </w:rPr>
        <w:t xml:space="preserve">standard chartered’s </w:t>
      </w:r>
      <w:r w:rsidRPr="000C7D3F">
        <w:rPr>
          <w:rFonts w:ascii="Arial" w:hAnsi="Arial" w:cs="Arial"/>
          <w:b/>
          <w:caps/>
          <w:lang w:val="en-CA"/>
        </w:rPr>
        <w:t>BALANCE SHEETs</w:t>
      </w:r>
      <w:r w:rsidR="00F97FBB">
        <w:rPr>
          <w:rFonts w:ascii="Arial" w:hAnsi="Arial" w:cs="Arial"/>
          <w:b/>
          <w:caps/>
          <w:lang w:val="en-CA"/>
        </w:rPr>
        <w:t>, 2008–2013</w:t>
      </w:r>
      <w:r w:rsidRPr="000C7D3F">
        <w:rPr>
          <w:rFonts w:ascii="Arial" w:hAnsi="Arial" w:cs="Arial"/>
          <w:b/>
          <w:caps/>
          <w:lang w:val="en-CA"/>
        </w:rPr>
        <w:t xml:space="preserve"> (in US$ MILLIONS)</w:t>
      </w:r>
    </w:p>
    <w:p w14:paraId="0370448E" w14:textId="77777777" w:rsidR="000C7D3F" w:rsidRPr="000C7D3F" w:rsidRDefault="000C7D3F" w:rsidP="000C7D3F">
      <w:pPr>
        <w:jc w:val="both"/>
        <w:rPr>
          <w:rFonts w:ascii="Arial" w:hAnsi="Arial" w:cs="Arial"/>
          <w:sz w:val="12"/>
          <w:szCs w:val="12"/>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1064"/>
        <w:gridCol w:w="1064"/>
        <w:gridCol w:w="1064"/>
        <w:gridCol w:w="1064"/>
        <w:gridCol w:w="1064"/>
        <w:gridCol w:w="1065"/>
      </w:tblGrid>
      <w:tr w:rsidR="000C7D3F" w:rsidRPr="000C7D3F" w14:paraId="23BE2C3A" w14:textId="77777777" w:rsidTr="00484277">
        <w:trPr>
          <w:trHeight w:val="259"/>
          <w:jc w:val="center"/>
        </w:trPr>
        <w:tc>
          <w:tcPr>
            <w:tcW w:w="2965" w:type="dxa"/>
            <w:tcBorders>
              <w:right w:val="nil"/>
            </w:tcBorders>
            <w:vAlign w:val="center"/>
          </w:tcPr>
          <w:p w14:paraId="0502B450"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ASSETS</w:t>
            </w:r>
          </w:p>
        </w:tc>
        <w:tc>
          <w:tcPr>
            <w:tcW w:w="1064" w:type="dxa"/>
            <w:tcBorders>
              <w:left w:val="nil"/>
              <w:right w:val="nil"/>
            </w:tcBorders>
            <w:vAlign w:val="center"/>
          </w:tcPr>
          <w:p w14:paraId="53CC016E"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545FC4C8"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790D151A"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05EF8E98"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523E1258" w14:textId="77777777" w:rsidR="000C7D3F" w:rsidRPr="000C7D3F" w:rsidRDefault="000C7D3F" w:rsidP="000C7D3F">
            <w:pPr>
              <w:jc w:val="right"/>
              <w:rPr>
                <w:rFonts w:ascii="Arial" w:hAnsi="Arial" w:cs="Arial"/>
                <w:b/>
                <w:sz w:val="18"/>
                <w:szCs w:val="18"/>
                <w:lang w:val="en-CA" w:eastAsia="zh-CN"/>
              </w:rPr>
            </w:pPr>
          </w:p>
        </w:tc>
        <w:tc>
          <w:tcPr>
            <w:tcW w:w="1065" w:type="dxa"/>
            <w:tcBorders>
              <w:left w:val="nil"/>
            </w:tcBorders>
            <w:vAlign w:val="center"/>
          </w:tcPr>
          <w:p w14:paraId="32528B7E" w14:textId="77777777" w:rsidR="000C7D3F" w:rsidRPr="000C7D3F" w:rsidRDefault="000C7D3F" w:rsidP="000C7D3F">
            <w:pPr>
              <w:jc w:val="right"/>
              <w:rPr>
                <w:rFonts w:ascii="Arial" w:hAnsi="Arial" w:cs="Arial"/>
                <w:b/>
                <w:sz w:val="18"/>
                <w:szCs w:val="18"/>
                <w:lang w:val="en-CA" w:eastAsia="zh-CN"/>
              </w:rPr>
            </w:pPr>
          </w:p>
        </w:tc>
      </w:tr>
      <w:tr w:rsidR="000C7D3F" w:rsidRPr="000C7D3F" w14:paraId="080ABFFC" w14:textId="77777777" w:rsidTr="00484277">
        <w:trPr>
          <w:trHeight w:val="259"/>
          <w:jc w:val="center"/>
        </w:trPr>
        <w:tc>
          <w:tcPr>
            <w:tcW w:w="2965" w:type="dxa"/>
            <w:tcBorders>
              <w:bottom w:val="single" w:sz="4" w:space="0" w:color="auto"/>
            </w:tcBorders>
            <w:vAlign w:val="center"/>
          </w:tcPr>
          <w:p w14:paraId="51B38389" w14:textId="77777777" w:rsidR="000C7D3F" w:rsidRPr="000C7D3F" w:rsidRDefault="000C7D3F" w:rsidP="000C7D3F">
            <w:pPr>
              <w:rPr>
                <w:rFonts w:ascii="Arial" w:hAnsi="Arial" w:cs="Arial"/>
                <w:sz w:val="18"/>
                <w:szCs w:val="18"/>
                <w:lang w:val="en-CA" w:eastAsia="zh-CN"/>
              </w:rPr>
            </w:pPr>
          </w:p>
        </w:tc>
        <w:tc>
          <w:tcPr>
            <w:tcW w:w="1064" w:type="dxa"/>
            <w:tcBorders>
              <w:bottom w:val="single" w:sz="4" w:space="0" w:color="auto"/>
            </w:tcBorders>
            <w:vAlign w:val="center"/>
          </w:tcPr>
          <w:p w14:paraId="6ECA1022"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2008</w:t>
            </w:r>
          </w:p>
        </w:tc>
        <w:tc>
          <w:tcPr>
            <w:tcW w:w="1064" w:type="dxa"/>
            <w:tcBorders>
              <w:bottom w:val="single" w:sz="4" w:space="0" w:color="auto"/>
            </w:tcBorders>
            <w:vAlign w:val="center"/>
          </w:tcPr>
          <w:p w14:paraId="58D9E1BC"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2009</w:t>
            </w:r>
          </w:p>
        </w:tc>
        <w:tc>
          <w:tcPr>
            <w:tcW w:w="1064" w:type="dxa"/>
            <w:tcBorders>
              <w:bottom w:val="single" w:sz="4" w:space="0" w:color="auto"/>
            </w:tcBorders>
            <w:vAlign w:val="center"/>
          </w:tcPr>
          <w:p w14:paraId="39B5CD07"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2010</w:t>
            </w:r>
          </w:p>
        </w:tc>
        <w:tc>
          <w:tcPr>
            <w:tcW w:w="1064" w:type="dxa"/>
            <w:tcBorders>
              <w:bottom w:val="single" w:sz="4" w:space="0" w:color="auto"/>
            </w:tcBorders>
            <w:vAlign w:val="center"/>
          </w:tcPr>
          <w:p w14:paraId="0E875652"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2011</w:t>
            </w:r>
          </w:p>
        </w:tc>
        <w:tc>
          <w:tcPr>
            <w:tcW w:w="1064" w:type="dxa"/>
            <w:tcBorders>
              <w:bottom w:val="single" w:sz="4" w:space="0" w:color="auto"/>
            </w:tcBorders>
            <w:vAlign w:val="center"/>
          </w:tcPr>
          <w:p w14:paraId="790733EB"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2012</w:t>
            </w:r>
          </w:p>
        </w:tc>
        <w:tc>
          <w:tcPr>
            <w:tcW w:w="1065" w:type="dxa"/>
            <w:tcBorders>
              <w:bottom w:val="single" w:sz="4" w:space="0" w:color="auto"/>
            </w:tcBorders>
            <w:vAlign w:val="center"/>
          </w:tcPr>
          <w:p w14:paraId="245FBE0D"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2013</w:t>
            </w:r>
          </w:p>
        </w:tc>
      </w:tr>
      <w:tr w:rsidR="000C7D3F" w:rsidRPr="000C7D3F" w14:paraId="28941321" w14:textId="77777777" w:rsidTr="00484277">
        <w:trPr>
          <w:trHeight w:val="259"/>
          <w:jc w:val="center"/>
        </w:trPr>
        <w:tc>
          <w:tcPr>
            <w:tcW w:w="2965" w:type="dxa"/>
            <w:tcBorders>
              <w:right w:val="nil"/>
            </w:tcBorders>
            <w:vAlign w:val="center"/>
          </w:tcPr>
          <w:p w14:paraId="1F73D00F" w14:textId="0C2F76CC" w:rsidR="000C7D3F" w:rsidRPr="000C7D3F" w:rsidRDefault="000C7D3F" w:rsidP="00F97FBB">
            <w:pPr>
              <w:rPr>
                <w:rFonts w:ascii="Arial" w:hAnsi="Arial" w:cs="Arial"/>
                <w:b/>
                <w:sz w:val="18"/>
                <w:szCs w:val="18"/>
                <w:lang w:val="en-CA" w:eastAsia="zh-CN"/>
              </w:rPr>
            </w:pPr>
            <w:r w:rsidRPr="000C7D3F">
              <w:rPr>
                <w:rFonts w:ascii="Arial" w:hAnsi="Arial" w:cs="Arial"/>
                <w:sz w:val="18"/>
                <w:szCs w:val="18"/>
                <w:lang w:val="en-CA" w:eastAsia="zh-CN"/>
              </w:rPr>
              <w:t>Short</w:t>
            </w:r>
            <w:r w:rsidR="00F97FBB">
              <w:rPr>
                <w:rFonts w:ascii="Arial" w:hAnsi="Arial" w:cs="Arial"/>
                <w:sz w:val="18"/>
                <w:szCs w:val="18"/>
                <w:lang w:val="en-CA" w:eastAsia="zh-CN"/>
              </w:rPr>
              <w:t>-</w:t>
            </w:r>
            <w:r w:rsidRPr="000C7D3F">
              <w:rPr>
                <w:rFonts w:ascii="Arial" w:hAnsi="Arial" w:cs="Arial"/>
                <w:sz w:val="18"/>
                <w:szCs w:val="18"/>
                <w:lang w:val="en-CA" w:eastAsia="zh-CN"/>
              </w:rPr>
              <w:t>term assets</w:t>
            </w:r>
          </w:p>
        </w:tc>
        <w:tc>
          <w:tcPr>
            <w:tcW w:w="1064" w:type="dxa"/>
            <w:tcBorders>
              <w:left w:val="nil"/>
              <w:right w:val="nil"/>
            </w:tcBorders>
            <w:vAlign w:val="center"/>
          </w:tcPr>
          <w:p w14:paraId="39019B0D"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0DA62621"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3A1182C0"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4CD1D385"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28AC7201" w14:textId="77777777" w:rsidR="000C7D3F" w:rsidRPr="000C7D3F" w:rsidRDefault="000C7D3F" w:rsidP="000C7D3F">
            <w:pPr>
              <w:jc w:val="right"/>
              <w:rPr>
                <w:rFonts w:ascii="Arial" w:hAnsi="Arial" w:cs="Arial"/>
                <w:b/>
                <w:sz w:val="18"/>
                <w:szCs w:val="18"/>
                <w:lang w:val="en-CA" w:eastAsia="zh-CN"/>
              </w:rPr>
            </w:pPr>
          </w:p>
        </w:tc>
        <w:tc>
          <w:tcPr>
            <w:tcW w:w="1065" w:type="dxa"/>
            <w:tcBorders>
              <w:left w:val="nil"/>
            </w:tcBorders>
            <w:vAlign w:val="center"/>
          </w:tcPr>
          <w:p w14:paraId="7A9E5E49" w14:textId="77777777" w:rsidR="000C7D3F" w:rsidRPr="000C7D3F" w:rsidRDefault="000C7D3F" w:rsidP="000C7D3F">
            <w:pPr>
              <w:jc w:val="right"/>
              <w:rPr>
                <w:rFonts w:ascii="Arial" w:hAnsi="Arial" w:cs="Arial"/>
                <w:b/>
                <w:sz w:val="18"/>
                <w:szCs w:val="18"/>
                <w:lang w:val="en-CA" w:eastAsia="zh-CN"/>
              </w:rPr>
            </w:pPr>
          </w:p>
        </w:tc>
      </w:tr>
      <w:tr w:rsidR="000C7D3F" w:rsidRPr="000C7D3F" w14:paraId="6D4EBD66" w14:textId="77777777" w:rsidTr="00484277">
        <w:trPr>
          <w:trHeight w:val="259"/>
          <w:jc w:val="center"/>
        </w:trPr>
        <w:tc>
          <w:tcPr>
            <w:tcW w:w="2965" w:type="dxa"/>
            <w:vAlign w:val="center"/>
          </w:tcPr>
          <w:p w14:paraId="53AE8F29"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Cash and due from banks</w:t>
            </w:r>
          </w:p>
        </w:tc>
        <w:tc>
          <w:tcPr>
            <w:tcW w:w="1064" w:type="dxa"/>
            <w:vAlign w:val="center"/>
          </w:tcPr>
          <w:p w14:paraId="6AB6FE3F" w14:textId="77777777" w:rsidR="000C7D3F" w:rsidRPr="000C7D3F" w:rsidRDefault="000C7D3F" w:rsidP="000C7D3F">
            <w:pPr>
              <w:jc w:val="right"/>
              <w:rPr>
                <w:rFonts w:ascii="Arial" w:hAnsi="Arial" w:cs="Arial"/>
                <w:color w:val="000000"/>
                <w:sz w:val="18"/>
                <w:szCs w:val="18"/>
                <w:lang w:val="en-SG" w:eastAsia="zh-CN"/>
              </w:rPr>
            </w:pPr>
            <w:r w:rsidRPr="000C7D3F">
              <w:rPr>
                <w:rFonts w:ascii="Arial" w:hAnsi="Arial" w:cs="Arial"/>
                <w:color w:val="000000"/>
                <w:sz w:val="18"/>
                <w:szCs w:val="18"/>
                <w:lang w:val="en-SG" w:eastAsia="zh-CN"/>
              </w:rPr>
              <w:t>46,583</w:t>
            </w:r>
          </w:p>
        </w:tc>
        <w:tc>
          <w:tcPr>
            <w:tcW w:w="1064" w:type="dxa"/>
            <w:vAlign w:val="center"/>
          </w:tcPr>
          <w:p w14:paraId="09449560" w14:textId="77777777" w:rsidR="000C7D3F" w:rsidRPr="000C7D3F" w:rsidRDefault="000C7D3F" w:rsidP="000C7D3F">
            <w:pPr>
              <w:jc w:val="right"/>
              <w:rPr>
                <w:rFonts w:ascii="Arial" w:hAnsi="Arial" w:cs="Arial"/>
                <w:color w:val="000000"/>
                <w:sz w:val="18"/>
                <w:szCs w:val="18"/>
                <w:lang w:val="en-SG" w:eastAsia="zh-CN"/>
              </w:rPr>
            </w:pPr>
            <w:r w:rsidRPr="000C7D3F">
              <w:rPr>
                <w:rFonts w:ascii="Arial" w:hAnsi="Arial" w:cs="Arial"/>
                <w:color w:val="000000"/>
                <w:sz w:val="18"/>
                <w:szCs w:val="18"/>
                <w:lang w:val="en-SG" w:eastAsia="zh-CN"/>
              </w:rPr>
              <w:t>50,885</w:t>
            </w:r>
          </w:p>
        </w:tc>
        <w:tc>
          <w:tcPr>
            <w:tcW w:w="1064" w:type="dxa"/>
            <w:vAlign w:val="center"/>
          </w:tcPr>
          <w:p w14:paraId="2723393A" w14:textId="77777777" w:rsidR="000C7D3F" w:rsidRPr="000C7D3F" w:rsidRDefault="000C7D3F" w:rsidP="000C7D3F">
            <w:pPr>
              <w:jc w:val="right"/>
              <w:rPr>
                <w:rFonts w:ascii="Arial" w:hAnsi="Arial" w:cs="Arial"/>
                <w:color w:val="000000"/>
                <w:sz w:val="18"/>
                <w:szCs w:val="18"/>
                <w:lang w:val="en-SG" w:eastAsia="zh-CN"/>
              </w:rPr>
            </w:pPr>
            <w:r w:rsidRPr="000C7D3F">
              <w:rPr>
                <w:rFonts w:ascii="Arial" w:hAnsi="Arial" w:cs="Arial"/>
                <w:color w:val="000000"/>
                <w:sz w:val="18"/>
                <w:szCs w:val="18"/>
                <w:lang w:val="en-SG" w:eastAsia="zh-CN"/>
              </w:rPr>
              <w:t>52,058</w:t>
            </w:r>
          </w:p>
        </w:tc>
        <w:tc>
          <w:tcPr>
            <w:tcW w:w="1064" w:type="dxa"/>
            <w:vAlign w:val="center"/>
          </w:tcPr>
          <w:p w14:paraId="0D572623" w14:textId="77777777" w:rsidR="000C7D3F" w:rsidRPr="000C7D3F" w:rsidRDefault="000C7D3F" w:rsidP="000C7D3F">
            <w:pPr>
              <w:jc w:val="right"/>
              <w:rPr>
                <w:rFonts w:ascii="Arial" w:hAnsi="Arial" w:cs="Arial"/>
                <w:color w:val="000000"/>
                <w:sz w:val="18"/>
                <w:szCs w:val="18"/>
                <w:lang w:val="en-SG" w:eastAsia="zh-CN"/>
              </w:rPr>
            </w:pPr>
            <w:r w:rsidRPr="000C7D3F">
              <w:rPr>
                <w:rFonts w:ascii="Arial" w:hAnsi="Arial" w:cs="Arial"/>
                <w:color w:val="000000"/>
                <w:sz w:val="18"/>
                <w:szCs w:val="18"/>
                <w:lang w:val="en-SG" w:eastAsia="zh-CN"/>
              </w:rPr>
              <w:t>65,981</w:t>
            </w:r>
          </w:p>
        </w:tc>
        <w:tc>
          <w:tcPr>
            <w:tcW w:w="1064" w:type="dxa"/>
            <w:vAlign w:val="center"/>
          </w:tcPr>
          <w:p w14:paraId="635ECBCD" w14:textId="77777777" w:rsidR="000C7D3F" w:rsidRPr="000C7D3F" w:rsidRDefault="000C7D3F" w:rsidP="000C7D3F">
            <w:pPr>
              <w:jc w:val="right"/>
              <w:rPr>
                <w:rFonts w:ascii="Arial" w:hAnsi="Arial" w:cs="Arial"/>
                <w:color w:val="000000"/>
                <w:sz w:val="18"/>
                <w:szCs w:val="18"/>
                <w:lang w:val="en-SG" w:eastAsia="zh-CN"/>
              </w:rPr>
            </w:pPr>
            <w:r w:rsidRPr="000C7D3F">
              <w:rPr>
                <w:rFonts w:ascii="Arial" w:hAnsi="Arial" w:cs="Arial"/>
                <w:color w:val="000000"/>
                <w:sz w:val="18"/>
                <w:szCs w:val="18"/>
                <w:lang w:val="en-SG" w:eastAsia="zh-CN"/>
              </w:rPr>
              <w:t>67,797</w:t>
            </w:r>
          </w:p>
        </w:tc>
        <w:tc>
          <w:tcPr>
            <w:tcW w:w="1065" w:type="dxa"/>
            <w:vAlign w:val="center"/>
          </w:tcPr>
          <w:p w14:paraId="46BD756D"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color w:val="000000"/>
                <w:sz w:val="18"/>
                <w:szCs w:val="18"/>
                <w:lang w:val="en-SG" w:eastAsia="zh-CN"/>
              </w:rPr>
              <w:t>83,702</w:t>
            </w:r>
          </w:p>
        </w:tc>
      </w:tr>
      <w:tr w:rsidR="000C7D3F" w:rsidRPr="000C7D3F" w14:paraId="25499149" w14:textId="77777777" w:rsidTr="00484277">
        <w:trPr>
          <w:trHeight w:val="259"/>
          <w:jc w:val="center"/>
        </w:trPr>
        <w:tc>
          <w:tcPr>
            <w:tcW w:w="2965" w:type="dxa"/>
            <w:vAlign w:val="center"/>
          </w:tcPr>
          <w:p w14:paraId="00C4D3FD"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Federal funds</w:t>
            </w:r>
          </w:p>
        </w:tc>
        <w:tc>
          <w:tcPr>
            <w:tcW w:w="1064" w:type="dxa"/>
            <w:vAlign w:val="center"/>
          </w:tcPr>
          <w:p w14:paraId="1A0553F9"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24,161</w:t>
            </w:r>
          </w:p>
        </w:tc>
        <w:tc>
          <w:tcPr>
            <w:tcW w:w="1064" w:type="dxa"/>
            <w:vAlign w:val="center"/>
          </w:tcPr>
          <w:p w14:paraId="597340BD"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18,131</w:t>
            </w:r>
          </w:p>
        </w:tc>
        <w:tc>
          <w:tcPr>
            <w:tcW w:w="1064" w:type="dxa"/>
            <w:vAlign w:val="center"/>
          </w:tcPr>
          <w:p w14:paraId="35876A5D"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32,724</w:t>
            </w:r>
          </w:p>
        </w:tc>
        <w:tc>
          <w:tcPr>
            <w:tcW w:w="1064" w:type="dxa"/>
            <w:vAlign w:val="center"/>
          </w:tcPr>
          <w:p w14:paraId="27084FE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47,364</w:t>
            </w:r>
          </w:p>
        </w:tc>
        <w:tc>
          <w:tcPr>
            <w:tcW w:w="1064" w:type="dxa"/>
            <w:vAlign w:val="center"/>
          </w:tcPr>
          <w:p w14:paraId="04EDE36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60,537</w:t>
            </w:r>
          </w:p>
        </w:tc>
        <w:tc>
          <w:tcPr>
            <w:tcW w:w="1065" w:type="dxa"/>
            <w:vAlign w:val="center"/>
          </w:tcPr>
          <w:p w14:paraId="353AA14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54,534</w:t>
            </w:r>
          </w:p>
        </w:tc>
      </w:tr>
      <w:tr w:rsidR="000C7D3F" w:rsidRPr="000C7D3F" w14:paraId="42724CC3" w14:textId="77777777" w:rsidTr="00484277">
        <w:trPr>
          <w:trHeight w:val="259"/>
          <w:jc w:val="center"/>
        </w:trPr>
        <w:tc>
          <w:tcPr>
            <w:tcW w:w="2965" w:type="dxa"/>
            <w:vAlign w:val="center"/>
          </w:tcPr>
          <w:p w14:paraId="1257605C"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Other short-term investments</w:t>
            </w:r>
          </w:p>
        </w:tc>
        <w:tc>
          <w:tcPr>
            <w:tcW w:w="1064" w:type="dxa"/>
            <w:vAlign w:val="center"/>
          </w:tcPr>
          <w:p w14:paraId="3D185DC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92,575</w:t>
            </w:r>
          </w:p>
        </w:tc>
        <w:tc>
          <w:tcPr>
            <w:tcW w:w="1064" w:type="dxa"/>
            <w:vAlign w:val="center"/>
          </w:tcPr>
          <w:p w14:paraId="6AD333A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67,372</w:t>
            </w:r>
          </w:p>
        </w:tc>
        <w:tc>
          <w:tcPr>
            <w:tcW w:w="1064" w:type="dxa"/>
            <w:vAlign w:val="center"/>
          </w:tcPr>
          <w:p w14:paraId="4372422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79,709</w:t>
            </w:r>
          </w:p>
        </w:tc>
        <w:tc>
          <w:tcPr>
            <w:tcW w:w="1064" w:type="dxa"/>
            <w:vAlign w:val="center"/>
          </w:tcPr>
          <w:p w14:paraId="11607E9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88,845</w:t>
            </w:r>
          </w:p>
        </w:tc>
        <w:tc>
          <w:tcPr>
            <w:tcW w:w="1064" w:type="dxa"/>
            <w:vAlign w:val="center"/>
          </w:tcPr>
          <w:p w14:paraId="3DE5A8C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80,422</w:t>
            </w:r>
          </w:p>
        </w:tc>
        <w:tc>
          <w:tcPr>
            <w:tcW w:w="1065" w:type="dxa"/>
            <w:vAlign w:val="center"/>
          </w:tcPr>
          <w:p w14:paraId="2E886AB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93,965</w:t>
            </w:r>
          </w:p>
        </w:tc>
      </w:tr>
      <w:tr w:rsidR="000C7D3F" w:rsidRPr="000C7D3F" w14:paraId="3BFE8EBF" w14:textId="77777777" w:rsidTr="00484277">
        <w:trPr>
          <w:trHeight w:val="259"/>
          <w:jc w:val="center"/>
        </w:trPr>
        <w:tc>
          <w:tcPr>
            <w:tcW w:w="2965" w:type="dxa"/>
            <w:vAlign w:val="center"/>
          </w:tcPr>
          <w:p w14:paraId="35F7B8B8"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Investment securities held available for sale</w:t>
            </w:r>
          </w:p>
        </w:tc>
        <w:tc>
          <w:tcPr>
            <w:tcW w:w="1064" w:type="dxa"/>
            <w:vAlign w:val="center"/>
          </w:tcPr>
          <w:p w14:paraId="7B76498D"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61,849</w:t>
            </w:r>
          </w:p>
        </w:tc>
        <w:tc>
          <w:tcPr>
            <w:tcW w:w="1064" w:type="dxa"/>
            <w:vAlign w:val="center"/>
          </w:tcPr>
          <w:p w14:paraId="03F096D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69,040</w:t>
            </w:r>
          </w:p>
        </w:tc>
        <w:tc>
          <w:tcPr>
            <w:tcW w:w="1064" w:type="dxa"/>
            <w:vAlign w:val="center"/>
          </w:tcPr>
          <w:p w14:paraId="3FD7903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70,967</w:t>
            </w:r>
          </w:p>
        </w:tc>
        <w:tc>
          <w:tcPr>
            <w:tcW w:w="1064" w:type="dxa"/>
            <w:vAlign w:val="center"/>
          </w:tcPr>
          <w:p w14:paraId="4BC58811"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79,790</w:t>
            </w:r>
          </w:p>
        </w:tc>
        <w:tc>
          <w:tcPr>
            <w:tcW w:w="1064" w:type="dxa"/>
            <w:vAlign w:val="center"/>
          </w:tcPr>
          <w:p w14:paraId="7401E371"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95,374</w:t>
            </w:r>
          </w:p>
        </w:tc>
        <w:tc>
          <w:tcPr>
            <w:tcW w:w="1065" w:type="dxa"/>
            <w:vAlign w:val="center"/>
          </w:tcPr>
          <w:p w14:paraId="077F5C2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99,888</w:t>
            </w:r>
          </w:p>
        </w:tc>
      </w:tr>
      <w:tr w:rsidR="000C7D3F" w:rsidRPr="000C7D3F" w14:paraId="601D02AA" w14:textId="77777777" w:rsidTr="00484277">
        <w:trPr>
          <w:trHeight w:val="259"/>
          <w:jc w:val="center"/>
        </w:trPr>
        <w:tc>
          <w:tcPr>
            <w:tcW w:w="2965" w:type="dxa"/>
            <w:tcBorders>
              <w:bottom w:val="single" w:sz="4" w:space="0" w:color="auto"/>
            </w:tcBorders>
            <w:vAlign w:val="center"/>
          </w:tcPr>
          <w:p w14:paraId="2FB6FBAC"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Total Investment</w:t>
            </w:r>
          </w:p>
        </w:tc>
        <w:tc>
          <w:tcPr>
            <w:tcW w:w="1064" w:type="dxa"/>
            <w:tcBorders>
              <w:bottom w:val="single" w:sz="4" w:space="0" w:color="auto"/>
            </w:tcBorders>
            <w:vAlign w:val="center"/>
          </w:tcPr>
          <w:p w14:paraId="19E1B780"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225,168</w:t>
            </w:r>
          </w:p>
        </w:tc>
        <w:tc>
          <w:tcPr>
            <w:tcW w:w="1064" w:type="dxa"/>
            <w:tcBorders>
              <w:bottom w:val="single" w:sz="4" w:space="0" w:color="auto"/>
            </w:tcBorders>
            <w:vAlign w:val="center"/>
          </w:tcPr>
          <w:p w14:paraId="03495DF4"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205,383</w:t>
            </w:r>
          </w:p>
        </w:tc>
        <w:tc>
          <w:tcPr>
            <w:tcW w:w="1064" w:type="dxa"/>
            <w:tcBorders>
              <w:bottom w:val="single" w:sz="4" w:space="0" w:color="auto"/>
            </w:tcBorders>
            <w:vAlign w:val="center"/>
          </w:tcPr>
          <w:p w14:paraId="30A612D0"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235,458</w:t>
            </w:r>
          </w:p>
        </w:tc>
        <w:tc>
          <w:tcPr>
            <w:tcW w:w="1064" w:type="dxa"/>
            <w:tcBorders>
              <w:bottom w:val="single" w:sz="4" w:space="0" w:color="auto"/>
            </w:tcBorders>
            <w:vAlign w:val="center"/>
          </w:tcPr>
          <w:p w14:paraId="6E2C7FBE"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281,980</w:t>
            </w:r>
          </w:p>
        </w:tc>
        <w:tc>
          <w:tcPr>
            <w:tcW w:w="1064" w:type="dxa"/>
            <w:tcBorders>
              <w:bottom w:val="single" w:sz="4" w:space="0" w:color="auto"/>
            </w:tcBorders>
            <w:vAlign w:val="center"/>
          </w:tcPr>
          <w:p w14:paraId="3C2D861F"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304,130</w:t>
            </w:r>
          </w:p>
        </w:tc>
        <w:tc>
          <w:tcPr>
            <w:tcW w:w="1065" w:type="dxa"/>
            <w:tcBorders>
              <w:bottom w:val="single" w:sz="4" w:space="0" w:color="auto"/>
            </w:tcBorders>
            <w:vAlign w:val="center"/>
          </w:tcPr>
          <w:p w14:paraId="397F34E5"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332,089</w:t>
            </w:r>
          </w:p>
        </w:tc>
      </w:tr>
      <w:tr w:rsidR="000C7D3F" w:rsidRPr="000C7D3F" w14:paraId="62E7DBD0" w14:textId="77777777" w:rsidTr="00484277">
        <w:trPr>
          <w:trHeight w:val="259"/>
          <w:jc w:val="center"/>
        </w:trPr>
        <w:tc>
          <w:tcPr>
            <w:tcW w:w="2965" w:type="dxa"/>
            <w:tcBorders>
              <w:right w:val="nil"/>
            </w:tcBorders>
            <w:vAlign w:val="center"/>
          </w:tcPr>
          <w:p w14:paraId="53FC2CEA"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Customer loans</w:t>
            </w:r>
          </w:p>
        </w:tc>
        <w:tc>
          <w:tcPr>
            <w:tcW w:w="1064" w:type="dxa"/>
            <w:tcBorders>
              <w:left w:val="nil"/>
              <w:right w:val="nil"/>
            </w:tcBorders>
            <w:vAlign w:val="center"/>
          </w:tcPr>
          <w:p w14:paraId="0C540233"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0DE5154E"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286EFC59"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44D39FD9"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05A8268C" w14:textId="77777777" w:rsidR="000C7D3F" w:rsidRPr="000C7D3F" w:rsidRDefault="000C7D3F" w:rsidP="000C7D3F">
            <w:pPr>
              <w:jc w:val="right"/>
              <w:rPr>
                <w:rFonts w:ascii="Arial" w:hAnsi="Arial" w:cs="Arial"/>
                <w:sz w:val="18"/>
                <w:szCs w:val="18"/>
                <w:lang w:val="en-CA" w:eastAsia="zh-CN"/>
              </w:rPr>
            </w:pPr>
          </w:p>
        </w:tc>
        <w:tc>
          <w:tcPr>
            <w:tcW w:w="1065" w:type="dxa"/>
            <w:tcBorders>
              <w:left w:val="nil"/>
            </w:tcBorders>
            <w:vAlign w:val="center"/>
          </w:tcPr>
          <w:p w14:paraId="1EDB6CC1" w14:textId="77777777" w:rsidR="000C7D3F" w:rsidRPr="000C7D3F" w:rsidRDefault="000C7D3F" w:rsidP="000C7D3F">
            <w:pPr>
              <w:jc w:val="right"/>
              <w:rPr>
                <w:rFonts w:ascii="Arial" w:hAnsi="Arial" w:cs="Arial"/>
                <w:sz w:val="18"/>
                <w:szCs w:val="18"/>
                <w:lang w:val="en-CA" w:eastAsia="zh-CN"/>
              </w:rPr>
            </w:pPr>
          </w:p>
        </w:tc>
      </w:tr>
      <w:tr w:rsidR="000C7D3F" w:rsidRPr="000C7D3F" w14:paraId="2CB8F7C9" w14:textId="77777777" w:rsidTr="00484277">
        <w:trPr>
          <w:trHeight w:val="259"/>
          <w:jc w:val="center"/>
        </w:trPr>
        <w:tc>
          <w:tcPr>
            <w:tcW w:w="2965" w:type="dxa"/>
            <w:vAlign w:val="center"/>
          </w:tcPr>
          <w:p w14:paraId="73E8A123"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Commercial loans</w:t>
            </w:r>
          </w:p>
        </w:tc>
        <w:tc>
          <w:tcPr>
            <w:tcW w:w="1064" w:type="dxa"/>
            <w:vAlign w:val="center"/>
          </w:tcPr>
          <w:p w14:paraId="3E7AAF1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89,817</w:t>
            </w:r>
          </w:p>
        </w:tc>
        <w:tc>
          <w:tcPr>
            <w:tcW w:w="1064" w:type="dxa"/>
            <w:vAlign w:val="center"/>
          </w:tcPr>
          <w:p w14:paraId="039C6E29"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98,563</w:t>
            </w:r>
          </w:p>
        </w:tc>
        <w:tc>
          <w:tcPr>
            <w:tcW w:w="1064" w:type="dxa"/>
            <w:vAlign w:val="center"/>
          </w:tcPr>
          <w:p w14:paraId="233ADC1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118,172</w:t>
            </w:r>
          </w:p>
        </w:tc>
        <w:tc>
          <w:tcPr>
            <w:tcW w:w="1064" w:type="dxa"/>
            <w:vAlign w:val="center"/>
          </w:tcPr>
          <w:p w14:paraId="2419EC8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133,229</w:t>
            </w:r>
          </w:p>
        </w:tc>
        <w:tc>
          <w:tcPr>
            <w:tcW w:w="1064" w:type="dxa"/>
            <w:vAlign w:val="center"/>
          </w:tcPr>
          <w:p w14:paraId="11936A7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138,733</w:t>
            </w:r>
          </w:p>
        </w:tc>
        <w:tc>
          <w:tcPr>
            <w:tcW w:w="1065" w:type="dxa"/>
            <w:vAlign w:val="center"/>
          </w:tcPr>
          <w:p w14:paraId="5F67D08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149,312</w:t>
            </w:r>
          </w:p>
        </w:tc>
      </w:tr>
      <w:tr w:rsidR="000C7D3F" w:rsidRPr="000C7D3F" w14:paraId="2922D68B" w14:textId="77777777" w:rsidTr="00484277">
        <w:trPr>
          <w:trHeight w:val="259"/>
          <w:jc w:val="center"/>
        </w:trPr>
        <w:tc>
          <w:tcPr>
            <w:tcW w:w="2965" w:type="dxa"/>
            <w:vAlign w:val="center"/>
          </w:tcPr>
          <w:p w14:paraId="4F069AD5"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Real-estate construction loans</w:t>
            </w:r>
          </w:p>
        </w:tc>
        <w:tc>
          <w:tcPr>
            <w:tcW w:w="1064" w:type="dxa"/>
            <w:vAlign w:val="center"/>
          </w:tcPr>
          <w:p w14:paraId="4B6EBBCA"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2,325</w:t>
            </w:r>
          </w:p>
        </w:tc>
        <w:tc>
          <w:tcPr>
            <w:tcW w:w="1064" w:type="dxa"/>
            <w:vAlign w:val="center"/>
          </w:tcPr>
          <w:p w14:paraId="7227092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2,523</w:t>
            </w:r>
          </w:p>
        </w:tc>
        <w:tc>
          <w:tcPr>
            <w:tcW w:w="1064" w:type="dxa"/>
            <w:vAlign w:val="center"/>
          </w:tcPr>
          <w:p w14:paraId="5E95FB2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2,454</w:t>
            </w:r>
          </w:p>
        </w:tc>
        <w:tc>
          <w:tcPr>
            <w:tcW w:w="1064" w:type="dxa"/>
            <w:vAlign w:val="center"/>
          </w:tcPr>
          <w:p w14:paraId="3AD1AC37"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3,804</w:t>
            </w:r>
          </w:p>
        </w:tc>
        <w:tc>
          <w:tcPr>
            <w:tcW w:w="1064" w:type="dxa"/>
            <w:vAlign w:val="center"/>
          </w:tcPr>
          <w:p w14:paraId="18C87CA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4,645</w:t>
            </w:r>
          </w:p>
        </w:tc>
        <w:tc>
          <w:tcPr>
            <w:tcW w:w="1065" w:type="dxa"/>
            <w:vAlign w:val="center"/>
          </w:tcPr>
          <w:p w14:paraId="5E6378E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3,967</w:t>
            </w:r>
          </w:p>
        </w:tc>
      </w:tr>
      <w:tr w:rsidR="000C7D3F" w:rsidRPr="000C7D3F" w14:paraId="3B5ECF81" w14:textId="77777777" w:rsidTr="00484277">
        <w:trPr>
          <w:trHeight w:val="259"/>
          <w:jc w:val="center"/>
        </w:trPr>
        <w:tc>
          <w:tcPr>
            <w:tcW w:w="2965" w:type="dxa"/>
            <w:vAlign w:val="center"/>
          </w:tcPr>
          <w:p w14:paraId="388D600C"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Residential mortgages</w:t>
            </w:r>
          </w:p>
        </w:tc>
        <w:tc>
          <w:tcPr>
            <w:tcW w:w="1064" w:type="dxa"/>
            <w:vAlign w:val="center"/>
          </w:tcPr>
          <w:p w14:paraId="22AA862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47,567</w:t>
            </w:r>
          </w:p>
        </w:tc>
        <w:tc>
          <w:tcPr>
            <w:tcW w:w="1064" w:type="dxa"/>
            <w:vAlign w:val="center"/>
          </w:tcPr>
          <w:p w14:paraId="02E8445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57,637</w:t>
            </w:r>
          </w:p>
        </w:tc>
        <w:tc>
          <w:tcPr>
            <w:tcW w:w="1064" w:type="dxa"/>
            <w:vAlign w:val="center"/>
          </w:tcPr>
          <w:p w14:paraId="23922807"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70,662</w:t>
            </w:r>
          </w:p>
        </w:tc>
        <w:tc>
          <w:tcPr>
            <w:tcW w:w="1064" w:type="dxa"/>
            <w:vAlign w:val="center"/>
          </w:tcPr>
          <w:p w14:paraId="3916626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72,574</w:t>
            </w:r>
          </w:p>
        </w:tc>
        <w:tc>
          <w:tcPr>
            <w:tcW w:w="1064" w:type="dxa"/>
            <w:vAlign w:val="center"/>
          </w:tcPr>
          <w:p w14:paraId="2AC9A2F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72,627</w:t>
            </w:r>
          </w:p>
        </w:tc>
        <w:tc>
          <w:tcPr>
            <w:tcW w:w="1065" w:type="dxa"/>
            <w:vAlign w:val="center"/>
          </w:tcPr>
          <w:p w14:paraId="147DDB9D"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69,789</w:t>
            </w:r>
          </w:p>
        </w:tc>
      </w:tr>
      <w:tr w:rsidR="000C7D3F" w:rsidRPr="000C7D3F" w14:paraId="4740D7A3" w14:textId="77777777" w:rsidTr="00484277">
        <w:trPr>
          <w:trHeight w:val="259"/>
          <w:jc w:val="center"/>
        </w:trPr>
        <w:tc>
          <w:tcPr>
            <w:tcW w:w="2965" w:type="dxa"/>
            <w:vAlign w:val="center"/>
          </w:tcPr>
          <w:p w14:paraId="3F4B6DEA"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Consumer loans</w:t>
            </w:r>
          </w:p>
        </w:tc>
        <w:tc>
          <w:tcPr>
            <w:tcW w:w="1064" w:type="dxa"/>
            <w:vAlign w:val="center"/>
          </w:tcPr>
          <w:p w14:paraId="4BC492F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33,097</w:t>
            </w:r>
          </w:p>
        </w:tc>
        <w:tc>
          <w:tcPr>
            <w:tcW w:w="1064" w:type="dxa"/>
            <w:vAlign w:val="center"/>
          </w:tcPr>
          <w:p w14:paraId="4F479361"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36,946</w:t>
            </w:r>
          </w:p>
        </w:tc>
        <w:tc>
          <w:tcPr>
            <w:tcW w:w="1064" w:type="dxa"/>
            <w:vAlign w:val="center"/>
          </w:tcPr>
          <w:p w14:paraId="07EDD52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46,488</w:t>
            </w:r>
          </w:p>
        </w:tc>
        <w:tc>
          <w:tcPr>
            <w:tcW w:w="1064" w:type="dxa"/>
            <w:vAlign w:val="center"/>
          </w:tcPr>
          <w:p w14:paraId="4A179FC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52,676</w:t>
            </w:r>
          </w:p>
        </w:tc>
        <w:tc>
          <w:tcPr>
            <w:tcW w:w="1064" w:type="dxa"/>
            <w:vAlign w:val="center"/>
          </w:tcPr>
          <w:p w14:paraId="075A326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57,790</w:t>
            </w:r>
          </w:p>
        </w:tc>
        <w:tc>
          <w:tcPr>
            <w:tcW w:w="1065" w:type="dxa"/>
            <w:vAlign w:val="center"/>
          </w:tcPr>
          <w:p w14:paraId="2A4C2C0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60,013</w:t>
            </w:r>
          </w:p>
        </w:tc>
      </w:tr>
      <w:tr w:rsidR="000C7D3F" w:rsidRPr="000C7D3F" w14:paraId="1BB333CA" w14:textId="77777777" w:rsidTr="00484277">
        <w:trPr>
          <w:trHeight w:val="259"/>
          <w:jc w:val="center"/>
        </w:trPr>
        <w:tc>
          <w:tcPr>
            <w:tcW w:w="2965" w:type="dxa"/>
            <w:vAlign w:val="center"/>
          </w:tcPr>
          <w:p w14:paraId="438A68EF" w14:textId="77777777" w:rsidR="006840F6" w:rsidRDefault="000C7D3F" w:rsidP="000C7D3F">
            <w:pPr>
              <w:rPr>
                <w:rFonts w:ascii="Arial" w:hAnsi="Arial" w:cs="Arial"/>
                <w:sz w:val="18"/>
                <w:szCs w:val="18"/>
                <w:lang w:val="en-CA" w:eastAsia="zh-CN"/>
              </w:rPr>
            </w:pPr>
            <w:r w:rsidRPr="000C7D3F">
              <w:rPr>
                <w:rFonts w:ascii="Arial" w:hAnsi="Arial" w:cs="Arial"/>
                <w:sz w:val="18"/>
                <w:szCs w:val="18"/>
                <w:lang w:val="en-CA" w:eastAsia="zh-CN"/>
              </w:rPr>
              <w:t xml:space="preserve">Lease financing </w:t>
            </w:r>
          </w:p>
          <w:p w14:paraId="1D9D67AD" w14:textId="13ED2649" w:rsidR="000C7D3F" w:rsidRPr="000C7D3F" w:rsidRDefault="000C7D3F" w:rsidP="006840F6">
            <w:pPr>
              <w:rPr>
                <w:rFonts w:ascii="Arial" w:hAnsi="Arial" w:cs="Arial"/>
                <w:sz w:val="18"/>
                <w:szCs w:val="18"/>
                <w:lang w:val="en-CA" w:eastAsia="zh-CN"/>
              </w:rPr>
            </w:pPr>
            <w:r w:rsidRPr="000C7D3F">
              <w:rPr>
                <w:rFonts w:ascii="Arial" w:hAnsi="Arial" w:cs="Arial"/>
                <w:sz w:val="18"/>
                <w:szCs w:val="18"/>
                <w:lang w:val="en-CA" w:eastAsia="zh-CN"/>
              </w:rPr>
              <w:t>(commercial real</w:t>
            </w:r>
            <w:r w:rsidR="006840F6">
              <w:rPr>
                <w:rFonts w:ascii="Arial" w:hAnsi="Arial" w:cs="Arial"/>
                <w:sz w:val="18"/>
                <w:szCs w:val="18"/>
                <w:lang w:val="en-CA" w:eastAsia="zh-CN"/>
              </w:rPr>
              <w:t xml:space="preserve"> </w:t>
            </w:r>
            <w:r w:rsidRPr="000C7D3F">
              <w:rPr>
                <w:rFonts w:ascii="Arial" w:hAnsi="Arial" w:cs="Arial"/>
                <w:sz w:val="18"/>
                <w:szCs w:val="18"/>
                <w:lang w:val="en-CA" w:eastAsia="zh-CN"/>
              </w:rPr>
              <w:t>estate)</w:t>
            </w:r>
          </w:p>
        </w:tc>
        <w:tc>
          <w:tcPr>
            <w:tcW w:w="1064" w:type="dxa"/>
            <w:vAlign w:val="center"/>
          </w:tcPr>
          <w:p w14:paraId="3A9F1B0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6,357</w:t>
            </w:r>
          </w:p>
        </w:tc>
        <w:tc>
          <w:tcPr>
            <w:tcW w:w="1064" w:type="dxa"/>
            <w:vAlign w:val="center"/>
          </w:tcPr>
          <w:p w14:paraId="04DDE5A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7,008</w:t>
            </w:r>
          </w:p>
        </w:tc>
        <w:tc>
          <w:tcPr>
            <w:tcW w:w="1064" w:type="dxa"/>
            <w:vAlign w:val="center"/>
          </w:tcPr>
          <w:p w14:paraId="4FC0951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9,388</w:t>
            </w:r>
          </w:p>
        </w:tc>
        <w:tc>
          <w:tcPr>
            <w:tcW w:w="1064" w:type="dxa"/>
            <w:vAlign w:val="center"/>
          </w:tcPr>
          <w:p w14:paraId="2A2416C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10,255</w:t>
            </w:r>
          </w:p>
        </w:tc>
        <w:tc>
          <w:tcPr>
            <w:tcW w:w="1064" w:type="dxa"/>
            <w:vAlign w:val="center"/>
          </w:tcPr>
          <w:p w14:paraId="458B9DF3"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11,543</w:t>
            </w:r>
          </w:p>
        </w:tc>
        <w:tc>
          <w:tcPr>
            <w:tcW w:w="1065" w:type="dxa"/>
            <w:vAlign w:val="center"/>
          </w:tcPr>
          <w:p w14:paraId="18374733"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13,630</w:t>
            </w:r>
          </w:p>
        </w:tc>
      </w:tr>
      <w:tr w:rsidR="000C7D3F" w:rsidRPr="000C7D3F" w14:paraId="1AE192A4" w14:textId="77777777" w:rsidTr="00484277">
        <w:trPr>
          <w:trHeight w:val="259"/>
          <w:jc w:val="center"/>
        </w:trPr>
        <w:tc>
          <w:tcPr>
            <w:tcW w:w="2965" w:type="dxa"/>
            <w:vAlign w:val="center"/>
          </w:tcPr>
          <w:p w14:paraId="44D69211"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Total Customer Loans</w:t>
            </w:r>
          </w:p>
        </w:tc>
        <w:tc>
          <w:tcPr>
            <w:tcW w:w="1064" w:type="dxa"/>
            <w:vAlign w:val="center"/>
          </w:tcPr>
          <w:p w14:paraId="76AE6D2A"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179,163</w:t>
            </w:r>
          </w:p>
        </w:tc>
        <w:tc>
          <w:tcPr>
            <w:tcW w:w="1064" w:type="dxa"/>
            <w:vAlign w:val="center"/>
          </w:tcPr>
          <w:p w14:paraId="1C9EE00B"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202,677</w:t>
            </w:r>
          </w:p>
        </w:tc>
        <w:tc>
          <w:tcPr>
            <w:tcW w:w="1064" w:type="dxa"/>
            <w:vAlign w:val="center"/>
          </w:tcPr>
          <w:p w14:paraId="1605BC2C"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247,164</w:t>
            </w:r>
          </w:p>
        </w:tc>
        <w:tc>
          <w:tcPr>
            <w:tcW w:w="1064" w:type="dxa"/>
            <w:vAlign w:val="center"/>
          </w:tcPr>
          <w:p w14:paraId="7510A3F8"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272,538</w:t>
            </w:r>
          </w:p>
        </w:tc>
        <w:tc>
          <w:tcPr>
            <w:tcW w:w="1064" w:type="dxa"/>
            <w:vAlign w:val="center"/>
          </w:tcPr>
          <w:p w14:paraId="1A6F65F2"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285,338</w:t>
            </w:r>
          </w:p>
        </w:tc>
        <w:tc>
          <w:tcPr>
            <w:tcW w:w="1065" w:type="dxa"/>
            <w:vAlign w:val="center"/>
          </w:tcPr>
          <w:p w14:paraId="3EA6AA57"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296,711</w:t>
            </w:r>
          </w:p>
        </w:tc>
      </w:tr>
      <w:tr w:rsidR="000C7D3F" w:rsidRPr="000C7D3F" w14:paraId="175F1BC2" w14:textId="77777777" w:rsidTr="00484277">
        <w:trPr>
          <w:trHeight w:val="259"/>
          <w:jc w:val="center"/>
        </w:trPr>
        <w:tc>
          <w:tcPr>
            <w:tcW w:w="2965" w:type="dxa"/>
            <w:vAlign w:val="center"/>
          </w:tcPr>
          <w:p w14:paraId="5AC3588C"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Impairment provision, customers</w:t>
            </w:r>
          </w:p>
        </w:tc>
        <w:tc>
          <w:tcPr>
            <w:tcW w:w="1064" w:type="dxa"/>
            <w:vAlign w:val="center"/>
          </w:tcPr>
          <w:p w14:paraId="1328CAD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4,985</w:t>
            </w:r>
          </w:p>
        </w:tc>
        <w:tc>
          <w:tcPr>
            <w:tcW w:w="1064" w:type="dxa"/>
            <w:vAlign w:val="center"/>
          </w:tcPr>
          <w:p w14:paraId="1EF9E3E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4,385</w:t>
            </w:r>
          </w:p>
        </w:tc>
        <w:tc>
          <w:tcPr>
            <w:tcW w:w="1064" w:type="dxa"/>
            <w:vAlign w:val="center"/>
          </w:tcPr>
          <w:p w14:paraId="73AA152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6,806</w:t>
            </w:r>
          </w:p>
        </w:tc>
        <w:tc>
          <w:tcPr>
            <w:tcW w:w="1064" w:type="dxa"/>
            <w:vAlign w:val="center"/>
          </w:tcPr>
          <w:p w14:paraId="5EFA3E07"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5,748</w:t>
            </w:r>
          </w:p>
        </w:tc>
        <w:tc>
          <w:tcPr>
            <w:tcW w:w="1064" w:type="dxa"/>
            <w:vAlign w:val="center"/>
          </w:tcPr>
          <w:p w14:paraId="412A69A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5,700</w:t>
            </w:r>
          </w:p>
        </w:tc>
        <w:tc>
          <w:tcPr>
            <w:tcW w:w="1065" w:type="dxa"/>
            <w:vAlign w:val="center"/>
          </w:tcPr>
          <w:p w14:paraId="132541E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6,003</w:t>
            </w:r>
          </w:p>
        </w:tc>
      </w:tr>
      <w:tr w:rsidR="000C7D3F" w:rsidRPr="000C7D3F" w14:paraId="40E240D0" w14:textId="77777777" w:rsidTr="00484277">
        <w:trPr>
          <w:trHeight w:val="259"/>
          <w:jc w:val="center"/>
        </w:trPr>
        <w:tc>
          <w:tcPr>
            <w:tcW w:w="2965" w:type="dxa"/>
            <w:tcBorders>
              <w:bottom w:val="single" w:sz="4" w:space="0" w:color="auto"/>
            </w:tcBorders>
            <w:vAlign w:val="center"/>
          </w:tcPr>
          <w:p w14:paraId="36B8A237"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Loans and Advances to Customers</w:t>
            </w:r>
          </w:p>
        </w:tc>
        <w:tc>
          <w:tcPr>
            <w:tcW w:w="1064" w:type="dxa"/>
            <w:tcBorders>
              <w:bottom w:val="single" w:sz="4" w:space="0" w:color="auto"/>
            </w:tcBorders>
            <w:vAlign w:val="center"/>
          </w:tcPr>
          <w:p w14:paraId="6433EF6B"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174,178</w:t>
            </w:r>
          </w:p>
        </w:tc>
        <w:tc>
          <w:tcPr>
            <w:tcW w:w="1064" w:type="dxa"/>
            <w:tcBorders>
              <w:bottom w:val="single" w:sz="4" w:space="0" w:color="auto"/>
            </w:tcBorders>
            <w:vAlign w:val="center"/>
          </w:tcPr>
          <w:p w14:paraId="3774DB1A"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198,292</w:t>
            </w:r>
          </w:p>
        </w:tc>
        <w:tc>
          <w:tcPr>
            <w:tcW w:w="1064" w:type="dxa"/>
            <w:tcBorders>
              <w:bottom w:val="single" w:sz="4" w:space="0" w:color="auto"/>
            </w:tcBorders>
            <w:vAlign w:val="center"/>
          </w:tcPr>
          <w:p w14:paraId="19063842"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240,358</w:t>
            </w:r>
          </w:p>
        </w:tc>
        <w:tc>
          <w:tcPr>
            <w:tcW w:w="1064" w:type="dxa"/>
            <w:tcBorders>
              <w:bottom w:val="single" w:sz="4" w:space="0" w:color="auto"/>
            </w:tcBorders>
            <w:vAlign w:val="center"/>
          </w:tcPr>
          <w:p w14:paraId="1EA8FE37"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266,790</w:t>
            </w:r>
          </w:p>
        </w:tc>
        <w:tc>
          <w:tcPr>
            <w:tcW w:w="1064" w:type="dxa"/>
            <w:tcBorders>
              <w:bottom w:val="single" w:sz="4" w:space="0" w:color="auto"/>
            </w:tcBorders>
            <w:vAlign w:val="center"/>
          </w:tcPr>
          <w:p w14:paraId="542D4D56"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279,638</w:t>
            </w:r>
          </w:p>
        </w:tc>
        <w:tc>
          <w:tcPr>
            <w:tcW w:w="1065" w:type="dxa"/>
            <w:tcBorders>
              <w:bottom w:val="single" w:sz="4" w:space="0" w:color="auto"/>
            </w:tcBorders>
            <w:vAlign w:val="center"/>
          </w:tcPr>
          <w:p w14:paraId="68FCAF69"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290,708</w:t>
            </w:r>
          </w:p>
        </w:tc>
      </w:tr>
      <w:tr w:rsidR="000C7D3F" w:rsidRPr="000C7D3F" w14:paraId="1928EED3" w14:textId="77777777" w:rsidTr="00484277">
        <w:trPr>
          <w:trHeight w:val="259"/>
          <w:jc w:val="center"/>
        </w:trPr>
        <w:tc>
          <w:tcPr>
            <w:tcW w:w="2965" w:type="dxa"/>
            <w:tcBorders>
              <w:right w:val="nil"/>
            </w:tcBorders>
            <w:vAlign w:val="center"/>
          </w:tcPr>
          <w:p w14:paraId="42DD3418"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Other assets</w:t>
            </w:r>
          </w:p>
        </w:tc>
        <w:tc>
          <w:tcPr>
            <w:tcW w:w="1064" w:type="dxa"/>
            <w:tcBorders>
              <w:left w:val="nil"/>
              <w:right w:val="nil"/>
            </w:tcBorders>
            <w:vAlign w:val="center"/>
          </w:tcPr>
          <w:p w14:paraId="3B244FF7"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7B1C8900"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10C0AFC7"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4B2412A0"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41EB59D8" w14:textId="77777777" w:rsidR="000C7D3F" w:rsidRPr="000C7D3F" w:rsidRDefault="000C7D3F" w:rsidP="000C7D3F">
            <w:pPr>
              <w:jc w:val="right"/>
              <w:rPr>
                <w:rFonts w:ascii="Arial" w:hAnsi="Arial" w:cs="Arial"/>
                <w:sz w:val="18"/>
                <w:szCs w:val="18"/>
                <w:lang w:val="en-CA" w:eastAsia="zh-CN"/>
              </w:rPr>
            </w:pPr>
          </w:p>
        </w:tc>
        <w:tc>
          <w:tcPr>
            <w:tcW w:w="1065" w:type="dxa"/>
            <w:tcBorders>
              <w:left w:val="nil"/>
            </w:tcBorders>
            <w:vAlign w:val="center"/>
          </w:tcPr>
          <w:p w14:paraId="7CE28583" w14:textId="77777777" w:rsidR="000C7D3F" w:rsidRPr="000C7D3F" w:rsidRDefault="000C7D3F" w:rsidP="000C7D3F">
            <w:pPr>
              <w:jc w:val="right"/>
              <w:rPr>
                <w:rFonts w:ascii="Arial" w:hAnsi="Arial" w:cs="Arial"/>
                <w:sz w:val="18"/>
                <w:szCs w:val="18"/>
                <w:lang w:val="en-CA" w:eastAsia="zh-CN"/>
              </w:rPr>
            </w:pPr>
          </w:p>
        </w:tc>
      </w:tr>
      <w:tr w:rsidR="000C7D3F" w:rsidRPr="000C7D3F" w14:paraId="561D84A7" w14:textId="77777777" w:rsidTr="00484277">
        <w:trPr>
          <w:trHeight w:val="259"/>
          <w:jc w:val="center"/>
        </w:trPr>
        <w:tc>
          <w:tcPr>
            <w:tcW w:w="2965" w:type="dxa"/>
            <w:vAlign w:val="center"/>
          </w:tcPr>
          <w:p w14:paraId="525ECE6C"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Premises and equipment</w:t>
            </w:r>
          </w:p>
        </w:tc>
        <w:tc>
          <w:tcPr>
            <w:tcW w:w="1064" w:type="dxa"/>
            <w:vAlign w:val="center"/>
          </w:tcPr>
          <w:p w14:paraId="1A21E0CD"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3,586</w:t>
            </w:r>
          </w:p>
        </w:tc>
        <w:tc>
          <w:tcPr>
            <w:tcW w:w="1064" w:type="dxa"/>
            <w:vAlign w:val="center"/>
          </w:tcPr>
          <w:p w14:paraId="20B9CA9A"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4,103</w:t>
            </w:r>
          </w:p>
        </w:tc>
        <w:tc>
          <w:tcPr>
            <w:tcW w:w="1064" w:type="dxa"/>
            <w:vAlign w:val="center"/>
          </w:tcPr>
          <w:p w14:paraId="129E3D4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4,507</w:t>
            </w:r>
          </w:p>
        </w:tc>
        <w:tc>
          <w:tcPr>
            <w:tcW w:w="1064" w:type="dxa"/>
            <w:vAlign w:val="center"/>
          </w:tcPr>
          <w:p w14:paraId="5BA1A3A2"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5,078</w:t>
            </w:r>
          </w:p>
        </w:tc>
        <w:tc>
          <w:tcPr>
            <w:tcW w:w="1064" w:type="dxa"/>
            <w:vAlign w:val="center"/>
          </w:tcPr>
          <w:p w14:paraId="630F6BB2"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6,620</w:t>
            </w:r>
          </w:p>
        </w:tc>
        <w:tc>
          <w:tcPr>
            <w:tcW w:w="1065" w:type="dxa"/>
            <w:vAlign w:val="center"/>
          </w:tcPr>
          <w:p w14:paraId="61A37071"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6,903</w:t>
            </w:r>
          </w:p>
        </w:tc>
      </w:tr>
      <w:tr w:rsidR="000C7D3F" w:rsidRPr="000C7D3F" w14:paraId="0F71F199" w14:textId="77777777" w:rsidTr="00484277">
        <w:trPr>
          <w:trHeight w:val="259"/>
          <w:jc w:val="center"/>
        </w:trPr>
        <w:tc>
          <w:tcPr>
            <w:tcW w:w="2965" w:type="dxa"/>
            <w:vAlign w:val="center"/>
          </w:tcPr>
          <w:p w14:paraId="4576E032"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Customer liability on acceptance outstanding</w:t>
            </w:r>
          </w:p>
        </w:tc>
        <w:tc>
          <w:tcPr>
            <w:tcW w:w="1064" w:type="dxa"/>
            <w:vAlign w:val="center"/>
          </w:tcPr>
          <w:p w14:paraId="7C83BCB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2,574</w:t>
            </w:r>
          </w:p>
        </w:tc>
        <w:tc>
          <w:tcPr>
            <w:tcW w:w="1064" w:type="dxa"/>
            <w:vAlign w:val="center"/>
          </w:tcPr>
          <w:p w14:paraId="64EBE7E3"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3,080</w:t>
            </w:r>
          </w:p>
        </w:tc>
        <w:tc>
          <w:tcPr>
            <w:tcW w:w="1064" w:type="dxa"/>
            <w:vAlign w:val="center"/>
          </w:tcPr>
          <w:p w14:paraId="492BD1D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4,847</w:t>
            </w:r>
          </w:p>
        </w:tc>
        <w:tc>
          <w:tcPr>
            <w:tcW w:w="1064" w:type="dxa"/>
            <w:vAlign w:val="center"/>
          </w:tcPr>
          <w:p w14:paraId="311E384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5,485</w:t>
            </w:r>
          </w:p>
        </w:tc>
        <w:tc>
          <w:tcPr>
            <w:tcW w:w="1064" w:type="dxa"/>
            <w:vAlign w:val="center"/>
          </w:tcPr>
          <w:p w14:paraId="6F6158A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4,957</w:t>
            </w:r>
          </w:p>
        </w:tc>
        <w:tc>
          <w:tcPr>
            <w:tcW w:w="1065" w:type="dxa"/>
            <w:vAlign w:val="center"/>
          </w:tcPr>
          <w:p w14:paraId="0492D13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5,501</w:t>
            </w:r>
          </w:p>
        </w:tc>
      </w:tr>
      <w:tr w:rsidR="000C7D3F" w:rsidRPr="000C7D3F" w14:paraId="59389D93" w14:textId="77777777" w:rsidTr="00484277">
        <w:trPr>
          <w:trHeight w:val="259"/>
          <w:jc w:val="center"/>
        </w:trPr>
        <w:tc>
          <w:tcPr>
            <w:tcW w:w="2965" w:type="dxa"/>
            <w:vAlign w:val="center"/>
          </w:tcPr>
          <w:p w14:paraId="214E254B"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Accrued income and prepayments</w:t>
            </w:r>
          </w:p>
        </w:tc>
        <w:tc>
          <w:tcPr>
            <w:tcW w:w="1064" w:type="dxa"/>
            <w:vAlign w:val="center"/>
          </w:tcPr>
          <w:p w14:paraId="4DF9764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3,466</w:t>
            </w:r>
          </w:p>
        </w:tc>
        <w:tc>
          <w:tcPr>
            <w:tcW w:w="1064" w:type="dxa"/>
            <w:vAlign w:val="center"/>
          </w:tcPr>
          <w:p w14:paraId="763A6471"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3,241</w:t>
            </w:r>
          </w:p>
        </w:tc>
        <w:tc>
          <w:tcPr>
            <w:tcW w:w="1064" w:type="dxa"/>
            <w:vAlign w:val="center"/>
          </w:tcPr>
          <w:p w14:paraId="392C322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2,127</w:t>
            </w:r>
          </w:p>
        </w:tc>
        <w:tc>
          <w:tcPr>
            <w:tcW w:w="1064" w:type="dxa"/>
            <w:vAlign w:val="center"/>
          </w:tcPr>
          <w:p w14:paraId="6F8D83D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2,521</w:t>
            </w:r>
          </w:p>
        </w:tc>
        <w:tc>
          <w:tcPr>
            <w:tcW w:w="1064" w:type="dxa"/>
            <w:vAlign w:val="center"/>
          </w:tcPr>
          <w:p w14:paraId="2307E8B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2,552</w:t>
            </w:r>
          </w:p>
        </w:tc>
        <w:tc>
          <w:tcPr>
            <w:tcW w:w="1065" w:type="dxa"/>
            <w:vAlign w:val="center"/>
          </w:tcPr>
          <w:p w14:paraId="01774FA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2,510</w:t>
            </w:r>
          </w:p>
        </w:tc>
      </w:tr>
      <w:tr w:rsidR="000C7D3F" w:rsidRPr="000C7D3F" w14:paraId="3D0ADFD0" w14:textId="77777777" w:rsidTr="00484277">
        <w:trPr>
          <w:trHeight w:val="259"/>
          <w:jc w:val="center"/>
        </w:trPr>
        <w:tc>
          <w:tcPr>
            <w:tcW w:w="2965" w:type="dxa"/>
            <w:vAlign w:val="center"/>
          </w:tcPr>
          <w:p w14:paraId="6C0208A9"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Other assets</w:t>
            </w:r>
          </w:p>
        </w:tc>
        <w:tc>
          <w:tcPr>
            <w:tcW w:w="1064" w:type="dxa"/>
            <w:vAlign w:val="center"/>
          </w:tcPr>
          <w:p w14:paraId="2513352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26,096</w:t>
            </w:r>
          </w:p>
        </w:tc>
        <w:tc>
          <w:tcPr>
            <w:tcW w:w="1064" w:type="dxa"/>
            <w:vAlign w:val="center"/>
          </w:tcPr>
          <w:p w14:paraId="6CEAF973"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22,554</w:t>
            </w:r>
          </w:p>
        </w:tc>
        <w:tc>
          <w:tcPr>
            <w:tcW w:w="1064" w:type="dxa"/>
            <w:vAlign w:val="center"/>
          </w:tcPr>
          <w:p w14:paraId="0D709A4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29,263</w:t>
            </w:r>
          </w:p>
        </w:tc>
        <w:tc>
          <w:tcPr>
            <w:tcW w:w="1064" w:type="dxa"/>
            <w:vAlign w:val="center"/>
          </w:tcPr>
          <w:p w14:paraId="33DB660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30,832</w:t>
            </w:r>
          </w:p>
        </w:tc>
        <w:tc>
          <w:tcPr>
            <w:tcW w:w="1064" w:type="dxa"/>
            <w:vAlign w:val="center"/>
          </w:tcPr>
          <w:p w14:paraId="02E67C1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33,311</w:t>
            </w:r>
          </w:p>
        </w:tc>
        <w:tc>
          <w:tcPr>
            <w:tcW w:w="1065" w:type="dxa"/>
            <w:vAlign w:val="center"/>
          </w:tcPr>
          <w:p w14:paraId="5F32DB1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36,669</w:t>
            </w:r>
          </w:p>
        </w:tc>
      </w:tr>
      <w:tr w:rsidR="000C7D3F" w:rsidRPr="000C7D3F" w14:paraId="539B0AD8" w14:textId="77777777" w:rsidTr="00484277">
        <w:trPr>
          <w:trHeight w:val="259"/>
          <w:jc w:val="center"/>
        </w:trPr>
        <w:tc>
          <w:tcPr>
            <w:tcW w:w="2965" w:type="dxa"/>
            <w:vAlign w:val="center"/>
          </w:tcPr>
          <w:p w14:paraId="653907BA"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Total Assets</w:t>
            </w:r>
          </w:p>
        </w:tc>
        <w:tc>
          <w:tcPr>
            <w:tcW w:w="1064" w:type="dxa"/>
            <w:vAlign w:val="center"/>
          </w:tcPr>
          <w:p w14:paraId="57EA4A41"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435,068</w:t>
            </w:r>
          </w:p>
        </w:tc>
        <w:tc>
          <w:tcPr>
            <w:tcW w:w="1064" w:type="dxa"/>
            <w:vAlign w:val="center"/>
          </w:tcPr>
          <w:p w14:paraId="522F77BA"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436,653</w:t>
            </w:r>
          </w:p>
        </w:tc>
        <w:tc>
          <w:tcPr>
            <w:tcW w:w="1064" w:type="dxa"/>
            <w:vAlign w:val="center"/>
          </w:tcPr>
          <w:p w14:paraId="02110BCB"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516,560</w:t>
            </w:r>
          </w:p>
        </w:tc>
        <w:tc>
          <w:tcPr>
            <w:tcW w:w="1064" w:type="dxa"/>
            <w:vAlign w:val="center"/>
          </w:tcPr>
          <w:p w14:paraId="62FE0977"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592,686</w:t>
            </w:r>
          </w:p>
        </w:tc>
        <w:tc>
          <w:tcPr>
            <w:tcW w:w="1064" w:type="dxa"/>
            <w:vAlign w:val="center"/>
          </w:tcPr>
          <w:p w14:paraId="46BE0634"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631,208</w:t>
            </w:r>
          </w:p>
        </w:tc>
        <w:tc>
          <w:tcPr>
            <w:tcW w:w="1065" w:type="dxa"/>
            <w:vAlign w:val="center"/>
          </w:tcPr>
          <w:p w14:paraId="0300DFEC"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674,380</w:t>
            </w:r>
          </w:p>
        </w:tc>
      </w:tr>
    </w:tbl>
    <w:p w14:paraId="7ABC3BF6" w14:textId="77777777" w:rsidR="000C7D3F" w:rsidRPr="000C7D3F" w:rsidRDefault="000C7D3F" w:rsidP="000C7D3F">
      <w:pPr>
        <w:jc w:val="both"/>
        <w:rPr>
          <w:rFonts w:ascii="Arial" w:hAnsi="Arial" w:cs="Arial"/>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1064"/>
        <w:gridCol w:w="1064"/>
        <w:gridCol w:w="1064"/>
        <w:gridCol w:w="1064"/>
        <w:gridCol w:w="1064"/>
        <w:gridCol w:w="1065"/>
      </w:tblGrid>
      <w:tr w:rsidR="000C7D3F" w:rsidRPr="000C7D3F" w14:paraId="4B3C6E9C" w14:textId="77777777" w:rsidTr="00484277">
        <w:trPr>
          <w:trHeight w:val="259"/>
          <w:jc w:val="center"/>
        </w:trPr>
        <w:tc>
          <w:tcPr>
            <w:tcW w:w="2965" w:type="dxa"/>
            <w:tcBorders>
              <w:right w:val="nil"/>
            </w:tcBorders>
            <w:vAlign w:val="center"/>
          </w:tcPr>
          <w:p w14:paraId="22553FD5" w14:textId="77777777" w:rsidR="000C7D3F" w:rsidRPr="000C7D3F" w:rsidRDefault="000C7D3F" w:rsidP="000C7D3F">
            <w:pPr>
              <w:rPr>
                <w:rFonts w:ascii="Arial" w:hAnsi="Arial" w:cs="Arial"/>
                <w:sz w:val="18"/>
                <w:szCs w:val="18"/>
                <w:lang w:val="en-CA" w:eastAsia="zh-CN"/>
              </w:rPr>
            </w:pPr>
            <w:r w:rsidRPr="000C7D3F">
              <w:rPr>
                <w:rFonts w:ascii="Arial" w:hAnsi="Arial" w:cs="Arial"/>
                <w:b/>
                <w:sz w:val="18"/>
                <w:szCs w:val="18"/>
                <w:lang w:val="en-GB" w:eastAsia="zh-CN"/>
              </w:rPr>
              <w:t>LIABILITIES</w:t>
            </w:r>
          </w:p>
        </w:tc>
        <w:tc>
          <w:tcPr>
            <w:tcW w:w="1064" w:type="dxa"/>
            <w:tcBorders>
              <w:left w:val="nil"/>
              <w:right w:val="nil"/>
            </w:tcBorders>
            <w:vAlign w:val="center"/>
          </w:tcPr>
          <w:p w14:paraId="3B7EA4C6"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048403F8"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5798F1DF"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2183DB5E" w14:textId="77777777" w:rsidR="000C7D3F" w:rsidRPr="000C7D3F" w:rsidRDefault="000C7D3F" w:rsidP="000C7D3F">
            <w:pPr>
              <w:jc w:val="right"/>
              <w:rPr>
                <w:rFonts w:ascii="Arial" w:hAnsi="Arial" w:cs="Arial"/>
                <w:sz w:val="18"/>
                <w:szCs w:val="18"/>
                <w:lang w:val="en-CA" w:eastAsia="zh-CN"/>
              </w:rPr>
            </w:pPr>
          </w:p>
        </w:tc>
        <w:tc>
          <w:tcPr>
            <w:tcW w:w="1064" w:type="dxa"/>
            <w:tcBorders>
              <w:left w:val="nil"/>
              <w:right w:val="nil"/>
            </w:tcBorders>
            <w:vAlign w:val="center"/>
          </w:tcPr>
          <w:p w14:paraId="5A837971" w14:textId="77777777" w:rsidR="000C7D3F" w:rsidRPr="000C7D3F" w:rsidRDefault="000C7D3F" w:rsidP="000C7D3F">
            <w:pPr>
              <w:jc w:val="right"/>
              <w:rPr>
                <w:rFonts w:ascii="Arial" w:hAnsi="Arial" w:cs="Arial"/>
                <w:sz w:val="18"/>
                <w:szCs w:val="18"/>
                <w:lang w:val="en-CA" w:eastAsia="zh-CN"/>
              </w:rPr>
            </w:pPr>
          </w:p>
        </w:tc>
        <w:tc>
          <w:tcPr>
            <w:tcW w:w="1065" w:type="dxa"/>
            <w:tcBorders>
              <w:left w:val="nil"/>
            </w:tcBorders>
            <w:vAlign w:val="center"/>
          </w:tcPr>
          <w:p w14:paraId="00D6CB28" w14:textId="77777777" w:rsidR="000C7D3F" w:rsidRPr="000C7D3F" w:rsidRDefault="000C7D3F" w:rsidP="000C7D3F">
            <w:pPr>
              <w:jc w:val="right"/>
              <w:rPr>
                <w:rFonts w:ascii="Arial" w:hAnsi="Arial" w:cs="Arial"/>
                <w:sz w:val="18"/>
                <w:szCs w:val="18"/>
                <w:lang w:val="en-CA" w:eastAsia="zh-CN"/>
              </w:rPr>
            </w:pPr>
          </w:p>
        </w:tc>
      </w:tr>
      <w:tr w:rsidR="000C7D3F" w:rsidRPr="000C7D3F" w14:paraId="49E3A4C9" w14:textId="77777777" w:rsidTr="00484277">
        <w:trPr>
          <w:trHeight w:val="259"/>
          <w:jc w:val="center"/>
        </w:trPr>
        <w:tc>
          <w:tcPr>
            <w:tcW w:w="2965" w:type="dxa"/>
            <w:tcBorders>
              <w:bottom w:val="single" w:sz="4" w:space="0" w:color="auto"/>
            </w:tcBorders>
            <w:vAlign w:val="center"/>
          </w:tcPr>
          <w:p w14:paraId="686C2F89" w14:textId="77777777" w:rsidR="000C7D3F" w:rsidRPr="000C7D3F" w:rsidRDefault="000C7D3F" w:rsidP="000C7D3F">
            <w:pPr>
              <w:rPr>
                <w:rFonts w:ascii="Arial" w:hAnsi="Arial" w:cs="Arial"/>
                <w:sz w:val="18"/>
                <w:szCs w:val="18"/>
                <w:lang w:val="en-CA" w:eastAsia="zh-CN"/>
              </w:rPr>
            </w:pPr>
          </w:p>
        </w:tc>
        <w:tc>
          <w:tcPr>
            <w:tcW w:w="1064" w:type="dxa"/>
            <w:tcBorders>
              <w:bottom w:val="single" w:sz="4" w:space="0" w:color="auto"/>
            </w:tcBorders>
            <w:vAlign w:val="center"/>
          </w:tcPr>
          <w:p w14:paraId="19689069"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2008</w:t>
            </w:r>
          </w:p>
        </w:tc>
        <w:tc>
          <w:tcPr>
            <w:tcW w:w="1064" w:type="dxa"/>
            <w:tcBorders>
              <w:bottom w:val="single" w:sz="4" w:space="0" w:color="auto"/>
            </w:tcBorders>
            <w:vAlign w:val="center"/>
          </w:tcPr>
          <w:p w14:paraId="5B78C65D"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2009</w:t>
            </w:r>
          </w:p>
        </w:tc>
        <w:tc>
          <w:tcPr>
            <w:tcW w:w="1064" w:type="dxa"/>
            <w:tcBorders>
              <w:bottom w:val="single" w:sz="4" w:space="0" w:color="auto"/>
            </w:tcBorders>
            <w:vAlign w:val="center"/>
          </w:tcPr>
          <w:p w14:paraId="435EBCCB"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2010</w:t>
            </w:r>
          </w:p>
        </w:tc>
        <w:tc>
          <w:tcPr>
            <w:tcW w:w="1064" w:type="dxa"/>
            <w:tcBorders>
              <w:bottom w:val="single" w:sz="4" w:space="0" w:color="auto"/>
            </w:tcBorders>
            <w:vAlign w:val="center"/>
          </w:tcPr>
          <w:p w14:paraId="247D9DE0"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2011</w:t>
            </w:r>
          </w:p>
        </w:tc>
        <w:tc>
          <w:tcPr>
            <w:tcW w:w="1064" w:type="dxa"/>
            <w:tcBorders>
              <w:bottom w:val="single" w:sz="4" w:space="0" w:color="auto"/>
            </w:tcBorders>
            <w:vAlign w:val="center"/>
          </w:tcPr>
          <w:p w14:paraId="021E63F5"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2012</w:t>
            </w:r>
          </w:p>
        </w:tc>
        <w:tc>
          <w:tcPr>
            <w:tcW w:w="1065" w:type="dxa"/>
            <w:tcBorders>
              <w:bottom w:val="single" w:sz="4" w:space="0" w:color="auto"/>
            </w:tcBorders>
            <w:vAlign w:val="center"/>
          </w:tcPr>
          <w:p w14:paraId="62ED6FB7" w14:textId="77777777" w:rsidR="000C7D3F" w:rsidRPr="000C7D3F" w:rsidRDefault="000C7D3F" w:rsidP="000C7D3F">
            <w:pPr>
              <w:jc w:val="center"/>
              <w:rPr>
                <w:rFonts w:ascii="Arial" w:hAnsi="Arial" w:cs="Arial"/>
                <w:b/>
                <w:sz w:val="18"/>
                <w:szCs w:val="18"/>
                <w:lang w:val="en-CA" w:eastAsia="zh-CN"/>
              </w:rPr>
            </w:pPr>
            <w:r w:rsidRPr="000C7D3F">
              <w:rPr>
                <w:rFonts w:ascii="Arial" w:hAnsi="Arial" w:cs="Arial"/>
                <w:b/>
                <w:sz w:val="18"/>
                <w:szCs w:val="18"/>
                <w:lang w:val="en-CA" w:eastAsia="zh-CN"/>
              </w:rPr>
              <w:t>2013</w:t>
            </w:r>
          </w:p>
        </w:tc>
      </w:tr>
      <w:tr w:rsidR="000C7D3F" w:rsidRPr="000C7D3F" w14:paraId="1AEBEB3D" w14:textId="77777777" w:rsidTr="00484277">
        <w:trPr>
          <w:trHeight w:val="259"/>
          <w:jc w:val="center"/>
        </w:trPr>
        <w:tc>
          <w:tcPr>
            <w:tcW w:w="2965" w:type="dxa"/>
            <w:tcBorders>
              <w:right w:val="nil"/>
            </w:tcBorders>
            <w:vAlign w:val="center"/>
          </w:tcPr>
          <w:p w14:paraId="3D3593AD"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Deposit Liabilities</w:t>
            </w:r>
          </w:p>
        </w:tc>
        <w:tc>
          <w:tcPr>
            <w:tcW w:w="1064" w:type="dxa"/>
            <w:tcBorders>
              <w:left w:val="nil"/>
              <w:right w:val="nil"/>
            </w:tcBorders>
            <w:vAlign w:val="center"/>
          </w:tcPr>
          <w:p w14:paraId="4B6F39D3"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050A35AA"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73B95E59"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296560E3"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3142B550" w14:textId="77777777" w:rsidR="000C7D3F" w:rsidRPr="000C7D3F" w:rsidRDefault="000C7D3F" w:rsidP="000C7D3F">
            <w:pPr>
              <w:jc w:val="right"/>
              <w:rPr>
                <w:rFonts w:ascii="Arial" w:hAnsi="Arial" w:cs="Arial"/>
                <w:b/>
                <w:sz w:val="18"/>
                <w:szCs w:val="18"/>
                <w:lang w:val="en-CA" w:eastAsia="zh-CN"/>
              </w:rPr>
            </w:pPr>
          </w:p>
        </w:tc>
        <w:tc>
          <w:tcPr>
            <w:tcW w:w="1065" w:type="dxa"/>
            <w:tcBorders>
              <w:left w:val="nil"/>
            </w:tcBorders>
            <w:vAlign w:val="center"/>
          </w:tcPr>
          <w:p w14:paraId="67329786" w14:textId="77777777" w:rsidR="000C7D3F" w:rsidRPr="000C7D3F" w:rsidRDefault="000C7D3F" w:rsidP="000C7D3F">
            <w:pPr>
              <w:jc w:val="right"/>
              <w:rPr>
                <w:rFonts w:ascii="Arial" w:hAnsi="Arial" w:cs="Arial"/>
                <w:b/>
                <w:sz w:val="18"/>
                <w:szCs w:val="18"/>
                <w:lang w:val="en-CA" w:eastAsia="zh-CN"/>
              </w:rPr>
            </w:pPr>
          </w:p>
        </w:tc>
      </w:tr>
      <w:tr w:rsidR="000C7D3F" w:rsidRPr="000C7D3F" w14:paraId="4BE889F6" w14:textId="77777777" w:rsidTr="00484277">
        <w:trPr>
          <w:trHeight w:val="259"/>
          <w:jc w:val="center"/>
        </w:trPr>
        <w:tc>
          <w:tcPr>
            <w:tcW w:w="2965" w:type="dxa"/>
            <w:vAlign w:val="center"/>
          </w:tcPr>
          <w:p w14:paraId="67AC4ACA" w14:textId="0B1C1FB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Noninterest-bearing deposits</w:t>
            </w:r>
          </w:p>
        </w:tc>
        <w:tc>
          <w:tcPr>
            <w:tcW w:w="1064" w:type="dxa"/>
            <w:vAlign w:val="center"/>
          </w:tcPr>
          <w:p w14:paraId="57BE1A19"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24,195</w:t>
            </w:r>
          </w:p>
        </w:tc>
        <w:tc>
          <w:tcPr>
            <w:tcW w:w="1064" w:type="dxa"/>
            <w:vAlign w:val="center"/>
          </w:tcPr>
          <w:p w14:paraId="32FC0E72"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30,572</w:t>
            </w:r>
          </w:p>
        </w:tc>
        <w:tc>
          <w:tcPr>
            <w:tcW w:w="1064" w:type="dxa"/>
            <w:vAlign w:val="center"/>
          </w:tcPr>
          <w:p w14:paraId="0AC2EB5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40,820</w:t>
            </w:r>
          </w:p>
        </w:tc>
        <w:tc>
          <w:tcPr>
            <w:tcW w:w="1064" w:type="dxa"/>
            <w:vAlign w:val="center"/>
          </w:tcPr>
          <w:p w14:paraId="72CACD07"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38,510</w:t>
            </w:r>
          </w:p>
        </w:tc>
        <w:tc>
          <w:tcPr>
            <w:tcW w:w="1064" w:type="dxa"/>
            <w:vAlign w:val="center"/>
          </w:tcPr>
          <w:p w14:paraId="69288BBD"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42,230</w:t>
            </w:r>
          </w:p>
        </w:tc>
        <w:tc>
          <w:tcPr>
            <w:tcW w:w="1065" w:type="dxa"/>
            <w:vAlign w:val="center"/>
          </w:tcPr>
          <w:p w14:paraId="5385B7C9"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45,482</w:t>
            </w:r>
          </w:p>
        </w:tc>
      </w:tr>
      <w:tr w:rsidR="000C7D3F" w:rsidRPr="000C7D3F" w14:paraId="4B861025" w14:textId="77777777" w:rsidTr="00484277">
        <w:trPr>
          <w:trHeight w:val="259"/>
          <w:jc w:val="center"/>
        </w:trPr>
        <w:tc>
          <w:tcPr>
            <w:tcW w:w="2965" w:type="dxa"/>
            <w:vAlign w:val="center"/>
          </w:tcPr>
          <w:p w14:paraId="33018A72"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Saving deposits</w:t>
            </w:r>
          </w:p>
        </w:tc>
        <w:tc>
          <w:tcPr>
            <w:tcW w:w="1064" w:type="dxa"/>
            <w:vAlign w:val="center"/>
          </w:tcPr>
          <w:p w14:paraId="5D28F65A"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93,092</w:t>
            </w:r>
          </w:p>
        </w:tc>
        <w:tc>
          <w:tcPr>
            <w:tcW w:w="1064" w:type="dxa"/>
            <w:vAlign w:val="center"/>
          </w:tcPr>
          <w:p w14:paraId="077FCAB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126,726</w:t>
            </w:r>
          </w:p>
        </w:tc>
        <w:tc>
          <w:tcPr>
            <w:tcW w:w="1064" w:type="dxa"/>
            <w:vAlign w:val="center"/>
          </w:tcPr>
          <w:p w14:paraId="4C909729"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137,255</w:t>
            </w:r>
          </w:p>
        </w:tc>
        <w:tc>
          <w:tcPr>
            <w:tcW w:w="1064" w:type="dxa"/>
            <w:vAlign w:val="center"/>
          </w:tcPr>
          <w:p w14:paraId="6203E113"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153,185</w:t>
            </w:r>
          </w:p>
        </w:tc>
        <w:tc>
          <w:tcPr>
            <w:tcW w:w="1064" w:type="dxa"/>
            <w:vAlign w:val="center"/>
          </w:tcPr>
          <w:p w14:paraId="49DE864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173,103</w:t>
            </w:r>
          </w:p>
        </w:tc>
        <w:tc>
          <w:tcPr>
            <w:tcW w:w="1065" w:type="dxa"/>
            <w:vAlign w:val="center"/>
          </w:tcPr>
          <w:p w14:paraId="78D2D6C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181,159</w:t>
            </w:r>
          </w:p>
        </w:tc>
      </w:tr>
      <w:tr w:rsidR="000C7D3F" w:rsidRPr="000C7D3F" w14:paraId="360C0046" w14:textId="77777777" w:rsidTr="00484277">
        <w:trPr>
          <w:trHeight w:val="259"/>
          <w:jc w:val="center"/>
        </w:trPr>
        <w:tc>
          <w:tcPr>
            <w:tcW w:w="2965" w:type="dxa"/>
            <w:vAlign w:val="center"/>
          </w:tcPr>
          <w:p w14:paraId="7126277E"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Customer certificates of deposits</w:t>
            </w:r>
          </w:p>
        </w:tc>
        <w:tc>
          <w:tcPr>
            <w:tcW w:w="1064" w:type="dxa"/>
            <w:vAlign w:val="center"/>
          </w:tcPr>
          <w:p w14:paraId="5FC5F49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145,206</w:t>
            </w:r>
          </w:p>
        </w:tc>
        <w:tc>
          <w:tcPr>
            <w:tcW w:w="1064" w:type="dxa"/>
            <w:vAlign w:val="center"/>
          </w:tcPr>
          <w:p w14:paraId="48466EA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133,882</w:t>
            </w:r>
          </w:p>
        </w:tc>
        <w:tc>
          <w:tcPr>
            <w:tcW w:w="1064" w:type="dxa"/>
            <w:vAlign w:val="center"/>
          </w:tcPr>
          <w:p w14:paraId="5110A07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162,652</w:t>
            </w:r>
          </w:p>
        </w:tc>
        <w:tc>
          <w:tcPr>
            <w:tcW w:w="1064" w:type="dxa"/>
            <w:vAlign w:val="center"/>
          </w:tcPr>
          <w:p w14:paraId="05E7CE5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193,035</w:t>
            </w:r>
          </w:p>
        </w:tc>
        <w:tc>
          <w:tcPr>
            <w:tcW w:w="1064" w:type="dxa"/>
            <w:vAlign w:val="center"/>
          </w:tcPr>
          <w:p w14:paraId="28E4B24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201,123</w:t>
            </w:r>
          </w:p>
        </w:tc>
        <w:tc>
          <w:tcPr>
            <w:tcW w:w="1065" w:type="dxa"/>
            <w:vAlign w:val="center"/>
          </w:tcPr>
          <w:p w14:paraId="68984E9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200,142</w:t>
            </w:r>
          </w:p>
        </w:tc>
      </w:tr>
      <w:tr w:rsidR="000C7D3F" w:rsidRPr="000C7D3F" w14:paraId="6DDF35FD" w14:textId="77777777" w:rsidTr="00484277">
        <w:trPr>
          <w:trHeight w:val="259"/>
          <w:jc w:val="center"/>
        </w:trPr>
        <w:tc>
          <w:tcPr>
            <w:tcW w:w="2965" w:type="dxa"/>
            <w:vAlign w:val="center"/>
          </w:tcPr>
          <w:p w14:paraId="05735C38"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Other deposits</w:t>
            </w:r>
          </w:p>
        </w:tc>
        <w:tc>
          <w:tcPr>
            <w:tcW w:w="1064" w:type="dxa"/>
            <w:vAlign w:val="center"/>
          </w:tcPr>
          <w:p w14:paraId="35A57B3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12,084</w:t>
            </w:r>
          </w:p>
        </w:tc>
        <w:tc>
          <w:tcPr>
            <w:tcW w:w="1064" w:type="dxa"/>
            <w:vAlign w:val="center"/>
          </w:tcPr>
          <w:p w14:paraId="28744FD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4,509</w:t>
            </w:r>
          </w:p>
        </w:tc>
        <w:tc>
          <w:tcPr>
            <w:tcW w:w="1064" w:type="dxa"/>
            <w:vAlign w:val="center"/>
          </w:tcPr>
          <w:p w14:paraId="1127855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5,249</w:t>
            </w:r>
          </w:p>
        </w:tc>
        <w:tc>
          <w:tcPr>
            <w:tcW w:w="1064" w:type="dxa"/>
            <w:vAlign w:val="center"/>
          </w:tcPr>
          <w:p w14:paraId="3432D762"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6,502</w:t>
            </w:r>
          </w:p>
        </w:tc>
        <w:tc>
          <w:tcPr>
            <w:tcW w:w="1064" w:type="dxa"/>
            <w:vAlign w:val="center"/>
          </w:tcPr>
          <w:p w14:paraId="1D7DABB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6,056</w:t>
            </w:r>
          </w:p>
        </w:tc>
        <w:tc>
          <w:tcPr>
            <w:tcW w:w="1065" w:type="dxa"/>
            <w:vAlign w:val="center"/>
          </w:tcPr>
          <w:p w14:paraId="7931282D"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8,714</w:t>
            </w:r>
          </w:p>
        </w:tc>
      </w:tr>
      <w:tr w:rsidR="000C7D3F" w:rsidRPr="000C7D3F" w14:paraId="0E03D3C9" w14:textId="77777777" w:rsidTr="00484277">
        <w:trPr>
          <w:trHeight w:val="259"/>
          <w:jc w:val="center"/>
        </w:trPr>
        <w:tc>
          <w:tcPr>
            <w:tcW w:w="2965" w:type="dxa"/>
            <w:vAlign w:val="center"/>
          </w:tcPr>
          <w:p w14:paraId="27271DA1"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Total interest-bearing deposits</w:t>
            </w:r>
          </w:p>
        </w:tc>
        <w:tc>
          <w:tcPr>
            <w:tcW w:w="1064" w:type="dxa"/>
            <w:vAlign w:val="center"/>
          </w:tcPr>
          <w:p w14:paraId="22A8609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250,382</w:t>
            </w:r>
          </w:p>
        </w:tc>
        <w:tc>
          <w:tcPr>
            <w:tcW w:w="1064" w:type="dxa"/>
            <w:vAlign w:val="center"/>
          </w:tcPr>
          <w:p w14:paraId="308D3B32"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265,117</w:t>
            </w:r>
          </w:p>
        </w:tc>
        <w:tc>
          <w:tcPr>
            <w:tcW w:w="1064" w:type="dxa"/>
            <w:vAlign w:val="center"/>
          </w:tcPr>
          <w:p w14:paraId="3524C08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305,156</w:t>
            </w:r>
          </w:p>
        </w:tc>
        <w:tc>
          <w:tcPr>
            <w:tcW w:w="1064" w:type="dxa"/>
            <w:vAlign w:val="center"/>
          </w:tcPr>
          <w:p w14:paraId="5DFC0E2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352,722</w:t>
            </w:r>
          </w:p>
        </w:tc>
        <w:tc>
          <w:tcPr>
            <w:tcW w:w="1064" w:type="dxa"/>
            <w:vAlign w:val="center"/>
          </w:tcPr>
          <w:p w14:paraId="29B7F71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380,282</w:t>
            </w:r>
          </w:p>
        </w:tc>
        <w:tc>
          <w:tcPr>
            <w:tcW w:w="1065" w:type="dxa"/>
            <w:vAlign w:val="center"/>
          </w:tcPr>
          <w:p w14:paraId="118DF52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390,015</w:t>
            </w:r>
          </w:p>
        </w:tc>
      </w:tr>
      <w:tr w:rsidR="000C7D3F" w:rsidRPr="000C7D3F" w14:paraId="60CC075E" w14:textId="77777777" w:rsidTr="00484277">
        <w:trPr>
          <w:trHeight w:val="259"/>
          <w:jc w:val="center"/>
        </w:trPr>
        <w:tc>
          <w:tcPr>
            <w:tcW w:w="2965" w:type="dxa"/>
            <w:vAlign w:val="center"/>
          </w:tcPr>
          <w:p w14:paraId="43E072FA"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Total deposits</w:t>
            </w:r>
          </w:p>
        </w:tc>
        <w:tc>
          <w:tcPr>
            <w:tcW w:w="1064" w:type="dxa"/>
            <w:vAlign w:val="center"/>
          </w:tcPr>
          <w:p w14:paraId="14A7BA1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274,577</w:t>
            </w:r>
          </w:p>
        </w:tc>
        <w:tc>
          <w:tcPr>
            <w:tcW w:w="1064" w:type="dxa"/>
            <w:vAlign w:val="center"/>
          </w:tcPr>
          <w:p w14:paraId="0199B81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295,689</w:t>
            </w:r>
          </w:p>
        </w:tc>
        <w:tc>
          <w:tcPr>
            <w:tcW w:w="1064" w:type="dxa"/>
            <w:vAlign w:val="center"/>
          </w:tcPr>
          <w:p w14:paraId="01389172"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345,976</w:t>
            </w:r>
          </w:p>
        </w:tc>
        <w:tc>
          <w:tcPr>
            <w:tcW w:w="1064" w:type="dxa"/>
            <w:vAlign w:val="center"/>
          </w:tcPr>
          <w:p w14:paraId="72306747"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391,232</w:t>
            </w:r>
          </w:p>
        </w:tc>
        <w:tc>
          <w:tcPr>
            <w:tcW w:w="1064" w:type="dxa"/>
            <w:vAlign w:val="center"/>
          </w:tcPr>
          <w:p w14:paraId="45F7023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422,512</w:t>
            </w:r>
          </w:p>
        </w:tc>
        <w:tc>
          <w:tcPr>
            <w:tcW w:w="1065" w:type="dxa"/>
            <w:vAlign w:val="center"/>
          </w:tcPr>
          <w:p w14:paraId="301CED6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435,497</w:t>
            </w:r>
          </w:p>
        </w:tc>
      </w:tr>
      <w:tr w:rsidR="000C7D3F" w:rsidRPr="000C7D3F" w14:paraId="7841672A" w14:textId="77777777" w:rsidTr="00484277">
        <w:trPr>
          <w:trHeight w:val="259"/>
          <w:jc w:val="center"/>
        </w:trPr>
        <w:tc>
          <w:tcPr>
            <w:tcW w:w="2965" w:type="dxa"/>
            <w:vAlign w:val="center"/>
          </w:tcPr>
          <w:p w14:paraId="0E438C86"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Financial liabilities held at fair value through profit or loss</w:t>
            </w:r>
          </w:p>
        </w:tc>
        <w:tc>
          <w:tcPr>
            <w:tcW w:w="1064" w:type="dxa"/>
            <w:vAlign w:val="center"/>
          </w:tcPr>
          <w:p w14:paraId="5072AF52"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8,660</w:t>
            </w:r>
          </w:p>
        </w:tc>
        <w:tc>
          <w:tcPr>
            <w:tcW w:w="1064" w:type="dxa"/>
            <w:vAlign w:val="center"/>
          </w:tcPr>
          <w:p w14:paraId="5ABCB0EF"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5,984</w:t>
            </w:r>
          </w:p>
        </w:tc>
        <w:tc>
          <w:tcPr>
            <w:tcW w:w="1064" w:type="dxa"/>
            <w:vAlign w:val="center"/>
          </w:tcPr>
          <w:p w14:paraId="13DC99F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10,433</w:t>
            </w:r>
          </w:p>
        </w:tc>
        <w:tc>
          <w:tcPr>
            <w:tcW w:w="1064" w:type="dxa"/>
            <w:vAlign w:val="center"/>
          </w:tcPr>
          <w:p w14:paraId="110C5E99"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10,210</w:t>
            </w:r>
          </w:p>
        </w:tc>
        <w:tc>
          <w:tcPr>
            <w:tcW w:w="1064" w:type="dxa"/>
            <w:vAlign w:val="center"/>
          </w:tcPr>
          <w:p w14:paraId="2295C55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13,211</w:t>
            </w:r>
          </w:p>
        </w:tc>
        <w:tc>
          <w:tcPr>
            <w:tcW w:w="1065" w:type="dxa"/>
            <w:vAlign w:val="center"/>
          </w:tcPr>
          <w:p w14:paraId="66C03F1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10,914</w:t>
            </w:r>
          </w:p>
        </w:tc>
      </w:tr>
      <w:tr w:rsidR="000C7D3F" w:rsidRPr="000C7D3F" w14:paraId="01992EF2" w14:textId="77777777" w:rsidTr="00484277">
        <w:trPr>
          <w:trHeight w:val="259"/>
          <w:jc w:val="center"/>
        </w:trPr>
        <w:tc>
          <w:tcPr>
            <w:tcW w:w="2965" w:type="dxa"/>
            <w:tcBorders>
              <w:bottom w:val="single" w:sz="4" w:space="0" w:color="auto"/>
            </w:tcBorders>
            <w:vAlign w:val="center"/>
          </w:tcPr>
          <w:p w14:paraId="001FA23C"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Total deposit liabilities</w:t>
            </w:r>
          </w:p>
        </w:tc>
        <w:tc>
          <w:tcPr>
            <w:tcW w:w="1064" w:type="dxa"/>
            <w:tcBorders>
              <w:bottom w:val="single" w:sz="4" w:space="0" w:color="auto"/>
            </w:tcBorders>
            <w:vAlign w:val="center"/>
          </w:tcPr>
          <w:p w14:paraId="589F8188"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265,917</w:t>
            </w:r>
          </w:p>
        </w:tc>
        <w:tc>
          <w:tcPr>
            <w:tcW w:w="1064" w:type="dxa"/>
            <w:tcBorders>
              <w:bottom w:val="single" w:sz="4" w:space="0" w:color="auto"/>
            </w:tcBorders>
            <w:vAlign w:val="center"/>
          </w:tcPr>
          <w:p w14:paraId="7A391EEA"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289,705</w:t>
            </w:r>
          </w:p>
        </w:tc>
        <w:tc>
          <w:tcPr>
            <w:tcW w:w="1064" w:type="dxa"/>
            <w:tcBorders>
              <w:bottom w:val="single" w:sz="4" w:space="0" w:color="auto"/>
            </w:tcBorders>
            <w:vAlign w:val="center"/>
          </w:tcPr>
          <w:p w14:paraId="7C63DD6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335,543</w:t>
            </w:r>
          </w:p>
        </w:tc>
        <w:tc>
          <w:tcPr>
            <w:tcW w:w="1064" w:type="dxa"/>
            <w:tcBorders>
              <w:bottom w:val="single" w:sz="4" w:space="0" w:color="auto"/>
            </w:tcBorders>
            <w:vAlign w:val="center"/>
          </w:tcPr>
          <w:p w14:paraId="1E32D0D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381,022</w:t>
            </w:r>
          </w:p>
        </w:tc>
        <w:tc>
          <w:tcPr>
            <w:tcW w:w="1064" w:type="dxa"/>
            <w:tcBorders>
              <w:bottom w:val="single" w:sz="4" w:space="0" w:color="auto"/>
            </w:tcBorders>
            <w:vAlign w:val="center"/>
          </w:tcPr>
          <w:p w14:paraId="1E8319D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409,301</w:t>
            </w:r>
          </w:p>
        </w:tc>
        <w:tc>
          <w:tcPr>
            <w:tcW w:w="1065" w:type="dxa"/>
            <w:tcBorders>
              <w:bottom w:val="single" w:sz="4" w:space="0" w:color="auto"/>
            </w:tcBorders>
            <w:vAlign w:val="center"/>
          </w:tcPr>
          <w:p w14:paraId="2682C3AB"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424,583</w:t>
            </w:r>
          </w:p>
        </w:tc>
      </w:tr>
      <w:tr w:rsidR="000C7D3F" w:rsidRPr="000C7D3F" w14:paraId="631810C9" w14:textId="77777777" w:rsidTr="00484277">
        <w:trPr>
          <w:trHeight w:val="259"/>
          <w:jc w:val="center"/>
        </w:trPr>
        <w:tc>
          <w:tcPr>
            <w:tcW w:w="2965" w:type="dxa"/>
            <w:tcBorders>
              <w:right w:val="nil"/>
            </w:tcBorders>
            <w:vAlign w:val="center"/>
          </w:tcPr>
          <w:p w14:paraId="6CAAB9C0"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Other Liabilities</w:t>
            </w:r>
          </w:p>
        </w:tc>
        <w:tc>
          <w:tcPr>
            <w:tcW w:w="1064" w:type="dxa"/>
            <w:tcBorders>
              <w:left w:val="nil"/>
              <w:right w:val="nil"/>
            </w:tcBorders>
            <w:vAlign w:val="center"/>
          </w:tcPr>
          <w:p w14:paraId="6CA4F1A9"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0ED7CFF7"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0851FC0B"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4C3EE625" w14:textId="77777777" w:rsidR="000C7D3F" w:rsidRPr="000C7D3F" w:rsidRDefault="000C7D3F" w:rsidP="000C7D3F">
            <w:pPr>
              <w:jc w:val="right"/>
              <w:rPr>
                <w:rFonts w:ascii="Arial" w:hAnsi="Arial" w:cs="Arial"/>
                <w:b/>
                <w:sz w:val="18"/>
                <w:szCs w:val="18"/>
                <w:lang w:val="en-CA" w:eastAsia="zh-CN"/>
              </w:rPr>
            </w:pPr>
          </w:p>
        </w:tc>
        <w:tc>
          <w:tcPr>
            <w:tcW w:w="1064" w:type="dxa"/>
            <w:tcBorders>
              <w:left w:val="nil"/>
              <w:right w:val="nil"/>
            </w:tcBorders>
            <w:vAlign w:val="center"/>
          </w:tcPr>
          <w:p w14:paraId="24100378" w14:textId="77777777" w:rsidR="000C7D3F" w:rsidRPr="000C7D3F" w:rsidRDefault="000C7D3F" w:rsidP="000C7D3F">
            <w:pPr>
              <w:jc w:val="right"/>
              <w:rPr>
                <w:rFonts w:ascii="Arial" w:hAnsi="Arial" w:cs="Arial"/>
                <w:b/>
                <w:sz w:val="18"/>
                <w:szCs w:val="18"/>
                <w:lang w:val="en-CA" w:eastAsia="zh-CN"/>
              </w:rPr>
            </w:pPr>
          </w:p>
        </w:tc>
        <w:tc>
          <w:tcPr>
            <w:tcW w:w="1065" w:type="dxa"/>
            <w:tcBorders>
              <w:left w:val="nil"/>
            </w:tcBorders>
            <w:vAlign w:val="center"/>
          </w:tcPr>
          <w:p w14:paraId="1561C6E6" w14:textId="77777777" w:rsidR="000C7D3F" w:rsidRPr="000C7D3F" w:rsidRDefault="000C7D3F" w:rsidP="000C7D3F">
            <w:pPr>
              <w:jc w:val="right"/>
              <w:rPr>
                <w:rFonts w:ascii="Arial" w:hAnsi="Arial" w:cs="Arial"/>
                <w:b/>
                <w:sz w:val="18"/>
                <w:szCs w:val="18"/>
                <w:lang w:val="en-CA" w:eastAsia="zh-CN"/>
              </w:rPr>
            </w:pPr>
          </w:p>
        </w:tc>
      </w:tr>
      <w:tr w:rsidR="000C7D3F" w:rsidRPr="000C7D3F" w14:paraId="492E84D8" w14:textId="77777777" w:rsidTr="00484277">
        <w:trPr>
          <w:trHeight w:val="259"/>
          <w:jc w:val="center"/>
        </w:trPr>
        <w:tc>
          <w:tcPr>
            <w:tcW w:w="2965" w:type="dxa"/>
            <w:vAlign w:val="center"/>
          </w:tcPr>
          <w:p w14:paraId="2D48E7CE"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Acceptances outstanding</w:t>
            </w:r>
          </w:p>
        </w:tc>
        <w:tc>
          <w:tcPr>
            <w:tcW w:w="1064" w:type="dxa"/>
            <w:vAlign w:val="center"/>
          </w:tcPr>
          <w:p w14:paraId="60F19C2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2,539</w:t>
            </w:r>
          </w:p>
        </w:tc>
        <w:tc>
          <w:tcPr>
            <w:tcW w:w="1064" w:type="dxa"/>
            <w:vAlign w:val="center"/>
          </w:tcPr>
          <w:p w14:paraId="3001827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2,963</w:t>
            </w:r>
          </w:p>
        </w:tc>
        <w:tc>
          <w:tcPr>
            <w:tcW w:w="1064" w:type="dxa"/>
            <w:vAlign w:val="center"/>
          </w:tcPr>
          <w:p w14:paraId="44F66BA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4,774</w:t>
            </w:r>
          </w:p>
        </w:tc>
        <w:tc>
          <w:tcPr>
            <w:tcW w:w="1064" w:type="dxa"/>
            <w:vAlign w:val="center"/>
          </w:tcPr>
          <w:p w14:paraId="3C8C41B4"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5,473</w:t>
            </w:r>
          </w:p>
        </w:tc>
        <w:tc>
          <w:tcPr>
            <w:tcW w:w="1064" w:type="dxa"/>
            <w:vAlign w:val="center"/>
          </w:tcPr>
          <w:p w14:paraId="6BC16909"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4,900</w:t>
            </w:r>
          </w:p>
        </w:tc>
        <w:tc>
          <w:tcPr>
            <w:tcW w:w="1065" w:type="dxa"/>
            <w:vAlign w:val="center"/>
          </w:tcPr>
          <w:p w14:paraId="75E76585"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5,501</w:t>
            </w:r>
          </w:p>
        </w:tc>
      </w:tr>
      <w:tr w:rsidR="000C7D3F" w:rsidRPr="000C7D3F" w14:paraId="4BB34355" w14:textId="77777777" w:rsidTr="00484277">
        <w:trPr>
          <w:trHeight w:val="259"/>
          <w:jc w:val="center"/>
        </w:trPr>
        <w:tc>
          <w:tcPr>
            <w:tcW w:w="2965" w:type="dxa"/>
            <w:vAlign w:val="center"/>
          </w:tcPr>
          <w:p w14:paraId="18AB311B"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Accruals and deferred income</w:t>
            </w:r>
          </w:p>
        </w:tc>
        <w:tc>
          <w:tcPr>
            <w:tcW w:w="1064" w:type="dxa"/>
            <w:vAlign w:val="center"/>
          </w:tcPr>
          <w:p w14:paraId="7A879C17"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4,132</w:t>
            </w:r>
          </w:p>
        </w:tc>
        <w:tc>
          <w:tcPr>
            <w:tcW w:w="1064" w:type="dxa"/>
            <w:vAlign w:val="center"/>
          </w:tcPr>
          <w:p w14:paraId="3F7C22E7"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4,113</w:t>
            </w:r>
          </w:p>
        </w:tc>
        <w:tc>
          <w:tcPr>
            <w:tcW w:w="1064" w:type="dxa"/>
            <w:vAlign w:val="center"/>
          </w:tcPr>
          <w:p w14:paraId="1853DE33"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4,528</w:t>
            </w:r>
          </w:p>
        </w:tc>
        <w:tc>
          <w:tcPr>
            <w:tcW w:w="1064" w:type="dxa"/>
            <w:vAlign w:val="center"/>
          </w:tcPr>
          <w:p w14:paraId="647FFBA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4,458</w:t>
            </w:r>
          </w:p>
        </w:tc>
        <w:tc>
          <w:tcPr>
            <w:tcW w:w="1064" w:type="dxa"/>
            <w:vAlign w:val="center"/>
          </w:tcPr>
          <w:p w14:paraId="1CE7220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4,811</w:t>
            </w:r>
          </w:p>
        </w:tc>
        <w:tc>
          <w:tcPr>
            <w:tcW w:w="1065" w:type="dxa"/>
            <w:vAlign w:val="center"/>
          </w:tcPr>
          <w:p w14:paraId="6A11E60C"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4,668</w:t>
            </w:r>
          </w:p>
        </w:tc>
      </w:tr>
      <w:tr w:rsidR="000C7D3F" w:rsidRPr="000C7D3F" w14:paraId="49D1F3A9" w14:textId="77777777" w:rsidTr="00484277">
        <w:trPr>
          <w:trHeight w:val="259"/>
          <w:jc w:val="center"/>
        </w:trPr>
        <w:tc>
          <w:tcPr>
            <w:tcW w:w="2965" w:type="dxa"/>
            <w:vAlign w:val="center"/>
          </w:tcPr>
          <w:p w14:paraId="372B0014" w14:textId="77777777" w:rsidR="000C7D3F" w:rsidRPr="000C7D3F" w:rsidRDefault="000C7D3F" w:rsidP="000C7D3F">
            <w:pPr>
              <w:rPr>
                <w:rFonts w:ascii="Arial" w:hAnsi="Arial" w:cs="Arial"/>
                <w:sz w:val="18"/>
                <w:szCs w:val="18"/>
                <w:lang w:val="en-CA" w:eastAsia="zh-CN"/>
              </w:rPr>
            </w:pPr>
            <w:r w:rsidRPr="000C7D3F">
              <w:rPr>
                <w:rFonts w:ascii="Arial" w:hAnsi="Arial" w:cs="Arial"/>
                <w:sz w:val="18"/>
                <w:szCs w:val="18"/>
                <w:lang w:val="en-CA" w:eastAsia="zh-CN"/>
              </w:rPr>
              <w:t>Other liabilities</w:t>
            </w:r>
          </w:p>
        </w:tc>
        <w:tc>
          <w:tcPr>
            <w:tcW w:w="1064" w:type="dxa"/>
            <w:vAlign w:val="center"/>
          </w:tcPr>
          <w:p w14:paraId="07AEBDD6"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139,785</w:t>
            </w:r>
          </w:p>
        </w:tc>
        <w:tc>
          <w:tcPr>
            <w:tcW w:w="1064" w:type="dxa"/>
            <w:vAlign w:val="center"/>
          </w:tcPr>
          <w:p w14:paraId="55B5618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111,952</w:t>
            </w:r>
          </w:p>
        </w:tc>
        <w:tc>
          <w:tcPr>
            <w:tcW w:w="1064" w:type="dxa"/>
            <w:vAlign w:val="center"/>
          </w:tcPr>
          <w:p w14:paraId="2A6C61E0"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132,850</w:t>
            </w:r>
          </w:p>
        </w:tc>
        <w:tc>
          <w:tcPr>
            <w:tcW w:w="1064" w:type="dxa"/>
            <w:vAlign w:val="center"/>
          </w:tcPr>
          <w:p w14:paraId="1AF38753"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160,358</w:t>
            </w:r>
          </w:p>
        </w:tc>
        <w:tc>
          <w:tcPr>
            <w:tcW w:w="1064" w:type="dxa"/>
            <w:vAlign w:val="center"/>
          </w:tcPr>
          <w:p w14:paraId="0B9B306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166,141</w:t>
            </w:r>
          </w:p>
        </w:tc>
        <w:tc>
          <w:tcPr>
            <w:tcW w:w="1065" w:type="dxa"/>
            <w:vAlign w:val="center"/>
          </w:tcPr>
          <w:p w14:paraId="5B9DA50E" w14:textId="77777777" w:rsidR="000C7D3F" w:rsidRPr="000C7D3F" w:rsidRDefault="000C7D3F" w:rsidP="000C7D3F">
            <w:pPr>
              <w:jc w:val="right"/>
              <w:rPr>
                <w:rFonts w:ascii="Arial" w:hAnsi="Arial" w:cs="Arial"/>
                <w:sz w:val="18"/>
                <w:szCs w:val="18"/>
                <w:lang w:val="en-CA" w:eastAsia="zh-CN"/>
              </w:rPr>
            </w:pPr>
            <w:r w:rsidRPr="000C7D3F">
              <w:rPr>
                <w:rFonts w:ascii="Arial" w:hAnsi="Arial" w:cs="Arial"/>
                <w:sz w:val="18"/>
                <w:szCs w:val="18"/>
                <w:lang w:val="en-CA" w:eastAsia="zh-CN"/>
              </w:rPr>
              <w:t>192,787</w:t>
            </w:r>
          </w:p>
        </w:tc>
      </w:tr>
      <w:tr w:rsidR="000C7D3F" w:rsidRPr="000C7D3F" w14:paraId="5187501D" w14:textId="77777777" w:rsidTr="00484277">
        <w:trPr>
          <w:trHeight w:val="259"/>
          <w:jc w:val="center"/>
        </w:trPr>
        <w:tc>
          <w:tcPr>
            <w:tcW w:w="2965" w:type="dxa"/>
            <w:vAlign w:val="center"/>
          </w:tcPr>
          <w:p w14:paraId="167D719D" w14:textId="77777777" w:rsidR="000C7D3F" w:rsidRPr="000C7D3F" w:rsidRDefault="000C7D3F" w:rsidP="000C7D3F">
            <w:pPr>
              <w:rPr>
                <w:rFonts w:ascii="Arial" w:hAnsi="Arial" w:cs="Arial"/>
                <w:b/>
                <w:sz w:val="18"/>
                <w:szCs w:val="18"/>
                <w:lang w:val="en-CA" w:eastAsia="zh-CN"/>
              </w:rPr>
            </w:pPr>
            <w:r w:rsidRPr="000C7D3F">
              <w:rPr>
                <w:rFonts w:ascii="Arial" w:hAnsi="Arial" w:cs="Arial"/>
                <w:b/>
                <w:sz w:val="18"/>
                <w:szCs w:val="18"/>
                <w:lang w:val="en-CA" w:eastAsia="zh-CN"/>
              </w:rPr>
              <w:t>Total Liabilities</w:t>
            </w:r>
          </w:p>
        </w:tc>
        <w:tc>
          <w:tcPr>
            <w:tcW w:w="1064" w:type="dxa"/>
            <w:vAlign w:val="center"/>
          </w:tcPr>
          <w:p w14:paraId="657C57FE"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412,373</w:t>
            </w:r>
          </w:p>
        </w:tc>
        <w:tc>
          <w:tcPr>
            <w:tcW w:w="1064" w:type="dxa"/>
            <w:vAlign w:val="center"/>
          </w:tcPr>
          <w:p w14:paraId="6E48A1CF"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408,733</w:t>
            </w:r>
          </w:p>
        </w:tc>
        <w:tc>
          <w:tcPr>
            <w:tcW w:w="1064" w:type="dxa"/>
            <w:vAlign w:val="center"/>
          </w:tcPr>
          <w:p w14:paraId="737469AC"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477,695</w:t>
            </w:r>
          </w:p>
        </w:tc>
        <w:tc>
          <w:tcPr>
            <w:tcW w:w="1064" w:type="dxa"/>
            <w:vAlign w:val="center"/>
          </w:tcPr>
          <w:p w14:paraId="5406E5D7"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551,311</w:t>
            </w:r>
          </w:p>
        </w:tc>
        <w:tc>
          <w:tcPr>
            <w:tcW w:w="1064" w:type="dxa"/>
            <w:vAlign w:val="center"/>
          </w:tcPr>
          <w:p w14:paraId="27AC5AC6"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585,153</w:t>
            </w:r>
          </w:p>
        </w:tc>
        <w:tc>
          <w:tcPr>
            <w:tcW w:w="1065" w:type="dxa"/>
            <w:vAlign w:val="center"/>
          </w:tcPr>
          <w:p w14:paraId="1A232677" w14:textId="77777777" w:rsidR="000C7D3F" w:rsidRPr="000C7D3F" w:rsidRDefault="000C7D3F" w:rsidP="000C7D3F">
            <w:pPr>
              <w:jc w:val="right"/>
              <w:rPr>
                <w:rFonts w:ascii="Arial" w:hAnsi="Arial" w:cs="Arial"/>
                <w:b/>
                <w:sz w:val="18"/>
                <w:szCs w:val="18"/>
                <w:lang w:val="en-CA" w:eastAsia="zh-CN"/>
              </w:rPr>
            </w:pPr>
            <w:r w:rsidRPr="000C7D3F">
              <w:rPr>
                <w:rFonts w:ascii="Arial" w:hAnsi="Arial" w:cs="Arial"/>
                <w:b/>
                <w:sz w:val="18"/>
                <w:szCs w:val="18"/>
                <w:lang w:val="en-CA" w:eastAsia="zh-CN"/>
              </w:rPr>
              <w:t>627,539</w:t>
            </w:r>
          </w:p>
        </w:tc>
      </w:tr>
    </w:tbl>
    <w:p w14:paraId="75CE81A6" w14:textId="77777777" w:rsidR="003127DD" w:rsidRDefault="003127DD" w:rsidP="000C7D3F">
      <w:pPr>
        <w:tabs>
          <w:tab w:val="left" w:pos="3036"/>
          <w:tab w:val="left" w:pos="4125"/>
          <w:tab w:val="left" w:pos="5215"/>
          <w:tab w:val="left" w:pos="6305"/>
          <w:tab w:val="left" w:pos="7395"/>
          <w:tab w:val="left" w:pos="8485"/>
        </w:tabs>
        <w:rPr>
          <w:rFonts w:ascii="Arial" w:hAnsi="Arial" w:cs="Arial"/>
          <w:sz w:val="18"/>
          <w:szCs w:val="18"/>
          <w:lang w:val="en-CA" w:eastAsia="zh-CN"/>
        </w:rPr>
      </w:pPr>
    </w:p>
    <w:p w14:paraId="496382E8" w14:textId="77777777" w:rsidR="003127DD" w:rsidRDefault="003127DD">
      <w:pPr>
        <w:spacing w:after="200" w:line="276" w:lineRule="auto"/>
        <w:rPr>
          <w:rFonts w:ascii="Arial" w:hAnsi="Arial" w:cs="Arial"/>
          <w:sz w:val="18"/>
          <w:szCs w:val="18"/>
          <w:lang w:val="en-CA" w:eastAsia="zh-CN"/>
        </w:rPr>
      </w:pPr>
      <w:r>
        <w:rPr>
          <w:rFonts w:ascii="Arial" w:hAnsi="Arial" w:cs="Arial"/>
          <w:sz w:val="18"/>
          <w:szCs w:val="18"/>
          <w:lang w:val="en-CA" w:eastAsia="zh-CN"/>
        </w:rPr>
        <w:br w:type="page"/>
      </w:r>
    </w:p>
    <w:p w14:paraId="55658A76" w14:textId="75B54C23" w:rsidR="003127DD" w:rsidRDefault="003127DD" w:rsidP="003127DD">
      <w:pPr>
        <w:pStyle w:val="ExhibitHeading"/>
        <w:rPr>
          <w:lang w:val="en-CA" w:eastAsia="zh-CN"/>
        </w:rPr>
      </w:pPr>
      <w:r>
        <w:rPr>
          <w:lang w:val="en-CA" w:eastAsia="zh-CN"/>
        </w:rPr>
        <w:lastRenderedPageBreak/>
        <w:t>Exhibit 3 Continued</w:t>
      </w:r>
    </w:p>
    <w:p w14:paraId="4736C710" w14:textId="77777777" w:rsidR="003127DD" w:rsidRPr="000C7D3F" w:rsidRDefault="003127DD" w:rsidP="003127DD">
      <w:pPr>
        <w:pStyle w:val="ExhibitText"/>
        <w:rPr>
          <w:lang w:val="en-CA" w:eastAsia="zh-CN"/>
        </w:rPr>
      </w:pPr>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1065"/>
        <w:gridCol w:w="1065"/>
        <w:gridCol w:w="1065"/>
        <w:gridCol w:w="1065"/>
        <w:gridCol w:w="1065"/>
        <w:gridCol w:w="970"/>
      </w:tblGrid>
      <w:tr w:rsidR="003127DD" w:rsidRPr="000C7D3F" w14:paraId="189B5641" w14:textId="77777777" w:rsidTr="003127DD">
        <w:trPr>
          <w:trHeight w:val="259"/>
          <w:jc w:val="center"/>
        </w:trPr>
        <w:tc>
          <w:tcPr>
            <w:tcW w:w="2839" w:type="dxa"/>
            <w:vAlign w:val="center"/>
          </w:tcPr>
          <w:p w14:paraId="4F193ACE" w14:textId="29A46634" w:rsidR="003127DD" w:rsidRPr="000C7D3F" w:rsidRDefault="003127DD" w:rsidP="003127DD">
            <w:pPr>
              <w:rPr>
                <w:rFonts w:ascii="Arial" w:hAnsi="Arial" w:cs="Arial"/>
                <w:sz w:val="18"/>
                <w:szCs w:val="18"/>
                <w:lang w:val="en-CA" w:eastAsia="zh-CN"/>
              </w:rPr>
            </w:pPr>
            <w:r w:rsidRPr="000C7D3F">
              <w:rPr>
                <w:rFonts w:ascii="Arial" w:hAnsi="Arial" w:cs="Arial"/>
                <w:b/>
                <w:sz w:val="18"/>
                <w:szCs w:val="18"/>
                <w:lang w:val="en-CA" w:eastAsia="zh-CN"/>
              </w:rPr>
              <w:t>ASSETS</w:t>
            </w:r>
          </w:p>
        </w:tc>
        <w:tc>
          <w:tcPr>
            <w:tcW w:w="1089" w:type="dxa"/>
            <w:vAlign w:val="center"/>
          </w:tcPr>
          <w:p w14:paraId="15F1DB9D" w14:textId="22F19BE1" w:rsidR="003127DD" w:rsidRPr="000C7D3F" w:rsidRDefault="003127DD" w:rsidP="003127DD">
            <w:pPr>
              <w:jc w:val="right"/>
              <w:rPr>
                <w:rFonts w:ascii="Arial" w:hAnsi="Arial" w:cs="Arial"/>
                <w:sz w:val="18"/>
                <w:szCs w:val="18"/>
                <w:lang w:val="en-CA" w:eastAsia="zh-CN"/>
              </w:rPr>
            </w:pPr>
          </w:p>
        </w:tc>
        <w:tc>
          <w:tcPr>
            <w:tcW w:w="1090" w:type="dxa"/>
            <w:vAlign w:val="center"/>
          </w:tcPr>
          <w:p w14:paraId="7A82C34A" w14:textId="29F5C90D" w:rsidR="003127DD" w:rsidRPr="000C7D3F" w:rsidRDefault="003127DD" w:rsidP="003127DD">
            <w:pPr>
              <w:jc w:val="right"/>
              <w:rPr>
                <w:rFonts w:ascii="Arial" w:hAnsi="Arial" w:cs="Arial"/>
                <w:sz w:val="18"/>
                <w:szCs w:val="18"/>
                <w:lang w:val="en-CA" w:eastAsia="zh-CN"/>
              </w:rPr>
            </w:pPr>
          </w:p>
        </w:tc>
        <w:tc>
          <w:tcPr>
            <w:tcW w:w="1090" w:type="dxa"/>
            <w:vAlign w:val="center"/>
          </w:tcPr>
          <w:p w14:paraId="058AE300" w14:textId="552EC80B" w:rsidR="003127DD" w:rsidRPr="000C7D3F" w:rsidRDefault="003127DD" w:rsidP="003127DD">
            <w:pPr>
              <w:jc w:val="right"/>
              <w:rPr>
                <w:rFonts w:ascii="Arial" w:hAnsi="Arial" w:cs="Arial"/>
                <w:sz w:val="18"/>
                <w:szCs w:val="18"/>
                <w:lang w:val="en-CA" w:eastAsia="zh-CN"/>
              </w:rPr>
            </w:pPr>
          </w:p>
        </w:tc>
        <w:tc>
          <w:tcPr>
            <w:tcW w:w="1090" w:type="dxa"/>
            <w:vAlign w:val="center"/>
          </w:tcPr>
          <w:p w14:paraId="3C3326E1" w14:textId="7EBD4368" w:rsidR="003127DD" w:rsidRPr="000C7D3F" w:rsidRDefault="003127DD" w:rsidP="003127DD">
            <w:pPr>
              <w:jc w:val="right"/>
              <w:rPr>
                <w:rFonts w:ascii="Arial" w:hAnsi="Arial" w:cs="Arial"/>
                <w:sz w:val="18"/>
                <w:szCs w:val="18"/>
                <w:lang w:val="en-CA" w:eastAsia="zh-CN"/>
              </w:rPr>
            </w:pPr>
          </w:p>
        </w:tc>
        <w:tc>
          <w:tcPr>
            <w:tcW w:w="1090" w:type="dxa"/>
            <w:vAlign w:val="center"/>
          </w:tcPr>
          <w:p w14:paraId="11676234" w14:textId="3DCFDED3" w:rsidR="003127DD" w:rsidRPr="000C7D3F" w:rsidRDefault="003127DD" w:rsidP="003127DD">
            <w:pPr>
              <w:jc w:val="right"/>
              <w:rPr>
                <w:rFonts w:ascii="Arial" w:hAnsi="Arial" w:cs="Arial"/>
                <w:sz w:val="18"/>
                <w:szCs w:val="18"/>
                <w:lang w:val="en-CA" w:eastAsia="zh-CN"/>
              </w:rPr>
            </w:pPr>
          </w:p>
        </w:tc>
        <w:tc>
          <w:tcPr>
            <w:tcW w:w="992" w:type="dxa"/>
            <w:vAlign w:val="center"/>
          </w:tcPr>
          <w:p w14:paraId="462F1DE9" w14:textId="6AA409CF" w:rsidR="003127DD" w:rsidRPr="000C7D3F" w:rsidRDefault="003127DD" w:rsidP="003127DD">
            <w:pPr>
              <w:jc w:val="right"/>
              <w:rPr>
                <w:rFonts w:ascii="Arial" w:hAnsi="Arial" w:cs="Arial"/>
                <w:sz w:val="18"/>
                <w:szCs w:val="18"/>
                <w:lang w:val="en-CA" w:eastAsia="zh-CN"/>
              </w:rPr>
            </w:pPr>
          </w:p>
        </w:tc>
      </w:tr>
      <w:tr w:rsidR="003127DD" w:rsidRPr="000C7D3F" w14:paraId="0E4BDD00" w14:textId="77777777" w:rsidTr="003127DD">
        <w:trPr>
          <w:trHeight w:val="259"/>
          <w:jc w:val="center"/>
        </w:trPr>
        <w:tc>
          <w:tcPr>
            <w:tcW w:w="2839" w:type="dxa"/>
            <w:vAlign w:val="center"/>
          </w:tcPr>
          <w:p w14:paraId="1A48B097" w14:textId="32193D24" w:rsidR="003127DD" w:rsidRPr="000C7D3F" w:rsidRDefault="003127DD" w:rsidP="003127DD">
            <w:pPr>
              <w:rPr>
                <w:rFonts w:ascii="Arial" w:hAnsi="Arial" w:cs="Arial"/>
                <w:sz w:val="18"/>
                <w:szCs w:val="18"/>
                <w:lang w:val="en-CA" w:eastAsia="zh-CN"/>
              </w:rPr>
            </w:pPr>
          </w:p>
        </w:tc>
        <w:tc>
          <w:tcPr>
            <w:tcW w:w="1089" w:type="dxa"/>
            <w:vAlign w:val="center"/>
          </w:tcPr>
          <w:p w14:paraId="71AB5470" w14:textId="1EC7CC1A" w:rsidR="003127DD" w:rsidRPr="000C7D3F" w:rsidRDefault="003127DD" w:rsidP="003127DD">
            <w:pPr>
              <w:jc w:val="right"/>
              <w:rPr>
                <w:rFonts w:ascii="Arial" w:hAnsi="Arial" w:cs="Arial"/>
                <w:sz w:val="18"/>
                <w:szCs w:val="18"/>
                <w:lang w:val="en-CA" w:eastAsia="zh-CN"/>
              </w:rPr>
            </w:pPr>
            <w:r w:rsidRPr="000C7D3F">
              <w:rPr>
                <w:rFonts w:ascii="Arial" w:hAnsi="Arial" w:cs="Arial"/>
                <w:b/>
                <w:sz w:val="18"/>
                <w:szCs w:val="18"/>
                <w:lang w:val="en-CA" w:eastAsia="zh-CN"/>
              </w:rPr>
              <w:t>2008</w:t>
            </w:r>
          </w:p>
        </w:tc>
        <w:tc>
          <w:tcPr>
            <w:tcW w:w="1090" w:type="dxa"/>
            <w:vAlign w:val="center"/>
          </w:tcPr>
          <w:p w14:paraId="54D346BF" w14:textId="4714957A" w:rsidR="003127DD" w:rsidRPr="000C7D3F" w:rsidRDefault="003127DD" w:rsidP="003127DD">
            <w:pPr>
              <w:jc w:val="right"/>
              <w:rPr>
                <w:rFonts w:ascii="Arial" w:hAnsi="Arial" w:cs="Arial"/>
                <w:sz w:val="18"/>
                <w:szCs w:val="18"/>
                <w:lang w:val="en-CA" w:eastAsia="zh-CN"/>
              </w:rPr>
            </w:pPr>
            <w:r w:rsidRPr="000C7D3F">
              <w:rPr>
                <w:rFonts w:ascii="Arial" w:hAnsi="Arial" w:cs="Arial"/>
                <w:b/>
                <w:sz w:val="18"/>
                <w:szCs w:val="18"/>
                <w:lang w:val="en-CA" w:eastAsia="zh-CN"/>
              </w:rPr>
              <w:t>2009</w:t>
            </w:r>
          </w:p>
        </w:tc>
        <w:tc>
          <w:tcPr>
            <w:tcW w:w="1090" w:type="dxa"/>
            <w:vAlign w:val="center"/>
          </w:tcPr>
          <w:p w14:paraId="484DE32E" w14:textId="3EEEE0B5" w:rsidR="003127DD" w:rsidRPr="000C7D3F" w:rsidRDefault="003127DD" w:rsidP="003127DD">
            <w:pPr>
              <w:jc w:val="right"/>
              <w:rPr>
                <w:rFonts w:ascii="Arial" w:hAnsi="Arial" w:cs="Arial"/>
                <w:sz w:val="18"/>
                <w:szCs w:val="18"/>
                <w:lang w:val="en-CA" w:eastAsia="zh-CN"/>
              </w:rPr>
            </w:pPr>
            <w:r w:rsidRPr="000C7D3F">
              <w:rPr>
                <w:rFonts w:ascii="Arial" w:hAnsi="Arial" w:cs="Arial"/>
                <w:b/>
                <w:sz w:val="18"/>
                <w:szCs w:val="18"/>
                <w:lang w:val="en-CA" w:eastAsia="zh-CN"/>
              </w:rPr>
              <w:t>2010</w:t>
            </w:r>
          </w:p>
        </w:tc>
        <w:tc>
          <w:tcPr>
            <w:tcW w:w="1090" w:type="dxa"/>
            <w:vAlign w:val="center"/>
          </w:tcPr>
          <w:p w14:paraId="6F1134B9" w14:textId="4BEBF522" w:rsidR="003127DD" w:rsidRPr="000C7D3F" w:rsidRDefault="003127DD" w:rsidP="003127DD">
            <w:pPr>
              <w:jc w:val="right"/>
              <w:rPr>
                <w:rFonts w:ascii="Arial" w:hAnsi="Arial" w:cs="Arial"/>
                <w:sz w:val="18"/>
                <w:szCs w:val="18"/>
                <w:lang w:val="en-CA" w:eastAsia="zh-CN"/>
              </w:rPr>
            </w:pPr>
            <w:r w:rsidRPr="000C7D3F">
              <w:rPr>
                <w:rFonts w:ascii="Arial" w:hAnsi="Arial" w:cs="Arial"/>
                <w:b/>
                <w:sz w:val="18"/>
                <w:szCs w:val="18"/>
                <w:lang w:val="en-CA" w:eastAsia="zh-CN"/>
              </w:rPr>
              <w:t>2011</w:t>
            </w:r>
          </w:p>
        </w:tc>
        <w:tc>
          <w:tcPr>
            <w:tcW w:w="1090" w:type="dxa"/>
            <w:vAlign w:val="center"/>
          </w:tcPr>
          <w:p w14:paraId="02209552" w14:textId="35B4EFF5" w:rsidR="003127DD" w:rsidRPr="000C7D3F" w:rsidRDefault="003127DD" w:rsidP="003127DD">
            <w:pPr>
              <w:jc w:val="right"/>
              <w:rPr>
                <w:rFonts w:ascii="Arial" w:hAnsi="Arial" w:cs="Arial"/>
                <w:sz w:val="18"/>
                <w:szCs w:val="18"/>
                <w:lang w:val="en-CA" w:eastAsia="zh-CN"/>
              </w:rPr>
            </w:pPr>
            <w:r w:rsidRPr="000C7D3F">
              <w:rPr>
                <w:rFonts w:ascii="Arial" w:hAnsi="Arial" w:cs="Arial"/>
                <w:b/>
                <w:sz w:val="18"/>
                <w:szCs w:val="18"/>
                <w:lang w:val="en-CA" w:eastAsia="zh-CN"/>
              </w:rPr>
              <w:t>2012</w:t>
            </w:r>
          </w:p>
        </w:tc>
        <w:tc>
          <w:tcPr>
            <w:tcW w:w="992" w:type="dxa"/>
            <w:vAlign w:val="center"/>
          </w:tcPr>
          <w:p w14:paraId="370D24DC" w14:textId="6587845E" w:rsidR="003127DD" w:rsidRPr="000C7D3F" w:rsidRDefault="003127DD" w:rsidP="003127DD">
            <w:pPr>
              <w:jc w:val="right"/>
              <w:rPr>
                <w:rFonts w:ascii="Arial" w:hAnsi="Arial" w:cs="Arial"/>
                <w:sz w:val="18"/>
                <w:szCs w:val="18"/>
                <w:lang w:val="en-CA" w:eastAsia="zh-CN"/>
              </w:rPr>
            </w:pPr>
            <w:r w:rsidRPr="000C7D3F">
              <w:rPr>
                <w:rFonts w:ascii="Arial" w:hAnsi="Arial" w:cs="Arial"/>
                <w:b/>
                <w:sz w:val="18"/>
                <w:szCs w:val="18"/>
                <w:lang w:val="en-CA" w:eastAsia="zh-CN"/>
              </w:rPr>
              <w:t>2013</w:t>
            </w:r>
          </w:p>
        </w:tc>
      </w:tr>
      <w:tr w:rsidR="003127DD" w:rsidRPr="000C7D3F" w14:paraId="6206D3D8" w14:textId="77777777" w:rsidTr="003127DD">
        <w:trPr>
          <w:trHeight w:val="259"/>
          <w:jc w:val="center"/>
        </w:trPr>
        <w:tc>
          <w:tcPr>
            <w:tcW w:w="2839" w:type="dxa"/>
            <w:vAlign w:val="center"/>
          </w:tcPr>
          <w:p w14:paraId="0F6A01A6"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Capital and capital redemption reserve</w:t>
            </w:r>
          </w:p>
        </w:tc>
        <w:tc>
          <w:tcPr>
            <w:tcW w:w="1089" w:type="dxa"/>
            <w:vAlign w:val="center"/>
          </w:tcPr>
          <w:p w14:paraId="70CDFD11"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18</w:t>
            </w:r>
          </w:p>
        </w:tc>
        <w:tc>
          <w:tcPr>
            <w:tcW w:w="1090" w:type="dxa"/>
            <w:vAlign w:val="center"/>
          </w:tcPr>
          <w:p w14:paraId="2972651F"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18</w:t>
            </w:r>
          </w:p>
        </w:tc>
        <w:tc>
          <w:tcPr>
            <w:tcW w:w="1090" w:type="dxa"/>
            <w:vAlign w:val="center"/>
          </w:tcPr>
          <w:p w14:paraId="249E1820"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18</w:t>
            </w:r>
          </w:p>
        </w:tc>
        <w:tc>
          <w:tcPr>
            <w:tcW w:w="1090" w:type="dxa"/>
            <w:vAlign w:val="center"/>
          </w:tcPr>
          <w:p w14:paraId="60105080"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18</w:t>
            </w:r>
          </w:p>
        </w:tc>
        <w:tc>
          <w:tcPr>
            <w:tcW w:w="1090" w:type="dxa"/>
            <w:vAlign w:val="center"/>
          </w:tcPr>
          <w:p w14:paraId="6CED2646"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18</w:t>
            </w:r>
          </w:p>
        </w:tc>
        <w:tc>
          <w:tcPr>
            <w:tcW w:w="992" w:type="dxa"/>
            <w:vAlign w:val="center"/>
          </w:tcPr>
          <w:p w14:paraId="60E23B39"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18</w:t>
            </w:r>
          </w:p>
        </w:tc>
      </w:tr>
      <w:tr w:rsidR="003127DD" w:rsidRPr="000C7D3F" w14:paraId="37F386AA" w14:textId="77777777" w:rsidTr="003127DD">
        <w:trPr>
          <w:trHeight w:val="259"/>
          <w:jc w:val="center"/>
        </w:trPr>
        <w:tc>
          <w:tcPr>
            <w:tcW w:w="2839" w:type="dxa"/>
            <w:vAlign w:val="center"/>
          </w:tcPr>
          <w:p w14:paraId="3AF9F304"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Merger reserve</w:t>
            </w:r>
          </w:p>
        </w:tc>
        <w:tc>
          <w:tcPr>
            <w:tcW w:w="1089" w:type="dxa"/>
            <w:vAlign w:val="center"/>
          </w:tcPr>
          <w:p w14:paraId="21ECA95C"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5,450</w:t>
            </w:r>
          </w:p>
        </w:tc>
        <w:tc>
          <w:tcPr>
            <w:tcW w:w="1090" w:type="dxa"/>
            <w:vAlign w:val="center"/>
          </w:tcPr>
          <w:p w14:paraId="0F29FE26"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7,284</w:t>
            </w:r>
          </w:p>
        </w:tc>
        <w:tc>
          <w:tcPr>
            <w:tcW w:w="1090" w:type="dxa"/>
            <w:vAlign w:val="center"/>
          </w:tcPr>
          <w:p w14:paraId="5907B578"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12,421</w:t>
            </w:r>
          </w:p>
        </w:tc>
        <w:tc>
          <w:tcPr>
            <w:tcW w:w="1090" w:type="dxa"/>
            <w:vAlign w:val="center"/>
          </w:tcPr>
          <w:p w14:paraId="17C9A93E"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12,421</w:t>
            </w:r>
          </w:p>
        </w:tc>
        <w:tc>
          <w:tcPr>
            <w:tcW w:w="1090" w:type="dxa"/>
            <w:vAlign w:val="center"/>
          </w:tcPr>
          <w:p w14:paraId="2E6E7189"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12,421</w:t>
            </w:r>
          </w:p>
        </w:tc>
        <w:tc>
          <w:tcPr>
            <w:tcW w:w="992" w:type="dxa"/>
            <w:vAlign w:val="center"/>
          </w:tcPr>
          <w:p w14:paraId="5E066F95"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12,421</w:t>
            </w:r>
          </w:p>
        </w:tc>
      </w:tr>
      <w:tr w:rsidR="003127DD" w:rsidRPr="000C7D3F" w14:paraId="2CCC5908" w14:textId="77777777" w:rsidTr="003127DD">
        <w:trPr>
          <w:trHeight w:val="259"/>
          <w:jc w:val="center"/>
        </w:trPr>
        <w:tc>
          <w:tcPr>
            <w:tcW w:w="2839" w:type="dxa"/>
            <w:vAlign w:val="center"/>
          </w:tcPr>
          <w:p w14:paraId="1481F1F1"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Available-for-sale reserve</w:t>
            </w:r>
          </w:p>
        </w:tc>
        <w:tc>
          <w:tcPr>
            <w:tcW w:w="1089" w:type="dxa"/>
            <w:vAlign w:val="center"/>
          </w:tcPr>
          <w:p w14:paraId="582B5748"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−5</w:t>
            </w:r>
          </w:p>
        </w:tc>
        <w:tc>
          <w:tcPr>
            <w:tcW w:w="1090" w:type="dxa"/>
            <w:vAlign w:val="center"/>
          </w:tcPr>
          <w:p w14:paraId="11C04FDB"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−93</w:t>
            </w:r>
          </w:p>
        </w:tc>
        <w:tc>
          <w:tcPr>
            <w:tcW w:w="1090" w:type="dxa"/>
            <w:vAlign w:val="center"/>
          </w:tcPr>
          <w:p w14:paraId="19C45137"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306</w:t>
            </w:r>
          </w:p>
        </w:tc>
        <w:tc>
          <w:tcPr>
            <w:tcW w:w="1090" w:type="dxa"/>
            <w:vAlign w:val="center"/>
          </w:tcPr>
          <w:p w14:paraId="1B6C577E"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−109</w:t>
            </w:r>
          </w:p>
        </w:tc>
        <w:tc>
          <w:tcPr>
            <w:tcW w:w="1090" w:type="dxa"/>
            <w:vAlign w:val="center"/>
          </w:tcPr>
          <w:p w14:paraId="26652C34"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478</w:t>
            </w:r>
          </w:p>
        </w:tc>
        <w:tc>
          <w:tcPr>
            <w:tcW w:w="992" w:type="dxa"/>
            <w:vAlign w:val="center"/>
          </w:tcPr>
          <w:p w14:paraId="125D9FE9"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446</w:t>
            </w:r>
          </w:p>
        </w:tc>
      </w:tr>
      <w:tr w:rsidR="003127DD" w:rsidRPr="000C7D3F" w14:paraId="4D685EF5" w14:textId="77777777" w:rsidTr="003127DD">
        <w:trPr>
          <w:trHeight w:val="259"/>
          <w:jc w:val="center"/>
        </w:trPr>
        <w:tc>
          <w:tcPr>
            <w:tcW w:w="2839" w:type="dxa"/>
            <w:vAlign w:val="center"/>
          </w:tcPr>
          <w:p w14:paraId="368041E7"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Cash flow hedge reserve</w:t>
            </w:r>
          </w:p>
        </w:tc>
        <w:tc>
          <w:tcPr>
            <w:tcW w:w="1089" w:type="dxa"/>
            <w:vAlign w:val="center"/>
          </w:tcPr>
          <w:p w14:paraId="716D0505"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−83</w:t>
            </w:r>
          </w:p>
        </w:tc>
        <w:tc>
          <w:tcPr>
            <w:tcW w:w="1090" w:type="dxa"/>
            <w:vAlign w:val="center"/>
          </w:tcPr>
          <w:p w14:paraId="7E66834E"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15</w:t>
            </w:r>
          </w:p>
        </w:tc>
        <w:tc>
          <w:tcPr>
            <w:tcW w:w="1090" w:type="dxa"/>
            <w:vAlign w:val="center"/>
          </w:tcPr>
          <w:p w14:paraId="3DC83628"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57</w:t>
            </w:r>
          </w:p>
        </w:tc>
        <w:tc>
          <w:tcPr>
            <w:tcW w:w="1090" w:type="dxa"/>
            <w:vAlign w:val="center"/>
          </w:tcPr>
          <w:p w14:paraId="44D268E2"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−13</w:t>
            </w:r>
          </w:p>
        </w:tc>
        <w:tc>
          <w:tcPr>
            <w:tcW w:w="1090" w:type="dxa"/>
            <w:vAlign w:val="center"/>
          </w:tcPr>
          <w:p w14:paraId="570E8376"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81</w:t>
            </w:r>
          </w:p>
        </w:tc>
        <w:tc>
          <w:tcPr>
            <w:tcW w:w="992" w:type="dxa"/>
            <w:vAlign w:val="center"/>
          </w:tcPr>
          <w:p w14:paraId="62D62C24"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15</w:t>
            </w:r>
          </w:p>
        </w:tc>
      </w:tr>
      <w:tr w:rsidR="003127DD" w:rsidRPr="000C7D3F" w14:paraId="458CDEF9" w14:textId="77777777" w:rsidTr="003127DD">
        <w:trPr>
          <w:trHeight w:val="259"/>
          <w:jc w:val="center"/>
        </w:trPr>
        <w:tc>
          <w:tcPr>
            <w:tcW w:w="2839" w:type="dxa"/>
            <w:vAlign w:val="center"/>
          </w:tcPr>
          <w:p w14:paraId="380FBCD7"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Translation reserve</w:t>
            </w:r>
          </w:p>
        </w:tc>
        <w:tc>
          <w:tcPr>
            <w:tcW w:w="1089" w:type="dxa"/>
            <w:vAlign w:val="center"/>
          </w:tcPr>
          <w:p w14:paraId="4ECC43CB"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−1,784</w:t>
            </w:r>
          </w:p>
        </w:tc>
        <w:tc>
          <w:tcPr>
            <w:tcW w:w="1090" w:type="dxa"/>
            <w:vAlign w:val="center"/>
          </w:tcPr>
          <w:p w14:paraId="0D51ABB9"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−1,185</w:t>
            </w:r>
          </w:p>
        </w:tc>
        <w:tc>
          <w:tcPr>
            <w:tcW w:w="1090" w:type="dxa"/>
            <w:vAlign w:val="center"/>
          </w:tcPr>
          <w:p w14:paraId="11359E0B"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−412</w:t>
            </w:r>
          </w:p>
        </w:tc>
        <w:tc>
          <w:tcPr>
            <w:tcW w:w="1090" w:type="dxa"/>
            <w:vAlign w:val="center"/>
          </w:tcPr>
          <w:p w14:paraId="50FCCA8F"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−1,394</w:t>
            </w:r>
          </w:p>
        </w:tc>
        <w:tc>
          <w:tcPr>
            <w:tcW w:w="1090" w:type="dxa"/>
            <w:vAlign w:val="center"/>
          </w:tcPr>
          <w:p w14:paraId="0CF3C37E"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−885</w:t>
            </w:r>
          </w:p>
        </w:tc>
        <w:tc>
          <w:tcPr>
            <w:tcW w:w="992" w:type="dxa"/>
            <w:vAlign w:val="center"/>
          </w:tcPr>
          <w:p w14:paraId="7E9F6FB1"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−2,106</w:t>
            </w:r>
          </w:p>
        </w:tc>
      </w:tr>
      <w:tr w:rsidR="003127DD" w:rsidRPr="000C7D3F" w14:paraId="34A2D4F7" w14:textId="77777777" w:rsidTr="003127DD">
        <w:trPr>
          <w:trHeight w:val="259"/>
          <w:jc w:val="center"/>
        </w:trPr>
        <w:tc>
          <w:tcPr>
            <w:tcW w:w="2839" w:type="dxa"/>
            <w:vAlign w:val="center"/>
          </w:tcPr>
          <w:p w14:paraId="4852D218"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Retained earnings</w:t>
            </w:r>
          </w:p>
        </w:tc>
        <w:tc>
          <w:tcPr>
            <w:tcW w:w="1089" w:type="dxa"/>
            <w:vAlign w:val="center"/>
          </w:tcPr>
          <w:p w14:paraId="2C52C22E"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12,866</w:t>
            </w:r>
          </w:p>
        </w:tc>
        <w:tc>
          <w:tcPr>
            <w:tcW w:w="1090" w:type="dxa"/>
            <w:vAlign w:val="center"/>
          </w:tcPr>
          <w:p w14:paraId="7DF021EB"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15,460</w:t>
            </w:r>
          </w:p>
        </w:tc>
        <w:tc>
          <w:tcPr>
            <w:tcW w:w="1090" w:type="dxa"/>
            <w:vAlign w:val="center"/>
          </w:tcPr>
          <w:p w14:paraId="005231F5"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19,260</w:t>
            </w:r>
          </w:p>
        </w:tc>
        <w:tc>
          <w:tcPr>
            <w:tcW w:w="1090" w:type="dxa"/>
            <w:vAlign w:val="center"/>
          </w:tcPr>
          <w:p w14:paraId="6C532199"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23,167</w:t>
            </w:r>
          </w:p>
        </w:tc>
        <w:tc>
          <w:tcPr>
            <w:tcW w:w="1090" w:type="dxa"/>
            <w:vAlign w:val="center"/>
          </w:tcPr>
          <w:p w14:paraId="4C3CE11F"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26,566</w:t>
            </w:r>
          </w:p>
        </w:tc>
        <w:tc>
          <w:tcPr>
            <w:tcW w:w="992" w:type="dxa"/>
            <w:vAlign w:val="center"/>
          </w:tcPr>
          <w:p w14:paraId="569531C2"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28,745</w:t>
            </w:r>
          </w:p>
        </w:tc>
      </w:tr>
      <w:tr w:rsidR="003127DD" w:rsidRPr="000C7D3F" w14:paraId="2ED3A382" w14:textId="77777777" w:rsidTr="003127DD">
        <w:trPr>
          <w:trHeight w:val="259"/>
          <w:jc w:val="center"/>
        </w:trPr>
        <w:tc>
          <w:tcPr>
            <w:tcW w:w="2839" w:type="dxa"/>
            <w:vAlign w:val="center"/>
          </w:tcPr>
          <w:p w14:paraId="65D0DA60"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Parent company shareholders’ equity</w:t>
            </w:r>
          </w:p>
        </w:tc>
        <w:tc>
          <w:tcPr>
            <w:tcW w:w="1089" w:type="dxa"/>
            <w:vAlign w:val="center"/>
          </w:tcPr>
          <w:p w14:paraId="18567C21"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22,140</w:t>
            </w:r>
          </w:p>
        </w:tc>
        <w:tc>
          <w:tcPr>
            <w:tcW w:w="1090" w:type="dxa"/>
            <w:vAlign w:val="center"/>
          </w:tcPr>
          <w:p w14:paraId="48E4BD01"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27,340</w:t>
            </w:r>
          </w:p>
        </w:tc>
        <w:tc>
          <w:tcPr>
            <w:tcW w:w="1090" w:type="dxa"/>
            <w:vAlign w:val="center"/>
          </w:tcPr>
          <w:p w14:paraId="0A339FFD"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38,212</w:t>
            </w:r>
          </w:p>
        </w:tc>
        <w:tc>
          <w:tcPr>
            <w:tcW w:w="1090" w:type="dxa"/>
            <w:vAlign w:val="center"/>
          </w:tcPr>
          <w:p w14:paraId="798D7177"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40,714</w:t>
            </w:r>
          </w:p>
        </w:tc>
        <w:tc>
          <w:tcPr>
            <w:tcW w:w="1090" w:type="dxa"/>
            <w:vAlign w:val="center"/>
          </w:tcPr>
          <w:p w14:paraId="4246EA27"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45,362</w:t>
            </w:r>
          </w:p>
        </w:tc>
        <w:tc>
          <w:tcPr>
            <w:tcW w:w="992" w:type="dxa"/>
            <w:vAlign w:val="center"/>
          </w:tcPr>
          <w:p w14:paraId="3591A0D4"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46,246</w:t>
            </w:r>
          </w:p>
        </w:tc>
      </w:tr>
      <w:tr w:rsidR="003127DD" w:rsidRPr="000C7D3F" w14:paraId="2CEDF006" w14:textId="77777777" w:rsidTr="003127DD">
        <w:trPr>
          <w:trHeight w:val="259"/>
          <w:jc w:val="center"/>
        </w:trPr>
        <w:tc>
          <w:tcPr>
            <w:tcW w:w="2839" w:type="dxa"/>
            <w:vAlign w:val="center"/>
          </w:tcPr>
          <w:p w14:paraId="08347870" w14:textId="77777777" w:rsidR="003127DD" w:rsidRPr="000C7D3F" w:rsidRDefault="003127DD" w:rsidP="003127DD">
            <w:pPr>
              <w:rPr>
                <w:rFonts w:ascii="Arial" w:hAnsi="Arial" w:cs="Arial"/>
                <w:sz w:val="18"/>
                <w:szCs w:val="18"/>
                <w:lang w:val="en-CA" w:eastAsia="zh-CN"/>
              </w:rPr>
            </w:pPr>
            <w:r w:rsidRPr="000C7D3F">
              <w:rPr>
                <w:rFonts w:ascii="Arial" w:hAnsi="Arial" w:cs="Arial"/>
                <w:sz w:val="18"/>
                <w:szCs w:val="18"/>
                <w:lang w:val="en-CA" w:eastAsia="zh-CN"/>
              </w:rPr>
              <w:t>Non-controlling interests</w:t>
            </w:r>
          </w:p>
        </w:tc>
        <w:tc>
          <w:tcPr>
            <w:tcW w:w="1089" w:type="dxa"/>
            <w:vAlign w:val="center"/>
          </w:tcPr>
          <w:p w14:paraId="5FFD1BBB"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555</w:t>
            </w:r>
          </w:p>
        </w:tc>
        <w:tc>
          <w:tcPr>
            <w:tcW w:w="1090" w:type="dxa"/>
            <w:vAlign w:val="center"/>
          </w:tcPr>
          <w:p w14:paraId="0C1DB3DF"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580</w:t>
            </w:r>
          </w:p>
        </w:tc>
        <w:tc>
          <w:tcPr>
            <w:tcW w:w="1090" w:type="dxa"/>
            <w:vAlign w:val="center"/>
          </w:tcPr>
          <w:p w14:paraId="6A8A2ACE"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653</w:t>
            </w:r>
          </w:p>
        </w:tc>
        <w:tc>
          <w:tcPr>
            <w:tcW w:w="1090" w:type="dxa"/>
            <w:vAlign w:val="center"/>
          </w:tcPr>
          <w:p w14:paraId="519914E6"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661</w:t>
            </w:r>
          </w:p>
        </w:tc>
        <w:tc>
          <w:tcPr>
            <w:tcW w:w="1090" w:type="dxa"/>
            <w:vAlign w:val="center"/>
          </w:tcPr>
          <w:p w14:paraId="78C3A341"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693</w:t>
            </w:r>
          </w:p>
        </w:tc>
        <w:tc>
          <w:tcPr>
            <w:tcW w:w="992" w:type="dxa"/>
            <w:vAlign w:val="center"/>
          </w:tcPr>
          <w:p w14:paraId="045ADD71" w14:textId="77777777" w:rsidR="003127DD" w:rsidRPr="000C7D3F" w:rsidRDefault="003127DD" w:rsidP="003127DD">
            <w:pPr>
              <w:jc w:val="right"/>
              <w:rPr>
                <w:rFonts w:ascii="Arial" w:hAnsi="Arial" w:cs="Arial"/>
                <w:sz w:val="18"/>
                <w:szCs w:val="18"/>
                <w:lang w:val="en-CA" w:eastAsia="zh-CN"/>
              </w:rPr>
            </w:pPr>
            <w:r w:rsidRPr="000C7D3F">
              <w:rPr>
                <w:rFonts w:ascii="Arial" w:hAnsi="Arial" w:cs="Arial"/>
                <w:sz w:val="18"/>
                <w:szCs w:val="18"/>
                <w:lang w:val="en-CA" w:eastAsia="zh-CN"/>
              </w:rPr>
              <w:t>595</w:t>
            </w:r>
          </w:p>
        </w:tc>
      </w:tr>
      <w:tr w:rsidR="003127DD" w:rsidRPr="000C7D3F" w14:paraId="3BA792FB" w14:textId="77777777" w:rsidTr="003127DD">
        <w:trPr>
          <w:trHeight w:val="259"/>
          <w:jc w:val="center"/>
        </w:trPr>
        <w:tc>
          <w:tcPr>
            <w:tcW w:w="2839" w:type="dxa"/>
            <w:vAlign w:val="center"/>
          </w:tcPr>
          <w:p w14:paraId="3F1DE3F5" w14:textId="77777777" w:rsidR="003127DD" w:rsidRPr="000C7D3F" w:rsidRDefault="003127DD" w:rsidP="003127DD">
            <w:pPr>
              <w:rPr>
                <w:rFonts w:ascii="Arial" w:hAnsi="Arial" w:cs="Arial"/>
                <w:b/>
                <w:sz w:val="18"/>
                <w:szCs w:val="18"/>
                <w:lang w:val="en-CA" w:eastAsia="zh-CN"/>
              </w:rPr>
            </w:pPr>
            <w:r w:rsidRPr="000C7D3F">
              <w:rPr>
                <w:rFonts w:ascii="Arial" w:hAnsi="Arial" w:cs="Arial"/>
                <w:b/>
                <w:sz w:val="18"/>
                <w:szCs w:val="18"/>
                <w:lang w:val="en-CA" w:eastAsia="zh-CN"/>
              </w:rPr>
              <w:t>Total Equity</w:t>
            </w:r>
          </w:p>
        </w:tc>
        <w:tc>
          <w:tcPr>
            <w:tcW w:w="1089" w:type="dxa"/>
            <w:vAlign w:val="center"/>
          </w:tcPr>
          <w:p w14:paraId="78BEF64E"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22,695</w:t>
            </w:r>
          </w:p>
        </w:tc>
        <w:tc>
          <w:tcPr>
            <w:tcW w:w="1090" w:type="dxa"/>
            <w:vAlign w:val="center"/>
          </w:tcPr>
          <w:p w14:paraId="50FC1967"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27,920</w:t>
            </w:r>
          </w:p>
        </w:tc>
        <w:tc>
          <w:tcPr>
            <w:tcW w:w="1090" w:type="dxa"/>
            <w:vAlign w:val="center"/>
          </w:tcPr>
          <w:p w14:paraId="7267630D"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38,865</w:t>
            </w:r>
          </w:p>
        </w:tc>
        <w:tc>
          <w:tcPr>
            <w:tcW w:w="1090" w:type="dxa"/>
            <w:vAlign w:val="center"/>
          </w:tcPr>
          <w:p w14:paraId="034FD360"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41,375</w:t>
            </w:r>
          </w:p>
        </w:tc>
        <w:tc>
          <w:tcPr>
            <w:tcW w:w="1090" w:type="dxa"/>
            <w:vAlign w:val="center"/>
          </w:tcPr>
          <w:p w14:paraId="286CC1D9"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46,055</w:t>
            </w:r>
          </w:p>
        </w:tc>
        <w:tc>
          <w:tcPr>
            <w:tcW w:w="992" w:type="dxa"/>
            <w:vAlign w:val="center"/>
          </w:tcPr>
          <w:p w14:paraId="6F556F9B"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46,841</w:t>
            </w:r>
          </w:p>
        </w:tc>
      </w:tr>
      <w:tr w:rsidR="003127DD" w:rsidRPr="000C7D3F" w14:paraId="5A7AAA6C" w14:textId="77777777" w:rsidTr="003127DD">
        <w:trPr>
          <w:trHeight w:val="259"/>
          <w:jc w:val="center"/>
        </w:trPr>
        <w:tc>
          <w:tcPr>
            <w:tcW w:w="2839" w:type="dxa"/>
            <w:vAlign w:val="center"/>
          </w:tcPr>
          <w:p w14:paraId="26BE82D3" w14:textId="77777777" w:rsidR="003127DD" w:rsidRPr="000C7D3F" w:rsidRDefault="003127DD" w:rsidP="003127DD">
            <w:pPr>
              <w:rPr>
                <w:rFonts w:ascii="Arial" w:hAnsi="Arial" w:cs="Arial"/>
                <w:b/>
                <w:sz w:val="18"/>
                <w:szCs w:val="18"/>
                <w:lang w:val="en-CA" w:eastAsia="zh-CN"/>
              </w:rPr>
            </w:pPr>
            <w:r w:rsidRPr="000C7D3F">
              <w:rPr>
                <w:rFonts w:ascii="Arial" w:hAnsi="Arial" w:cs="Arial"/>
                <w:b/>
                <w:sz w:val="18"/>
                <w:szCs w:val="18"/>
                <w:lang w:val="en-CA" w:eastAsia="zh-CN"/>
              </w:rPr>
              <w:t>Total Equity and Liabilities</w:t>
            </w:r>
          </w:p>
        </w:tc>
        <w:tc>
          <w:tcPr>
            <w:tcW w:w="1089" w:type="dxa"/>
            <w:vAlign w:val="center"/>
          </w:tcPr>
          <w:p w14:paraId="75AD91BF"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435,068</w:t>
            </w:r>
          </w:p>
        </w:tc>
        <w:tc>
          <w:tcPr>
            <w:tcW w:w="1090" w:type="dxa"/>
            <w:vAlign w:val="center"/>
          </w:tcPr>
          <w:p w14:paraId="1EBD35F7"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436,653</w:t>
            </w:r>
          </w:p>
        </w:tc>
        <w:tc>
          <w:tcPr>
            <w:tcW w:w="1090" w:type="dxa"/>
            <w:vAlign w:val="center"/>
          </w:tcPr>
          <w:p w14:paraId="5BCBF5A8"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516,560</w:t>
            </w:r>
          </w:p>
        </w:tc>
        <w:tc>
          <w:tcPr>
            <w:tcW w:w="1090" w:type="dxa"/>
            <w:vAlign w:val="center"/>
          </w:tcPr>
          <w:p w14:paraId="3A9C1F53"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592,686</w:t>
            </w:r>
          </w:p>
        </w:tc>
        <w:tc>
          <w:tcPr>
            <w:tcW w:w="1090" w:type="dxa"/>
            <w:vAlign w:val="center"/>
          </w:tcPr>
          <w:p w14:paraId="126A7F35"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631,208</w:t>
            </w:r>
          </w:p>
        </w:tc>
        <w:tc>
          <w:tcPr>
            <w:tcW w:w="992" w:type="dxa"/>
            <w:vAlign w:val="center"/>
          </w:tcPr>
          <w:p w14:paraId="1A9ED5BE" w14:textId="77777777" w:rsidR="003127DD" w:rsidRPr="000C7D3F" w:rsidRDefault="003127DD" w:rsidP="003127DD">
            <w:pPr>
              <w:jc w:val="right"/>
              <w:rPr>
                <w:rFonts w:ascii="Arial" w:hAnsi="Arial" w:cs="Arial"/>
                <w:b/>
                <w:sz w:val="18"/>
                <w:szCs w:val="18"/>
                <w:lang w:val="en-CA" w:eastAsia="zh-CN"/>
              </w:rPr>
            </w:pPr>
            <w:r w:rsidRPr="000C7D3F">
              <w:rPr>
                <w:rFonts w:ascii="Arial" w:hAnsi="Arial" w:cs="Arial"/>
                <w:b/>
                <w:sz w:val="18"/>
                <w:szCs w:val="18"/>
                <w:lang w:val="en-CA" w:eastAsia="zh-CN"/>
              </w:rPr>
              <w:t>674,380</w:t>
            </w:r>
          </w:p>
        </w:tc>
      </w:tr>
    </w:tbl>
    <w:p w14:paraId="2EE8C741" w14:textId="77777777" w:rsidR="000C7D3F" w:rsidRPr="000C7D3F" w:rsidRDefault="000C7D3F" w:rsidP="000C7D3F">
      <w:pPr>
        <w:jc w:val="both"/>
        <w:rPr>
          <w:rFonts w:ascii="Arial" w:hAnsi="Arial" w:cs="Arial"/>
          <w:lang w:val="en-CA"/>
        </w:rPr>
      </w:pPr>
    </w:p>
    <w:p w14:paraId="3330D02C" w14:textId="324038E9" w:rsidR="000C7D3F" w:rsidRDefault="000C7D3F" w:rsidP="000C7D3F">
      <w:pPr>
        <w:jc w:val="both"/>
        <w:rPr>
          <w:rFonts w:ascii="Arial" w:hAnsi="Arial" w:cs="Arial"/>
          <w:sz w:val="17"/>
          <w:szCs w:val="17"/>
          <w:lang w:val="en-CA"/>
        </w:rPr>
      </w:pPr>
      <w:r w:rsidRPr="000C7D3F">
        <w:rPr>
          <w:rFonts w:ascii="Arial" w:hAnsi="Arial" w:cs="Arial"/>
          <w:sz w:val="17"/>
          <w:szCs w:val="17"/>
          <w:lang w:val="en-CA"/>
        </w:rPr>
        <w:t xml:space="preserve">Source: Standard Chartered PLC, </w:t>
      </w:r>
      <w:r w:rsidRPr="000C7D3F">
        <w:rPr>
          <w:rFonts w:ascii="Arial" w:hAnsi="Arial" w:cs="Arial"/>
          <w:i/>
          <w:sz w:val="17"/>
          <w:szCs w:val="17"/>
          <w:lang w:val="en-CA"/>
        </w:rPr>
        <w:t>Driving Investment, Trade and the Creation of Wealth across Asia, Africa and the Middle East: Annual Report 2013</w:t>
      </w:r>
      <w:r w:rsidRPr="000C7D3F">
        <w:rPr>
          <w:rFonts w:ascii="Arial" w:hAnsi="Arial" w:cs="Arial"/>
          <w:sz w:val="17"/>
          <w:szCs w:val="17"/>
          <w:lang w:val="en-CA"/>
        </w:rPr>
        <w:t xml:space="preserve">, accessed February 16, 2015, </w:t>
      </w:r>
      <w:r w:rsidR="003127DD" w:rsidRPr="003127DD">
        <w:rPr>
          <w:rFonts w:ascii="Arial" w:hAnsi="Arial" w:cs="Arial"/>
          <w:sz w:val="17"/>
          <w:szCs w:val="17"/>
          <w:lang w:val="en-CA"/>
        </w:rPr>
        <w:t>www.sc.com/annual-report/2013</w:t>
      </w:r>
      <w:r w:rsidRPr="000C7D3F">
        <w:rPr>
          <w:rFonts w:ascii="Arial" w:hAnsi="Arial" w:cs="Arial"/>
          <w:sz w:val="17"/>
          <w:szCs w:val="17"/>
          <w:lang w:val="en-CA"/>
        </w:rPr>
        <w:t>.</w:t>
      </w:r>
    </w:p>
    <w:p w14:paraId="00D9184A" w14:textId="77777777" w:rsidR="003127DD" w:rsidRDefault="003127DD" w:rsidP="003127DD">
      <w:pPr>
        <w:pStyle w:val="ExhibitText"/>
        <w:rPr>
          <w:lang w:val="en-CA"/>
        </w:rPr>
      </w:pPr>
    </w:p>
    <w:p w14:paraId="64D40148" w14:textId="77777777" w:rsidR="003127DD" w:rsidRDefault="003127DD" w:rsidP="003127DD">
      <w:pPr>
        <w:pStyle w:val="ExhibitText"/>
        <w:rPr>
          <w:lang w:val="en-CA"/>
        </w:rPr>
      </w:pPr>
    </w:p>
    <w:p w14:paraId="68124FEC" w14:textId="77777777" w:rsidR="003127DD" w:rsidRPr="000C7D3F" w:rsidRDefault="003127DD" w:rsidP="003127DD">
      <w:pPr>
        <w:jc w:val="center"/>
        <w:outlineLvl w:val="0"/>
        <w:rPr>
          <w:rFonts w:ascii="Arial" w:hAnsi="Arial" w:cs="Arial"/>
          <w:b/>
          <w:caps/>
          <w:lang w:val="en-CA"/>
        </w:rPr>
      </w:pPr>
      <w:r w:rsidRPr="000C7D3F">
        <w:rPr>
          <w:rFonts w:ascii="Arial" w:hAnsi="Arial" w:cs="Arial"/>
          <w:b/>
          <w:caps/>
          <w:lang w:val="en-CA"/>
        </w:rPr>
        <w:t xml:space="preserve">exhibit </w:t>
      </w:r>
      <w:r>
        <w:rPr>
          <w:rFonts w:ascii="Arial" w:hAnsi="Arial" w:cs="Arial"/>
          <w:b/>
          <w:caps/>
          <w:lang w:val="en-CA"/>
        </w:rPr>
        <w:t>4</w:t>
      </w:r>
      <w:r w:rsidRPr="000C7D3F">
        <w:rPr>
          <w:rFonts w:ascii="Arial" w:hAnsi="Arial" w:cs="Arial"/>
          <w:b/>
          <w:caps/>
          <w:lang w:val="en-CA"/>
        </w:rPr>
        <w:t>: REAL GDP GROWTH RATES</w:t>
      </w:r>
      <w:r>
        <w:rPr>
          <w:rFonts w:ascii="Arial" w:hAnsi="Arial" w:cs="Arial"/>
          <w:b/>
          <w:caps/>
          <w:lang w:val="en-CA"/>
        </w:rPr>
        <w:t>, selected countries, 2012–2018</w:t>
      </w:r>
      <w:r w:rsidRPr="000C7D3F">
        <w:rPr>
          <w:rFonts w:ascii="Arial" w:hAnsi="Arial" w:cs="Arial"/>
          <w:b/>
          <w:caps/>
          <w:lang w:val="en-CA"/>
        </w:rPr>
        <w:t xml:space="preserve"> (IN PERCENTAGE)</w:t>
      </w:r>
    </w:p>
    <w:p w14:paraId="2190F06C" w14:textId="77777777" w:rsidR="003127DD" w:rsidRPr="000C7D3F" w:rsidRDefault="003127DD" w:rsidP="003127DD">
      <w:pPr>
        <w:jc w:val="both"/>
        <w:rPr>
          <w:rFonts w:ascii="Arial" w:hAnsi="Arial" w:cs="Arial"/>
          <w:lang w:val="en-CA"/>
        </w:rPr>
      </w:pPr>
    </w:p>
    <w:tbl>
      <w:tblPr>
        <w:tblW w:w="5000" w:type="pct"/>
        <w:jc w:val="center"/>
        <w:tblLook w:val="04A0" w:firstRow="1" w:lastRow="0" w:firstColumn="1" w:lastColumn="0" w:noHBand="0" w:noVBand="1"/>
      </w:tblPr>
      <w:tblGrid>
        <w:gridCol w:w="3558"/>
        <w:gridCol w:w="1241"/>
        <w:gridCol w:w="1241"/>
        <w:gridCol w:w="1241"/>
        <w:gridCol w:w="2069"/>
      </w:tblGrid>
      <w:tr w:rsidR="003127DD" w:rsidRPr="000C7D3F" w14:paraId="3445CC85" w14:textId="77777777" w:rsidTr="003127DD">
        <w:trPr>
          <w:trHeight w:val="288"/>
          <w:jc w:val="center"/>
        </w:trPr>
        <w:tc>
          <w:tcPr>
            <w:tcW w:w="2321" w:type="dxa"/>
            <w:tcBorders>
              <w:top w:val="single" w:sz="4" w:space="0" w:color="auto"/>
              <w:left w:val="single" w:sz="4" w:space="0" w:color="auto"/>
              <w:bottom w:val="single" w:sz="4" w:space="0" w:color="auto"/>
              <w:right w:val="single" w:sz="4" w:space="0" w:color="auto"/>
            </w:tcBorders>
            <w:noWrap/>
            <w:vAlign w:val="center"/>
            <w:hideMark/>
          </w:tcPr>
          <w:p w14:paraId="506410FC" w14:textId="77777777" w:rsidR="003127DD" w:rsidRPr="000C7D3F" w:rsidRDefault="003127DD" w:rsidP="003127DD">
            <w:pPr>
              <w:jc w:val="center"/>
              <w:rPr>
                <w:rFonts w:ascii="Arial" w:hAnsi="Arial" w:cs="Arial"/>
                <w:b/>
                <w:sz w:val="18"/>
                <w:szCs w:val="18"/>
                <w:lang w:val="en-SG" w:eastAsia="zh-CN"/>
              </w:rPr>
            </w:pPr>
            <w:r w:rsidRPr="000C7D3F">
              <w:rPr>
                <w:rFonts w:ascii="Arial" w:hAnsi="Arial" w:cs="Arial"/>
                <w:b/>
                <w:sz w:val="18"/>
                <w:szCs w:val="18"/>
                <w:lang w:val="en-SG" w:eastAsia="zh-CN"/>
              </w:rPr>
              <w:t>Region/Year</w:t>
            </w:r>
          </w:p>
        </w:tc>
        <w:tc>
          <w:tcPr>
            <w:tcW w:w="810" w:type="dxa"/>
            <w:tcBorders>
              <w:top w:val="single" w:sz="4" w:space="0" w:color="auto"/>
              <w:left w:val="nil"/>
              <w:bottom w:val="single" w:sz="4" w:space="0" w:color="auto"/>
              <w:right w:val="single" w:sz="4" w:space="0" w:color="auto"/>
            </w:tcBorders>
            <w:noWrap/>
            <w:vAlign w:val="center"/>
            <w:hideMark/>
          </w:tcPr>
          <w:p w14:paraId="29EC84C4"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2012</w:t>
            </w:r>
          </w:p>
        </w:tc>
        <w:tc>
          <w:tcPr>
            <w:tcW w:w="810" w:type="dxa"/>
            <w:tcBorders>
              <w:top w:val="single" w:sz="4" w:space="0" w:color="auto"/>
              <w:left w:val="nil"/>
              <w:bottom w:val="single" w:sz="4" w:space="0" w:color="auto"/>
              <w:right w:val="single" w:sz="4" w:space="0" w:color="auto"/>
            </w:tcBorders>
            <w:noWrap/>
            <w:vAlign w:val="center"/>
            <w:hideMark/>
          </w:tcPr>
          <w:p w14:paraId="71AE1849"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2013</w:t>
            </w:r>
          </w:p>
        </w:tc>
        <w:tc>
          <w:tcPr>
            <w:tcW w:w="810" w:type="dxa"/>
            <w:tcBorders>
              <w:top w:val="single" w:sz="4" w:space="0" w:color="auto"/>
              <w:left w:val="nil"/>
              <w:bottom w:val="single" w:sz="4" w:space="0" w:color="auto"/>
              <w:right w:val="single" w:sz="4" w:space="0" w:color="auto"/>
            </w:tcBorders>
            <w:noWrap/>
            <w:vAlign w:val="center"/>
            <w:hideMark/>
          </w:tcPr>
          <w:p w14:paraId="3EE6947E"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2014</w:t>
            </w:r>
          </w:p>
        </w:tc>
        <w:tc>
          <w:tcPr>
            <w:tcW w:w="1350" w:type="dxa"/>
            <w:tcBorders>
              <w:top w:val="single" w:sz="4" w:space="0" w:color="auto"/>
              <w:left w:val="nil"/>
              <w:bottom w:val="single" w:sz="4" w:space="0" w:color="auto"/>
              <w:right w:val="single" w:sz="4" w:space="0" w:color="auto"/>
            </w:tcBorders>
            <w:noWrap/>
            <w:vAlign w:val="center"/>
            <w:hideMark/>
          </w:tcPr>
          <w:p w14:paraId="2EDB75E0" w14:textId="77777777" w:rsidR="003127DD" w:rsidRPr="000C7D3F" w:rsidRDefault="003127DD" w:rsidP="003127DD">
            <w:pPr>
              <w:jc w:val="center"/>
              <w:rPr>
                <w:rFonts w:ascii="Arial" w:hAnsi="Arial" w:cs="Arial"/>
                <w:b/>
                <w:bCs/>
                <w:sz w:val="18"/>
                <w:szCs w:val="18"/>
                <w:lang w:val="en-SG" w:eastAsia="zh-CN"/>
              </w:rPr>
            </w:pPr>
            <w:r w:rsidRPr="000C7D3F">
              <w:rPr>
                <w:rFonts w:ascii="Arial" w:hAnsi="Arial" w:cs="Arial"/>
                <w:b/>
                <w:bCs/>
                <w:sz w:val="18"/>
                <w:szCs w:val="18"/>
                <w:lang w:val="en-SG" w:eastAsia="zh-CN"/>
              </w:rPr>
              <w:t>2015–2018 (Forecast)</w:t>
            </w:r>
          </w:p>
        </w:tc>
      </w:tr>
      <w:tr w:rsidR="003127DD" w:rsidRPr="000C7D3F" w14:paraId="4A75E8B0" w14:textId="77777777" w:rsidTr="003127DD">
        <w:trPr>
          <w:trHeight w:val="288"/>
          <w:jc w:val="center"/>
        </w:trPr>
        <w:tc>
          <w:tcPr>
            <w:tcW w:w="2321" w:type="dxa"/>
            <w:tcBorders>
              <w:top w:val="nil"/>
              <w:left w:val="single" w:sz="4" w:space="0" w:color="auto"/>
              <w:bottom w:val="single" w:sz="4" w:space="0" w:color="auto"/>
              <w:right w:val="single" w:sz="4" w:space="0" w:color="auto"/>
            </w:tcBorders>
            <w:noWrap/>
            <w:vAlign w:val="center"/>
            <w:hideMark/>
          </w:tcPr>
          <w:p w14:paraId="74C3E25B"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Asia</w:t>
            </w:r>
          </w:p>
        </w:tc>
        <w:tc>
          <w:tcPr>
            <w:tcW w:w="810" w:type="dxa"/>
            <w:tcBorders>
              <w:top w:val="nil"/>
              <w:left w:val="nil"/>
              <w:bottom w:val="single" w:sz="4" w:space="0" w:color="auto"/>
              <w:right w:val="single" w:sz="4" w:space="0" w:color="auto"/>
            </w:tcBorders>
            <w:noWrap/>
            <w:vAlign w:val="center"/>
            <w:hideMark/>
          </w:tcPr>
          <w:p w14:paraId="19CFA74F"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6.7</w:t>
            </w:r>
          </w:p>
        </w:tc>
        <w:tc>
          <w:tcPr>
            <w:tcW w:w="810" w:type="dxa"/>
            <w:tcBorders>
              <w:top w:val="nil"/>
              <w:left w:val="nil"/>
              <w:bottom w:val="single" w:sz="4" w:space="0" w:color="auto"/>
              <w:right w:val="single" w:sz="4" w:space="0" w:color="auto"/>
            </w:tcBorders>
            <w:noWrap/>
            <w:vAlign w:val="center"/>
            <w:hideMark/>
          </w:tcPr>
          <w:p w14:paraId="4E524B0E"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6.5</w:t>
            </w:r>
          </w:p>
        </w:tc>
        <w:tc>
          <w:tcPr>
            <w:tcW w:w="810" w:type="dxa"/>
            <w:tcBorders>
              <w:top w:val="nil"/>
              <w:left w:val="nil"/>
              <w:bottom w:val="single" w:sz="4" w:space="0" w:color="auto"/>
              <w:right w:val="single" w:sz="4" w:space="0" w:color="auto"/>
            </w:tcBorders>
            <w:noWrap/>
            <w:vAlign w:val="center"/>
            <w:hideMark/>
          </w:tcPr>
          <w:p w14:paraId="46162B42"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6.5</w:t>
            </w:r>
          </w:p>
        </w:tc>
        <w:tc>
          <w:tcPr>
            <w:tcW w:w="1350" w:type="dxa"/>
            <w:tcBorders>
              <w:top w:val="nil"/>
              <w:left w:val="nil"/>
              <w:bottom w:val="single" w:sz="4" w:space="0" w:color="auto"/>
              <w:right w:val="single" w:sz="4" w:space="0" w:color="auto"/>
            </w:tcBorders>
            <w:noWrap/>
            <w:vAlign w:val="center"/>
            <w:hideMark/>
          </w:tcPr>
          <w:p w14:paraId="5B864E47"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6.3</w:t>
            </w:r>
          </w:p>
        </w:tc>
      </w:tr>
      <w:tr w:rsidR="003127DD" w:rsidRPr="000C7D3F" w14:paraId="52393E78" w14:textId="77777777" w:rsidTr="003127DD">
        <w:trPr>
          <w:trHeight w:val="288"/>
          <w:jc w:val="center"/>
        </w:trPr>
        <w:tc>
          <w:tcPr>
            <w:tcW w:w="2321" w:type="dxa"/>
            <w:tcBorders>
              <w:top w:val="nil"/>
              <w:left w:val="single" w:sz="4" w:space="0" w:color="auto"/>
              <w:bottom w:val="single" w:sz="4" w:space="0" w:color="auto"/>
              <w:right w:val="single" w:sz="4" w:space="0" w:color="auto"/>
            </w:tcBorders>
            <w:noWrap/>
            <w:vAlign w:val="center"/>
            <w:hideMark/>
          </w:tcPr>
          <w:p w14:paraId="286C7B2F"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China</w:t>
            </w:r>
          </w:p>
        </w:tc>
        <w:tc>
          <w:tcPr>
            <w:tcW w:w="810" w:type="dxa"/>
            <w:tcBorders>
              <w:top w:val="nil"/>
              <w:left w:val="nil"/>
              <w:bottom w:val="single" w:sz="4" w:space="0" w:color="auto"/>
              <w:right w:val="single" w:sz="4" w:space="0" w:color="auto"/>
            </w:tcBorders>
            <w:noWrap/>
            <w:vAlign w:val="center"/>
            <w:hideMark/>
          </w:tcPr>
          <w:p w14:paraId="64BE8C58"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7.7</w:t>
            </w:r>
          </w:p>
        </w:tc>
        <w:tc>
          <w:tcPr>
            <w:tcW w:w="810" w:type="dxa"/>
            <w:tcBorders>
              <w:top w:val="nil"/>
              <w:left w:val="nil"/>
              <w:bottom w:val="single" w:sz="4" w:space="0" w:color="auto"/>
              <w:right w:val="single" w:sz="4" w:space="0" w:color="auto"/>
            </w:tcBorders>
            <w:noWrap/>
            <w:vAlign w:val="center"/>
            <w:hideMark/>
          </w:tcPr>
          <w:p w14:paraId="7D1AF6BD"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7.6</w:t>
            </w:r>
          </w:p>
        </w:tc>
        <w:tc>
          <w:tcPr>
            <w:tcW w:w="810" w:type="dxa"/>
            <w:tcBorders>
              <w:top w:val="nil"/>
              <w:left w:val="nil"/>
              <w:bottom w:val="single" w:sz="4" w:space="0" w:color="auto"/>
              <w:right w:val="single" w:sz="4" w:space="0" w:color="auto"/>
            </w:tcBorders>
            <w:noWrap/>
            <w:vAlign w:val="center"/>
            <w:hideMark/>
          </w:tcPr>
          <w:p w14:paraId="0E78AAA6"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7.4</w:t>
            </w:r>
          </w:p>
        </w:tc>
        <w:tc>
          <w:tcPr>
            <w:tcW w:w="1350" w:type="dxa"/>
            <w:tcBorders>
              <w:top w:val="nil"/>
              <w:left w:val="nil"/>
              <w:bottom w:val="single" w:sz="4" w:space="0" w:color="auto"/>
              <w:right w:val="single" w:sz="4" w:space="0" w:color="auto"/>
            </w:tcBorders>
            <w:noWrap/>
            <w:vAlign w:val="center"/>
            <w:hideMark/>
          </w:tcPr>
          <w:p w14:paraId="46374AB1"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7.0</w:t>
            </w:r>
          </w:p>
        </w:tc>
      </w:tr>
      <w:tr w:rsidR="003127DD" w:rsidRPr="000C7D3F" w14:paraId="36E2F632" w14:textId="77777777" w:rsidTr="003127DD">
        <w:trPr>
          <w:trHeight w:val="288"/>
          <w:jc w:val="center"/>
        </w:trPr>
        <w:tc>
          <w:tcPr>
            <w:tcW w:w="2321" w:type="dxa"/>
            <w:tcBorders>
              <w:top w:val="nil"/>
              <w:left w:val="single" w:sz="4" w:space="0" w:color="auto"/>
              <w:bottom w:val="single" w:sz="4" w:space="0" w:color="auto"/>
              <w:right w:val="single" w:sz="4" w:space="0" w:color="auto"/>
            </w:tcBorders>
            <w:noWrap/>
            <w:vAlign w:val="center"/>
            <w:hideMark/>
          </w:tcPr>
          <w:p w14:paraId="791E5715"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Africa</w:t>
            </w:r>
          </w:p>
        </w:tc>
        <w:tc>
          <w:tcPr>
            <w:tcW w:w="810" w:type="dxa"/>
            <w:tcBorders>
              <w:top w:val="nil"/>
              <w:left w:val="nil"/>
              <w:bottom w:val="single" w:sz="4" w:space="0" w:color="auto"/>
              <w:right w:val="single" w:sz="4" w:space="0" w:color="auto"/>
            </w:tcBorders>
            <w:noWrap/>
            <w:vAlign w:val="center"/>
            <w:hideMark/>
          </w:tcPr>
          <w:p w14:paraId="1BFFCA80"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5.3</w:t>
            </w:r>
          </w:p>
        </w:tc>
        <w:tc>
          <w:tcPr>
            <w:tcW w:w="810" w:type="dxa"/>
            <w:tcBorders>
              <w:top w:val="nil"/>
              <w:left w:val="nil"/>
              <w:bottom w:val="single" w:sz="4" w:space="0" w:color="auto"/>
              <w:right w:val="single" w:sz="4" w:space="0" w:color="auto"/>
            </w:tcBorders>
            <w:noWrap/>
            <w:vAlign w:val="center"/>
            <w:hideMark/>
          </w:tcPr>
          <w:p w14:paraId="3F084C5E"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4.9</w:t>
            </w:r>
          </w:p>
        </w:tc>
        <w:tc>
          <w:tcPr>
            <w:tcW w:w="810" w:type="dxa"/>
            <w:tcBorders>
              <w:top w:val="nil"/>
              <w:left w:val="nil"/>
              <w:bottom w:val="single" w:sz="4" w:space="0" w:color="auto"/>
              <w:right w:val="single" w:sz="4" w:space="0" w:color="auto"/>
            </w:tcBorders>
            <w:noWrap/>
            <w:vAlign w:val="center"/>
            <w:hideMark/>
          </w:tcPr>
          <w:p w14:paraId="3C669102"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5.4</w:t>
            </w:r>
          </w:p>
        </w:tc>
        <w:tc>
          <w:tcPr>
            <w:tcW w:w="1350" w:type="dxa"/>
            <w:tcBorders>
              <w:top w:val="nil"/>
              <w:left w:val="nil"/>
              <w:bottom w:val="single" w:sz="4" w:space="0" w:color="auto"/>
              <w:right w:val="single" w:sz="4" w:space="0" w:color="auto"/>
            </w:tcBorders>
            <w:noWrap/>
            <w:vAlign w:val="center"/>
            <w:hideMark/>
          </w:tcPr>
          <w:p w14:paraId="45D5D1EB"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5.4</w:t>
            </w:r>
          </w:p>
        </w:tc>
      </w:tr>
      <w:tr w:rsidR="003127DD" w:rsidRPr="000C7D3F" w14:paraId="1EEB6B12" w14:textId="77777777" w:rsidTr="003127DD">
        <w:trPr>
          <w:trHeight w:val="288"/>
          <w:jc w:val="center"/>
        </w:trPr>
        <w:tc>
          <w:tcPr>
            <w:tcW w:w="2321" w:type="dxa"/>
            <w:tcBorders>
              <w:top w:val="nil"/>
              <w:left w:val="single" w:sz="4" w:space="0" w:color="auto"/>
              <w:bottom w:val="single" w:sz="4" w:space="0" w:color="auto"/>
              <w:right w:val="single" w:sz="4" w:space="0" w:color="auto"/>
            </w:tcBorders>
            <w:noWrap/>
            <w:vAlign w:val="center"/>
            <w:hideMark/>
          </w:tcPr>
          <w:p w14:paraId="3C0B9D21"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MENA (Middle East and North Africa)</w:t>
            </w:r>
          </w:p>
        </w:tc>
        <w:tc>
          <w:tcPr>
            <w:tcW w:w="810" w:type="dxa"/>
            <w:tcBorders>
              <w:top w:val="nil"/>
              <w:left w:val="nil"/>
              <w:bottom w:val="single" w:sz="4" w:space="0" w:color="auto"/>
              <w:right w:val="single" w:sz="4" w:space="0" w:color="auto"/>
            </w:tcBorders>
            <w:noWrap/>
            <w:vAlign w:val="center"/>
            <w:hideMark/>
          </w:tcPr>
          <w:p w14:paraId="2497C0F9"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4.5</w:t>
            </w:r>
          </w:p>
        </w:tc>
        <w:tc>
          <w:tcPr>
            <w:tcW w:w="810" w:type="dxa"/>
            <w:tcBorders>
              <w:top w:val="nil"/>
              <w:left w:val="nil"/>
              <w:bottom w:val="single" w:sz="4" w:space="0" w:color="auto"/>
              <w:right w:val="single" w:sz="4" w:space="0" w:color="auto"/>
            </w:tcBorders>
            <w:noWrap/>
            <w:vAlign w:val="center"/>
            <w:hideMark/>
          </w:tcPr>
          <w:p w14:paraId="6CD2DCF5"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3.8</w:t>
            </w:r>
          </w:p>
        </w:tc>
        <w:tc>
          <w:tcPr>
            <w:tcW w:w="810" w:type="dxa"/>
            <w:tcBorders>
              <w:top w:val="nil"/>
              <w:left w:val="nil"/>
              <w:bottom w:val="single" w:sz="4" w:space="0" w:color="auto"/>
              <w:right w:val="single" w:sz="4" w:space="0" w:color="auto"/>
            </w:tcBorders>
            <w:noWrap/>
            <w:vAlign w:val="center"/>
            <w:hideMark/>
          </w:tcPr>
          <w:p w14:paraId="70738E4C"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4.0</w:t>
            </w:r>
          </w:p>
        </w:tc>
        <w:tc>
          <w:tcPr>
            <w:tcW w:w="1350" w:type="dxa"/>
            <w:tcBorders>
              <w:top w:val="nil"/>
              <w:left w:val="nil"/>
              <w:bottom w:val="single" w:sz="4" w:space="0" w:color="auto"/>
              <w:right w:val="single" w:sz="4" w:space="0" w:color="auto"/>
            </w:tcBorders>
            <w:noWrap/>
            <w:vAlign w:val="center"/>
            <w:hideMark/>
          </w:tcPr>
          <w:p w14:paraId="1C26FE03"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4.3</w:t>
            </w:r>
          </w:p>
        </w:tc>
      </w:tr>
      <w:tr w:rsidR="003127DD" w:rsidRPr="000C7D3F" w14:paraId="4EBC6F51" w14:textId="77777777" w:rsidTr="003127DD">
        <w:trPr>
          <w:trHeight w:val="288"/>
          <w:jc w:val="center"/>
        </w:trPr>
        <w:tc>
          <w:tcPr>
            <w:tcW w:w="2321" w:type="dxa"/>
            <w:tcBorders>
              <w:top w:val="nil"/>
              <w:left w:val="single" w:sz="4" w:space="0" w:color="auto"/>
              <w:bottom w:val="single" w:sz="4" w:space="0" w:color="auto"/>
              <w:right w:val="single" w:sz="4" w:space="0" w:color="auto"/>
            </w:tcBorders>
            <w:noWrap/>
            <w:vAlign w:val="center"/>
            <w:hideMark/>
          </w:tcPr>
          <w:p w14:paraId="48774AEF"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Advanced Economies</w:t>
            </w:r>
          </w:p>
        </w:tc>
        <w:tc>
          <w:tcPr>
            <w:tcW w:w="810" w:type="dxa"/>
            <w:tcBorders>
              <w:top w:val="nil"/>
              <w:left w:val="nil"/>
              <w:bottom w:val="single" w:sz="4" w:space="0" w:color="auto"/>
              <w:right w:val="single" w:sz="4" w:space="0" w:color="auto"/>
            </w:tcBorders>
            <w:noWrap/>
            <w:vAlign w:val="center"/>
            <w:hideMark/>
          </w:tcPr>
          <w:p w14:paraId="238291E9"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1.4</w:t>
            </w:r>
          </w:p>
        </w:tc>
        <w:tc>
          <w:tcPr>
            <w:tcW w:w="810" w:type="dxa"/>
            <w:tcBorders>
              <w:top w:val="nil"/>
              <w:left w:val="nil"/>
              <w:bottom w:val="single" w:sz="4" w:space="0" w:color="auto"/>
              <w:right w:val="single" w:sz="4" w:space="0" w:color="auto"/>
            </w:tcBorders>
            <w:noWrap/>
            <w:vAlign w:val="center"/>
            <w:hideMark/>
          </w:tcPr>
          <w:p w14:paraId="63245E60"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1.0</w:t>
            </w:r>
          </w:p>
        </w:tc>
        <w:tc>
          <w:tcPr>
            <w:tcW w:w="810" w:type="dxa"/>
            <w:tcBorders>
              <w:top w:val="nil"/>
              <w:left w:val="nil"/>
              <w:bottom w:val="single" w:sz="4" w:space="0" w:color="auto"/>
              <w:right w:val="single" w:sz="4" w:space="0" w:color="auto"/>
            </w:tcBorders>
            <w:noWrap/>
            <w:vAlign w:val="center"/>
            <w:hideMark/>
          </w:tcPr>
          <w:p w14:paraId="054574B3"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2.0</w:t>
            </w:r>
          </w:p>
        </w:tc>
        <w:tc>
          <w:tcPr>
            <w:tcW w:w="1350" w:type="dxa"/>
            <w:tcBorders>
              <w:top w:val="nil"/>
              <w:left w:val="nil"/>
              <w:bottom w:val="single" w:sz="4" w:space="0" w:color="auto"/>
              <w:right w:val="single" w:sz="4" w:space="0" w:color="auto"/>
            </w:tcBorders>
            <w:noWrap/>
            <w:vAlign w:val="center"/>
            <w:hideMark/>
          </w:tcPr>
          <w:p w14:paraId="549AB91D"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2.4</w:t>
            </w:r>
          </w:p>
        </w:tc>
      </w:tr>
      <w:tr w:rsidR="003127DD" w:rsidRPr="000C7D3F" w14:paraId="1BAEB0FF" w14:textId="77777777" w:rsidTr="003127DD">
        <w:trPr>
          <w:trHeight w:val="288"/>
          <w:jc w:val="center"/>
        </w:trPr>
        <w:tc>
          <w:tcPr>
            <w:tcW w:w="2321" w:type="dxa"/>
            <w:tcBorders>
              <w:top w:val="nil"/>
              <w:left w:val="single" w:sz="4" w:space="0" w:color="auto"/>
              <w:bottom w:val="single" w:sz="4" w:space="0" w:color="auto"/>
              <w:right w:val="single" w:sz="4" w:space="0" w:color="auto"/>
            </w:tcBorders>
            <w:noWrap/>
            <w:vAlign w:val="center"/>
            <w:hideMark/>
          </w:tcPr>
          <w:p w14:paraId="2E0751D7" w14:textId="77777777" w:rsidR="003127DD" w:rsidRPr="000C7D3F" w:rsidRDefault="003127DD" w:rsidP="003127DD">
            <w:pPr>
              <w:rPr>
                <w:rFonts w:ascii="Arial" w:hAnsi="Arial" w:cs="Arial"/>
                <w:sz w:val="18"/>
                <w:szCs w:val="18"/>
                <w:lang w:val="en-SG" w:eastAsia="zh-CN"/>
              </w:rPr>
            </w:pPr>
            <w:r w:rsidRPr="000C7D3F">
              <w:rPr>
                <w:rFonts w:ascii="Arial" w:hAnsi="Arial" w:cs="Arial"/>
                <w:sz w:val="18"/>
                <w:szCs w:val="18"/>
                <w:lang w:val="en-SG" w:eastAsia="zh-CN"/>
              </w:rPr>
              <w:t>United States</w:t>
            </w:r>
          </w:p>
        </w:tc>
        <w:tc>
          <w:tcPr>
            <w:tcW w:w="810" w:type="dxa"/>
            <w:tcBorders>
              <w:top w:val="nil"/>
              <w:left w:val="nil"/>
              <w:bottom w:val="single" w:sz="4" w:space="0" w:color="auto"/>
              <w:right w:val="single" w:sz="4" w:space="0" w:color="auto"/>
            </w:tcBorders>
            <w:noWrap/>
            <w:vAlign w:val="center"/>
            <w:hideMark/>
          </w:tcPr>
          <w:p w14:paraId="69DB6FA8"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2.8</w:t>
            </w:r>
          </w:p>
        </w:tc>
        <w:tc>
          <w:tcPr>
            <w:tcW w:w="810" w:type="dxa"/>
            <w:tcBorders>
              <w:top w:val="nil"/>
              <w:left w:val="nil"/>
              <w:bottom w:val="single" w:sz="4" w:space="0" w:color="auto"/>
              <w:right w:val="single" w:sz="4" w:space="0" w:color="auto"/>
            </w:tcBorders>
            <w:noWrap/>
            <w:vAlign w:val="center"/>
            <w:hideMark/>
          </w:tcPr>
          <w:p w14:paraId="225775F8"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1.6</w:t>
            </w:r>
          </w:p>
        </w:tc>
        <w:tc>
          <w:tcPr>
            <w:tcW w:w="810" w:type="dxa"/>
            <w:tcBorders>
              <w:top w:val="nil"/>
              <w:left w:val="nil"/>
              <w:bottom w:val="single" w:sz="4" w:space="0" w:color="auto"/>
              <w:right w:val="single" w:sz="4" w:space="0" w:color="auto"/>
            </w:tcBorders>
            <w:noWrap/>
            <w:vAlign w:val="center"/>
            <w:hideMark/>
          </w:tcPr>
          <w:p w14:paraId="10558131"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2.5</w:t>
            </w:r>
          </w:p>
        </w:tc>
        <w:tc>
          <w:tcPr>
            <w:tcW w:w="1350" w:type="dxa"/>
            <w:tcBorders>
              <w:top w:val="nil"/>
              <w:left w:val="nil"/>
              <w:bottom w:val="single" w:sz="4" w:space="0" w:color="auto"/>
              <w:right w:val="single" w:sz="4" w:space="0" w:color="auto"/>
            </w:tcBorders>
            <w:noWrap/>
            <w:vAlign w:val="center"/>
            <w:hideMark/>
          </w:tcPr>
          <w:p w14:paraId="3B49DCF7" w14:textId="77777777" w:rsidR="003127DD" w:rsidRPr="000C7D3F" w:rsidRDefault="003127DD" w:rsidP="003127DD">
            <w:pPr>
              <w:jc w:val="center"/>
              <w:rPr>
                <w:rFonts w:ascii="Arial" w:hAnsi="Arial" w:cs="Arial"/>
                <w:sz w:val="18"/>
                <w:szCs w:val="18"/>
                <w:lang w:val="en-SG" w:eastAsia="zh-CN"/>
              </w:rPr>
            </w:pPr>
            <w:r w:rsidRPr="000C7D3F">
              <w:rPr>
                <w:rFonts w:ascii="Arial" w:hAnsi="Arial" w:cs="Arial"/>
                <w:sz w:val="18"/>
                <w:szCs w:val="18"/>
                <w:lang w:val="en-SG" w:eastAsia="zh-CN"/>
              </w:rPr>
              <w:t>3.3</w:t>
            </w:r>
          </w:p>
        </w:tc>
      </w:tr>
    </w:tbl>
    <w:p w14:paraId="17C8E222" w14:textId="77777777" w:rsidR="003127DD" w:rsidRPr="000C7D3F" w:rsidRDefault="003127DD" w:rsidP="003127DD">
      <w:pPr>
        <w:jc w:val="both"/>
        <w:rPr>
          <w:rFonts w:ascii="Arial" w:hAnsi="Arial" w:cs="Arial"/>
          <w:lang w:val="en-CA"/>
        </w:rPr>
      </w:pPr>
    </w:p>
    <w:p w14:paraId="1097EE5F" w14:textId="77777777" w:rsidR="003127DD" w:rsidRPr="00484277" w:rsidRDefault="003127DD" w:rsidP="00084F3F">
      <w:pPr>
        <w:pStyle w:val="Footnote"/>
      </w:pPr>
      <w:r w:rsidRPr="00484277">
        <w:t>Note: GDP = gross domestic product</w:t>
      </w:r>
    </w:p>
    <w:p w14:paraId="344221AA" w14:textId="2FA078F2" w:rsidR="003127DD" w:rsidRPr="000C7D3F" w:rsidRDefault="003127DD" w:rsidP="00084F3F">
      <w:pPr>
        <w:pStyle w:val="Footnote"/>
        <w:rPr>
          <w:lang w:val="en-CA"/>
        </w:rPr>
      </w:pPr>
      <w:r w:rsidRPr="00484277">
        <w:rPr>
          <w:spacing w:val="-4"/>
          <w:kern w:val="17"/>
        </w:rPr>
        <w:t>Source: Standard Chartered PLC, </w:t>
      </w:r>
      <w:r>
        <w:rPr>
          <w:spacing w:val="-4"/>
          <w:kern w:val="17"/>
        </w:rPr>
        <w:t>“</w:t>
      </w:r>
      <w:r w:rsidRPr="00484277">
        <w:rPr>
          <w:spacing w:val="-4"/>
          <w:kern w:val="17"/>
        </w:rPr>
        <w:t>Leading the Way in Asia, Africa and the Middle East,</w:t>
      </w:r>
      <w:r>
        <w:rPr>
          <w:spacing w:val="-4"/>
          <w:kern w:val="17"/>
        </w:rPr>
        <w:t>”</w:t>
      </w:r>
      <w:r w:rsidRPr="00484277">
        <w:rPr>
          <w:spacing w:val="-4"/>
          <w:kern w:val="17"/>
        </w:rPr>
        <w:t> November 11, 2013, accessed March 20, 2016, https://www.sc.com/en/resources/global-en/pdf/press-releases/Standard_Chartered_Investor_Day_media_deck.pdf</w:t>
      </w:r>
      <w:r>
        <w:rPr>
          <w:spacing w:val="-4"/>
          <w:kern w:val="17"/>
        </w:rPr>
        <w:t>.</w:t>
      </w:r>
    </w:p>
    <w:p w14:paraId="72AEED5D" w14:textId="77777777" w:rsidR="000C7D3F" w:rsidRPr="000C7D3F" w:rsidRDefault="000C7D3F" w:rsidP="000C7D3F">
      <w:pPr>
        <w:jc w:val="both"/>
        <w:rPr>
          <w:rFonts w:ascii="Arial" w:hAnsi="Arial" w:cs="Arial"/>
          <w:lang w:val="en-CA"/>
        </w:rPr>
      </w:pPr>
      <w:r w:rsidRPr="000C7D3F">
        <w:rPr>
          <w:rFonts w:ascii="Arial" w:hAnsi="Arial" w:cs="Arial"/>
          <w:lang w:val="en-CA"/>
        </w:rPr>
        <w:br w:type="page"/>
      </w:r>
    </w:p>
    <w:p w14:paraId="3BD510A1" w14:textId="2F6F1A53" w:rsidR="000C7D3F" w:rsidRPr="000C7D3F" w:rsidRDefault="000C7D3F" w:rsidP="000C7D3F">
      <w:pPr>
        <w:jc w:val="center"/>
        <w:rPr>
          <w:rFonts w:ascii="Arial" w:hAnsi="Arial" w:cs="Arial"/>
          <w:b/>
          <w:caps/>
          <w:lang w:val="en-CA"/>
        </w:rPr>
      </w:pPr>
      <w:r w:rsidRPr="000C7D3F">
        <w:rPr>
          <w:rFonts w:ascii="Arial" w:hAnsi="Arial" w:cs="Arial"/>
          <w:b/>
          <w:caps/>
          <w:lang w:val="en-CA"/>
        </w:rPr>
        <w:lastRenderedPageBreak/>
        <w:t xml:space="preserve">Exhibit 5: KEY FINANCIAL FIGURES and MARKET-COMPARABLE MULTIPLES of </w:t>
      </w:r>
      <w:r w:rsidR="00F97FBB">
        <w:rPr>
          <w:rFonts w:ascii="Arial" w:hAnsi="Arial" w:cs="Arial"/>
          <w:b/>
          <w:caps/>
          <w:lang w:val="en-CA"/>
        </w:rPr>
        <w:t xml:space="preserve">standard chartered and </w:t>
      </w:r>
      <w:r w:rsidRPr="000C7D3F">
        <w:rPr>
          <w:rFonts w:ascii="Arial" w:hAnsi="Arial" w:cs="Arial"/>
          <w:b/>
          <w:caps/>
          <w:lang w:val="en-CA"/>
        </w:rPr>
        <w:t>SELECTED PUBLICLY TRADED PEERS</w:t>
      </w:r>
      <w:r w:rsidR="00F97FBB">
        <w:rPr>
          <w:rFonts w:ascii="Arial" w:hAnsi="Arial" w:cs="Arial"/>
          <w:b/>
          <w:caps/>
          <w:lang w:val="en-CA"/>
        </w:rPr>
        <w:t>, 2013</w:t>
      </w:r>
    </w:p>
    <w:p w14:paraId="77EBD676" w14:textId="77777777" w:rsidR="000C7D3F" w:rsidRPr="000C7D3F" w:rsidRDefault="000C7D3F" w:rsidP="000C7D3F">
      <w:pPr>
        <w:jc w:val="both"/>
        <w:rPr>
          <w:rFonts w:ascii="Arial" w:hAnsi="Arial" w:cs="Arial"/>
          <w:lang w:val="en-CA"/>
        </w:rPr>
      </w:pPr>
    </w:p>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9"/>
        <w:gridCol w:w="1649"/>
        <w:gridCol w:w="1649"/>
        <w:gridCol w:w="1649"/>
        <w:gridCol w:w="1650"/>
      </w:tblGrid>
      <w:tr w:rsidR="000C7D3F" w:rsidRPr="000C7D3F" w14:paraId="43907767" w14:textId="77777777" w:rsidTr="00084F3F">
        <w:trPr>
          <w:trHeight w:val="259"/>
          <w:jc w:val="center"/>
        </w:trPr>
        <w:tc>
          <w:tcPr>
            <w:tcW w:w="2668" w:type="dxa"/>
            <w:vAlign w:val="center"/>
            <w:hideMark/>
          </w:tcPr>
          <w:p w14:paraId="2D8F753D" w14:textId="77777777" w:rsidR="000C7D3F" w:rsidRPr="000C7D3F" w:rsidRDefault="000C7D3F" w:rsidP="000C7D3F">
            <w:pPr>
              <w:rPr>
                <w:rFonts w:ascii="Arial" w:hAnsi="Arial" w:cs="Arial"/>
                <w:b/>
                <w:sz w:val="18"/>
                <w:szCs w:val="18"/>
                <w:lang w:val="en-SG" w:eastAsia="zh-CN"/>
              </w:rPr>
            </w:pPr>
            <w:r w:rsidRPr="000C7D3F">
              <w:rPr>
                <w:rFonts w:ascii="Arial" w:hAnsi="Arial" w:cs="Arial"/>
                <w:b/>
                <w:sz w:val="18"/>
                <w:szCs w:val="18"/>
                <w:lang w:val="en-SG" w:eastAsia="zh-CN"/>
              </w:rPr>
              <w:t>Banks (FY 2013)</w:t>
            </w:r>
          </w:p>
        </w:tc>
        <w:tc>
          <w:tcPr>
            <w:tcW w:w="1649" w:type="dxa"/>
            <w:vAlign w:val="center"/>
            <w:hideMark/>
          </w:tcPr>
          <w:p w14:paraId="73916F1D" w14:textId="0E312A71"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Stan</w:t>
            </w:r>
            <w:r w:rsidR="00F97FBB">
              <w:rPr>
                <w:rFonts w:ascii="Arial" w:hAnsi="Arial" w:cs="Arial"/>
                <w:b/>
                <w:sz w:val="18"/>
                <w:szCs w:val="18"/>
                <w:lang w:val="en-SG" w:eastAsia="zh-CN"/>
              </w:rPr>
              <w:t xml:space="preserve">dard </w:t>
            </w:r>
            <w:r w:rsidRPr="000C7D3F">
              <w:rPr>
                <w:rFonts w:ascii="Arial" w:hAnsi="Arial" w:cs="Arial"/>
                <w:b/>
                <w:sz w:val="18"/>
                <w:szCs w:val="18"/>
                <w:lang w:val="en-SG" w:eastAsia="zh-CN"/>
              </w:rPr>
              <w:t>Chart</w:t>
            </w:r>
            <w:r w:rsidR="00F97FBB">
              <w:rPr>
                <w:rFonts w:ascii="Arial" w:hAnsi="Arial" w:cs="Arial"/>
                <w:b/>
                <w:sz w:val="18"/>
                <w:szCs w:val="18"/>
                <w:lang w:val="en-SG" w:eastAsia="zh-CN"/>
              </w:rPr>
              <w:t>ered</w:t>
            </w:r>
          </w:p>
        </w:tc>
        <w:tc>
          <w:tcPr>
            <w:tcW w:w="1649" w:type="dxa"/>
            <w:noWrap/>
            <w:vAlign w:val="center"/>
            <w:hideMark/>
          </w:tcPr>
          <w:p w14:paraId="2D609017" w14:textId="77777777"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HSBC</w:t>
            </w:r>
          </w:p>
        </w:tc>
        <w:tc>
          <w:tcPr>
            <w:tcW w:w="1649" w:type="dxa"/>
            <w:vAlign w:val="center"/>
            <w:hideMark/>
          </w:tcPr>
          <w:p w14:paraId="6C849333" w14:textId="77777777"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RBS</w:t>
            </w:r>
          </w:p>
        </w:tc>
        <w:tc>
          <w:tcPr>
            <w:tcW w:w="1650" w:type="dxa"/>
            <w:noWrap/>
            <w:vAlign w:val="center"/>
            <w:hideMark/>
          </w:tcPr>
          <w:p w14:paraId="35100B5B" w14:textId="77777777" w:rsidR="000C7D3F" w:rsidRPr="000C7D3F" w:rsidRDefault="000C7D3F" w:rsidP="000C7D3F">
            <w:pPr>
              <w:jc w:val="center"/>
              <w:rPr>
                <w:rFonts w:ascii="Arial" w:hAnsi="Arial" w:cs="Arial"/>
                <w:b/>
                <w:sz w:val="18"/>
                <w:szCs w:val="18"/>
                <w:lang w:val="en-SG" w:eastAsia="zh-CN"/>
              </w:rPr>
            </w:pPr>
            <w:r w:rsidRPr="000C7D3F">
              <w:rPr>
                <w:rFonts w:ascii="Arial" w:hAnsi="Arial" w:cs="Arial"/>
                <w:b/>
                <w:sz w:val="18"/>
                <w:szCs w:val="18"/>
                <w:lang w:val="en-SG" w:eastAsia="zh-CN"/>
              </w:rPr>
              <w:t>Barclays</w:t>
            </w:r>
          </w:p>
        </w:tc>
      </w:tr>
      <w:tr w:rsidR="000C7D3F" w:rsidRPr="000C7D3F" w14:paraId="773AF870" w14:textId="77777777" w:rsidTr="00084F3F">
        <w:trPr>
          <w:trHeight w:val="259"/>
          <w:jc w:val="center"/>
        </w:trPr>
        <w:tc>
          <w:tcPr>
            <w:tcW w:w="2668" w:type="dxa"/>
            <w:vAlign w:val="center"/>
            <w:hideMark/>
          </w:tcPr>
          <w:p w14:paraId="18417FFD"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Ticker</w:t>
            </w:r>
          </w:p>
        </w:tc>
        <w:tc>
          <w:tcPr>
            <w:tcW w:w="1649" w:type="dxa"/>
            <w:noWrap/>
            <w:vAlign w:val="center"/>
            <w:hideMark/>
          </w:tcPr>
          <w:p w14:paraId="23D7D106"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STAN</w:t>
            </w:r>
          </w:p>
        </w:tc>
        <w:tc>
          <w:tcPr>
            <w:tcW w:w="1649" w:type="dxa"/>
            <w:noWrap/>
            <w:vAlign w:val="center"/>
            <w:hideMark/>
          </w:tcPr>
          <w:p w14:paraId="297A8AEE"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HSBC</w:t>
            </w:r>
          </w:p>
        </w:tc>
        <w:tc>
          <w:tcPr>
            <w:tcW w:w="1649" w:type="dxa"/>
            <w:noWrap/>
            <w:vAlign w:val="center"/>
            <w:hideMark/>
          </w:tcPr>
          <w:p w14:paraId="5D308554"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RBS</w:t>
            </w:r>
          </w:p>
        </w:tc>
        <w:tc>
          <w:tcPr>
            <w:tcW w:w="1650" w:type="dxa"/>
            <w:noWrap/>
            <w:vAlign w:val="center"/>
            <w:hideMark/>
          </w:tcPr>
          <w:p w14:paraId="2977E28D"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BCS</w:t>
            </w:r>
          </w:p>
        </w:tc>
      </w:tr>
      <w:tr w:rsidR="000C7D3F" w:rsidRPr="000C7D3F" w14:paraId="5A0E72CD" w14:textId="77777777" w:rsidTr="00084F3F">
        <w:trPr>
          <w:trHeight w:val="259"/>
          <w:jc w:val="center"/>
        </w:trPr>
        <w:tc>
          <w:tcPr>
            <w:tcW w:w="2668" w:type="dxa"/>
            <w:vAlign w:val="center"/>
            <w:hideMark/>
          </w:tcPr>
          <w:p w14:paraId="2C59C9E3"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Stock Exchange</w:t>
            </w:r>
          </w:p>
        </w:tc>
        <w:tc>
          <w:tcPr>
            <w:tcW w:w="1649" w:type="dxa"/>
            <w:vAlign w:val="center"/>
            <w:hideMark/>
          </w:tcPr>
          <w:p w14:paraId="0BA2E435"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LSE</w:t>
            </w:r>
          </w:p>
        </w:tc>
        <w:tc>
          <w:tcPr>
            <w:tcW w:w="1649" w:type="dxa"/>
            <w:vAlign w:val="center"/>
            <w:hideMark/>
          </w:tcPr>
          <w:p w14:paraId="03197776"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LSE</w:t>
            </w:r>
          </w:p>
        </w:tc>
        <w:tc>
          <w:tcPr>
            <w:tcW w:w="1649" w:type="dxa"/>
            <w:noWrap/>
            <w:vAlign w:val="center"/>
            <w:hideMark/>
          </w:tcPr>
          <w:p w14:paraId="030891CF"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LSE</w:t>
            </w:r>
          </w:p>
        </w:tc>
        <w:tc>
          <w:tcPr>
            <w:tcW w:w="1650" w:type="dxa"/>
            <w:noWrap/>
            <w:vAlign w:val="center"/>
            <w:hideMark/>
          </w:tcPr>
          <w:p w14:paraId="7ACE5E8E"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LSE</w:t>
            </w:r>
          </w:p>
        </w:tc>
      </w:tr>
      <w:tr w:rsidR="000C7D3F" w:rsidRPr="000C7D3F" w14:paraId="54583894" w14:textId="77777777" w:rsidTr="00084F3F">
        <w:trPr>
          <w:trHeight w:val="259"/>
          <w:jc w:val="center"/>
        </w:trPr>
        <w:tc>
          <w:tcPr>
            <w:tcW w:w="2668" w:type="dxa"/>
            <w:vAlign w:val="center"/>
            <w:hideMark/>
          </w:tcPr>
          <w:p w14:paraId="77571988"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Currency in Annual Reports</w:t>
            </w:r>
          </w:p>
        </w:tc>
        <w:tc>
          <w:tcPr>
            <w:tcW w:w="1649" w:type="dxa"/>
            <w:noWrap/>
            <w:vAlign w:val="center"/>
            <w:hideMark/>
          </w:tcPr>
          <w:p w14:paraId="637B684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USD</w:t>
            </w:r>
          </w:p>
        </w:tc>
        <w:tc>
          <w:tcPr>
            <w:tcW w:w="1649" w:type="dxa"/>
            <w:noWrap/>
            <w:vAlign w:val="center"/>
            <w:hideMark/>
          </w:tcPr>
          <w:p w14:paraId="105D090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USD</w:t>
            </w:r>
          </w:p>
        </w:tc>
        <w:tc>
          <w:tcPr>
            <w:tcW w:w="1649" w:type="dxa"/>
            <w:noWrap/>
            <w:vAlign w:val="center"/>
            <w:hideMark/>
          </w:tcPr>
          <w:p w14:paraId="5C30D83D"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GBP</w:t>
            </w:r>
          </w:p>
        </w:tc>
        <w:tc>
          <w:tcPr>
            <w:tcW w:w="1650" w:type="dxa"/>
            <w:noWrap/>
            <w:vAlign w:val="center"/>
            <w:hideMark/>
          </w:tcPr>
          <w:p w14:paraId="58E495EB"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GBP</w:t>
            </w:r>
          </w:p>
        </w:tc>
      </w:tr>
      <w:tr w:rsidR="000C7D3F" w:rsidRPr="000C7D3F" w14:paraId="0D2D9CA7" w14:textId="77777777" w:rsidTr="00084F3F">
        <w:trPr>
          <w:trHeight w:val="259"/>
          <w:jc w:val="center"/>
        </w:trPr>
        <w:tc>
          <w:tcPr>
            <w:tcW w:w="2668" w:type="dxa"/>
            <w:vAlign w:val="center"/>
            <w:hideMark/>
          </w:tcPr>
          <w:p w14:paraId="577F684C"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Market Cap</w:t>
            </w:r>
          </w:p>
        </w:tc>
        <w:tc>
          <w:tcPr>
            <w:tcW w:w="1649" w:type="dxa"/>
            <w:vAlign w:val="center"/>
            <w:hideMark/>
          </w:tcPr>
          <w:p w14:paraId="4DD0FFFA"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23.57B</w:t>
            </w:r>
          </w:p>
        </w:tc>
        <w:tc>
          <w:tcPr>
            <w:tcW w:w="1649" w:type="dxa"/>
            <w:vAlign w:val="center"/>
            <w:hideMark/>
          </w:tcPr>
          <w:p w14:paraId="65F907E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120.73B</w:t>
            </w:r>
          </w:p>
        </w:tc>
        <w:tc>
          <w:tcPr>
            <w:tcW w:w="1649" w:type="dxa"/>
            <w:noWrap/>
            <w:vAlign w:val="center"/>
            <w:hideMark/>
          </w:tcPr>
          <w:p w14:paraId="1DB08927"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44.12B</w:t>
            </w:r>
          </w:p>
        </w:tc>
        <w:tc>
          <w:tcPr>
            <w:tcW w:w="1650" w:type="dxa"/>
            <w:noWrap/>
            <w:vAlign w:val="center"/>
            <w:hideMark/>
          </w:tcPr>
          <w:p w14:paraId="188A500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53.51B</w:t>
            </w:r>
          </w:p>
        </w:tc>
      </w:tr>
      <w:tr w:rsidR="000C7D3F" w:rsidRPr="000C7D3F" w14:paraId="61779851" w14:textId="77777777" w:rsidTr="00084F3F">
        <w:trPr>
          <w:trHeight w:val="259"/>
          <w:jc w:val="center"/>
        </w:trPr>
        <w:tc>
          <w:tcPr>
            <w:tcW w:w="2668" w:type="dxa"/>
            <w:vAlign w:val="center"/>
            <w:hideMark/>
          </w:tcPr>
          <w:p w14:paraId="29DF604D"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Employees</w:t>
            </w:r>
          </w:p>
        </w:tc>
        <w:tc>
          <w:tcPr>
            <w:tcW w:w="1649" w:type="dxa"/>
            <w:noWrap/>
            <w:vAlign w:val="center"/>
            <w:hideMark/>
          </w:tcPr>
          <w:p w14:paraId="797E353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86,000</w:t>
            </w:r>
          </w:p>
        </w:tc>
        <w:tc>
          <w:tcPr>
            <w:tcW w:w="1649" w:type="dxa"/>
            <w:vAlign w:val="center"/>
            <w:hideMark/>
          </w:tcPr>
          <w:p w14:paraId="79CBCD7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254,000</w:t>
            </w:r>
          </w:p>
        </w:tc>
        <w:tc>
          <w:tcPr>
            <w:tcW w:w="1649" w:type="dxa"/>
            <w:noWrap/>
            <w:vAlign w:val="center"/>
            <w:hideMark/>
          </w:tcPr>
          <w:p w14:paraId="1A95B296"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106,100</w:t>
            </w:r>
          </w:p>
        </w:tc>
        <w:tc>
          <w:tcPr>
            <w:tcW w:w="1650" w:type="dxa"/>
            <w:noWrap/>
            <w:vAlign w:val="center"/>
            <w:hideMark/>
          </w:tcPr>
          <w:p w14:paraId="7BF0D711"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139,600</w:t>
            </w:r>
          </w:p>
        </w:tc>
      </w:tr>
      <w:tr w:rsidR="000C7D3F" w:rsidRPr="000C7D3F" w14:paraId="1767D77D" w14:textId="77777777" w:rsidTr="00084F3F">
        <w:trPr>
          <w:trHeight w:val="259"/>
          <w:jc w:val="center"/>
        </w:trPr>
        <w:tc>
          <w:tcPr>
            <w:tcW w:w="2668" w:type="dxa"/>
            <w:vAlign w:val="center"/>
            <w:hideMark/>
          </w:tcPr>
          <w:p w14:paraId="441B400E"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Quarterly Revenue Growth (</w:t>
            </w:r>
            <w:proofErr w:type="spellStart"/>
            <w:r w:rsidRPr="000C7D3F">
              <w:rPr>
                <w:rFonts w:ascii="Arial" w:hAnsi="Arial" w:cs="Arial"/>
                <w:sz w:val="18"/>
                <w:szCs w:val="18"/>
                <w:lang w:val="en-SG" w:eastAsia="zh-CN"/>
              </w:rPr>
              <w:t>yoy</w:t>
            </w:r>
            <w:proofErr w:type="spellEnd"/>
            <w:r w:rsidRPr="000C7D3F">
              <w:rPr>
                <w:rFonts w:ascii="Arial" w:hAnsi="Arial" w:cs="Arial"/>
                <w:sz w:val="18"/>
                <w:szCs w:val="18"/>
                <w:lang w:val="en-SG" w:eastAsia="zh-CN"/>
              </w:rPr>
              <w:t>)</w:t>
            </w:r>
          </w:p>
        </w:tc>
        <w:tc>
          <w:tcPr>
            <w:tcW w:w="1649" w:type="dxa"/>
            <w:vAlign w:val="center"/>
            <w:hideMark/>
          </w:tcPr>
          <w:p w14:paraId="647530C0"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−9.20%</w:t>
            </w:r>
          </w:p>
        </w:tc>
        <w:tc>
          <w:tcPr>
            <w:tcW w:w="1649" w:type="dxa"/>
            <w:vAlign w:val="center"/>
            <w:hideMark/>
          </w:tcPr>
          <w:p w14:paraId="7EDC2384"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11.30%</w:t>
            </w:r>
          </w:p>
        </w:tc>
        <w:tc>
          <w:tcPr>
            <w:tcW w:w="1649" w:type="dxa"/>
            <w:noWrap/>
            <w:vAlign w:val="center"/>
            <w:hideMark/>
          </w:tcPr>
          <w:p w14:paraId="5E4B8320"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58.90%</w:t>
            </w:r>
          </w:p>
        </w:tc>
        <w:tc>
          <w:tcPr>
            <w:tcW w:w="1650" w:type="dxa"/>
            <w:noWrap/>
            <w:vAlign w:val="center"/>
            <w:hideMark/>
          </w:tcPr>
          <w:p w14:paraId="11F24C5A"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9.10%</w:t>
            </w:r>
          </w:p>
        </w:tc>
      </w:tr>
      <w:tr w:rsidR="000C7D3F" w:rsidRPr="000C7D3F" w14:paraId="06F30FDF" w14:textId="77777777" w:rsidTr="00084F3F">
        <w:trPr>
          <w:trHeight w:val="259"/>
          <w:jc w:val="center"/>
        </w:trPr>
        <w:tc>
          <w:tcPr>
            <w:tcW w:w="2668" w:type="dxa"/>
            <w:vAlign w:val="center"/>
            <w:hideMark/>
          </w:tcPr>
          <w:p w14:paraId="05C29222"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Revenue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w:t>
            </w:r>
          </w:p>
        </w:tc>
        <w:tc>
          <w:tcPr>
            <w:tcW w:w="1649" w:type="dxa"/>
            <w:vAlign w:val="center"/>
            <w:hideMark/>
          </w:tcPr>
          <w:p w14:paraId="146CCCEA"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25.69B</w:t>
            </w:r>
          </w:p>
        </w:tc>
        <w:tc>
          <w:tcPr>
            <w:tcW w:w="1649" w:type="dxa"/>
            <w:noWrap/>
            <w:vAlign w:val="center"/>
            <w:hideMark/>
          </w:tcPr>
          <w:p w14:paraId="2CFDE714"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99.53B</w:t>
            </w:r>
          </w:p>
        </w:tc>
        <w:tc>
          <w:tcPr>
            <w:tcW w:w="1649" w:type="dxa"/>
            <w:noWrap/>
            <w:vAlign w:val="center"/>
            <w:hideMark/>
          </w:tcPr>
          <w:p w14:paraId="2396BB57"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26.50B</w:t>
            </w:r>
          </w:p>
        </w:tc>
        <w:tc>
          <w:tcPr>
            <w:tcW w:w="1650" w:type="dxa"/>
            <w:noWrap/>
            <w:vAlign w:val="center"/>
            <w:hideMark/>
          </w:tcPr>
          <w:p w14:paraId="689DC09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36.91B</w:t>
            </w:r>
          </w:p>
        </w:tc>
      </w:tr>
      <w:tr w:rsidR="000C7D3F" w:rsidRPr="000C7D3F" w14:paraId="5540DB0F" w14:textId="77777777" w:rsidTr="00084F3F">
        <w:trPr>
          <w:trHeight w:val="259"/>
          <w:jc w:val="center"/>
        </w:trPr>
        <w:tc>
          <w:tcPr>
            <w:tcW w:w="2668" w:type="dxa"/>
            <w:vAlign w:val="center"/>
            <w:hideMark/>
          </w:tcPr>
          <w:p w14:paraId="35B48068"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Gross Profit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w:t>
            </w:r>
          </w:p>
        </w:tc>
        <w:tc>
          <w:tcPr>
            <w:tcW w:w="1649" w:type="dxa"/>
            <w:vAlign w:val="center"/>
            <w:hideMark/>
          </w:tcPr>
          <w:p w14:paraId="68AED791"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18.77B</w:t>
            </w:r>
          </w:p>
        </w:tc>
        <w:tc>
          <w:tcPr>
            <w:tcW w:w="1649" w:type="dxa"/>
            <w:noWrap/>
            <w:vAlign w:val="center"/>
            <w:hideMark/>
          </w:tcPr>
          <w:p w14:paraId="1690C1F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58.796B</w:t>
            </w:r>
          </w:p>
        </w:tc>
        <w:tc>
          <w:tcPr>
            <w:tcW w:w="1649" w:type="dxa"/>
            <w:vAlign w:val="center"/>
            <w:hideMark/>
          </w:tcPr>
          <w:p w14:paraId="4A6D4CCF"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19.78B</w:t>
            </w:r>
          </w:p>
        </w:tc>
        <w:tc>
          <w:tcPr>
            <w:tcW w:w="1650" w:type="dxa"/>
            <w:vAlign w:val="center"/>
            <w:hideMark/>
          </w:tcPr>
          <w:p w14:paraId="5E28909E"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24.87B</w:t>
            </w:r>
          </w:p>
        </w:tc>
      </w:tr>
      <w:tr w:rsidR="000C7D3F" w:rsidRPr="000C7D3F" w14:paraId="21DCE515" w14:textId="77777777" w:rsidTr="00084F3F">
        <w:trPr>
          <w:trHeight w:val="259"/>
          <w:jc w:val="center"/>
        </w:trPr>
        <w:tc>
          <w:tcPr>
            <w:tcW w:w="2668" w:type="dxa"/>
            <w:vAlign w:val="center"/>
            <w:hideMark/>
          </w:tcPr>
          <w:p w14:paraId="3420AA3D"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EBITDA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w:t>
            </w:r>
          </w:p>
        </w:tc>
        <w:tc>
          <w:tcPr>
            <w:tcW w:w="1649" w:type="dxa"/>
            <w:vAlign w:val="center"/>
            <w:hideMark/>
          </w:tcPr>
          <w:p w14:paraId="642FAD31"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9.29B</w:t>
            </w:r>
          </w:p>
        </w:tc>
        <w:tc>
          <w:tcPr>
            <w:tcW w:w="1649" w:type="dxa"/>
            <w:vAlign w:val="center"/>
            <w:hideMark/>
          </w:tcPr>
          <w:p w14:paraId="1414122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N/A</w:t>
            </w:r>
          </w:p>
        </w:tc>
        <w:tc>
          <w:tcPr>
            <w:tcW w:w="1649" w:type="dxa"/>
            <w:vAlign w:val="center"/>
            <w:hideMark/>
          </w:tcPr>
          <w:p w14:paraId="61087A51"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2.96B</w:t>
            </w:r>
          </w:p>
        </w:tc>
        <w:tc>
          <w:tcPr>
            <w:tcW w:w="1650" w:type="dxa"/>
            <w:vAlign w:val="center"/>
            <w:hideMark/>
          </w:tcPr>
          <w:p w14:paraId="1D4958B5"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N/A</w:t>
            </w:r>
          </w:p>
        </w:tc>
      </w:tr>
      <w:tr w:rsidR="000C7D3F" w:rsidRPr="000C7D3F" w14:paraId="5820C64B" w14:textId="77777777" w:rsidTr="00084F3F">
        <w:trPr>
          <w:trHeight w:val="259"/>
          <w:jc w:val="center"/>
        </w:trPr>
        <w:tc>
          <w:tcPr>
            <w:tcW w:w="2668" w:type="dxa"/>
            <w:vAlign w:val="center"/>
            <w:hideMark/>
          </w:tcPr>
          <w:p w14:paraId="324D1B7D"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Operating Margin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w:t>
            </w:r>
          </w:p>
        </w:tc>
        <w:tc>
          <w:tcPr>
            <w:tcW w:w="1649" w:type="dxa"/>
            <w:vAlign w:val="center"/>
            <w:hideMark/>
          </w:tcPr>
          <w:p w14:paraId="5324617A"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73.96%</w:t>
            </w:r>
          </w:p>
        </w:tc>
        <w:tc>
          <w:tcPr>
            <w:tcW w:w="1649" w:type="dxa"/>
            <w:vAlign w:val="center"/>
            <w:hideMark/>
          </w:tcPr>
          <w:p w14:paraId="35BC61B5"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59.07%</w:t>
            </w:r>
          </w:p>
        </w:tc>
        <w:tc>
          <w:tcPr>
            <w:tcW w:w="1649" w:type="dxa"/>
            <w:noWrap/>
            <w:vAlign w:val="center"/>
            <w:hideMark/>
          </w:tcPr>
          <w:p w14:paraId="16FD352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74.64%</w:t>
            </w:r>
          </w:p>
        </w:tc>
        <w:tc>
          <w:tcPr>
            <w:tcW w:w="1650" w:type="dxa"/>
            <w:noWrap/>
            <w:vAlign w:val="center"/>
            <w:hideMark/>
          </w:tcPr>
          <w:p w14:paraId="0AED995A"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67.38%</w:t>
            </w:r>
          </w:p>
        </w:tc>
      </w:tr>
      <w:tr w:rsidR="000C7D3F" w:rsidRPr="000C7D3F" w14:paraId="1D530B9B" w14:textId="77777777" w:rsidTr="00084F3F">
        <w:trPr>
          <w:trHeight w:val="259"/>
          <w:jc w:val="center"/>
        </w:trPr>
        <w:tc>
          <w:tcPr>
            <w:tcW w:w="2668" w:type="dxa"/>
            <w:vAlign w:val="center"/>
            <w:hideMark/>
          </w:tcPr>
          <w:p w14:paraId="7C6418B7"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Net Income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w:t>
            </w:r>
          </w:p>
        </w:tc>
        <w:tc>
          <w:tcPr>
            <w:tcW w:w="1649" w:type="dxa"/>
            <w:vAlign w:val="center"/>
            <w:hideMark/>
          </w:tcPr>
          <w:p w14:paraId="27150CC8"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4.200B</w:t>
            </w:r>
          </w:p>
        </w:tc>
        <w:tc>
          <w:tcPr>
            <w:tcW w:w="1649" w:type="dxa"/>
            <w:noWrap/>
            <w:vAlign w:val="center"/>
            <w:hideMark/>
          </w:tcPr>
          <w:p w14:paraId="6D982880"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17.800B</w:t>
            </w:r>
          </w:p>
        </w:tc>
        <w:tc>
          <w:tcPr>
            <w:tcW w:w="1649" w:type="dxa"/>
            <w:noWrap/>
            <w:vAlign w:val="center"/>
            <w:hideMark/>
          </w:tcPr>
          <w:p w14:paraId="01569A29"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−7.260B</w:t>
            </w:r>
          </w:p>
        </w:tc>
        <w:tc>
          <w:tcPr>
            <w:tcW w:w="1650" w:type="dxa"/>
            <w:noWrap/>
            <w:vAlign w:val="center"/>
            <w:hideMark/>
          </w:tcPr>
          <w:p w14:paraId="7264BA7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1.297B</w:t>
            </w:r>
          </w:p>
        </w:tc>
      </w:tr>
      <w:tr w:rsidR="000C7D3F" w:rsidRPr="000C7D3F" w14:paraId="21B1242B" w14:textId="77777777" w:rsidTr="00084F3F">
        <w:trPr>
          <w:trHeight w:val="259"/>
          <w:jc w:val="center"/>
        </w:trPr>
        <w:tc>
          <w:tcPr>
            <w:tcW w:w="2668" w:type="dxa"/>
            <w:vAlign w:val="center"/>
            <w:hideMark/>
          </w:tcPr>
          <w:p w14:paraId="15F0EF2F"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EPS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 (diluted)</w:t>
            </w:r>
          </w:p>
        </w:tc>
        <w:tc>
          <w:tcPr>
            <w:tcW w:w="1649" w:type="dxa"/>
            <w:vAlign w:val="center"/>
            <w:hideMark/>
          </w:tcPr>
          <w:p w14:paraId="5714A88D"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1.63</w:t>
            </w:r>
          </w:p>
        </w:tc>
        <w:tc>
          <w:tcPr>
            <w:tcW w:w="1649" w:type="dxa"/>
            <w:noWrap/>
            <w:vAlign w:val="center"/>
            <w:hideMark/>
          </w:tcPr>
          <w:p w14:paraId="4E931831"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0.81</w:t>
            </w:r>
          </w:p>
        </w:tc>
        <w:tc>
          <w:tcPr>
            <w:tcW w:w="1649" w:type="dxa"/>
            <w:noWrap/>
            <w:vAlign w:val="center"/>
            <w:hideMark/>
          </w:tcPr>
          <w:p w14:paraId="7C13EA0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−0.57</w:t>
            </w:r>
          </w:p>
        </w:tc>
        <w:tc>
          <w:tcPr>
            <w:tcW w:w="1650" w:type="dxa"/>
            <w:noWrap/>
            <w:vAlign w:val="center"/>
            <w:hideMark/>
          </w:tcPr>
          <w:p w14:paraId="2305699B"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0.06</w:t>
            </w:r>
          </w:p>
        </w:tc>
      </w:tr>
      <w:tr w:rsidR="000C7D3F" w:rsidRPr="000C7D3F" w14:paraId="4E9C51DC" w14:textId="77777777" w:rsidTr="00084F3F">
        <w:trPr>
          <w:trHeight w:val="259"/>
          <w:jc w:val="center"/>
        </w:trPr>
        <w:tc>
          <w:tcPr>
            <w:tcW w:w="2668" w:type="dxa"/>
            <w:vAlign w:val="center"/>
            <w:hideMark/>
          </w:tcPr>
          <w:p w14:paraId="23C55CB1"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P/E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 (forward)</w:t>
            </w:r>
          </w:p>
        </w:tc>
        <w:tc>
          <w:tcPr>
            <w:tcW w:w="1649" w:type="dxa"/>
            <w:vAlign w:val="center"/>
            <w:hideMark/>
          </w:tcPr>
          <w:p w14:paraId="6581A852"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5.94</w:t>
            </w:r>
          </w:p>
        </w:tc>
        <w:tc>
          <w:tcPr>
            <w:tcW w:w="1649" w:type="dxa"/>
            <w:vAlign w:val="center"/>
            <w:hideMark/>
          </w:tcPr>
          <w:p w14:paraId="3A235092"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6.57</w:t>
            </w:r>
          </w:p>
        </w:tc>
        <w:tc>
          <w:tcPr>
            <w:tcW w:w="1649" w:type="dxa"/>
            <w:vAlign w:val="center"/>
            <w:hideMark/>
          </w:tcPr>
          <w:p w14:paraId="77D6B166" w14:textId="77777777" w:rsidR="000C7D3F" w:rsidRPr="000C7D3F" w:rsidRDefault="000C7D3F" w:rsidP="000C7D3F">
            <w:pPr>
              <w:jc w:val="center"/>
              <w:rPr>
                <w:rFonts w:ascii="Arial" w:hAnsi="Arial" w:cs="Arial"/>
                <w:iCs/>
                <w:sz w:val="18"/>
                <w:szCs w:val="18"/>
                <w:lang w:val="en-SG" w:eastAsia="zh-CN"/>
              </w:rPr>
            </w:pPr>
            <w:r w:rsidRPr="000C7D3F">
              <w:rPr>
                <w:rFonts w:ascii="Arial" w:hAnsi="Arial" w:cs="Arial"/>
                <w:iCs/>
                <w:sz w:val="18"/>
                <w:szCs w:val="18"/>
                <w:lang w:val="en-SG" w:eastAsia="zh-CN"/>
              </w:rPr>
              <w:t>0.12</w:t>
            </w:r>
          </w:p>
        </w:tc>
        <w:tc>
          <w:tcPr>
            <w:tcW w:w="1650" w:type="dxa"/>
            <w:noWrap/>
            <w:vAlign w:val="center"/>
            <w:hideMark/>
          </w:tcPr>
          <w:p w14:paraId="02609763" w14:textId="77777777" w:rsidR="000C7D3F" w:rsidRPr="000C7D3F" w:rsidRDefault="000C7D3F" w:rsidP="000C7D3F">
            <w:pPr>
              <w:jc w:val="center"/>
              <w:rPr>
                <w:rFonts w:ascii="Arial" w:hAnsi="Arial" w:cs="Arial"/>
                <w:iCs/>
                <w:sz w:val="18"/>
                <w:szCs w:val="18"/>
                <w:lang w:val="en-SG" w:eastAsia="zh-CN"/>
              </w:rPr>
            </w:pPr>
            <w:r w:rsidRPr="000C7D3F">
              <w:rPr>
                <w:rFonts w:ascii="Arial" w:hAnsi="Arial" w:cs="Arial"/>
                <w:iCs/>
                <w:sz w:val="18"/>
                <w:szCs w:val="18"/>
                <w:lang w:val="en-SG" w:eastAsia="zh-CN"/>
              </w:rPr>
              <w:t>0.10</w:t>
            </w:r>
          </w:p>
        </w:tc>
      </w:tr>
      <w:tr w:rsidR="000C7D3F" w:rsidRPr="000C7D3F" w14:paraId="5C378712" w14:textId="77777777" w:rsidTr="00084F3F">
        <w:trPr>
          <w:trHeight w:val="259"/>
          <w:jc w:val="center"/>
        </w:trPr>
        <w:tc>
          <w:tcPr>
            <w:tcW w:w="2668" w:type="dxa"/>
            <w:vAlign w:val="center"/>
            <w:hideMark/>
          </w:tcPr>
          <w:p w14:paraId="5DFD34CC"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PEG (5 year expected)</w:t>
            </w:r>
          </w:p>
        </w:tc>
        <w:tc>
          <w:tcPr>
            <w:tcW w:w="1649" w:type="dxa"/>
            <w:vAlign w:val="center"/>
            <w:hideMark/>
          </w:tcPr>
          <w:p w14:paraId="55DF58B7"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11.65</w:t>
            </w:r>
          </w:p>
        </w:tc>
        <w:tc>
          <w:tcPr>
            <w:tcW w:w="1649" w:type="dxa"/>
            <w:vAlign w:val="center"/>
            <w:hideMark/>
          </w:tcPr>
          <w:p w14:paraId="745B3FD1"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0.91</w:t>
            </w:r>
          </w:p>
        </w:tc>
        <w:tc>
          <w:tcPr>
            <w:tcW w:w="1649" w:type="dxa"/>
            <w:vAlign w:val="center"/>
            <w:hideMark/>
          </w:tcPr>
          <w:p w14:paraId="6BAC1EDF"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0.04</w:t>
            </w:r>
          </w:p>
        </w:tc>
        <w:tc>
          <w:tcPr>
            <w:tcW w:w="1650" w:type="dxa"/>
            <w:noWrap/>
            <w:vAlign w:val="center"/>
            <w:hideMark/>
          </w:tcPr>
          <w:p w14:paraId="45294B38"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−30.25</w:t>
            </w:r>
          </w:p>
        </w:tc>
      </w:tr>
      <w:tr w:rsidR="000C7D3F" w:rsidRPr="000C7D3F" w14:paraId="3712863A" w14:textId="77777777" w:rsidTr="00084F3F">
        <w:trPr>
          <w:trHeight w:val="259"/>
          <w:jc w:val="center"/>
        </w:trPr>
        <w:tc>
          <w:tcPr>
            <w:tcW w:w="2668" w:type="dxa"/>
            <w:vAlign w:val="center"/>
            <w:hideMark/>
          </w:tcPr>
          <w:p w14:paraId="5945B4AC"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P/S (</w:t>
            </w:r>
            <w:proofErr w:type="spellStart"/>
            <w:r w:rsidRPr="000C7D3F">
              <w:rPr>
                <w:rFonts w:ascii="Arial" w:hAnsi="Arial" w:cs="Arial"/>
                <w:sz w:val="18"/>
                <w:szCs w:val="18"/>
                <w:lang w:val="en-SG" w:eastAsia="zh-CN"/>
              </w:rPr>
              <w:t>ttm</w:t>
            </w:r>
            <w:proofErr w:type="spellEnd"/>
            <w:r w:rsidRPr="000C7D3F">
              <w:rPr>
                <w:rFonts w:ascii="Arial" w:hAnsi="Arial" w:cs="Arial"/>
                <w:sz w:val="18"/>
                <w:szCs w:val="18"/>
                <w:lang w:val="en-SG" w:eastAsia="zh-CN"/>
              </w:rPr>
              <w:t>)</w:t>
            </w:r>
          </w:p>
        </w:tc>
        <w:tc>
          <w:tcPr>
            <w:tcW w:w="1649" w:type="dxa"/>
            <w:vAlign w:val="center"/>
            <w:hideMark/>
          </w:tcPr>
          <w:p w14:paraId="62312358"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141.12</w:t>
            </w:r>
          </w:p>
        </w:tc>
        <w:tc>
          <w:tcPr>
            <w:tcW w:w="1649" w:type="dxa"/>
            <w:vAlign w:val="center"/>
            <w:hideMark/>
          </w:tcPr>
          <w:p w14:paraId="1225C049"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206.24</w:t>
            </w:r>
          </w:p>
        </w:tc>
        <w:tc>
          <w:tcPr>
            <w:tcW w:w="1649" w:type="dxa"/>
            <w:noWrap/>
            <w:vAlign w:val="center"/>
            <w:hideMark/>
          </w:tcPr>
          <w:p w14:paraId="4D4E77C7"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306.76</w:t>
            </w:r>
          </w:p>
        </w:tc>
        <w:tc>
          <w:tcPr>
            <w:tcW w:w="1650" w:type="dxa"/>
            <w:noWrap/>
            <w:vAlign w:val="center"/>
            <w:hideMark/>
          </w:tcPr>
          <w:p w14:paraId="5655DD2A"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218.50</w:t>
            </w:r>
          </w:p>
        </w:tc>
      </w:tr>
      <w:tr w:rsidR="000C7D3F" w:rsidRPr="000C7D3F" w14:paraId="752ACA6B" w14:textId="77777777" w:rsidTr="00084F3F">
        <w:trPr>
          <w:trHeight w:val="259"/>
          <w:jc w:val="center"/>
        </w:trPr>
        <w:tc>
          <w:tcPr>
            <w:tcW w:w="2668" w:type="dxa"/>
            <w:vAlign w:val="center"/>
            <w:hideMark/>
          </w:tcPr>
          <w:p w14:paraId="5CB41D1C"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Price/Book (</w:t>
            </w:r>
            <w:proofErr w:type="spellStart"/>
            <w:r w:rsidRPr="000C7D3F">
              <w:rPr>
                <w:rFonts w:ascii="Arial" w:hAnsi="Arial" w:cs="Arial"/>
                <w:sz w:val="18"/>
                <w:szCs w:val="18"/>
                <w:lang w:val="en-SG" w:eastAsia="zh-CN"/>
              </w:rPr>
              <w:t>mrq</w:t>
            </w:r>
            <w:proofErr w:type="spellEnd"/>
            <w:r w:rsidRPr="000C7D3F">
              <w:rPr>
                <w:rFonts w:ascii="Arial" w:hAnsi="Arial" w:cs="Arial"/>
                <w:sz w:val="18"/>
                <w:szCs w:val="18"/>
                <w:lang w:val="en-SG" w:eastAsia="zh-CN"/>
              </w:rPr>
              <w:t>)</w:t>
            </w:r>
          </w:p>
        </w:tc>
        <w:tc>
          <w:tcPr>
            <w:tcW w:w="1649" w:type="dxa"/>
            <w:vAlign w:val="center"/>
            <w:hideMark/>
          </w:tcPr>
          <w:p w14:paraId="04CDA44D"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47.30</w:t>
            </w:r>
          </w:p>
        </w:tc>
        <w:tc>
          <w:tcPr>
            <w:tcW w:w="1649" w:type="dxa"/>
            <w:vAlign w:val="center"/>
            <w:hideMark/>
          </w:tcPr>
          <w:p w14:paraId="6024CB61"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62.18</w:t>
            </w:r>
          </w:p>
        </w:tc>
        <w:tc>
          <w:tcPr>
            <w:tcW w:w="1649" w:type="dxa"/>
            <w:noWrap/>
            <w:vAlign w:val="center"/>
            <w:hideMark/>
          </w:tcPr>
          <w:p w14:paraId="7E9B24E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70.68</w:t>
            </w:r>
          </w:p>
        </w:tc>
        <w:tc>
          <w:tcPr>
            <w:tcW w:w="1650" w:type="dxa"/>
            <w:noWrap/>
            <w:vAlign w:val="center"/>
            <w:hideMark/>
          </w:tcPr>
          <w:p w14:paraId="20E46606"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88.74</w:t>
            </w:r>
          </w:p>
        </w:tc>
      </w:tr>
      <w:tr w:rsidR="000C7D3F" w:rsidRPr="000C7D3F" w14:paraId="625EBDED" w14:textId="77777777" w:rsidTr="00084F3F">
        <w:trPr>
          <w:trHeight w:val="259"/>
          <w:jc w:val="center"/>
        </w:trPr>
        <w:tc>
          <w:tcPr>
            <w:tcW w:w="2668" w:type="dxa"/>
            <w:vAlign w:val="center"/>
            <w:hideMark/>
          </w:tcPr>
          <w:p w14:paraId="05A46DB3"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Total Cash</w:t>
            </w:r>
          </w:p>
        </w:tc>
        <w:tc>
          <w:tcPr>
            <w:tcW w:w="1649" w:type="dxa"/>
            <w:noWrap/>
            <w:vAlign w:val="center"/>
            <w:hideMark/>
          </w:tcPr>
          <w:p w14:paraId="1011253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54.53B</w:t>
            </w:r>
          </w:p>
        </w:tc>
        <w:tc>
          <w:tcPr>
            <w:tcW w:w="1649" w:type="dxa"/>
            <w:noWrap/>
            <w:vAlign w:val="center"/>
            <w:hideMark/>
          </w:tcPr>
          <w:p w14:paraId="7CCCDFB4"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166.60B</w:t>
            </w:r>
          </w:p>
        </w:tc>
        <w:tc>
          <w:tcPr>
            <w:tcW w:w="1649" w:type="dxa"/>
            <w:noWrap/>
            <w:vAlign w:val="center"/>
            <w:hideMark/>
          </w:tcPr>
          <w:p w14:paraId="5AAEF5D9"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79.99B</w:t>
            </w:r>
          </w:p>
        </w:tc>
        <w:tc>
          <w:tcPr>
            <w:tcW w:w="1650" w:type="dxa"/>
            <w:noWrap/>
            <w:vAlign w:val="center"/>
            <w:hideMark/>
          </w:tcPr>
          <w:p w14:paraId="051A709C"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45.69B</w:t>
            </w:r>
          </w:p>
        </w:tc>
      </w:tr>
      <w:tr w:rsidR="000C7D3F" w:rsidRPr="000C7D3F" w14:paraId="0E76C324" w14:textId="77777777" w:rsidTr="00084F3F">
        <w:trPr>
          <w:trHeight w:val="259"/>
          <w:jc w:val="center"/>
        </w:trPr>
        <w:tc>
          <w:tcPr>
            <w:tcW w:w="2668" w:type="dxa"/>
            <w:vAlign w:val="center"/>
            <w:hideMark/>
          </w:tcPr>
          <w:p w14:paraId="67A92235"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Total Debt</w:t>
            </w:r>
          </w:p>
        </w:tc>
        <w:tc>
          <w:tcPr>
            <w:tcW w:w="1649" w:type="dxa"/>
            <w:noWrap/>
            <w:vAlign w:val="center"/>
            <w:hideMark/>
          </w:tcPr>
          <w:p w14:paraId="5E9247C8"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627.54B</w:t>
            </w:r>
          </w:p>
        </w:tc>
        <w:tc>
          <w:tcPr>
            <w:tcW w:w="1649" w:type="dxa"/>
            <w:vAlign w:val="center"/>
            <w:hideMark/>
          </w:tcPr>
          <w:p w14:paraId="2CD8BF84"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2480.86B</w:t>
            </w:r>
          </w:p>
        </w:tc>
        <w:tc>
          <w:tcPr>
            <w:tcW w:w="1649" w:type="dxa"/>
            <w:noWrap/>
            <w:vAlign w:val="center"/>
            <w:hideMark/>
          </w:tcPr>
          <w:p w14:paraId="1237E819"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971.07B</w:t>
            </w:r>
          </w:p>
        </w:tc>
        <w:tc>
          <w:tcPr>
            <w:tcW w:w="1650" w:type="dxa"/>
            <w:noWrap/>
            <w:vAlign w:val="center"/>
            <w:hideMark/>
          </w:tcPr>
          <w:p w14:paraId="05CFC2F4"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1.25B</w:t>
            </w:r>
          </w:p>
        </w:tc>
      </w:tr>
      <w:tr w:rsidR="000C7D3F" w:rsidRPr="000C7D3F" w14:paraId="73E84385" w14:textId="77777777" w:rsidTr="00084F3F">
        <w:trPr>
          <w:trHeight w:val="259"/>
          <w:jc w:val="center"/>
        </w:trPr>
        <w:tc>
          <w:tcPr>
            <w:tcW w:w="2668" w:type="dxa"/>
            <w:vAlign w:val="center"/>
            <w:hideMark/>
          </w:tcPr>
          <w:p w14:paraId="7D28EDE7"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Beta</w:t>
            </w:r>
          </w:p>
        </w:tc>
        <w:tc>
          <w:tcPr>
            <w:tcW w:w="1649" w:type="dxa"/>
            <w:noWrap/>
            <w:vAlign w:val="center"/>
            <w:hideMark/>
          </w:tcPr>
          <w:p w14:paraId="263BAF1B"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1.40</w:t>
            </w:r>
          </w:p>
        </w:tc>
        <w:tc>
          <w:tcPr>
            <w:tcW w:w="1649" w:type="dxa"/>
            <w:noWrap/>
            <w:vAlign w:val="center"/>
            <w:hideMark/>
          </w:tcPr>
          <w:p w14:paraId="5AB95FC5"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1.25</w:t>
            </w:r>
          </w:p>
        </w:tc>
        <w:tc>
          <w:tcPr>
            <w:tcW w:w="1649" w:type="dxa"/>
            <w:noWrap/>
            <w:vAlign w:val="center"/>
            <w:hideMark/>
          </w:tcPr>
          <w:p w14:paraId="149BF4EA"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1.92</w:t>
            </w:r>
          </w:p>
        </w:tc>
        <w:tc>
          <w:tcPr>
            <w:tcW w:w="1650" w:type="dxa"/>
            <w:noWrap/>
            <w:vAlign w:val="center"/>
            <w:hideMark/>
          </w:tcPr>
          <w:p w14:paraId="3E0F818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2.15</w:t>
            </w:r>
          </w:p>
        </w:tc>
      </w:tr>
      <w:tr w:rsidR="000C7D3F" w:rsidRPr="000C7D3F" w14:paraId="41867743" w14:textId="77777777" w:rsidTr="00084F3F">
        <w:trPr>
          <w:trHeight w:val="259"/>
          <w:jc w:val="center"/>
        </w:trPr>
        <w:tc>
          <w:tcPr>
            <w:tcW w:w="2668" w:type="dxa"/>
            <w:vAlign w:val="center"/>
            <w:hideMark/>
          </w:tcPr>
          <w:p w14:paraId="307349B7"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Price on January 9, 2014</w:t>
            </w:r>
          </w:p>
        </w:tc>
        <w:tc>
          <w:tcPr>
            <w:tcW w:w="1649" w:type="dxa"/>
            <w:noWrap/>
            <w:vAlign w:val="center"/>
            <w:hideMark/>
          </w:tcPr>
          <w:p w14:paraId="51DFC9D2"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12.3040</w:t>
            </w:r>
          </w:p>
        </w:tc>
        <w:tc>
          <w:tcPr>
            <w:tcW w:w="1649" w:type="dxa"/>
            <w:vAlign w:val="center"/>
            <w:hideMark/>
          </w:tcPr>
          <w:p w14:paraId="114E5D0D"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6.1498</w:t>
            </w:r>
          </w:p>
        </w:tc>
        <w:tc>
          <w:tcPr>
            <w:tcW w:w="1649" w:type="dxa"/>
            <w:noWrap/>
            <w:vAlign w:val="center"/>
            <w:hideMark/>
          </w:tcPr>
          <w:p w14:paraId="06547472"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3.6020</w:t>
            </w:r>
          </w:p>
        </w:tc>
        <w:tc>
          <w:tcPr>
            <w:tcW w:w="1650" w:type="dxa"/>
            <w:noWrap/>
            <w:vAlign w:val="center"/>
            <w:hideMark/>
          </w:tcPr>
          <w:p w14:paraId="71040025"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2.7706</w:t>
            </w:r>
          </w:p>
        </w:tc>
      </w:tr>
      <w:tr w:rsidR="000C7D3F" w:rsidRPr="000C7D3F" w14:paraId="6E7FD453" w14:textId="77777777" w:rsidTr="00084F3F">
        <w:trPr>
          <w:trHeight w:val="259"/>
          <w:jc w:val="center"/>
        </w:trPr>
        <w:tc>
          <w:tcPr>
            <w:tcW w:w="2668" w:type="dxa"/>
            <w:vAlign w:val="center"/>
            <w:hideMark/>
          </w:tcPr>
          <w:p w14:paraId="5E9A2DDD" w14:textId="77777777" w:rsidR="000C7D3F" w:rsidRPr="000C7D3F" w:rsidRDefault="000C7D3F" w:rsidP="000C7D3F">
            <w:pPr>
              <w:rPr>
                <w:rFonts w:ascii="Arial" w:hAnsi="Arial" w:cs="Arial"/>
                <w:sz w:val="18"/>
                <w:szCs w:val="18"/>
                <w:lang w:val="en-SG" w:eastAsia="zh-CN"/>
              </w:rPr>
            </w:pPr>
            <w:r w:rsidRPr="000C7D3F">
              <w:rPr>
                <w:rFonts w:ascii="Arial" w:hAnsi="Arial" w:cs="Arial"/>
                <w:sz w:val="18"/>
                <w:szCs w:val="18"/>
                <w:lang w:val="en-SG" w:eastAsia="zh-CN"/>
              </w:rPr>
              <w:t>Price on April 29, 2014</w:t>
            </w:r>
          </w:p>
        </w:tc>
        <w:tc>
          <w:tcPr>
            <w:tcW w:w="1649" w:type="dxa"/>
            <w:noWrap/>
            <w:vAlign w:val="center"/>
            <w:hideMark/>
          </w:tcPr>
          <w:p w14:paraId="5BDE6009"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12.8593</w:t>
            </w:r>
          </w:p>
        </w:tc>
        <w:tc>
          <w:tcPr>
            <w:tcW w:w="1649" w:type="dxa"/>
            <w:noWrap/>
            <w:vAlign w:val="center"/>
            <w:hideMark/>
          </w:tcPr>
          <w:p w14:paraId="7D17108F"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5.7301</w:t>
            </w:r>
          </w:p>
        </w:tc>
        <w:tc>
          <w:tcPr>
            <w:tcW w:w="1649" w:type="dxa"/>
            <w:noWrap/>
            <w:vAlign w:val="center"/>
            <w:hideMark/>
          </w:tcPr>
          <w:p w14:paraId="78E32F3D"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3.0120</w:t>
            </w:r>
          </w:p>
        </w:tc>
        <w:tc>
          <w:tcPr>
            <w:tcW w:w="1650" w:type="dxa"/>
            <w:noWrap/>
            <w:vAlign w:val="center"/>
            <w:hideMark/>
          </w:tcPr>
          <w:p w14:paraId="3E982993" w14:textId="77777777" w:rsidR="000C7D3F" w:rsidRPr="000C7D3F" w:rsidRDefault="000C7D3F" w:rsidP="000C7D3F">
            <w:pPr>
              <w:jc w:val="center"/>
              <w:rPr>
                <w:rFonts w:ascii="Arial" w:hAnsi="Arial" w:cs="Arial"/>
                <w:sz w:val="18"/>
                <w:szCs w:val="18"/>
                <w:lang w:val="en-SG" w:eastAsia="zh-CN"/>
              </w:rPr>
            </w:pPr>
            <w:r w:rsidRPr="000C7D3F">
              <w:rPr>
                <w:rFonts w:ascii="Arial" w:hAnsi="Arial" w:cs="Arial"/>
                <w:sz w:val="18"/>
                <w:szCs w:val="18"/>
                <w:lang w:val="en-SG" w:eastAsia="zh-CN"/>
              </w:rPr>
              <w:t>2.4710</w:t>
            </w:r>
          </w:p>
        </w:tc>
      </w:tr>
    </w:tbl>
    <w:p w14:paraId="390171E2" w14:textId="77777777" w:rsidR="000C7D3F" w:rsidRPr="000C7D3F" w:rsidRDefault="000C7D3F" w:rsidP="000C7D3F">
      <w:pPr>
        <w:jc w:val="both"/>
        <w:rPr>
          <w:rFonts w:ascii="Arial" w:hAnsi="Arial" w:cs="Arial"/>
          <w:lang w:val="en-CA"/>
        </w:rPr>
      </w:pPr>
    </w:p>
    <w:p w14:paraId="077ABD27" w14:textId="0076C8D6" w:rsidR="000C7D3F" w:rsidRPr="00484277" w:rsidRDefault="000C7D3F" w:rsidP="00484277">
      <w:pPr>
        <w:pStyle w:val="Footnote"/>
      </w:pPr>
      <w:r w:rsidRPr="00484277">
        <w:t xml:space="preserve">Note: </w:t>
      </w:r>
      <w:r w:rsidR="00F97FBB">
        <w:t xml:space="preserve">FY = financial year; </w:t>
      </w:r>
      <w:r w:rsidRPr="00484277">
        <w:t xml:space="preserve">HSBC = Hong Kong and Shanghai Banking Corporation; RBS = Royal Bank of Scotland; </w:t>
      </w:r>
      <w:r w:rsidR="00F97FBB">
        <w:t xml:space="preserve">LSE = London Stock Exchange; </w:t>
      </w:r>
      <w:r w:rsidR="006840F6">
        <w:rPr>
          <w:lang w:val="en-CA"/>
        </w:rPr>
        <w:t>USD = U.S. dollar</w:t>
      </w:r>
      <w:r w:rsidR="00991325">
        <w:rPr>
          <w:lang w:val="en-CA"/>
        </w:rPr>
        <w:t>s</w:t>
      </w:r>
      <w:r w:rsidR="00F97FBB">
        <w:rPr>
          <w:lang w:val="en-CA"/>
        </w:rPr>
        <w:t xml:space="preserve">; </w:t>
      </w:r>
      <w:r w:rsidR="00F97FBB" w:rsidRPr="000C7D3F">
        <w:rPr>
          <w:lang w:val="en-CA"/>
        </w:rPr>
        <w:t>GBP = British pound</w:t>
      </w:r>
      <w:r w:rsidR="00991325">
        <w:rPr>
          <w:lang w:val="en-CA"/>
        </w:rPr>
        <w:t>s</w:t>
      </w:r>
      <w:r w:rsidR="00F97FBB" w:rsidRPr="000C7D3F">
        <w:rPr>
          <w:lang w:val="en-CA"/>
        </w:rPr>
        <w:t xml:space="preserve">; </w:t>
      </w:r>
      <w:r w:rsidR="00991325">
        <w:t>B = billion;</w:t>
      </w:r>
      <w:r w:rsidR="00F97FBB" w:rsidRPr="00484277">
        <w:t xml:space="preserve"> </w:t>
      </w:r>
      <w:proofErr w:type="spellStart"/>
      <w:r w:rsidRPr="00484277">
        <w:t>yoy</w:t>
      </w:r>
      <w:proofErr w:type="spellEnd"/>
      <w:r w:rsidRPr="00484277">
        <w:t xml:space="preserve"> = year over year; </w:t>
      </w:r>
      <w:proofErr w:type="spellStart"/>
      <w:r w:rsidRPr="00484277">
        <w:t>ttm</w:t>
      </w:r>
      <w:proofErr w:type="spellEnd"/>
      <w:r w:rsidRPr="00484277">
        <w:t xml:space="preserve"> = trailing twelve months; EBITDA = earnings before interest, taxes, depreciation, and amortization; EPS = earnings per share; P/E = price</w:t>
      </w:r>
      <w:r w:rsidR="00F97FBB">
        <w:t>-</w:t>
      </w:r>
      <w:r w:rsidRPr="00484277">
        <w:t>to</w:t>
      </w:r>
      <w:r w:rsidR="00F97FBB">
        <w:t>-</w:t>
      </w:r>
      <w:r w:rsidRPr="00484277">
        <w:t xml:space="preserve">earnings ratio; PEG = </w:t>
      </w:r>
      <w:r w:rsidR="006840F6" w:rsidRPr="00484277">
        <w:t>p</w:t>
      </w:r>
      <w:r w:rsidR="006840F6">
        <w:t>ri</w:t>
      </w:r>
      <w:r w:rsidR="006840F6" w:rsidRPr="00484277">
        <w:t>ce</w:t>
      </w:r>
      <w:r w:rsidRPr="00484277">
        <w:t>/earnings</w:t>
      </w:r>
      <w:r w:rsidR="00F97FBB">
        <w:t>-</w:t>
      </w:r>
      <w:r w:rsidRPr="00484277">
        <w:t>to</w:t>
      </w:r>
      <w:r w:rsidR="00F97FBB">
        <w:t>-</w:t>
      </w:r>
      <w:r w:rsidRPr="00484277">
        <w:t>growth ratio; P/S = price</w:t>
      </w:r>
      <w:r w:rsidR="001A3A77">
        <w:t>-</w:t>
      </w:r>
      <w:r w:rsidRPr="00484277">
        <w:t>to</w:t>
      </w:r>
      <w:r w:rsidR="001A3A77">
        <w:t>-</w:t>
      </w:r>
      <w:r w:rsidRPr="00484277">
        <w:t xml:space="preserve">sales ratio; </w:t>
      </w:r>
      <w:proofErr w:type="spellStart"/>
      <w:r w:rsidRPr="00484277">
        <w:t>mr</w:t>
      </w:r>
      <w:r w:rsidR="001A3A77">
        <w:t>q</w:t>
      </w:r>
      <w:proofErr w:type="spellEnd"/>
      <w:r w:rsidRPr="00484277">
        <w:t xml:space="preserve"> =most recent quarter. The share prices of all four banks are in GBP because they are all listed on London Stock Exchange. Beta is estimated by the case authors using the Financial Times Stock Exchange 100 index as the market return from January 1, 2009, to January 8, 2014.</w:t>
      </w:r>
    </w:p>
    <w:p w14:paraId="0AB730AD" w14:textId="77777777" w:rsidR="005E72F0" w:rsidRPr="003127DD" w:rsidRDefault="000C7D3F" w:rsidP="00484277">
      <w:pPr>
        <w:pStyle w:val="Footnote"/>
        <w:sectPr w:rsidR="005E72F0" w:rsidRPr="003127DD" w:rsidSect="00484277">
          <w:headerReference w:type="default" r:id="rId12"/>
          <w:endnotePr>
            <w:numFmt w:val="decimal"/>
          </w:endnotePr>
          <w:type w:val="continuous"/>
          <w:pgSz w:w="12240" w:h="15840" w:code="1"/>
          <w:pgMar w:top="1080" w:right="1440" w:bottom="1440" w:left="1440" w:header="1080" w:footer="720" w:gutter="0"/>
          <w:cols w:space="720"/>
          <w:titlePg/>
          <w:docGrid w:linePitch="360"/>
        </w:sectPr>
      </w:pPr>
      <w:r w:rsidRPr="00484277">
        <w:t>Source: “Standard Chartered PLC (STAN.L)—Key Statistics,” Yahoo Finance, accessed February 16, 2015, https://sg.finance.yahoo.com/q/ks?s=STAN.L; “Royal Bank of Scotland Group plc (RBS.L)—Key Statistics,” Yahoo Finance, accessed February 16, 2015, https://sg.finance.yahoo.com/q/ks?s=RBS.L; “Barclays PLC (BARC.L) – Key Statistics,” Yahoo Finance, accessed February 16, 2015, https://sg.finance.yahoo.com/q/ks?s=BARC.L; “HSBC Holdings plc (HSBA.L)—Key Statistics,” Yahoo Finance, accessed February 16, 2015, https://sg.finance.yahoo.com/q/ks?s=HSBA</w:t>
      </w:r>
      <w:r w:rsidRPr="003127DD">
        <w:t>.</w:t>
      </w:r>
    </w:p>
    <w:p w14:paraId="30D31678" w14:textId="0646E62A" w:rsidR="005E72F0" w:rsidRPr="005E72F0" w:rsidRDefault="005E72F0" w:rsidP="005E72F0">
      <w:pPr>
        <w:ind w:right="360"/>
        <w:jc w:val="center"/>
        <w:outlineLvl w:val="0"/>
        <w:rPr>
          <w:rFonts w:ascii="Arial" w:hAnsi="Arial" w:cs="Arial"/>
          <w:b/>
          <w:caps/>
          <w:lang w:val="en-CA"/>
        </w:rPr>
      </w:pPr>
      <w:r w:rsidRPr="005E72F0">
        <w:rPr>
          <w:rFonts w:ascii="Arial" w:hAnsi="Arial" w:cs="Arial"/>
          <w:b/>
          <w:caps/>
          <w:lang w:val="en-CA"/>
        </w:rPr>
        <w:lastRenderedPageBreak/>
        <w:t xml:space="preserve">Exhibit 6: share price performance of </w:t>
      </w:r>
      <w:r w:rsidR="001A3A77">
        <w:rPr>
          <w:rFonts w:ascii="Arial" w:hAnsi="Arial" w:cs="Arial"/>
          <w:b/>
          <w:caps/>
          <w:lang w:val="en-CA"/>
        </w:rPr>
        <w:t xml:space="preserve">standard chartered and </w:t>
      </w:r>
      <w:r w:rsidR="001A3A77" w:rsidRPr="000C7D3F">
        <w:rPr>
          <w:rFonts w:ascii="Arial" w:hAnsi="Arial" w:cs="Arial"/>
          <w:b/>
          <w:caps/>
          <w:lang w:val="en-CA"/>
        </w:rPr>
        <w:t>SELECTED</w:t>
      </w:r>
      <w:r w:rsidR="001A3A77" w:rsidRPr="005E72F0">
        <w:rPr>
          <w:rFonts w:ascii="Arial" w:hAnsi="Arial" w:cs="Arial"/>
          <w:b/>
          <w:caps/>
          <w:lang w:val="en-CA"/>
        </w:rPr>
        <w:t xml:space="preserve"> </w:t>
      </w:r>
      <w:r w:rsidRPr="005E72F0">
        <w:rPr>
          <w:rFonts w:ascii="Arial" w:hAnsi="Arial" w:cs="Arial"/>
          <w:b/>
          <w:caps/>
          <w:lang w:val="en-CA"/>
        </w:rPr>
        <w:t>PEERS, January 2009 to January 2014</w:t>
      </w:r>
    </w:p>
    <w:p w14:paraId="2D11C739" w14:textId="77777777" w:rsidR="005E72F0" w:rsidRPr="005E72F0" w:rsidRDefault="005E72F0" w:rsidP="005E72F0">
      <w:pPr>
        <w:jc w:val="both"/>
        <w:rPr>
          <w:rFonts w:ascii="Arial" w:hAnsi="Arial" w:cs="Arial"/>
          <w:lang w:val="en-CA"/>
        </w:rPr>
      </w:pPr>
    </w:p>
    <w:p w14:paraId="1E149014" w14:textId="77777777" w:rsidR="005E72F0" w:rsidRPr="005E72F0" w:rsidRDefault="005E72F0" w:rsidP="005E72F0">
      <w:pPr>
        <w:jc w:val="center"/>
        <w:rPr>
          <w:rFonts w:ascii="Arial" w:hAnsi="Arial" w:cs="Arial"/>
          <w:sz w:val="22"/>
          <w:szCs w:val="22"/>
          <w:lang w:val="en-CA"/>
        </w:rPr>
      </w:pPr>
      <w:r w:rsidRPr="005E72F0">
        <w:rPr>
          <w:rFonts w:ascii="Arial" w:hAnsi="Arial" w:cs="Arial"/>
          <w:noProof/>
        </w:rPr>
        <w:drawing>
          <wp:inline distT="0" distB="0" distL="0" distR="0" wp14:anchorId="27508F82" wp14:editId="589E290B">
            <wp:extent cx="7666330" cy="4147718"/>
            <wp:effectExtent l="0" t="0" r="0" b="5715"/>
            <wp:docPr id="6"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72358" cy="4150979"/>
                    </a:xfrm>
                    <a:prstGeom prst="rect">
                      <a:avLst/>
                    </a:prstGeom>
                    <a:noFill/>
                    <a:ln>
                      <a:noFill/>
                    </a:ln>
                  </pic:spPr>
                </pic:pic>
              </a:graphicData>
            </a:graphic>
          </wp:inline>
        </w:drawing>
      </w:r>
    </w:p>
    <w:p w14:paraId="15E815DA" w14:textId="77777777" w:rsidR="005E72F0" w:rsidRPr="005E72F0" w:rsidRDefault="005E72F0" w:rsidP="005E72F0">
      <w:pPr>
        <w:jc w:val="both"/>
        <w:rPr>
          <w:rFonts w:ascii="Arial" w:hAnsi="Arial" w:cs="Arial"/>
          <w:lang w:val="en-CA"/>
        </w:rPr>
      </w:pPr>
    </w:p>
    <w:p w14:paraId="039B03B9" w14:textId="77777777" w:rsidR="005E72F0" w:rsidRPr="005E72F0" w:rsidRDefault="005E72F0" w:rsidP="005E72F0">
      <w:pPr>
        <w:jc w:val="both"/>
        <w:rPr>
          <w:rFonts w:ascii="Arial" w:hAnsi="Arial" w:cs="Arial"/>
          <w:sz w:val="17"/>
          <w:szCs w:val="17"/>
          <w:lang w:val="en-CA"/>
        </w:rPr>
      </w:pPr>
      <w:r w:rsidRPr="005E72F0">
        <w:rPr>
          <w:rFonts w:ascii="Arial" w:hAnsi="Arial" w:cs="Arial"/>
          <w:sz w:val="17"/>
          <w:szCs w:val="17"/>
          <w:lang w:val="en-CA"/>
        </w:rPr>
        <w:t>Note: STAN = Standard Chartered PLC; FTSE = Financial Times Stock Exchange; HSBC = Hong Kong and Shanghai Banking Corporation; RBS = Royal Bank of Scotland.</w:t>
      </w:r>
    </w:p>
    <w:p w14:paraId="6CEA742C" w14:textId="77777777" w:rsidR="005E72F0" w:rsidRPr="005E72F0" w:rsidRDefault="005E72F0" w:rsidP="005E72F0">
      <w:pPr>
        <w:jc w:val="both"/>
        <w:rPr>
          <w:rFonts w:ascii="Arial" w:hAnsi="Arial" w:cs="Arial"/>
          <w:sz w:val="17"/>
          <w:szCs w:val="17"/>
          <w:lang w:val="en-CA"/>
        </w:rPr>
      </w:pPr>
      <w:r w:rsidRPr="005E72F0">
        <w:rPr>
          <w:rFonts w:ascii="Arial" w:hAnsi="Arial" w:cs="Arial"/>
          <w:sz w:val="17"/>
          <w:szCs w:val="17"/>
          <w:lang w:val="en-CA"/>
        </w:rPr>
        <w:t xml:space="preserve">Source: “Standard Chartered PLC (STAN.L)—Key Statistics,” Yahoo Finance, accessed February 16, 2015, https://sg.finance.yahoo.com/q/ks?s=STAN.L; “Royal Bank of Scotland Group plc (RBS.L)—Key Statistics,” Yahoo Finance, accessed February 16, 2015, https://sg.finance.yahoo.com/q/ks?s=RBS.L; “Barclays PLC (BARC.L) – Key Statistics,” Yahoo Finance, accessed February 16, 2015, https://sg.finance.yahoo.com/q/ks?s=BARC.L; “HSBC Holdings plc (HSBA.L)—Key Statistics,” Yahoo Finance, accessed February 16, 2015, https://sg.finance.yahoo.com/q/ks?s=HSBA.L; “FTSE 100 Index,” Yahoo Finance, accessed February 16, 2015, </w:t>
      </w:r>
      <w:r w:rsidRPr="005E72F0">
        <w:rPr>
          <w:rFonts w:ascii="Arial" w:hAnsi="Arial" w:cs="Arial"/>
          <w:sz w:val="17"/>
          <w:szCs w:val="17"/>
          <w:lang w:val="en-GB"/>
        </w:rPr>
        <w:t>https://sg.finance.yahoo.com/quote/%5EFTSE?p=%5EFTSE</w:t>
      </w:r>
      <w:r w:rsidRPr="005E72F0">
        <w:rPr>
          <w:rFonts w:ascii="Arial" w:hAnsi="Arial" w:cs="Arial"/>
          <w:sz w:val="17"/>
          <w:szCs w:val="17"/>
          <w:lang w:val="en-CA"/>
        </w:rPr>
        <w:t>.</w:t>
      </w:r>
      <w:r w:rsidRPr="005E72F0">
        <w:rPr>
          <w:rFonts w:ascii="Arial" w:hAnsi="Arial" w:cs="Arial"/>
          <w:sz w:val="17"/>
          <w:szCs w:val="17"/>
          <w:lang w:val="en-CA"/>
        </w:rPr>
        <w:br w:type="page"/>
      </w:r>
    </w:p>
    <w:p w14:paraId="79779D03" w14:textId="526402D0" w:rsidR="005E72F0" w:rsidRPr="005E72F0" w:rsidRDefault="005E72F0" w:rsidP="005E72F0">
      <w:pPr>
        <w:jc w:val="center"/>
        <w:outlineLvl w:val="0"/>
        <w:rPr>
          <w:rFonts w:ascii="Arial" w:hAnsi="Arial" w:cs="Arial"/>
          <w:b/>
          <w:caps/>
          <w:lang w:val="en-CA"/>
        </w:rPr>
      </w:pPr>
      <w:r w:rsidRPr="005E72F0">
        <w:rPr>
          <w:rFonts w:ascii="Arial" w:hAnsi="Arial" w:cs="Arial"/>
          <w:b/>
          <w:caps/>
          <w:lang w:val="en-CA"/>
        </w:rPr>
        <w:lastRenderedPageBreak/>
        <w:t>exhibit 7: STANdard CHARTered CORPORATE BONDs</w:t>
      </w:r>
    </w:p>
    <w:p w14:paraId="7CCF84FB" w14:textId="77777777" w:rsidR="005E72F0" w:rsidRPr="005E72F0" w:rsidRDefault="005E72F0" w:rsidP="005E72F0">
      <w:pPr>
        <w:jc w:val="both"/>
        <w:rPr>
          <w:rFonts w:ascii="Arial" w:hAnsi="Arial" w:cs="Arial"/>
          <w:lang w:val="en-CA"/>
        </w:rPr>
      </w:pPr>
    </w:p>
    <w:tbl>
      <w:tblPr>
        <w:tblW w:w="4664" w:type="pct"/>
        <w:jc w:val="center"/>
        <w:tblLook w:val="04A0" w:firstRow="1" w:lastRow="0" w:firstColumn="1" w:lastColumn="0" w:noHBand="0" w:noVBand="1"/>
      </w:tblPr>
      <w:tblGrid>
        <w:gridCol w:w="2121"/>
        <w:gridCol w:w="2179"/>
        <w:gridCol w:w="1912"/>
        <w:gridCol w:w="1912"/>
        <w:gridCol w:w="1912"/>
        <w:gridCol w:w="2379"/>
      </w:tblGrid>
      <w:tr w:rsidR="005E72F0" w:rsidRPr="005E72F0" w14:paraId="0D65E2B4" w14:textId="77777777" w:rsidTr="00484277">
        <w:trPr>
          <w:trHeight w:val="259"/>
          <w:jc w:val="center"/>
        </w:trPr>
        <w:tc>
          <w:tcPr>
            <w:tcW w:w="2121" w:type="dxa"/>
            <w:tcBorders>
              <w:top w:val="single" w:sz="4" w:space="0" w:color="auto"/>
              <w:left w:val="single" w:sz="4" w:space="0" w:color="auto"/>
              <w:bottom w:val="single" w:sz="4" w:space="0" w:color="auto"/>
              <w:right w:val="single" w:sz="4" w:space="0" w:color="auto"/>
            </w:tcBorders>
            <w:noWrap/>
            <w:vAlign w:val="center"/>
          </w:tcPr>
          <w:p w14:paraId="402D8BFE" w14:textId="77777777" w:rsidR="005E72F0" w:rsidRPr="00084F3F" w:rsidRDefault="005E72F0" w:rsidP="005E72F0">
            <w:pPr>
              <w:rPr>
                <w:rFonts w:ascii="Arial" w:hAnsi="Arial" w:cs="Arial"/>
                <w:b/>
                <w:sz w:val="18"/>
                <w:szCs w:val="18"/>
                <w:lang w:val="en-SG" w:eastAsia="zh-CN"/>
              </w:rPr>
            </w:pPr>
            <w:r w:rsidRPr="00084F3F">
              <w:rPr>
                <w:rFonts w:ascii="Arial" w:hAnsi="Arial" w:cs="Arial"/>
                <w:b/>
                <w:sz w:val="18"/>
                <w:szCs w:val="18"/>
                <w:lang w:val="en-SG" w:eastAsia="zh-CN"/>
              </w:rPr>
              <w:t>Bond Number</w:t>
            </w:r>
          </w:p>
        </w:tc>
        <w:tc>
          <w:tcPr>
            <w:tcW w:w="2179" w:type="dxa"/>
            <w:tcBorders>
              <w:top w:val="single" w:sz="4" w:space="0" w:color="auto"/>
              <w:left w:val="nil"/>
              <w:bottom w:val="single" w:sz="4" w:space="0" w:color="auto"/>
              <w:right w:val="single" w:sz="4" w:space="0" w:color="auto"/>
            </w:tcBorders>
            <w:noWrap/>
            <w:vAlign w:val="center"/>
          </w:tcPr>
          <w:p w14:paraId="2E605E06"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Bond 1</w:t>
            </w:r>
          </w:p>
        </w:tc>
        <w:tc>
          <w:tcPr>
            <w:tcW w:w="1912" w:type="dxa"/>
            <w:tcBorders>
              <w:top w:val="single" w:sz="4" w:space="0" w:color="auto"/>
              <w:left w:val="nil"/>
              <w:bottom w:val="single" w:sz="4" w:space="0" w:color="auto"/>
              <w:right w:val="single" w:sz="4" w:space="0" w:color="auto"/>
            </w:tcBorders>
            <w:noWrap/>
            <w:vAlign w:val="center"/>
          </w:tcPr>
          <w:p w14:paraId="4203E259"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Bond 2</w:t>
            </w:r>
          </w:p>
        </w:tc>
        <w:tc>
          <w:tcPr>
            <w:tcW w:w="1912" w:type="dxa"/>
            <w:tcBorders>
              <w:top w:val="single" w:sz="4" w:space="0" w:color="auto"/>
              <w:left w:val="nil"/>
              <w:bottom w:val="single" w:sz="4" w:space="0" w:color="auto"/>
              <w:right w:val="single" w:sz="4" w:space="0" w:color="auto"/>
            </w:tcBorders>
            <w:noWrap/>
            <w:vAlign w:val="center"/>
          </w:tcPr>
          <w:p w14:paraId="2A0F45D4"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Bond 3</w:t>
            </w:r>
          </w:p>
        </w:tc>
        <w:tc>
          <w:tcPr>
            <w:tcW w:w="1912" w:type="dxa"/>
            <w:tcBorders>
              <w:top w:val="single" w:sz="4" w:space="0" w:color="auto"/>
              <w:left w:val="nil"/>
              <w:bottom w:val="single" w:sz="4" w:space="0" w:color="auto"/>
              <w:right w:val="single" w:sz="4" w:space="0" w:color="auto"/>
            </w:tcBorders>
            <w:noWrap/>
            <w:vAlign w:val="center"/>
          </w:tcPr>
          <w:p w14:paraId="26F69329"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Bond 4</w:t>
            </w:r>
          </w:p>
        </w:tc>
        <w:tc>
          <w:tcPr>
            <w:tcW w:w="2379" w:type="dxa"/>
            <w:tcBorders>
              <w:top w:val="single" w:sz="4" w:space="0" w:color="auto"/>
              <w:left w:val="nil"/>
              <w:bottom w:val="single" w:sz="4" w:space="0" w:color="auto"/>
              <w:right w:val="single" w:sz="4" w:space="0" w:color="auto"/>
            </w:tcBorders>
            <w:noWrap/>
            <w:vAlign w:val="center"/>
          </w:tcPr>
          <w:p w14:paraId="5C7847C3"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Bond 5</w:t>
            </w:r>
          </w:p>
        </w:tc>
      </w:tr>
      <w:tr w:rsidR="005E72F0" w:rsidRPr="005E72F0" w14:paraId="3CCE5087" w14:textId="77777777" w:rsidTr="00484277">
        <w:trPr>
          <w:trHeight w:val="259"/>
          <w:jc w:val="center"/>
        </w:trPr>
        <w:tc>
          <w:tcPr>
            <w:tcW w:w="2121" w:type="dxa"/>
            <w:tcBorders>
              <w:top w:val="single" w:sz="4" w:space="0" w:color="auto"/>
              <w:left w:val="single" w:sz="4" w:space="0" w:color="auto"/>
              <w:bottom w:val="single" w:sz="4" w:space="0" w:color="auto"/>
              <w:right w:val="single" w:sz="4" w:space="0" w:color="auto"/>
            </w:tcBorders>
            <w:noWrap/>
            <w:vAlign w:val="center"/>
            <w:hideMark/>
          </w:tcPr>
          <w:p w14:paraId="18B6C538"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BOND ISIN</w:t>
            </w:r>
          </w:p>
        </w:tc>
        <w:tc>
          <w:tcPr>
            <w:tcW w:w="2179" w:type="dxa"/>
            <w:tcBorders>
              <w:top w:val="single" w:sz="4" w:space="0" w:color="auto"/>
              <w:left w:val="nil"/>
              <w:bottom w:val="single" w:sz="4" w:space="0" w:color="auto"/>
              <w:right w:val="single" w:sz="4" w:space="0" w:color="auto"/>
            </w:tcBorders>
            <w:noWrap/>
            <w:vAlign w:val="center"/>
            <w:hideMark/>
          </w:tcPr>
          <w:p w14:paraId="36B8C72B"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XS0323650787</w:t>
            </w:r>
          </w:p>
        </w:tc>
        <w:tc>
          <w:tcPr>
            <w:tcW w:w="1912" w:type="dxa"/>
            <w:tcBorders>
              <w:top w:val="single" w:sz="4" w:space="0" w:color="auto"/>
              <w:left w:val="nil"/>
              <w:bottom w:val="single" w:sz="4" w:space="0" w:color="auto"/>
              <w:right w:val="single" w:sz="4" w:space="0" w:color="auto"/>
            </w:tcBorders>
            <w:noWrap/>
            <w:vAlign w:val="center"/>
            <w:hideMark/>
          </w:tcPr>
          <w:p w14:paraId="69BD7D95"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XS0736418962</w:t>
            </w:r>
          </w:p>
        </w:tc>
        <w:tc>
          <w:tcPr>
            <w:tcW w:w="1912" w:type="dxa"/>
            <w:tcBorders>
              <w:top w:val="single" w:sz="4" w:space="0" w:color="auto"/>
              <w:left w:val="nil"/>
              <w:bottom w:val="single" w:sz="4" w:space="0" w:color="auto"/>
              <w:right w:val="single" w:sz="4" w:space="0" w:color="auto"/>
            </w:tcBorders>
            <w:noWrap/>
            <w:vAlign w:val="center"/>
            <w:hideMark/>
          </w:tcPr>
          <w:p w14:paraId="2587A97A"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XS0803659340</w:t>
            </w:r>
          </w:p>
        </w:tc>
        <w:tc>
          <w:tcPr>
            <w:tcW w:w="1912" w:type="dxa"/>
            <w:tcBorders>
              <w:top w:val="single" w:sz="4" w:space="0" w:color="auto"/>
              <w:left w:val="nil"/>
              <w:bottom w:val="single" w:sz="4" w:space="0" w:color="auto"/>
              <w:right w:val="single" w:sz="4" w:space="0" w:color="auto"/>
            </w:tcBorders>
            <w:noWrap/>
            <w:vAlign w:val="center"/>
            <w:hideMark/>
          </w:tcPr>
          <w:p w14:paraId="607D79D2"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XS0875267394</w:t>
            </w:r>
          </w:p>
        </w:tc>
        <w:tc>
          <w:tcPr>
            <w:tcW w:w="2379" w:type="dxa"/>
            <w:tcBorders>
              <w:top w:val="single" w:sz="4" w:space="0" w:color="auto"/>
              <w:left w:val="nil"/>
              <w:bottom w:val="single" w:sz="4" w:space="0" w:color="auto"/>
              <w:right w:val="single" w:sz="4" w:space="0" w:color="auto"/>
            </w:tcBorders>
            <w:noWrap/>
            <w:vAlign w:val="center"/>
            <w:hideMark/>
          </w:tcPr>
          <w:p w14:paraId="48B75896" w14:textId="77777777" w:rsidR="005E72F0" w:rsidRPr="005E72F0" w:rsidRDefault="005E72F0" w:rsidP="005E72F0">
            <w:pPr>
              <w:jc w:val="center"/>
              <w:rPr>
                <w:rFonts w:ascii="Arial" w:hAnsi="Arial" w:cs="Arial"/>
                <w:b/>
                <w:bCs/>
                <w:sz w:val="18"/>
                <w:szCs w:val="18"/>
                <w:lang w:val="en-SG" w:eastAsia="zh-CN"/>
              </w:rPr>
            </w:pPr>
            <w:r w:rsidRPr="005E72F0">
              <w:rPr>
                <w:rFonts w:ascii="Arial" w:hAnsi="Arial" w:cs="Arial"/>
                <w:b/>
                <w:bCs/>
                <w:sz w:val="18"/>
                <w:szCs w:val="18"/>
                <w:lang w:val="en-SG" w:eastAsia="zh-CN"/>
              </w:rPr>
              <w:t>XS0969864916</w:t>
            </w:r>
          </w:p>
        </w:tc>
      </w:tr>
      <w:tr w:rsidR="005E72F0" w:rsidRPr="005E72F0" w14:paraId="33587F26"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51F4234F"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Symbol</w:t>
            </w:r>
          </w:p>
        </w:tc>
        <w:tc>
          <w:tcPr>
            <w:tcW w:w="2179" w:type="dxa"/>
            <w:tcBorders>
              <w:top w:val="nil"/>
              <w:left w:val="nil"/>
              <w:bottom w:val="single" w:sz="4" w:space="0" w:color="auto"/>
              <w:right w:val="single" w:sz="4" w:space="0" w:color="auto"/>
            </w:tcBorders>
            <w:noWrap/>
            <w:vAlign w:val="center"/>
            <w:hideMark/>
          </w:tcPr>
          <w:p w14:paraId="1DFB667E"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SCBFF3764769</w:t>
            </w:r>
          </w:p>
        </w:tc>
        <w:tc>
          <w:tcPr>
            <w:tcW w:w="1912" w:type="dxa"/>
            <w:tcBorders>
              <w:top w:val="nil"/>
              <w:left w:val="nil"/>
              <w:bottom w:val="single" w:sz="4" w:space="0" w:color="auto"/>
              <w:right w:val="single" w:sz="4" w:space="0" w:color="auto"/>
            </w:tcBorders>
            <w:noWrap/>
            <w:vAlign w:val="center"/>
            <w:hideMark/>
          </w:tcPr>
          <w:p w14:paraId="5097AC9D"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SCBFF3832767</w:t>
            </w:r>
          </w:p>
        </w:tc>
        <w:tc>
          <w:tcPr>
            <w:tcW w:w="1912" w:type="dxa"/>
            <w:tcBorders>
              <w:top w:val="nil"/>
              <w:left w:val="nil"/>
              <w:bottom w:val="single" w:sz="4" w:space="0" w:color="auto"/>
              <w:right w:val="single" w:sz="4" w:space="0" w:color="auto"/>
            </w:tcBorders>
            <w:noWrap/>
            <w:vAlign w:val="center"/>
            <w:hideMark/>
          </w:tcPr>
          <w:p w14:paraId="65C5EFC1"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SCBFF3882625</w:t>
            </w:r>
          </w:p>
        </w:tc>
        <w:tc>
          <w:tcPr>
            <w:tcW w:w="1912" w:type="dxa"/>
            <w:tcBorders>
              <w:top w:val="nil"/>
              <w:left w:val="nil"/>
              <w:bottom w:val="single" w:sz="4" w:space="0" w:color="auto"/>
              <w:right w:val="single" w:sz="4" w:space="0" w:color="auto"/>
            </w:tcBorders>
            <w:noWrap/>
            <w:vAlign w:val="center"/>
            <w:hideMark/>
          </w:tcPr>
          <w:p w14:paraId="758BAE74"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SCBFF3968238</w:t>
            </w:r>
          </w:p>
        </w:tc>
        <w:tc>
          <w:tcPr>
            <w:tcW w:w="2379" w:type="dxa"/>
            <w:tcBorders>
              <w:top w:val="nil"/>
              <w:left w:val="nil"/>
              <w:bottom w:val="single" w:sz="4" w:space="0" w:color="auto"/>
              <w:right w:val="single" w:sz="4" w:space="0" w:color="auto"/>
            </w:tcBorders>
            <w:noWrap/>
            <w:vAlign w:val="center"/>
            <w:hideMark/>
          </w:tcPr>
          <w:p w14:paraId="0AB09533"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SCBFF4055484</w:t>
            </w:r>
          </w:p>
        </w:tc>
      </w:tr>
      <w:tr w:rsidR="005E72F0" w:rsidRPr="005E72F0" w14:paraId="120ECD2F"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6512A26E"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Coupon rate</w:t>
            </w:r>
          </w:p>
        </w:tc>
        <w:tc>
          <w:tcPr>
            <w:tcW w:w="2179" w:type="dxa"/>
            <w:tcBorders>
              <w:top w:val="nil"/>
              <w:left w:val="nil"/>
              <w:bottom w:val="single" w:sz="4" w:space="0" w:color="auto"/>
              <w:right w:val="single" w:sz="4" w:space="0" w:color="auto"/>
            </w:tcBorders>
            <w:noWrap/>
            <w:vAlign w:val="center"/>
            <w:hideMark/>
          </w:tcPr>
          <w:p w14:paraId="16EE36B2"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6.40%</w:t>
            </w:r>
          </w:p>
        </w:tc>
        <w:tc>
          <w:tcPr>
            <w:tcW w:w="1912" w:type="dxa"/>
            <w:tcBorders>
              <w:top w:val="nil"/>
              <w:left w:val="nil"/>
              <w:bottom w:val="single" w:sz="4" w:space="0" w:color="auto"/>
              <w:right w:val="single" w:sz="4" w:space="0" w:color="auto"/>
            </w:tcBorders>
            <w:noWrap/>
            <w:vAlign w:val="center"/>
            <w:hideMark/>
          </w:tcPr>
          <w:p w14:paraId="4BB5113F"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5.70%</w:t>
            </w:r>
          </w:p>
        </w:tc>
        <w:tc>
          <w:tcPr>
            <w:tcW w:w="1912" w:type="dxa"/>
            <w:tcBorders>
              <w:top w:val="nil"/>
              <w:left w:val="nil"/>
              <w:bottom w:val="single" w:sz="4" w:space="0" w:color="auto"/>
              <w:right w:val="single" w:sz="4" w:space="0" w:color="auto"/>
            </w:tcBorders>
            <w:noWrap/>
            <w:vAlign w:val="center"/>
            <w:hideMark/>
          </w:tcPr>
          <w:p w14:paraId="7C637BC5"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4.00%</w:t>
            </w:r>
          </w:p>
        </w:tc>
        <w:tc>
          <w:tcPr>
            <w:tcW w:w="1912" w:type="dxa"/>
            <w:tcBorders>
              <w:top w:val="nil"/>
              <w:left w:val="nil"/>
              <w:bottom w:val="single" w:sz="4" w:space="0" w:color="auto"/>
              <w:right w:val="single" w:sz="4" w:space="0" w:color="auto"/>
            </w:tcBorders>
            <w:noWrap/>
            <w:vAlign w:val="center"/>
            <w:hideMark/>
          </w:tcPr>
          <w:p w14:paraId="0F902543"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5.30%</w:t>
            </w:r>
          </w:p>
        </w:tc>
        <w:tc>
          <w:tcPr>
            <w:tcW w:w="2379" w:type="dxa"/>
            <w:tcBorders>
              <w:top w:val="nil"/>
              <w:left w:val="nil"/>
              <w:bottom w:val="single" w:sz="4" w:space="0" w:color="auto"/>
              <w:right w:val="single" w:sz="4" w:space="0" w:color="auto"/>
            </w:tcBorders>
            <w:noWrap/>
            <w:vAlign w:val="center"/>
            <w:hideMark/>
          </w:tcPr>
          <w:p w14:paraId="27F23603"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5.20%</w:t>
            </w:r>
          </w:p>
        </w:tc>
      </w:tr>
      <w:tr w:rsidR="005E72F0" w:rsidRPr="005E72F0" w14:paraId="20A60AAA"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5CE25179" w14:textId="680371C9" w:rsidR="005E72F0" w:rsidRPr="005E72F0" w:rsidRDefault="005E72F0" w:rsidP="00317F40">
            <w:pPr>
              <w:rPr>
                <w:rFonts w:ascii="Arial" w:hAnsi="Arial" w:cs="Arial"/>
                <w:sz w:val="18"/>
                <w:szCs w:val="18"/>
                <w:lang w:val="en-SG" w:eastAsia="zh-CN"/>
              </w:rPr>
            </w:pPr>
            <w:r w:rsidRPr="005E72F0">
              <w:rPr>
                <w:rFonts w:ascii="Arial" w:hAnsi="Arial" w:cs="Arial"/>
                <w:sz w:val="18"/>
                <w:szCs w:val="18"/>
                <w:lang w:val="en-SG" w:eastAsia="zh-CN"/>
              </w:rPr>
              <w:t xml:space="preserve">Coupon </w:t>
            </w:r>
            <w:r w:rsidR="00317F40">
              <w:rPr>
                <w:rFonts w:ascii="Arial" w:hAnsi="Arial" w:cs="Arial"/>
                <w:sz w:val="18"/>
                <w:szCs w:val="18"/>
                <w:lang w:val="en-SG" w:eastAsia="zh-CN"/>
              </w:rPr>
              <w:t>t</w:t>
            </w:r>
            <w:r w:rsidRPr="005E72F0">
              <w:rPr>
                <w:rFonts w:ascii="Arial" w:hAnsi="Arial" w:cs="Arial"/>
                <w:sz w:val="18"/>
                <w:szCs w:val="18"/>
                <w:lang w:val="en-SG" w:eastAsia="zh-CN"/>
              </w:rPr>
              <w:t>ype</w:t>
            </w:r>
          </w:p>
        </w:tc>
        <w:tc>
          <w:tcPr>
            <w:tcW w:w="2179" w:type="dxa"/>
            <w:tcBorders>
              <w:top w:val="nil"/>
              <w:left w:val="nil"/>
              <w:bottom w:val="single" w:sz="4" w:space="0" w:color="auto"/>
              <w:right w:val="single" w:sz="4" w:space="0" w:color="auto"/>
            </w:tcBorders>
            <w:vAlign w:val="center"/>
            <w:hideMark/>
          </w:tcPr>
          <w:p w14:paraId="715C8125"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FIXED</w:t>
            </w:r>
          </w:p>
        </w:tc>
        <w:tc>
          <w:tcPr>
            <w:tcW w:w="1912" w:type="dxa"/>
            <w:tcBorders>
              <w:top w:val="nil"/>
              <w:left w:val="nil"/>
              <w:bottom w:val="single" w:sz="4" w:space="0" w:color="auto"/>
              <w:right w:val="single" w:sz="4" w:space="0" w:color="auto"/>
            </w:tcBorders>
            <w:noWrap/>
            <w:vAlign w:val="center"/>
            <w:hideMark/>
          </w:tcPr>
          <w:p w14:paraId="04D361C1"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FIXED</w:t>
            </w:r>
          </w:p>
        </w:tc>
        <w:tc>
          <w:tcPr>
            <w:tcW w:w="1912" w:type="dxa"/>
            <w:tcBorders>
              <w:top w:val="nil"/>
              <w:left w:val="nil"/>
              <w:bottom w:val="single" w:sz="4" w:space="0" w:color="auto"/>
              <w:right w:val="single" w:sz="4" w:space="0" w:color="auto"/>
            </w:tcBorders>
            <w:noWrap/>
            <w:vAlign w:val="center"/>
            <w:hideMark/>
          </w:tcPr>
          <w:p w14:paraId="3C59DF96"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FIXED</w:t>
            </w:r>
          </w:p>
        </w:tc>
        <w:tc>
          <w:tcPr>
            <w:tcW w:w="1912" w:type="dxa"/>
            <w:tcBorders>
              <w:top w:val="nil"/>
              <w:left w:val="nil"/>
              <w:bottom w:val="single" w:sz="4" w:space="0" w:color="auto"/>
              <w:right w:val="single" w:sz="4" w:space="0" w:color="auto"/>
            </w:tcBorders>
            <w:noWrap/>
            <w:vAlign w:val="center"/>
            <w:hideMark/>
          </w:tcPr>
          <w:p w14:paraId="5EE3595A"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FIXED</w:t>
            </w:r>
          </w:p>
        </w:tc>
        <w:tc>
          <w:tcPr>
            <w:tcW w:w="2379" w:type="dxa"/>
            <w:tcBorders>
              <w:top w:val="nil"/>
              <w:left w:val="nil"/>
              <w:bottom w:val="single" w:sz="4" w:space="0" w:color="auto"/>
              <w:right w:val="single" w:sz="4" w:space="0" w:color="auto"/>
            </w:tcBorders>
            <w:noWrap/>
            <w:vAlign w:val="center"/>
            <w:hideMark/>
          </w:tcPr>
          <w:p w14:paraId="52E7C60F"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FIXED</w:t>
            </w:r>
          </w:p>
        </w:tc>
      </w:tr>
      <w:tr w:rsidR="005E72F0" w:rsidRPr="005E72F0" w14:paraId="7490022A"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1CF3CDBD"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Issue date</w:t>
            </w:r>
          </w:p>
        </w:tc>
        <w:tc>
          <w:tcPr>
            <w:tcW w:w="2179" w:type="dxa"/>
            <w:tcBorders>
              <w:top w:val="nil"/>
              <w:left w:val="nil"/>
              <w:bottom w:val="single" w:sz="4" w:space="0" w:color="auto"/>
              <w:right w:val="single" w:sz="4" w:space="0" w:color="auto"/>
            </w:tcBorders>
            <w:noWrap/>
            <w:vAlign w:val="center"/>
            <w:hideMark/>
          </w:tcPr>
          <w:p w14:paraId="5028850E"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September 26, 2007</w:t>
            </w:r>
          </w:p>
        </w:tc>
        <w:tc>
          <w:tcPr>
            <w:tcW w:w="1912" w:type="dxa"/>
            <w:tcBorders>
              <w:top w:val="nil"/>
              <w:left w:val="nil"/>
              <w:bottom w:val="single" w:sz="4" w:space="0" w:color="auto"/>
              <w:right w:val="single" w:sz="4" w:space="0" w:color="auto"/>
            </w:tcBorders>
            <w:noWrap/>
            <w:vAlign w:val="center"/>
            <w:hideMark/>
          </w:tcPr>
          <w:p w14:paraId="3D85492C"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January 25, 2012</w:t>
            </w:r>
          </w:p>
        </w:tc>
        <w:tc>
          <w:tcPr>
            <w:tcW w:w="1912" w:type="dxa"/>
            <w:tcBorders>
              <w:top w:val="nil"/>
              <w:left w:val="nil"/>
              <w:bottom w:val="single" w:sz="4" w:space="0" w:color="auto"/>
              <w:right w:val="single" w:sz="4" w:space="0" w:color="auto"/>
            </w:tcBorders>
            <w:noWrap/>
            <w:vAlign w:val="center"/>
            <w:hideMark/>
          </w:tcPr>
          <w:p w14:paraId="3D54E3B8"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July 12, 2012</w:t>
            </w:r>
          </w:p>
        </w:tc>
        <w:tc>
          <w:tcPr>
            <w:tcW w:w="1912" w:type="dxa"/>
            <w:tcBorders>
              <w:top w:val="nil"/>
              <w:left w:val="nil"/>
              <w:bottom w:val="single" w:sz="4" w:space="0" w:color="auto"/>
              <w:right w:val="single" w:sz="4" w:space="0" w:color="auto"/>
            </w:tcBorders>
            <w:noWrap/>
            <w:vAlign w:val="center"/>
            <w:hideMark/>
          </w:tcPr>
          <w:p w14:paraId="7CB0CF4D"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January 11, 2013</w:t>
            </w:r>
          </w:p>
        </w:tc>
        <w:tc>
          <w:tcPr>
            <w:tcW w:w="2379" w:type="dxa"/>
            <w:tcBorders>
              <w:top w:val="nil"/>
              <w:left w:val="nil"/>
              <w:bottom w:val="single" w:sz="4" w:space="0" w:color="auto"/>
              <w:right w:val="single" w:sz="4" w:space="0" w:color="auto"/>
            </w:tcBorders>
            <w:noWrap/>
            <w:vAlign w:val="center"/>
            <w:hideMark/>
          </w:tcPr>
          <w:p w14:paraId="260DA56D"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September 26, 2013</w:t>
            </w:r>
          </w:p>
        </w:tc>
      </w:tr>
      <w:tr w:rsidR="005E72F0" w:rsidRPr="005E72F0" w14:paraId="161E513D"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53AFEE9B" w14:textId="67312720" w:rsidR="005E72F0" w:rsidRPr="005E72F0" w:rsidRDefault="005E72F0" w:rsidP="00317F40">
            <w:pPr>
              <w:rPr>
                <w:rFonts w:ascii="Arial" w:hAnsi="Arial" w:cs="Arial"/>
                <w:sz w:val="18"/>
                <w:szCs w:val="18"/>
                <w:lang w:val="en-SG" w:eastAsia="zh-CN"/>
              </w:rPr>
            </w:pPr>
            <w:r w:rsidRPr="005E72F0">
              <w:rPr>
                <w:rFonts w:ascii="Arial" w:hAnsi="Arial" w:cs="Arial"/>
                <w:sz w:val="18"/>
                <w:szCs w:val="18"/>
                <w:lang w:val="en-SG" w:eastAsia="zh-CN"/>
              </w:rPr>
              <w:t xml:space="preserve">First </w:t>
            </w:r>
            <w:r w:rsidR="00317F40">
              <w:rPr>
                <w:rFonts w:ascii="Arial" w:hAnsi="Arial" w:cs="Arial"/>
                <w:sz w:val="18"/>
                <w:szCs w:val="18"/>
                <w:lang w:val="en-SG" w:eastAsia="zh-CN"/>
              </w:rPr>
              <w:t>c</w:t>
            </w:r>
            <w:r w:rsidRPr="005E72F0">
              <w:rPr>
                <w:rFonts w:ascii="Arial" w:hAnsi="Arial" w:cs="Arial"/>
                <w:sz w:val="18"/>
                <w:szCs w:val="18"/>
                <w:lang w:val="en-SG" w:eastAsia="zh-CN"/>
              </w:rPr>
              <w:t>oupon date</w:t>
            </w:r>
          </w:p>
        </w:tc>
        <w:tc>
          <w:tcPr>
            <w:tcW w:w="2179" w:type="dxa"/>
            <w:tcBorders>
              <w:top w:val="nil"/>
              <w:left w:val="nil"/>
              <w:bottom w:val="single" w:sz="4" w:space="0" w:color="auto"/>
              <w:right w:val="single" w:sz="4" w:space="0" w:color="auto"/>
            </w:tcBorders>
            <w:vAlign w:val="center"/>
            <w:hideMark/>
          </w:tcPr>
          <w:p w14:paraId="1F619923"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March 26, 2008</w:t>
            </w:r>
          </w:p>
        </w:tc>
        <w:tc>
          <w:tcPr>
            <w:tcW w:w="1912" w:type="dxa"/>
            <w:tcBorders>
              <w:top w:val="nil"/>
              <w:left w:val="nil"/>
              <w:bottom w:val="single" w:sz="4" w:space="0" w:color="auto"/>
              <w:right w:val="single" w:sz="4" w:space="0" w:color="auto"/>
            </w:tcBorders>
            <w:noWrap/>
            <w:vAlign w:val="center"/>
            <w:hideMark/>
          </w:tcPr>
          <w:p w14:paraId="7E3C8B9C"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July 25, 2012</w:t>
            </w:r>
          </w:p>
        </w:tc>
        <w:tc>
          <w:tcPr>
            <w:tcW w:w="1912" w:type="dxa"/>
            <w:tcBorders>
              <w:top w:val="nil"/>
              <w:left w:val="nil"/>
              <w:bottom w:val="single" w:sz="4" w:space="0" w:color="auto"/>
              <w:right w:val="single" w:sz="4" w:space="0" w:color="auto"/>
            </w:tcBorders>
            <w:noWrap/>
            <w:vAlign w:val="center"/>
            <w:hideMark/>
          </w:tcPr>
          <w:p w14:paraId="73C4CCD7"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January 12, 2013</w:t>
            </w:r>
          </w:p>
        </w:tc>
        <w:tc>
          <w:tcPr>
            <w:tcW w:w="1912" w:type="dxa"/>
            <w:tcBorders>
              <w:top w:val="nil"/>
              <w:left w:val="nil"/>
              <w:bottom w:val="single" w:sz="4" w:space="0" w:color="auto"/>
              <w:right w:val="single" w:sz="4" w:space="0" w:color="auto"/>
            </w:tcBorders>
            <w:vAlign w:val="center"/>
            <w:hideMark/>
          </w:tcPr>
          <w:p w14:paraId="5FF346F8"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July 11, 2013</w:t>
            </w:r>
          </w:p>
        </w:tc>
        <w:tc>
          <w:tcPr>
            <w:tcW w:w="2379" w:type="dxa"/>
            <w:tcBorders>
              <w:top w:val="nil"/>
              <w:left w:val="nil"/>
              <w:bottom w:val="single" w:sz="4" w:space="0" w:color="auto"/>
              <w:right w:val="single" w:sz="4" w:space="0" w:color="auto"/>
            </w:tcBorders>
            <w:vAlign w:val="center"/>
            <w:hideMark/>
          </w:tcPr>
          <w:p w14:paraId="12F68378"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March 26, 2014</w:t>
            </w:r>
          </w:p>
        </w:tc>
      </w:tr>
      <w:tr w:rsidR="005E72F0" w:rsidRPr="005E72F0" w14:paraId="1D2B206D"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241F3EF2"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Maturity Date</w:t>
            </w:r>
          </w:p>
        </w:tc>
        <w:tc>
          <w:tcPr>
            <w:tcW w:w="2179" w:type="dxa"/>
            <w:tcBorders>
              <w:top w:val="nil"/>
              <w:left w:val="nil"/>
              <w:bottom w:val="single" w:sz="4" w:space="0" w:color="auto"/>
              <w:right w:val="single" w:sz="4" w:space="0" w:color="auto"/>
            </w:tcBorders>
            <w:noWrap/>
            <w:vAlign w:val="center"/>
            <w:hideMark/>
          </w:tcPr>
          <w:p w14:paraId="5DBE7CB7"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September 26, 2017</w:t>
            </w:r>
          </w:p>
        </w:tc>
        <w:tc>
          <w:tcPr>
            <w:tcW w:w="1912" w:type="dxa"/>
            <w:tcBorders>
              <w:top w:val="nil"/>
              <w:left w:val="nil"/>
              <w:bottom w:val="single" w:sz="4" w:space="0" w:color="auto"/>
              <w:right w:val="single" w:sz="4" w:space="0" w:color="auto"/>
            </w:tcBorders>
            <w:noWrap/>
            <w:vAlign w:val="center"/>
            <w:hideMark/>
          </w:tcPr>
          <w:p w14:paraId="6FC35829"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January 25, 2022</w:t>
            </w:r>
          </w:p>
        </w:tc>
        <w:tc>
          <w:tcPr>
            <w:tcW w:w="1912" w:type="dxa"/>
            <w:tcBorders>
              <w:top w:val="nil"/>
              <w:left w:val="nil"/>
              <w:bottom w:val="single" w:sz="4" w:space="0" w:color="auto"/>
              <w:right w:val="single" w:sz="4" w:space="0" w:color="auto"/>
            </w:tcBorders>
            <w:noWrap/>
            <w:vAlign w:val="center"/>
            <w:hideMark/>
          </w:tcPr>
          <w:p w14:paraId="341A1B60"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July 12, 2022</w:t>
            </w:r>
          </w:p>
        </w:tc>
        <w:tc>
          <w:tcPr>
            <w:tcW w:w="1912" w:type="dxa"/>
            <w:tcBorders>
              <w:top w:val="nil"/>
              <w:left w:val="nil"/>
              <w:bottom w:val="single" w:sz="4" w:space="0" w:color="auto"/>
              <w:right w:val="single" w:sz="4" w:space="0" w:color="auto"/>
            </w:tcBorders>
            <w:noWrap/>
            <w:vAlign w:val="center"/>
            <w:hideMark/>
          </w:tcPr>
          <w:p w14:paraId="6898FCBA"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January 9, 2043</w:t>
            </w:r>
          </w:p>
        </w:tc>
        <w:tc>
          <w:tcPr>
            <w:tcW w:w="2379" w:type="dxa"/>
            <w:tcBorders>
              <w:top w:val="nil"/>
              <w:left w:val="nil"/>
              <w:bottom w:val="single" w:sz="4" w:space="0" w:color="auto"/>
              <w:right w:val="single" w:sz="4" w:space="0" w:color="auto"/>
            </w:tcBorders>
            <w:noWrap/>
            <w:vAlign w:val="center"/>
            <w:hideMark/>
          </w:tcPr>
          <w:p w14:paraId="50245704"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January 26, 2024</w:t>
            </w:r>
          </w:p>
        </w:tc>
      </w:tr>
      <w:tr w:rsidR="005E72F0" w:rsidRPr="005E72F0" w14:paraId="137C3FB7"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1A87C5A0" w14:textId="63B6ECA3" w:rsidR="005E72F0" w:rsidRPr="005E72F0" w:rsidRDefault="005E72F0" w:rsidP="00317F40">
            <w:pPr>
              <w:rPr>
                <w:rFonts w:ascii="Arial" w:hAnsi="Arial" w:cs="Arial"/>
                <w:sz w:val="18"/>
                <w:szCs w:val="18"/>
                <w:lang w:val="en-SG" w:eastAsia="zh-CN"/>
              </w:rPr>
            </w:pPr>
            <w:r w:rsidRPr="005E72F0">
              <w:rPr>
                <w:rFonts w:ascii="Arial" w:hAnsi="Arial" w:cs="Arial"/>
                <w:sz w:val="18"/>
                <w:szCs w:val="18"/>
                <w:lang w:val="en-SG" w:eastAsia="zh-CN"/>
              </w:rPr>
              <w:t xml:space="preserve">Credit </w:t>
            </w:r>
            <w:r w:rsidR="00317F40">
              <w:rPr>
                <w:rFonts w:ascii="Arial" w:hAnsi="Arial" w:cs="Arial"/>
                <w:sz w:val="18"/>
                <w:szCs w:val="18"/>
                <w:lang w:val="en-SG" w:eastAsia="zh-CN"/>
              </w:rPr>
              <w:t>r</w:t>
            </w:r>
            <w:r w:rsidRPr="005E72F0">
              <w:rPr>
                <w:rFonts w:ascii="Arial" w:hAnsi="Arial" w:cs="Arial"/>
                <w:sz w:val="18"/>
                <w:szCs w:val="18"/>
                <w:lang w:val="en-SG" w:eastAsia="zh-CN"/>
              </w:rPr>
              <w:t>ating (Moody’s/S&amp;P)</w:t>
            </w:r>
          </w:p>
        </w:tc>
        <w:tc>
          <w:tcPr>
            <w:tcW w:w="2179" w:type="dxa"/>
            <w:tcBorders>
              <w:top w:val="nil"/>
              <w:left w:val="nil"/>
              <w:bottom w:val="single" w:sz="4" w:space="0" w:color="auto"/>
              <w:right w:val="single" w:sz="4" w:space="0" w:color="auto"/>
            </w:tcBorders>
            <w:noWrap/>
            <w:vAlign w:val="center"/>
            <w:hideMark/>
          </w:tcPr>
          <w:p w14:paraId="65B53E4D"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A3/BBB</w:t>
            </w:r>
          </w:p>
        </w:tc>
        <w:tc>
          <w:tcPr>
            <w:tcW w:w="1912" w:type="dxa"/>
            <w:tcBorders>
              <w:top w:val="nil"/>
              <w:left w:val="nil"/>
              <w:bottom w:val="single" w:sz="4" w:space="0" w:color="auto"/>
              <w:right w:val="single" w:sz="4" w:space="0" w:color="auto"/>
            </w:tcBorders>
            <w:noWrap/>
            <w:vAlign w:val="center"/>
            <w:hideMark/>
          </w:tcPr>
          <w:p w14:paraId="7523EC22" w14:textId="7BA10646" w:rsidR="005E72F0" w:rsidRPr="005E72F0" w:rsidRDefault="005E72F0" w:rsidP="00991325">
            <w:pPr>
              <w:jc w:val="center"/>
              <w:rPr>
                <w:rFonts w:ascii="Arial" w:hAnsi="Arial" w:cs="Arial"/>
                <w:sz w:val="18"/>
                <w:szCs w:val="18"/>
                <w:lang w:val="en-SG" w:eastAsia="zh-CN"/>
              </w:rPr>
            </w:pPr>
            <w:r w:rsidRPr="005E72F0">
              <w:rPr>
                <w:rFonts w:ascii="Arial" w:hAnsi="Arial" w:cs="Arial"/>
                <w:sz w:val="18"/>
                <w:szCs w:val="18"/>
                <w:lang w:val="en-SG" w:eastAsia="zh-CN"/>
              </w:rPr>
              <w:t>A3/BBB</w:t>
            </w:r>
            <w:r w:rsidR="00991325">
              <w:rPr>
                <w:rFonts w:ascii="Arial" w:hAnsi="Arial" w:cs="Arial"/>
                <w:sz w:val="18"/>
                <w:szCs w:val="18"/>
                <w:lang w:val="en-SG" w:eastAsia="zh-CN"/>
              </w:rPr>
              <w:t>–</w:t>
            </w:r>
          </w:p>
        </w:tc>
        <w:tc>
          <w:tcPr>
            <w:tcW w:w="1912" w:type="dxa"/>
            <w:tcBorders>
              <w:top w:val="nil"/>
              <w:left w:val="nil"/>
              <w:bottom w:val="single" w:sz="4" w:space="0" w:color="auto"/>
              <w:right w:val="single" w:sz="4" w:space="0" w:color="auto"/>
            </w:tcBorders>
            <w:noWrap/>
            <w:vAlign w:val="center"/>
            <w:hideMark/>
          </w:tcPr>
          <w:p w14:paraId="7E26BE39" w14:textId="6B7A9C32" w:rsidR="005E72F0" w:rsidRPr="005E72F0" w:rsidRDefault="005E72F0" w:rsidP="00991325">
            <w:pPr>
              <w:jc w:val="center"/>
              <w:rPr>
                <w:rFonts w:ascii="Arial" w:hAnsi="Arial" w:cs="Arial"/>
                <w:sz w:val="18"/>
                <w:szCs w:val="18"/>
                <w:lang w:val="en-SG" w:eastAsia="zh-CN"/>
              </w:rPr>
            </w:pPr>
            <w:r w:rsidRPr="005E72F0">
              <w:rPr>
                <w:rFonts w:ascii="Arial" w:hAnsi="Arial" w:cs="Arial"/>
                <w:sz w:val="18"/>
                <w:szCs w:val="18"/>
                <w:lang w:val="en-SG" w:eastAsia="zh-CN"/>
              </w:rPr>
              <w:t>A3/BBB</w:t>
            </w:r>
            <w:r w:rsidR="00991325">
              <w:rPr>
                <w:rFonts w:ascii="Arial" w:hAnsi="Arial" w:cs="Arial"/>
                <w:sz w:val="18"/>
                <w:szCs w:val="18"/>
                <w:lang w:val="en-SG" w:eastAsia="zh-CN"/>
              </w:rPr>
              <w:t>–</w:t>
            </w:r>
          </w:p>
        </w:tc>
        <w:tc>
          <w:tcPr>
            <w:tcW w:w="1912" w:type="dxa"/>
            <w:tcBorders>
              <w:top w:val="nil"/>
              <w:left w:val="nil"/>
              <w:bottom w:val="single" w:sz="4" w:space="0" w:color="auto"/>
              <w:right w:val="single" w:sz="4" w:space="0" w:color="auto"/>
            </w:tcBorders>
            <w:noWrap/>
            <w:vAlign w:val="center"/>
            <w:hideMark/>
          </w:tcPr>
          <w:p w14:paraId="2F5C83E0" w14:textId="59C7123D" w:rsidR="005E72F0" w:rsidRPr="005E72F0" w:rsidRDefault="005E72F0" w:rsidP="00991325">
            <w:pPr>
              <w:jc w:val="center"/>
              <w:rPr>
                <w:rFonts w:ascii="Arial" w:hAnsi="Arial" w:cs="Arial"/>
                <w:sz w:val="18"/>
                <w:szCs w:val="18"/>
                <w:lang w:val="en-SG" w:eastAsia="zh-CN"/>
              </w:rPr>
            </w:pPr>
            <w:r w:rsidRPr="005E72F0">
              <w:rPr>
                <w:rFonts w:ascii="Arial" w:hAnsi="Arial" w:cs="Arial"/>
                <w:sz w:val="18"/>
                <w:szCs w:val="18"/>
                <w:lang w:val="en-SG" w:eastAsia="zh-CN"/>
              </w:rPr>
              <w:t>A3/BBB</w:t>
            </w:r>
            <w:r w:rsidR="00991325">
              <w:rPr>
                <w:rFonts w:ascii="Arial" w:hAnsi="Arial" w:cs="Arial"/>
                <w:sz w:val="18"/>
                <w:szCs w:val="18"/>
                <w:lang w:val="en-SG" w:eastAsia="zh-CN"/>
              </w:rPr>
              <w:t>–</w:t>
            </w:r>
          </w:p>
        </w:tc>
        <w:tc>
          <w:tcPr>
            <w:tcW w:w="2379" w:type="dxa"/>
            <w:tcBorders>
              <w:top w:val="nil"/>
              <w:left w:val="nil"/>
              <w:bottom w:val="single" w:sz="4" w:space="0" w:color="auto"/>
              <w:right w:val="single" w:sz="4" w:space="0" w:color="auto"/>
            </w:tcBorders>
            <w:noWrap/>
            <w:vAlign w:val="center"/>
            <w:hideMark/>
          </w:tcPr>
          <w:p w14:paraId="0B3BE2E6" w14:textId="4513938A" w:rsidR="005E72F0" w:rsidRPr="005E72F0" w:rsidRDefault="005E72F0" w:rsidP="00991325">
            <w:pPr>
              <w:jc w:val="center"/>
              <w:rPr>
                <w:rFonts w:ascii="Arial" w:hAnsi="Arial" w:cs="Arial"/>
                <w:sz w:val="18"/>
                <w:szCs w:val="18"/>
                <w:lang w:val="en-SG" w:eastAsia="zh-CN"/>
              </w:rPr>
            </w:pPr>
            <w:r w:rsidRPr="005E72F0">
              <w:rPr>
                <w:rFonts w:ascii="Arial" w:hAnsi="Arial" w:cs="Arial"/>
                <w:sz w:val="18"/>
                <w:szCs w:val="18"/>
                <w:lang w:val="en-SG" w:eastAsia="zh-CN"/>
              </w:rPr>
              <w:t>A3/BBB</w:t>
            </w:r>
            <w:r w:rsidR="00991325">
              <w:rPr>
                <w:rFonts w:ascii="Arial" w:hAnsi="Arial" w:cs="Arial"/>
                <w:sz w:val="18"/>
                <w:szCs w:val="18"/>
                <w:lang w:val="en-SG" w:eastAsia="zh-CN"/>
              </w:rPr>
              <w:t>–</w:t>
            </w:r>
          </w:p>
        </w:tc>
      </w:tr>
      <w:tr w:rsidR="005E72F0" w:rsidRPr="005E72F0" w14:paraId="4A62A9B9"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20A4FEC3"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Currency</w:t>
            </w:r>
          </w:p>
        </w:tc>
        <w:tc>
          <w:tcPr>
            <w:tcW w:w="2179" w:type="dxa"/>
            <w:tcBorders>
              <w:top w:val="nil"/>
              <w:left w:val="nil"/>
              <w:bottom w:val="single" w:sz="4" w:space="0" w:color="auto"/>
              <w:right w:val="single" w:sz="4" w:space="0" w:color="auto"/>
            </w:tcBorders>
            <w:vAlign w:val="center"/>
            <w:hideMark/>
          </w:tcPr>
          <w:p w14:paraId="74CE49EA"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USD</w:t>
            </w:r>
          </w:p>
        </w:tc>
        <w:tc>
          <w:tcPr>
            <w:tcW w:w="1912" w:type="dxa"/>
            <w:tcBorders>
              <w:top w:val="nil"/>
              <w:left w:val="nil"/>
              <w:bottom w:val="single" w:sz="4" w:space="0" w:color="auto"/>
              <w:right w:val="single" w:sz="4" w:space="0" w:color="auto"/>
            </w:tcBorders>
            <w:noWrap/>
            <w:vAlign w:val="center"/>
            <w:hideMark/>
          </w:tcPr>
          <w:p w14:paraId="28F6965D"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USD</w:t>
            </w:r>
          </w:p>
        </w:tc>
        <w:tc>
          <w:tcPr>
            <w:tcW w:w="1912" w:type="dxa"/>
            <w:tcBorders>
              <w:top w:val="nil"/>
              <w:left w:val="nil"/>
              <w:bottom w:val="single" w:sz="4" w:space="0" w:color="auto"/>
              <w:right w:val="single" w:sz="4" w:space="0" w:color="auto"/>
            </w:tcBorders>
            <w:noWrap/>
            <w:vAlign w:val="center"/>
            <w:hideMark/>
          </w:tcPr>
          <w:p w14:paraId="16F3271C"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USD</w:t>
            </w:r>
          </w:p>
        </w:tc>
        <w:tc>
          <w:tcPr>
            <w:tcW w:w="1912" w:type="dxa"/>
            <w:tcBorders>
              <w:top w:val="nil"/>
              <w:left w:val="nil"/>
              <w:bottom w:val="single" w:sz="4" w:space="0" w:color="auto"/>
              <w:right w:val="single" w:sz="4" w:space="0" w:color="auto"/>
            </w:tcBorders>
            <w:noWrap/>
            <w:vAlign w:val="center"/>
            <w:hideMark/>
          </w:tcPr>
          <w:p w14:paraId="09300EEE"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USD</w:t>
            </w:r>
          </w:p>
        </w:tc>
        <w:tc>
          <w:tcPr>
            <w:tcW w:w="2379" w:type="dxa"/>
            <w:tcBorders>
              <w:top w:val="nil"/>
              <w:left w:val="nil"/>
              <w:bottom w:val="single" w:sz="4" w:space="0" w:color="auto"/>
              <w:right w:val="single" w:sz="4" w:space="0" w:color="auto"/>
            </w:tcBorders>
            <w:noWrap/>
            <w:vAlign w:val="center"/>
            <w:hideMark/>
          </w:tcPr>
          <w:p w14:paraId="13B964F4"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USD</w:t>
            </w:r>
          </w:p>
        </w:tc>
      </w:tr>
      <w:tr w:rsidR="005E72F0" w:rsidRPr="005E72F0" w14:paraId="255E86AB"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46160A2E"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 xml:space="preserve">Coupons per year </w:t>
            </w:r>
          </w:p>
        </w:tc>
        <w:tc>
          <w:tcPr>
            <w:tcW w:w="2179" w:type="dxa"/>
            <w:tcBorders>
              <w:top w:val="nil"/>
              <w:left w:val="nil"/>
              <w:bottom w:val="single" w:sz="4" w:space="0" w:color="auto"/>
              <w:right w:val="single" w:sz="4" w:space="0" w:color="auto"/>
            </w:tcBorders>
            <w:vAlign w:val="center"/>
            <w:hideMark/>
          </w:tcPr>
          <w:p w14:paraId="569156BC"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2</w:t>
            </w:r>
          </w:p>
        </w:tc>
        <w:tc>
          <w:tcPr>
            <w:tcW w:w="1912" w:type="dxa"/>
            <w:tcBorders>
              <w:top w:val="nil"/>
              <w:left w:val="nil"/>
              <w:bottom w:val="single" w:sz="4" w:space="0" w:color="auto"/>
              <w:right w:val="single" w:sz="4" w:space="0" w:color="auto"/>
            </w:tcBorders>
            <w:vAlign w:val="center"/>
            <w:hideMark/>
          </w:tcPr>
          <w:p w14:paraId="20B943D7"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2</w:t>
            </w:r>
          </w:p>
        </w:tc>
        <w:tc>
          <w:tcPr>
            <w:tcW w:w="1912" w:type="dxa"/>
            <w:tcBorders>
              <w:top w:val="nil"/>
              <w:left w:val="nil"/>
              <w:bottom w:val="single" w:sz="4" w:space="0" w:color="auto"/>
              <w:right w:val="single" w:sz="4" w:space="0" w:color="auto"/>
            </w:tcBorders>
            <w:vAlign w:val="center"/>
            <w:hideMark/>
          </w:tcPr>
          <w:p w14:paraId="7E6C44E7"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2</w:t>
            </w:r>
          </w:p>
        </w:tc>
        <w:tc>
          <w:tcPr>
            <w:tcW w:w="1912" w:type="dxa"/>
            <w:tcBorders>
              <w:top w:val="nil"/>
              <w:left w:val="nil"/>
              <w:bottom w:val="single" w:sz="4" w:space="0" w:color="auto"/>
              <w:right w:val="single" w:sz="4" w:space="0" w:color="auto"/>
            </w:tcBorders>
            <w:vAlign w:val="center"/>
            <w:hideMark/>
          </w:tcPr>
          <w:p w14:paraId="1A9C3BCB"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2</w:t>
            </w:r>
          </w:p>
        </w:tc>
        <w:tc>
          <w:tcPr>
            <w:tcW w:w="2379" w:type="dxa"/>
            <w:tcBorders>
              <w:top w:val="nil"/>
              <w:left w:val="nil"/>
              <w:bottom w:val="single" w:sz="4" w:space="0" w:color="auto"/>
              <w:right w:val="single" w:sz="4" w:space="0" w:color="auto"/>
            </w:tcBorders>
            <w:vAlign w:val="center"/>
            <w:hideMark/>
          </w:tcPr>
          <w:p w14:paraId="76AEA78B"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2</w:t>
            </w:r>
          </w:p>
        </w:tc>
      </w:tr>
      <w:tr w:rsidR="005E72F0" w:rsidRPr="005E72F0" w14:paraId="5D4AB5F0"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36611BAC" w14:textId="1B0FE5C2" w:rsidR="005E72F0" w:rsidRPr="005E72F0" w:rsidRDefault="005E72F0" w:rsidP="00317F40">
            <w:pPr>
              <w:rPr>
                <w:rFonts w:ascii="Arial" w:hAnsi="Arial" w:cs="Arial"/>
                <w:sz w:val="18"/>
                <w:szCs w:val="18"/>
                <w:lang w:val="en-SG" w:eastAsia="zh-CN"/>
              </w:rPr>
            </w:pPr>
            <w:r w:rsidRPr="005E72F0">
              <w:rPr>
                <w:rFonts w:ascii="Arial" w:hAnsi="Arial" w:cs="Arial"/>
                <w:sz w:val="18"/>
                <w:szCs w:val="18"/>
                <w:lang w:val="en-SG" w:eastAsia="zh-CN"/>
              </w:rPr>
              <w:t xml:space="preserve">Price of </w:t>
            </w:r>
            <w:r w:rsidR="00317F40">
              <w:rPr>
                <w:rFonts w:ascii="Arial" w:hAnsi="Arial" w:cs="Arial"/>
                <w:sz w:val="18"/>
                <w:szCs w:val="18"/>
                <w:lang w:val="en-SG" w:eastAsia="zh-CN"/>
              </w:rPr>
              <w:t>b</w:t>
            </w:r>
            <w:r w:rsidRPr="005E72F0">
              <w:rPr>
                <w:rFonts w:ascii="Arial" w:hAnsi="Arial" w:cs="Arial"/>
                <w:sz w:val="18"/>
                <w:szCs w:val="18"/>
                <w:lang w:val="en-SG" w:eastAsia="zh-CN"/>
              </w:rPr>
              <w:t>ond at 9/1/14 (USD)</w:t>
            </w:r>
          </w:p>
        </w:tc>
        <w:tc>
          <w:tcPr>
            <w:tcW w:w="2179" w:type="dxa"/>
            <w:tcBorders>
              <w:top w:val="nil"/>
              <w:left w:val="nil"/>
              <w:bottom w:val="single" w:sz="4" w:space="0" w:color="auto"/>
              <w:right w:val="single" w:sz="4" w:space="0" w:color="auto"/>
            </w:tcBorders>
            <w:vAlign w:val="center"/>
            <w:hideMark/>
          </w:tcPr>
          <w:p w14:paraId="466F6F40"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112.972</w:t>
            </w:r>
          </w:p>
        </w:tc>
        <w:tc>
          <w:tcPr>
            <w:tcW w:w="1912" w:type="dxa"/>
            <w:tcBorders>
              <w:top w:val="nil"/>
              <w:left w:val="nil"/>
              <w:bottom w:val="single" w:sz="4" w:space="0" w:color="auto"/>
              <w:right w:val="single" w:sz="4" w:space="0" w:color="auto"/>
            </w:tcBorders>
            <w:vAlign w:val="center"/>
            <w:hideMark/>
          </w:tcPr>
          <w:p w14:paraId="3C0BB4F4"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106.500</w:t>
            </w:r>
          </w:p>
        </w:tc>
        <w:tc>
          <w:tcPr>
            <w:tcW w:w="1912" w:type="dxa"/>
            <w:tcBorders>
              <w:top w:val="nil"/>
              <w:left w:val="nil"/>
              <w:bottom w:val="single" w:sz="4" w:space="0" w:color="auto"/>
              <w:right w:val="single" w:sz="4" w:space="0" w:color="auto"/>
            </w:tcBorders>
            <w:vAlign w:val="center"/>
            <w:hideMark/>
          </w:tcPr>
          <w:p w14:paraId="2829D227"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101.610</w:t>
            </w:r>
          </w:p>
        </w:tc>
        <w:tc>
          <w:tcPr>
            <w:tcW w:w="1912" w:type="dxa"/>
            <w:tcBorders>
              <w:top w:val="nil"/>
              <w:left w:val="nil"/>
              <w:bottom w:val="single" w:sz="4" w:space="0" w:color="auto"/>
              <w:right w:val="single" w:sz="4" w:space="0" w:color="auto"/>
            </w:tcBorders>
            <w:vAlign w:val="center"/>
            <w:hideMark/>
          </w:tcPr>
          <w:p w14:paraId="676FF004"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98.270</w:t>
            </w:r>
          </w:p>
        </w:tc>
        <w:tc>
          <w:tcPr>
            <w:tcW w:w="2379" w:type="dxa"/>
            <w:tcBorders>
              <w:top w:val="nil"/>
              <w:left w:val="nil"/>
              <w:bottom w:val="single" w:sz="4" w:space="0" w:color="auto"/>
              <w:right w:val="single" w:sz="4" w:space="0" w:color="auto"/>
            </w:tcBorders>
            <w:vAlign w:val="center"/>
            <w:hideMark/>
          </w:tcPr>
          <w:p w14:paraId="4C57BF17"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100.950</w:t>
            </w:r>
          </w:p>
        </w:tc>
      </w:tr>
      <w:tr w:rsidR="005E72F0" w:rsidRPr="005E72F0" w14:paraId="0BA3C597" w14:textId="77777777" w:rsidTr="00484277">
        <w:trPr>
          <w:trHeight w:val="259"/>
          <w:jc w:val="center"/>
        </w:trPr>
        <w:tc>
          <w:tcPr>
            <w:tcW w:w="2121" w:type="dxa"/>
            <w:tcBorders>
              <w:top w:val="nil"/>
              <w:left w:val="single" w:sz="4" w:space="0" w:color="auto"/>
              <w:bottom w:val="single" w:sz="4" w:space="0" w:color="auto"/>
              <w:right w:val="single" w:sz="4" w:space="0" w:color="auto"/>
            </w:tcBorders>
            <w:noWrap/>
            <w:vAlign w:val="center"/>
            <w:hideMark/>
          </w:tcPr>
          <w:p w14:paraId="16329733" w14:textId="77777777" w:rsidR="005E72F0" w:rsidRPr="005E72F0" w:rsidRDefault="005E72F0" w:rsidP="005E72F0">
            <w:pPr>
              <w:rPr>
                <w:rFonts w:ascii="Arial" w:hAnsi="Arial" w:cs="Arial"/>
                <w:sz w:val="18"/>
                <w:szCs w:val="18"/>
                <w:lang w:val="en-SG" w:eastAsia="zh-CN"/>
              </w:rPr>
            </w:pPr>
            <w:r w:rsidRPr="005E72F0">
              <w:rPr>
                <w:rFonts w:ascii="Arial" w:hAnsi="Arial" w:cs="Arial"/>
                <w:sz w:val="18"/>
                <w:szCs w:val="18"/>
                <w:lang w:val="en-SG" w:eastAsia="zh-CN"/>
              </w:rPr>
              <w:t>Price of bond at 29/4/14 (USD)</w:t>
            </w:r>
          </w:p>
        </w:tc>
        <w:tc>
          <w:tcPr>
            <w:tcW w:w="2179" w:type="dxa"/>
            <w:tcBorders>
              <w:top w:val="nil"/>
              <w:left w:val="nil"/>
              <w:bottom w:val="single" w:sz="4" w:space="0" w:color="auto"/>
              <w:right w:val="single" w:sz="4" w:space="0" w:color="auto"/>
            </w:tcBorders>
            <w:noWrap/>
            <w:vAlign w:val="center"/>
            <w:hideMark/>
          </w:tcPr>
          <w:p w14:paraId="2DDF3F4B"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113.873</w:t>
            </w:r>
          </w:p>
        </w:tc>
        <w:tc>
          <w:tcPr>
            <w:tcW w:w="1912" w:type="dxa"/>
            <w:tcBorders>
              <w:top w:val="nil"/>
              <w:left w:val="nil"/>
              <w:bottom w:val="single" w:sz="4" w:space="0" w:color="auto"/>
              <w:right w:val="single" w:sz="4" w:space="0" w:color="auto"/>
            </w:tcBorders>
            <w:noWrap/>
            <w:vAlign w:val="center"/>
            <w:hideMark/>
          </w:tcPr>
          <w:p w14:paraId="688BE9D3"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108.810</w:t>
            </w:r>
          </w:p>
        </w:tc>
        <w:tc>
          <w:tcPr>
            <w:tcW w:w="1912" w:type="dxa"/>
            <w:tcBorders>
              <w:top w:val="nil"/>
              <w:left w:val="nil"/>
              <w:bottom w:val="single" w:sz="4" w:space="0" w:color="auto"/>
              <w:right w:val="single" w:sz="4" w:space="0" w:color="auto"/>
            </w:tcBorders>
            <w:noWrap/>
            <w:vAlign w:val="center"/>
            <w:hideMark/>
          </w:tcPr>
          <w:p w14:paraId="5A962BBA"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102.540</w:t>
            </w:r>
          </w:p>
        </w:tc>
        <w:tc>
          <w:tcPr>
            <w:tcW w:w="1912" w:type="dxa"/>
            <w:tcBorders>
              <w:top w:val="nil"/>
              <w:left w:val="nil"/>
              <w:bottom w:val="single" w:sz="4" w:space="0" w:color="auto"/>
              <w:right w:val="single" w:sz="4" w:space="0" w:color="auto"/>
            </w:tcBorders>
            <w:noWrap/>
            <w:vAlign w:val="center"/>
            <w:hideMark/>
          </w:tcPr>
          <w:p w14:paraId="4E1863DF"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99.790</w:t>
            </w:r>
          </w:p>
        </w:tc>
        <w:tc>
          <w:tcPr>
            <w:tcW w:w="2379" w:type="dxa"/>
            <w:tcBorders>
              <w:top w:val="nil"/>
              <w:left w:val="nil"/>
              <w:bottom w:val="single" w:sz="4" w:space="0" w:color="auto"/>
              <w:right w:val="single" w:sz="4" w:space="0" w:color="auto"/>
            </w:tcBorders>
            <w:noWrap/>
            <w:vAlign w:val="center"/>
            <w:hideMark/>
          </w:tcPr>
          <w:p w14:paraId="18BC5208" w14:textId="77777777" w:rsidR="005E72F0" w:rsidRPr="005E72F0" w:rsidRDefault="005E72F0" w:rsidP="005E72F0">
            <w:pPr>
              <w:jc w:val="center"/>
              <w:rPr>
                <w:rFonts w:ascii="Arial" w:hAnsi="Arial" w:cs="Arial"/>
                <w:sz w:val="18"/>
                <w:szCs w:val="18"/>
                <w:lang w:val="en-SG" w:eastAsia="zh-CN"/>
              </w:rPr>
            </w:pPr>
            <w:r w:rsidRPr="005E72F0">
              <w:rPr>
                <w:rFonts w:ascii="Arial" w:hAnsi="Arial" w:cs="Arial"/>
                <w:sz w:val="18"/>
                <w:szCs w:val="18"/>
                <w:lang w:val="en-SG" w:eastAsia="zh-CN"/>
              </w:rPr>
              <w:t>104.270</w:t>
            </w:r>
          </w:p>
        </w:tc>
      </w:tr>
    </w:tbl>
    <w:p w14:paraId="24DFECAD" w14:textId="77777777" w:rsidR="005E72F0" w:rsidRPr="005E72F0" w:rsidRDefault="005E72F0" w:rsidP="005E72F0">
      <w:pPr>
        <w:jc w:val="both"/>
        <w:rPr>
          <w:rFonts w:ascii="Arial" w:hAnsi="Arial" w:cs="Arial"/>
          <w:lang w:val="en-CA"/>
        </w:rPr>
      </w:pPr>
    </w:p>
    <w:p w14:paraId="6C5267CC" w14:textId="6A0F7909" w:rsidR="00666712" w:rsidRDefault="00666712" w:rsidP="00484277">
      <w:pPr>
        <w:pStyle w:val="Footnote"/>
        <w:rPr>
          <w:lang w:val="en-GB"/>
        </w:rPr>
      </w:pPr>
      <w:r>
        <w:rPr>
          <w:lang w:val="en-GB"/>
        </w:rPr>
        <w:t>Note: ISIN = International Securities Identification Number; S&amp;P = Standard &amp; Poor’s; USD = U.S. dollars</w:t>
      </w:r>
    </w:p>
    <w:p w14:paraId="3D8772E1" w14:textId="7BB6E807" w:rsidR="005E72F0" w:rsidRDefault="005E72F0" w:rsidP="00484277">
      <w:pPr>
        <w:pStyle w:val="Footnote"/>
        <w:rPr>
          <w:lang w:val="en-GB"/>
        </w:rPr>
      </w:pPr>
      <w:r w:rsidRPr="005E72F0">
        <w:rPr>
          <w:lang w:val="en-GB"/>
        </w:rPr>
        <w:t>Source: “Bond Prices for Standard Chartered PLC,” ”SCBFF3764769</w:t>
      </w:r>
      <w:r w:rsidR="00666712">
        <w:rPr>
          <w:lang w:val="en-GB"/>
        </w:rPr>
        <w:t>,</w:t>
      </w:r>
      <w:r w:rsidRPr="005E72F0">
        <w:rPr>
          <w:lang w:val="en-GB"/>
        </w:rPr>
        <w:t xml:space="preserve">” Financial Industry Regulatory Authority (FINRA), accessed March 20, 2016, </w:t>
      </w:r>
      <w:hyperlink r:id="rId14" w:history="1">
        <w:r w:rsidRPr="005E72F0">
          <w:rPr>
            <w:lang w:val="en-GB"/>
          </w:rPr>
          <w:t>http://finra-markets.morningstar.com/BondCenter/BondDetail.jsp?ticker=FSCBFF3764769&amp;symbol=SCBFF3764769</w:t>
        </w:r>
      </w:hyperlink>
      <w:r w:rsidR="00484277">
        <w:rPr>
          <w:lang w:val="en-GB"/>
        </w:rPr>
        <w:t>; “</w:t>
      </w:r>
      <w:r w:rsidRPr="005E72F0">
        <w:rPr>
          <w:lang w:val="en-GB"/>
        </w:rPr>
        <w:t>SCBFF3832767</w:t>
      </w:r>
      <w:r w:rsidR="00666712">
        <w:rPr>
          <w:lang w:val="en-GB"/>
        </w:rPr>
        <w:t>,</w:t>
      </w:r>
      <w:r w:rsidRPr="005E72F0">
        <w:rPr>
          <w:lang w:val="en-GB"/>
        </w:rPr>
        <w:t>” FINRA,</w:t>
      </w:r>
      <w:r w:rsidR="00484277">
        <w:rPr>
          <w:lang w:val="en-GB"/>
        </w:rPr>
        <w:t xml:space="preserve"> op. cit.</w:t>
      </w:r>
      <w:r w:rsidRPr="005E72F0">
        <w:rPr>
          <w:lang w:val="en-GB"/>
        </w:rPr>
        <w:t>; “SCBFF3832625</w:t>
      </w:r>
      <w:r w:rsidR="00666712">
        <w:rPr>
          <w:lang w:val="en-GB"/>
        </w:rPr>
        <w:t>,</w:t>
      </w:r>
      <w:r w:rsidRPr="005E72F0">
        <w:rPr>
          <w:lang w:val="en-GB"/>
        </w:rPr>
        <w:t xml:space="preserve">” FINRA, </w:t>
      </w:r>
      <w:r w:rsidR="00484277">
        <w:rPr>
          <w:lang w:val="en-GB"/>
        </w:rPr>
        <w:t>op. cit.</w:t>
      </w:r>
      <w:r w:rsidRPr="005E72F0">
        <w:rPr>
          <w:lang w:val="en-GB"/>
        </w:rPr>
        <w:t>; “SCBFF3968238</w:t>
      </w:r>
      <w:r w:rsidR="00666712">
        <w:rPr>
          <w:lang w:val="en-GB"/>
        </w:rPr>
        <w:t>,</w:t>
      </w:r>
      <w:r w:rsidRPr="005E72F0">
        <w:rPr>
          <w:lang w:val="en-GB"/>
        </w:rPr>
        <w:t xml:space="preserve">” FINRA, </w:t>
      </w:r>
      <w:r w:rsidR="00484277">
        <w:rPr>
          <w:lang w:val="en-GB"/>
        </w:rPr>
        <w:t>op. cit.</w:t>
      </w:r>
      <w:r w:rsidRPr="005E72F0">
        <w:rPr>
          <w:lang w:val="en-GB"/>
        </w:rPr>
        <w:t>; “SCBFF4055484</w:t>
      </w:r>
      <w:r w:rsidR="00666712">
        <w:rPr>
          <w:lang w:val="en-GB"/>
        </w:rPr>
        <w:t>,</w:t>
      </w:r>
      <w:r w:rsidRPr="005E72F0">
        <w:rPr>
          <w:lang w:val="en-GB"/>
        </w:rPr>
        <w:t xml:space="preserve">” FINRA, </w:t>
      </w:r>
      <w:r w:rsidR="00484277">
        <w:rPr>
          <w:lang w:val="en-GB"/>
        </w:rPr>
        <w:t>op. cit.; Further pricing information wa</w:t>
      </w:r>
      <w:r w:rsidRPr="005E72F0">
        <w:rPr>
          <w:lang w:val="en-GB"/>
        </w:rPr>
        <w:t xml:space="preserve">s purchased by the case authors from </w:t>
      </w:r>
      <w:proofErr w:type="spellStart"/>
      <w:r w:rsidRPr="005E72F0">
        <w:rPr>
          <w:lang w:val="en-GB"/>
        </w:rPr>
        <w:t>Cbonds</w:t>
      </w:r>
      <w:proofErr w:type="spellEnd"/>
      <w:r w:rsidRPr="005E72F0">
        <w:rPr>
          <w:lang w:val="en-GB"/>
        </w:rPr>
        <w:t>, accessed March 20, 2016, cbonds.com</w:t>
      </w:r>
      <w:r>
        <w:rPr>
          <w:lang w:val="en-GB"/>
        </w:rPr>
        <w:t>.</w:t>
      </w:r>
    </w:p>
    <w:p w14:paraId="3F2A970C" w14:textId="77777777" w:rsidR="00666712" w:rsidRDefault="00666712" w:rsidP="00484277">
      <w:pPr>
        <w:pStyle w:val="Footnote"/>
        <w:rPr>
          <w:lang w:val="en-GB"/>
        </w:rPr>
        <w:sectPr w:rsidR="00666712" w:rsidSect="005E72F0">
          <w:headerReference w:type="default" r:id="rId15"/>
          <w:pgSz w:w="15840" w:h="12240" w:orient="landscape" w:code="1"/>
          <w:pgMar w:top="1440" w:right="1440" w:bottom="1440" w:left="1440" w:header="1080" w:footer="720" w:gutter="0"/>
          <w:cols w:space="720"/>
          <w:docGrid w:linePitch="360"/>
        </w:sectPr>
      </w:pPr>
    </w:p>
    <w:p w14:paraId="104EE6E6" w14:textId="7062A133" w:rsidR="005E72F0" w:rsidRPr="005E72F0" w:rsidRDefault="005E72F0" w:rsidP="005E72F0">
      <w:pPr>
        <w:jc w:val="center"/>
        <w:outlineLvl w:val="0"/>
        <w:rPr>
          <w:rFonts w:ascii="Arial" w:hAnsi="Arial" w:cs="Arial"/>
          <w:b/>
          <w:caps/>
          <w:lang w:val="en-CA"/>
        </w:rPr>
      </w:pPr>
      <w:r w:rsidRPr="005E72F0">
        <w:rPr>
          <w:rFonts w:ascii="Arial" w:hAnsi="Arial" w:cs="Arial"/>
          <w:b/>
          <w:caps/>
          <w:lang w:val="en-CA"/>
        </w:rPr>
        <w:lastRenderedPageBreak/>
        <w:t>Exhibit 8: STANdard CHARTered SECURITY LENDING AND UTILIZATION RATE</w:t>
      </w:r>
      <w:r w:rsidR="00715891">
        <w:rPr>
          <w:rFonts w:ascii="Arial" w:hAnsi="Arial" w:cs="Arial"/>
          <w:b/>
          <w:caps/>
          <w:lang w:val="en-CA"/>
        </w:rPr>
        <w:t>s, December 2012 to December 2013</w:t>
      </w:r>
    </w:p>
    <w:p w14:paraId="3DFCD222" w14:textId="77777777" w:rsidR="005E72F0" w:rsidRPr="005E72F0" w:rsidRDefault="005E72F0" w:rsidP="005E72F0">
      <w:pPr>
        <w:jc w:val="both"/>
        <w:rPr>
          <w:rFonts w:ascii="Arial" w:hAnsi="Arial" w:cs="Arial"/>
          <w:lang w:val="en-CA"/>
        </w:rPr>
      </w:pPr>
    </w:p>
    <w:p w14:paraId="27162E41" w14:textId="77777777" w:rsidR="005E72F0" w:rsidRPr="005E72F0" w:rsidRDefault="005E72F0" w:rsidP="00484277">
      <w:pPr>
        <w:jc w:val="center"/>
        <w:rPr>
          <w:rFonts w:ascii="Arial" w:hAnsi="Arial" w:cs="Arial"/>
          <w:b/>
          <w:lang w:val="en-GB"/>
        </w:rPr>
      </w:pPr>
      <w:r w:rsidRPr="005E72F0">
        <w:rPr>
          <w:rFonts w:ascii="Arial" w:hAnsi="Arial" w:cs="Arial"/>
          <w:b/>
          <w:lang w:val="en-GB"/>
        </w:rPr>
        <w:t>Panel A: Standard Chartered Stock Lending Cost and Utilization Rates</w:t>
      </w:r>
    </w:p>
    <w:p w14:paraId="18F94D88" w14:textId="77777777" w:rsidR="005E72F0" w:rsidRPr="005E72F0" w:rsidRDefault="005E72F0" w:rsidP="005E72F0">
      <w:pPr>
        <w:jc w:val="both"/>
        <w:rPr>
          <w:rFonts w:ascii="Arial" w:hAnsi="Arial" w:cs="Arial"/>
          <w:lang w:val="en-GB"/>
        </w:rPr>
      </w:pPr>
    </w:p>
    <w:p w14:paraId="2F200CAF" w14:textId="77777777" w:rsidR="005E72F0" w:rsidRPr="005E72F0" w:rsidRDefault="005E72F0" w:rsidP="005E72F0">
      <w:pPr>
        <w:jc w:val="both"/>
        <w:rPr>
          <w:rFonts w:ascii="Arial" w:hAnsi="Arial" w:cs="Arial"/>
          <w:lang w:val="en-GB"/>
        </w:rPr>
      </w:pPr>
      <w:r w:rsidRPr="005E72F0">
        <w:rPr>
          <w:rFonts w:ascii="Arial" w:hAnsi="Arial" w:cs="Arial"/>
          <w:noProof/>
        </w:rPr>
        <w:drawing>
          <wp:anchor distT="0" distB="0" distL="114300" distR="114300" simplePos="0" relativeHeight="251659264" behindDoc="0" locked="0" layoutInCell="1" allowOverlap="1" wp14:anchorId="46997B63" wp14:editId="091F707E">
            <wp:simplePos x="0" y="0"/>
            <wp:positionH relativeFrom="column">
              <wp:posOffset>0</wp:posOffset>
            </wp:positionH>
            <wp:positionV relativeFrom="paragraph">
              <wp:posOffset>142240</wp:posOffset>
            </wp:positionV>
            <wp:extent cx="5857875" cy="3181350"/>
            <wp:effectExtent l="0" t="0" r="9525" b="0"/>
            <wp:wrapTopAndBottom/>
            <wp:docPr id="3" name="Chart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xmlns:arto="http://schemas.microsoft.com/office/word/2006/arto" xmlns:mv="urn:schemas-microsoft-com:mac:vml" xmlns:mo="http://schemas.microsoft.com/office/mac/office/2008/main"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B936AD7" w14:textId="77777777" w:rsidR="005E72F0" w:rsidRPr="005E72F0" w:rsidRDefault="005E72F0" w:rsidP="003127DD">
      <w:pPr>
        <w:jc w:val="center"/>
        <w:rPr>
          <w:rFonts w:ascii="Arial" w:hAnsi="Arial" w:cs="Arial"/>
          <w:b/>
          <w:lang w:val="en-GB"/>
        </w:rPr>
      </w:pPr>
      <w:r w:rsidRPr="005E72F0">
        <w:rPr>
          <w:rFonts w:ascii="Arial" w:hAnsi="Arial" w:cs="Arial"/>
          <w:b/>
          <w:lang w:val="en-GB"/>
        </w:rPr>
        <w:t>Panel B: Standard Chartered Bond Lending Cost and Utilization Rates</w:t>
      </w:r>
    </w:p>
    <w:p w14:paraId="6176AF11" w14:textId="77777777" w:rsidR="005E72F0" w:rsidRPr="005E72F0" w:rsidRDefault="005E72F0" w:rsidP="005E72F0">
      <w:pPr>
        <w:jc w:val="both"/>
        <w:rPr>
          <w:rFonts w:ascii="Arial" w:hAnsi="Arial" w:cs="Arial"/>
          <w:lang w:val="en-GB"/>
        </w:rPr>
      </w:pPr>
    </w:p>
    <w:p w14:paraId="7BF2EEC9" w14:textId="77777777" w:rsidR="005E72F0" w:rsidRPr="005E72F0" w:rsidRDefault="005E72F0" w:rsidP="005E72F0">
      <w:pPr>
        <w:jc w:val="both"/>
        <w:outlineLvl w:val="0"/>
        <w:rPr>
          <w:rFonts w:ascii="Arial" w:hAnsi="Arial" w:cs="Arial"/>
          <w:sz w:val="17"/>
          <w:szCs w:val="17"/>
          <w:lang w:val="en-CA"/>
        </w:rPr>
      </w:pPr>
      <w:r w:rsidRPr="005E72F0">
        <w:rPr>
          <w:rFonts w:ascii="Arial" w:hAnsi="Arial" w:cs="Arial"/>
          <w:noProof/>
          <w:sz w:val="17"/>
          <w:szCs w:val="17"/>
        </w:rPr>
        <w:drawing>
          <wp:anchor distT="0" distB="0" distL="114300" distR="114300" simplePos="0" relativeHeight="251660288" behindDoc="0" locked="0" layoutInCell="1" allowOverlap="1" wp14:anchorId="5BFEF57A" wp14:editId="5F1C21F5">
            <wp:simplePos x="0" y="0"/>
            <wp:positionH relativeFrom="column">
              <wp:posOffset>0</wp:posOffset>
            </wp:positionH>
            <wp:positionV relativeFrom="paragraph">
              <wp:posOffset>123190</wp:posOffset>
            </wp:positionV>
            <wp:extent cx="5943600" cy="2752725"/>
            <wp:effectExtent l="0" t="0" r="0" b="9525"/>
            <wp:wrapTopAndBottom/>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xmlns:arto="http://schemas.microsoft.com/office/word/2006/arto" xmlns:mv="urn:schemas-microsoft-com:mac:vml" xmlns:mo="http://schemas.microsoft.com/office/mac/office/2008/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31BF9A78" w14:textId="77777777" w:rsidR="005E72F0" w:rsidRPr="00484277" w:rsidRDefault="005E72F0" w:rsidP="00484277">
      <w:pPr>
        <w:pStyle w:val="Footnote"/>
      </w:pPr>
      <w:r w:rsidRPr="00484277">
        <w:t xml:space="preserve">Note: bps = basis points (i.e., 0.01%). Standard </w:t>
      </w:r>
      <w:proofErr w:type="spellStart"/>
      <w:r w:rsidRPr="00484277">
        <w:t>Chartered’s</w:t>
      </w:r>
      <w:proofErr w:type="spellEnd"/>
      <w:r w:rsidRPr="00484277">
        <w:t xml:space="preserve"> Ex-Dividend Dates: March 12, 2013; August 14, 2013; and March 12, 2014.</w:t>
      </w:r>
    </w:p>
    <w:p w14:paraId="70369FD8" w14:textId="4A1227AD" w:rsidR="005E72F0" w:rsidRDefault="005E72F0" w:rsidP="00BE3826">
      <w:pPr>
        <w:pStyle w:val="Footnote"/>
        <w:rPr>
          <w:lang w:val="en-CA"/>
        </w:rPr>
      </w:pPr>
      <w:r w:rsidRPr="00484277">
        <w:t xml:space="preserve">Source: “Securities Lending Fees and Utilization Rates of Standard Chartered PLC,” extracted from IHS </w:t>
      </w:r>
      <w:proofErr w:type="spellStart"/>
      <w:r w:rsidRPr="00484277">
        <w:t>Markit</w:t>
      </w:r>
      <w:proofErr w:type="spellEnd"/>
      <w:r w:rsidRPr="00484277">
        <w:t xml:space="preserve"> Securities Finance Database,</w:t>
      </w:r>
      <w:r w:rsidRPr="00484277" w:rsidDel="004F3688">
        <w:t xml:space="preserve"> </w:t>
      </w:r>
      <w:r w:rsidRPr="00484277">
        <w:t>accessed February 15, 2017.</w:t>
      </w:r>
      <w:r>
        <w:rPr>
          <w:lang w:val="en-CA"/>
        </w:rPr>
        <w:br w:type="page"/>
      </w:r>
    </w:p>
    <w:p w14:paraId="7A9F05CB" w14:textId="77777777" w:rsidR="005E72F0" w:rsidRPr="005E72F0" w:rsidRDefault="005E72F0" w:rsidP="005E72F0">
      <w:pPr>
        <w:jc w:val="center"/>
        <w:outlineLvl w:val="0"/>
        <w:rPr>
          <w:rFonts w:ascii="Arial" w:hAnsi="Arial" w:cs="Arial"/>
          <w:b/>
          <w:caps/>
          <w:lang w:val="en-CA"/>
        </w:rPr>
      </w:pPr>
      <w:r w:rsidRPr="005E72F0">
        <w:rPr>
          <w:rFonts w:ascii="Arial" w:hAnsi="Arial" w:cs="Arial"/>
          <w:b/>
          <w:caps/>
          <w:lang w:val="en-CA"/>
        </w:rPr>
        <w:lastRenderedPageBreak/>
        <w:t>Exhibit 9: A PRIMER ON SHORTING</w:t>
      </w:r>
    </w:p>
    <w:p w14:paraId="41AE4557" w14:textId="77777777" w:rsidR="005E72F0" w:rsidRPr="005E72F0" w:rsidRDefault="005E72F0" w:rsidP="005E72F0">
      <w:pPr>
        <w:jc w:val="both"/>
        <w:rPr>
          <w:rFonts w:ascii="Arial" w:hAnsi="Arial" w:cs="Arial"/>
          <w:lang w:val="en-CA"/>
        </w:rPr>
      </w:pPr>
    </w:p>
    <w:p w14:paraId="55A6F98A" w14:textId="64981CFC" w:rsidR="005E72F0" w:rsidRPr="005E72F0" w:rsidRDefault="005E72F0" w:rsidP="005E72F0">
      <w:pPr>
        <w:jc w:val="both"/>
        <w:rPr>
          <w:rFonts w:ascii="Arial" w:hAnsi="Arial" w:cs="Arial"/>
          <w:lang w:val="en-GB"/>
        </w:rPr>
      </w:pPr>
      <w:r w:rsidRPr="005E72F0">
        <w:rPr>
          <w:rFonts w:ascii="Arial" w:hAnsi="Arial" w:cs="Arial"/>
          <w:lang w:val="en-GB"/>
        </w:rPr>
        <w:t xml:space="preserve">Since the global financial crisis, most exchanges require that the short seller borrows the stocks in advance for shorting. A short seller would have wanted to short </w:t>
      </w:r>
      <w:proofErr w:type="spellStart"/>
      <w:r w:rsidRPr="005E72F0">
        <w:rPr>
          <w:rFonts w:ascii="Arial" w:hAnsi="Arial" w:cs="Arial"/>
          <w:lang w:val="en-GB"/>
        </w:rPr>
        <w:t>StanChart</w:t>
      </w:r>
      <w:proofErr w:type="spellEnd"/>
      <w:r w:rsidRPr="005E72F0">
        <w:rPr>
          <w:rFonts w:ascii="Arial" w:hAnsi="Arial" w:cs="Arial"/>
          <w:lang w:val="en-GB"/>
        </w:rPr>
        <w:t xml:space="preserve"> shares on the London Stock Exchange on January 2, 2014, when the share price was £12. Generally, a short seller does not hold the shares at beginning of the trade,</w:t>
      </w:r>
      <w:r w:rsidR="004A1294">
        <w:rPr>
          <w:rFonts w:ascii="Arial" w:hAnsi="Arial" w:cs="Arial"/>
          <w:lang w:val="en-GB"/>
        </w:rPr>
        <w:t xml:space="preserve"> </w:t>
      </w:r>
      <w:r w:rsidRPr="005E72F0">
        <w:rPr>
          <w:rFonts w:ascii="Arial" w:hAnsi="Arial" w:cs="Arial"/>
          <w:lang w:val="en-GB"/>
        </w:rPr>
        <w:t>so need</w:t>
      </w:r>
      <w:r w:rsidR="00715891">
        <w:rPr>
          <w:rFonts w:ascii="Arial" w:hAnsi="Arial" w:cs="Arial"/>
          <w:lang w:val="en-GB"/>
        </w:rPr>
        <w:t>s</w:t>
      </w:r>
      <w:r w:rsidRPr="005E72F0">
        <w:rPr>
          <w:rFonts w:ascii="Arial" w:hAnsi="Arial" w:cs="Arial"/>
          <w:lang w:val="en-GB"/>
        </w:rPr>
        <w:t xml:space="preserve"> to</w:t>
      </w:r>
      <w:r w:rsidR="004A1294">
        <w:rPr>
          <w:rFonts w:ascii="Arial" w:hAnsi="Arial" w:cs="Arial"/>
          <w:lang w:val="en-GB"/>
        </w:rPr>
        <w:t xml:space="preserve"> </w:t>
      </w:r>
      <w:r w:rsidRPr="005E72F0">
        <w:rPr>
          <w:rFonts w:ascii="Arial" w:hAnsi="Arial" w:cs="Arial"/>
          <w:lang w:val="en-GB"/>
        </w:rPr>
        <w:t xml:space="preserve">borrow them in advance to ensure delivery. If the short seller wants to trade 1,000 shares, the seller has to provide about 100% collateral plus a 50% margin. For simplicity, we can assume that both margin and collaterals are in cash (although in reality, the trader can use equities from part of the trader’s portfolio of holdings as collateral). We also assume that the cost of borrowing </w:t>
      </w:r>
      <w:proofErr w:type="spellStart"/>
      <w:r w:rsidRPr="005E72F0">
        <w:rPr>
          <w:rFonts w:ascii="Arial" w:hAnsi="Arial" w:cs="Arial"/>
          <w:lang w:val="en-GB"/>
        </w:rPr>
        <w:t>StanChart</w:t>
      </w:r>
      <w:proofErr w:type="spellEnd"/>
      <w:r w:rsidRPr="005E72F0">
        <w:rPr>
          <w:rFonts w:ascii="Arial" w:hAnsi="Arial" w:cs="Arial"/>
          <w:lang w:val="en-GB"/>
        </w:rPr>
        <w:t xml:space="preserve"> shares is 2% in an annualized term (which could be much higher if there is great demand for the shares, when the company is targeted by short sellers).</w:t>
      </w:r>
    </w:p>
    <w:p w14:paraId="01C0024C" w14:textId="77777777" w:rsidR="005E72F0" w:rsidRPr="005E72F0" w:rsidRDefault="005E72F0" w:rsidP="005E72F0">
      <w:pPr>
        <w:jc w:val="both"/>
        <w:rPr>
          <w:rFonts w:ascii="Arial" w:hAnsi="Arial" w:cs="Arial"/>
          <w:lang w:val="en-GB"/>
        </w:rPr>
      </w:pPr>
    </w:p>
    <w:p w14:paraId="3E24C4F2" w14:textId="77777777" w:rsidR="005E72F0" w:rsidRDefault="005E72F0" w:rsidP="005E72F0">
      <w:pPr>
        <w:jc w:val="both"/>
        <w:outlineLvl w:val="0"/>
        <w:rPr>
          <w:rFonts w:ascii="Arial" w:hAnsi="Arial" w:cs="Arial"/>
          <w:b/>
          <w:lang w:val="en-GB"/>
        </w:rPr>
      </w:pPr>
      <w:r w:rsidRPr="005E72F0">
        <w:rPr>
          <w:rFonts w:ascii="Arial" w:hAnsi="Arial" w:cs="Arial"/>
          <w:b/>
          <w:lang w:val="en-GB"/>
        </w:rPr>
        <w:t>January 2, 2014</w:t>
      </w:r>
    </w:p>
    <w:p w14:paraId="348BE91F" w14:textId="77777777" w:rsidR="00084F3F" w:rsidRPr="005E72F0" w:rsidRDefault="00084F3F" w:rsidP="00084F3F">
      <w:pPr>
        <w:pStyle w:val="ExhibitText"/>
        <w:rPr>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828"/>
        <w:gridCol w:w="1828"/>
        <w:gridCol w:w="1829"/>
      </w:tblGrid>
      <w:tr w:rsidR="005E72F0" w:rsidRPr="005E72F0" w14:paraId="45C265A6" w14:textId="77777777" w:rsidTr="00484277">
        <w:trPr>
          <w:trHeight w:val="288"/>
          <w:jc w:val="center"/>
        </w:trPr>
        <w:tc>
          <w:tcPr>
            <w:tcW w:w="3865" w:type="dxa"/>
            <w:vAlign w:val="center"/>
          </w:tcPr>
          <w:p w14:paraId="23A45F9F" w14:textId="77777777" w:rsidR="005E72F0" w:rsidRPr="005E72F0" w:rsidRDefault="005E72F0" w:rsidP="005E72F0">
            <w:pPr>
              <w:jc w:val="center"/>
              <w:rPr>
                <w:rFonts w:ascii="Arial" w:hAnsi="Arial" w:cs="Arial"/>
                <w:sz w:val="18"/>
                <w:szCs w:val="18"/>
                <w:lang w:val="en-GB"/>
              </w:rPr>
            </w:pPr>
          </w:p>
        </w:tc>
        <w:tc>
          <w:tcPr>
            <w:tcW w:w="1828" w:type="dxa"/>
            <w:vAlign w:val="center"/>
          </w:tcPr>
          <w:p w14:paraId="73F509DC"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Assets</w:t>
            </w:r>
          </w:p>
        </w:tc>
        <w:tc>
          <w:tcPr>
            <w:tcW w:w="1828" w:type="dxa"/>
            <w:vAlign w:val="center"/>
          </w:tcPr>
          <w:p w14:paraId="1A88387B" w14:textId="77777777" w:rsidR="005E72F0" w:rsidRPr="005E72F0" w:rsidRDefault="005E72F0" w:rsidP="005E72F0">
            <w:pPr>
              <w:jc w:val="center"/>
              <w:rPr>
                <w:rFonts w:ascii="Arial" w:hAnsi="Arial" w:cs="Arial"/>
                <w:sz w:val="18"/>
                <w:szCs w:val="18"/>
                <w:lang w:val="en-GB"/>
              </w:rPr>
            </w:pPr>
          </w:p>
        </w:tc>
        <w:tc>
          <w:tcPr>
            <w:tcW w:w="1829" w:type="dxa"/>
            <w:vAlign w:val="center"/>
          </w:tcPr>
          <w:p w14:paraId="76EB8E63"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Liability + Equity</w:t>
            </w:r>
          </w:p>
        </w:tc>
      </w:tr>
      <w:tr w:rsidR="005E72F0" w:rsidRPr="005E72F0" w14:paraId="08708DA0" w14:textId="77777777" w:rsidTr="00484277">
        <w:trPr>
          <w:trHeight w:val="288"/>
          <w:jc w:val="center"/>
        </w:trPr>
        <w:tc>
          <w:tcPr>
            <w:tcW w:w="3865" w:type="dxa"/>
            <w:vAlign w:val="center"/>
          </w:tcPr>
          <w:p w14:paraId="4DC26A8B" w14:textId="77777777" w:rsidR="005E72F0" w:rsidRPr="005E72F0" w:rsidRDefault="005E72F0" w:rsidP="005E72F0">
            <w:pPr>
              <w:rPr>
                <w:rFonts w:ascii="Arial" w:hAnsi="Arial" w:cs="Arial"/>
                <w:sz w:val="18"/>
                <w:szCs w:val="18"/>
                <w:lang w:val="en-GB"/>
              </w:rPr>
            </w:pPr>
            <w:r w:rsidRPr="005E72F0">
              <w:rPr>
                <w:rFonts w:ascii="Arial" w:hAnsi="Arial" w:cs="Arial"/>
                <w:sz w:val="18"/>
                <w:szCs w:val="18"/>
                <w:lang w:val="en-GB"/>
              </w:rPr>
              <w:t>Short Proceeds</w:t>
            </w:r>
          </w:p>
          <w:p w14:paraId="367E3D26" w14:textId="77777777" w:rsidR="005E72F0" w:rsidRPr="005E72F0" w:rsidRDefault="005E72F0" w:rsidP="005E72F0">
            <w:pPr>
              <w:rPr>
                <w:rFonts w:ascii="Arial" w:hAnsi="Arial" w:cs="Arial"/>
                <w:sz w:val="18"/>
                <w:szCs w:val="18"/>
                <w:lang w:val="en-GB"/>
              </w:rPr>
            </w:pPr>
            <w:r w:rsidRPr="005E72F0">
              <w:rPr>
                <w:rFonts w:ascii="Arial" w:hAnsi="Arial" w:cs="Arial"/>
                <w:sz w:val="18"/>
                <w:szCs w:val="18"/>
                <w:lang w:val="en-GB"/>
              </w:rPr>
              <w:t>(The short seller sells the 1,000 borrowed shares on the market from £12 per share. This is locked in an account and cannot be accessed.)</w:t>
            </w:r>
          </w:p>
        </w:tc>
        <w:tc>
          <w:tcPr>
            <w:tcW w:w="1828" w:type="dxa"/>
            <w:vAlign w:val="center"/>
          </w:tcPr>
          <w:p w14:paraId="23FCAECD" w14:textId="77777777" w:rsidR="005E72F0" w:rsidRPr="005E72F0" w:rsidRDefault="005E72F0" w:rsidP="003127DD">
            <w:pPr>
              <w:tabs>
                <w:tab w:val="decimal" w:pos="861"/>
              </w:tabs>
              <w:jc w:val="center"/>
              <w:rPr>
                <w:rFonts w:ascii="Arial" w:hAnsi="Arial" w:cs="Arial"/>
                <w:sz w:val="18"/>
                <w:szCs w:val="18"/>
                <w:lang w:val="en-GB"/>
              </w:rPr>
            </w:pPr>
            <w:r w:rsidRPr="005E72F0">
              <w:rPr>
                <w:rFonts w:ascii="Arial" w:hAnsi="Arial" w:cs="Arial"/>
                <w:sz w:val="18"/>
                <w:szCs w:val="18"/>
                <w:lang w:val="en-GB"/>
              </w:rPr>
              <w:t>£12,000</w:t>
            </w:r>
          </w:p>
        </w:tc>
        <w:tc>
          <w:tcPr>
            <w:tcW w:w="1828" w:type="dxa"/>
            <w:vAlign w:val="center"/>
          </w:tcPr>
          <w:p w14:paraId="2FCAB9B4"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 xml:space="preserve">Liability: </w:t>
            </w:r>
          </w:p>
          <w:p w14:paraId="0F42EFF5"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short position</w:t>
            </w:r>
          </w:p>
        </w:tc>
        <w:tc>
          <w:tcPr>
            <w:tcW w:w="1829" w:type="dxa"/>
            <w:vAlign w:val="center"/>
          </w:tcPr>
          <w:p w14:paraId="15FC3B03" w14:textId="77777777" w:rsidR="005E72F0" w:rsidRPr="005E72F0" w:rsidRDefault="005E72F0" w:rsidP="003127DD">
            <w:pPr>
              <w:tabs>
                <w:tab w:val="decimal" w:pos="802"/>
              </w:tabs>
              <w:jc w:val="center"/>
              <w:rPr>
                <w:rFonts w:ascii="Arial" w:hAnsi="Arial" w:cs="Arial"/>
                <w:sz w:val="18"/>
                <w:szCs w:val="18"/>
                <w:lang w:val="en-GB"/>
              </w:rPr>
            </w:pPr>
            <w:r w:rsidRPr="005E72F0">
              <w:rPr>
                <w:rFonts w:ascii="Arial" w:hAnsi="Arial" w:cs="Arial"/>
                <w:sz w:val="18"/>
                <w:szCs w:val="18"/>
                <w:lang w:val="en-GB"/>
              </w:rPr>
              <w:t>£12,000</w:t>
            </w:r>
          </w:p>
        </w:tc>
      </w:tr>
      <w:tr w:rsidR="005E72F0" w:rsidRPr="005E72F0" w14:paraId="5AA33429" w14:textId="77777777" w:rsidTr="00484277">
        <w:trPr>
          <w:trHeight w:val="288"/>
          <w:jc w:val="center"/>
        </w:trPr>
        <w:tc>
          <w:tcPr>
            <w:tcW w:w="3865" w:type="dxa"/>
            <w:vAlign w:val="center"/>
          </w:tcPr>
          <w:p w14:paraId="60F5FB0E" w14:textId="77777777" w:rsidR="005E72F0" w:rsidRPr="005E72F0" w:rsidRDefault="005E72F0" w:rsidP="005E72F0">
            <w:pPr>
              <w:rPr>
                <w:rFonts w:ascii="Arial" w:hAnsi="Arial" w:cs="Arial"/>
                <w:sz w:val="18"/>
                <w:szCs w:val="18"/>
                <w:lang w:val="en-GB"/>
              </w:rPr>
            </w:pPr>
            <w:r w:rsidRPr="005E72F0">
              <w:rPr>
                <w:rFonts w:ascii="Arial" w:hAnsi="Arial" w:cs="Arial"/>
                <w:sz w:val="18"/>
                <w:szCs w:val="18"/>
                <w:lang w:val="en-GB"/>
              </w:rPr>
              <w:t xml:space="preserve">Cash Margin </w:t>
            </w:r>
          </w:p>
        </w:tc>
        <w:tc>
          <w:tcPr>
            <w:tcW w:w="1828" w:type="dxa"/>
            <w:vAlign w:val="center"/>
          </w:tcPr>
          <w:p w14:paraId="57AD304F" w14:textId="77777777" w:rsidR="005E72F0" w:rsidRPr="005E72F0" w:rsidRDefault="005E72F0" w:rsidP="003127DD">
            <w:pPr>
              <w:tabs>
                <w:tab w:val="decimal" w:pos="861"/>
              </w:tabs>
              <w:jc w:val="center"/>
              <w:rPr>
                <w:rFonts w:ascii="Arial" w:hAnsi="Arial" w:cs="Arial"/>
                <w:sz w:val="18"/>
                <w:szCs w:val="18"/>
                <w:lang w:val="en-GB"/>
              </w:rPr>
            </w:pPr>
            <w:r w:rsidRPr="005E72F0">
              <w:rPr>
                <w:rFonts w:ascii="Arial" w:hAnsi="Arial" w:cs="Arial"/>
                <w:sz w:val="18"/>
                <w:szCs w:val="18"/>
                <w:lang w:val="en-GB"/>
              </w:rPr>
              <w:t>£6,000</w:t>
            </w:r>
          </w:p>
        </w:tc>
        <w:tc>
          <w:tcPr>
            <w:tcW w:w="1828" w:type="dxa"/>
            <w:vAlign w:val="center"/>
          </w:tcPr>
          <w:p w14:paraId="2A2339F1"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Equity</w:t>
            </w:r>
          </w:p>
        </w:tc>
        <w:tc>
          <w:tcPr>
            <w:tcW w:w="1829" w:type="dxa"/>
            <w:vAlign w:val="center"/>
          </w:tcPr>
          <w:p w14:paraId="247293F7" w14:textId="77777777" w:rsidR="005E72F0" w:rsidRPr="005E72F0" w:rsidRDefault="005E72F0" w:rsidP="003127DD">
            <w:pPr>
              <w:tabs>
                <w:tab w:val="decimal" w:pos="802"/>
              </w:tabs>
              <w:jc w:val="center"/>
              <w:rPr>
                <w:rFonts w:ascii="Arial" w:hAnsi="Arial" w:cs="Arial"/>
                <w:sz w:val="18"/>
                <w:szCs w:val="18"/>
                <w:lang w:val="en-GB"/>
              </w:rPr>
            </w:pPr>
            <w:r w:rsidRPr="005E72F0">
              <w:rPr>
                <w:rFonts w:ascii="Arial" w:hAnsi="Arial" w:cs="Arial"/>
                <w:sz w:val="18"/>
                <w:szCs w:val="18"/>
                <w:lang w:val="en-GB"/>
              </w:rPr>
              <w:t>£6,000</w:t>
            </w:r>
          </w:p>
        </w:tc>
      </w:tr>
      <w:tr w:rsidR="005E72F0" w:rsidRPr="005E72F0" w14:paraId="6A9E6BA8" w14:textId="77777777" w:rsidTr="00484277">
        <w:trPr>
          <w:trHeight w:val="288"/>
          <w:jc w:val="center"/>
        </w:trPr>
        <w:tc>
          <w:tcPr>
            <w:tcW w:w="3865" w:type="dxa"/>
            <w:vAlign w:val="center"/>
          </w:tcPr>
          <w:p w14:paraId="4214E309" w14:textId="77777777" w:rsidR="005E72F0" w:rsidRPr="005E72F0" w:rsidRDefault="005E72F0" w:rsidP="005E72F0">
            <w:pPr>
              <w:rPr>
                <w:rFonts w:ascii="Arial" w:hAnsi="Arial" w:cs="Arial"/>
                <w:sz w:val="18"/>
                <w:szCs w:val="18"/>
                <w:lang w:val="en-GB"/>
              </w:rPr>
            </w:pPr>
            <w:r w:rsidRPr="005E72F0">
              <w:rPr>
                <w:rFonts w:ascii="Arial" w:hAnsi="Arial" w:cs="Arial"/>
                <w:sz w:val="18"/>
                <w:szCs w:val="18"/>
                <w:lang w:val="en-GB"/>
              </w:rPr>
              <w:t xml:space="preserve">Total </w:t>
            </w:r>
          </w:p>
        </w:tc>
        <w:tc>
          <w:tcPr>
            <w:tcW w:w="1828" w:type="dxa"/>
            <w:vAlign w:val="center"/>
          </w:tcPr>
          <w:p w14:paraId="36569774" w14:textId="77777777" w:rsidR="005E72F0" w:rsidRPr="005E72F0" w:rsidRDefault="005E72F0" w:rsidP="003127DD">
            <w:pPr>
              <w:tabs>
                <w:tab w:val="decimal" w:pos="861"/>
              </w:tabs>
              <w:jc w:val="center"/>
              <w:rPr>
                <w:rFonts w:ascii="Arial" w:hAnsi="Arial" w:cs="Arial"/>
                <w:sz w:val="18"/>
                <w:szCs w:val="18"/>
                <w:lang w:val="en-GB"/>
              </w:rPr>
            </w:pPr>
            <w:r w:rsidRPr="005E72F0">
              <w:rPr>
                <w:rFonts w:ascii="Arial" w:hAnsi="Arial" w:cs="Arial"/>
                <w:sz w:val="18"/>
                <w:szCs w:val="18"/>
                <w:lang w:val="en-GB"/>
              </w:rPr>
              <w:t>£18,000</w:t>
            </w:r>
          </w:p>
        </w:tc>
        <w:tc>
          <w:tcPr>
            <w:tcW w:w="1828" w:type="dxa"/>
            <w:vAlign w:val="center"/>
          </w:tcPr>
          <w:p w14:paraId="32FD060C"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Total</w:t>
            </w:r>
          </w:p>
        </w:tc>
        <w:tc>
          <w:tcPr>
            <w:tcW w:w="1829" w:type="dxa"/>
            <w:vAlign w:val="center"/>
          </w:tcPr>
          <w:p w14:paraId="2FDDCA16" w14:textId="77777777" w:rsidR="005E72F0" w:rsidRPr="005E72F0" w:rsidRDefault="005E72F0" w:rsidP="003127DD">
            <w:pPr>
              <w:tabs>
                <w:tab w:val="decimal" w:pos="802"/>
              </w:tabs>
              <w:jc w:val="center"/>
              <w:rPr>
                <w:rFonts w:ascii="Arial" w:hAnsi="Arial" w:cs="Arial"/>
                <w:sz w:val="18"/>
                <w:szCs w:val="18"/>
                <w:lang w:val="en-GB"/>
              </w:rPr>
            </w:pPr>
            <w:r w:rsidRPr="005E72F0">
              <w:rPr>
                <w:rFonts w:ascii="Arial" w:hAnsi="Arial" w:cs="Arial"/>
                <w:sz w:val="18"/>
                <w:szCs w:val="18"/>
                <w:lang w:val="en-GB"/>
              </w:rPr>
              <w:t>£18,000</w:t>
            </w:r>
          </w:p>
        </w:tc>
      </w:tr>
    </w:tbl>
    <w:p w14:paraId="5A94F8AD" w14:textId="77777777" w:rsidR="005E72F0" w:rsidRDefault="005E72F0" w:rsidP="005E72F0">
      <w:pPr>
        <w:jc w:val="both"/>
        <w:rPr>
          <w:rFonts w:ascii="Arial" w:hAnsi="Arial" w:cs="Arial"/>
          <w:lang w:val="en-GB"/>
        </w:rPr>
      </w:pPr>
    </w:p>
    <w:p w14:paraId="6E2A5F59" w14:textId="77777777" w:rsidR="00084F3F" w:rsidRPr="005E72F0" w:rsidRDefault="00084F3F" w:rsidP="005E72F0">
      <w:pPr>
        <w:jc w:val="both"/>
        <w:rPr>
          <w:rFonts w:ascii="Arial" w:hAnsi="Arial" w:cs="Arial"/>
          <w:lang w:val="en-GB"/>
        </w:rPr>
      </w:pPr>
    </w:p>
    <w:p w14:paraId="2014ED3A" w14:textId="77777777" w:rsidR="005E72F0" w:rsidRDefault="005E72F0" w:rsidP="005E72F0">
      <w:pPr>
        <w:jc w:val="both"/>
        <w:outlineLvl w:val="0"/>
        <w:rPr>
          <w:rFonts w:ascii="Arial" w:hAnsi="Arial" w:cs="Arial"/>
          <w:b/>
          <w:lang w:val="en-GB"/>
        </w:rPr>
      </w:pPr>
      <w:r w:rsidRPr="005E72F0">
        <w:rPr>
          <w:rFonts w:ascii="Arial" w:hAnsi="Arial" w:cs="Arial"/>
          <w:b/>
          <w:lang w:val="en-GB"/>
        </w:rPr>
        <w:t>January 3, 2014</w:t>
      </w:r>
    </w:p>
    <w:p w14:paraId="767B2AEB" w14:textId="77777777" w:rsidR="00084F3F" w:rsidRPr="005E72F0" w:rsidRDefault="00084F3F" w:rsidP="005E72F0">
      <w:pPr>
        <w:jc w:val="both"/>
        <w:outlineLvl w:val="0"/>
        <w:rPr>
          <w:rFonts w:ascii="Arial" w:hAnsi="Arial" w:cs="Arial"/>
          <w:b/>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5"/>
        <w:gridCol w:w="1828"/>
        <w:gridCol w:w="1828"/>
        <w:gridCol w:w="1829"/>
      </w:tblGrid>
      <w:tr w:rsidR="005E72F0" w:rsidRPr="005E72F0" w14:paraId="4D5611CB" w14:textId="77777777" w:rsidTr="00484277">
        <w:trPr>
          <w:trHeight w:val="288"/>
          <w:jc w:val="center"/>
        </w:trPr>
        <w:tc>
          <w:tcPr>
            <w:tcW w:w="3865" w:type="dxa"/>
          </w:tcPr>
          <w:p w14:paraId="5DDD7E85" w14:textId="77777777" w:rsidR="005E72F0" w:rsidRPr="005E72F0" w:rsidRDefault="005E72F0" w:rsidP="005E72F0">
            <w:pPr>
              <w:jc w:val="center"/>
              <w:rPr>
                <w:rFonts w:ascii="Arial" w:hAnsi="Arial" w:cs="Arial"/>
                <w:sz w:val="18"/>
                <w:szCs w:val="18"/>
                <w:lang w:val="en-GB"/>
              </w:rPr>
            </w:pPr>
          </w:p>
        </w:tc>
        <w:tc>
          <w:tcPr>
            <w:tcW w:w="1828" w:type="dxa"/>
            <w:vAlign w:val="center"/>
          </w:tcPr>
          <w:p w14:paraId="154B93DA"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Assets</w:t>
            </w:r>
          </w:p>
        </w:tc>
        <w:tc>
          <w:tcPr>
            <w:tcW w:w="1828" w:type="dxa"/>
            <w:vAlign w:val="center"/>
          </w:tcPr>
          <w:p w14:paraId="0F73DC61" w14:textId="77777777" w:rsidR="005E72F0" w:rsidRPr="005E72F0" w:rsidRDefault="005E72F0" w:rsidP="005E72F0">
            <w:pPr>
              <w:jc w:val="center"/>
              <w:rPr>
                <w:rFonts w:ascii="Arial" w:hAnsi="Arial" w:cs="Arial"/>
                <w:sz w:val="18"/>
                <w:szCs w:val="18"/>
                <w:lang w:val="en-GB"/>
              </w:rPr>
            </w:pPr>
          </w:p>
        </w:tc>
        <w:tc>
          <w:tcPr>
            <w:tcW w:w="1829" w:type="dxa"/>
            <w:vAlign w:val="center"/>
          </w:tcPr>
          <w:p w14:paraId="6ADA21F8"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Liability + Equity</w:t>
            </w:r>
          </w:p>
        </w:tc>
      </w:tr>
      <w:tr w:rsidR="005E72F0" w:rsidRPr="005E72F0" w14:paraId="3DFBD2BF" w14:textId="77777777" w:rsidTr="00484277">
        <w:trPr>
          <w:trHeight w:val="288"/>
          <w:jc w:val="center"/>
        </w:trPr>
        <w:tc>
          <w:tcPr>
            <w:tcW w:w="3865" w:type="dxa"/>
          </w:tcPr>
          <w:p w14:paraId="79F56565" w14:textId="77777777" w:rsidR="005E72F0" w:rsidRPr="005E72F0" w:rsidRDefault="005E72F0" w:rsidP="005E72F0">
            <w:pPr>
              <w:jc w:val="both"/>
              <w:rPr>
                <w:rFonts w:ascii="Arial" w:hAnsi="Arial" w:cs="Arial"/>
                <w:sz w:val="18"/>
                <w:szCs w:val="18"/>
                <w:lang w:val="en-GB"/>
              </w:rPr>
            </w:pPr>
            <w:r w:rsidRPr="005E72F0">
              <w:rPr>
                <w:rFonts w:ascii="Arial" w:hAnsi="Arial" w:cs="Arial"/>
                <w:sz w:val="18"/>
                <w:szCs w:val="18"/>
                <w:lang w:val="en-GB"/>
              </w:rPr>
              <w:t>Short Proceeds</w:t>
            </w:r>
          </w:p>
          <w:p w14:paraId="563FCCED" w14:textId="77777777" w:rsidR="005E72F0" w:rsidRPr="005E72F0" w:rsidRDefault="005E72F0" w:rsidP="005E72F0">
            <w:pPr>
              <w:jc w:val="both"/>
              <w:rPr>
                <w:rFonts w:ascii="Arial" w:hAnsi="Arial" w:cs="Arial"/>
                <w:sz w:val="18"/>
                <w:szCs w:val="18"/>
                <w:lang w:val="en-GB"/>
              </w:rPr>
            </w:pPr>
            <w:r w:rsidRPr="005E72F0">
              <w:rPr>
                <w:rFonts w:ascii="Arial" w:hAnsi="Arial" w:cs="Arial"/>
                <w:sz w:val="18"/>
                <w:szCs w:val="18"/>
                <w:lang w:val="en-GB"/>
              </w:rPr>
              <w:t>(The short seller sells the 1,000 borrowed shares on the market from £12 per share. This is locked in an account and cannot be accessed.)</w:t>
            </w:r>
          </w:p>
        </w:tc>
        <w:tc>
          <w:tcPr>
            <w:tcW w:w="1828" w:type="dxa"/>
            <w:vAlign w:val="center"/>
          </w:tcPr>
          <w:p w14:paraId="68A5760A"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£12,000</w:t>
            </w:r>
          </w:p>
        </w:tc>
        <w:tc>
          <w:tcPr>
            <w:tcW w:w="1828" w:type="dxa"/>
            <w:vAlign w:val="center"/>
          </w:tcPr>
          <w:p w14:paraId="2EAE4496"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Liability: short position</w:t>
            </w:r>
          </w:p>
        </w:tc>
        <w:tc>
          <w:tcPr>
            <w:tcW w:w="1829" w:type="dxa"/>
            <w:vAlign w:val="center"/>
          </w:tcPr>
          <w:p w14:paraId="6E89F7FF"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£12,000</w:t>
            </w:r>
          </w:p>
        </w:tc>
      </w:tr>
      <w:tr w:rsidR="005E72F0" w:rsidRPr="005E72F0" w14:paraId="03C06204" w14:textId="77777777" w:rsidTr="00484277">
        <w:trPr>
          <w:trHeight w:val="288"/>
          <w:jc w:val="center"/>
        </w:trPr>
        <w:tc>
          <w:tcPr>
            <w:tcW w:w="3865" w:type="dxa"/>
          </w:tcPr>
          <w:p w14:paraId="00D0AC74" w14:textId="77777777" w:rsidR="005E72F0" w:rsidRPr="005E72F0" w:rsidRDefault="005E72F0" w:rsidP="005E72F0">
            <w:pPr>
              <w:rPr>
                <w:rFonts w:ascii="Arial" w:hAnsi="Arial" w:cs="Arial"/>
                <w:sz w:val="18"/>
                <w:szCs w:val="18"/>
                <w:lang w:val="en-GB"/>
              </w:rPr>
            </w:pPr>
          </w:p>
          <w:p w14:paraId="6074810E" w14:textId="77777777" w:rsidR="005E72F0" w:rsidRPr="005E72F0" w:rsidRDefault="005E72F0" w:rsidP="005E72F0">
            <w:pPr>
              <w:rPr>
                <w:rFonts w:ascii="Arial" w:hAnsi="Arial" w:cs="Arial"/>
                <w:sz w:val="18"/>
                <w:szCs w:val="18"/>
                <w:lang w:val="en-GB"/>
              </w:rPr>
            </w:pPr>
            <w:r w:rsidRPr="005E72F0">
              <w:rPr>
                <w:rFonts w:ascii="Arial" w:hAnsi="Arial" w:cs="Arial"/>
                <w:sz w:val="18"/>
                <w:szCs w:val="18"/>
                <w:lang w:val="en-GB"/>
              </w:rPr>
              <w:t xml:space="preserve">Cash Margin </w:t>
            </w:r>
          </w:p>
        </w:tc>
        <w:tc>
          <w:tcPr>
            <w:tcW w:w="1828" w:type="dxa"/>
            <w:vAlign w:val="center"/>
          </w:tcPr>
          <w:p w14:paraId="7087E8A6" w14:textId="77777777" w:rsidR="005E72F0" w:rsidRPr="005E72F0" w:rsidRDefault="005E72F0" w:rsidP="005E72F0">
            <w:pPr>
              <w:jc w:val="center"/>
              <w:rPr>
                <w:rFonts w:ascii="Arial" w:hAnsi="Arial" w:cs="Arial"/>
                <w:sz w:val="18"/>
                <w:szCs w:val="18"/>
                <w:lang w:val="en-GB"/>
              </w:rPr>
            </w:pPr>
          </w:p>
          <w:p w14:paraId="28F5298F"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£6,000 − 0.67 = £5,999.33</w:t>
            </w:r>
          </w:p>
        </w:tc>
        <w:tc>
          <w:tcPr>
            <w:tcW w:w="1828" w:type="dxa"/>
            <w:vAlign w:val="center"/>
          </w:tcPr>
          <w:p w14:paraId="60481329" w14:textId="77777777" w:rsidR="005E72F0" w:rsidRPr="005E72F0" w:rsidRDefault="005E72F0" w:rsidP="005E72F0">
            <w:pPr>
              <w:jc w:val="center"/>
              <w:rPr>
                <w:rFonts w:ascii="Arial" w:hAnsi="Arial" w:cs="Arial"/>
                <w:sz w:val="18"/>
                <w:szCs w:val="18"/>
                <w:lang w:val="en-GB"/>
              </w:rPr>
            </w:pPr>
          </w:p>
          <w:p w14:paraId="4813FF49"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Equity</w:t>
            </w:r>
          </w:p>
          <w:p w14:paraId="423562DE"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 cost of shorting 2% annualized)</w:t>
            </w:r>
          </w:p>
        </w:tc>
        <w:tc>
          <w:tcPr>
            <w:tcW w:w="1829" w:type="dxa"/>
            <w:vAlign w:val="center"/>
          </w:tcPr>
          <w:p w14:paraId="151EC634"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£6,000 − 12,000 × (2% ÷ 360) daily borrowing fee incurred shorting cost</w:t>
            </w:r>
          </w:p>
          <w:p w14:paraId="58A66D6A"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 £6,000 − 0.67 = £5,999.33</w:t>
            </w:r>
          </w:p>
        </w:tc>
      </w:tr>
      <w:tr w:rsidR="005E72F0" w:rsidRPr="005E72F0" w14:paraId="7C1B5F74" w14:textId="77777777" w:rsidTr="00484277">
        <w:trPr>
          <w:trHeight w:val="288"/>
          <w:jc w:val="center"/>
        </w:trPr>
        <w:tc>
          <w:tcPr>
            <w:tcW w:w="3865" w:type="dxa"/>
          </w:tcPr>
          <w:p w14:paraId="067CD327" w14:textId="77777777" w:rsidR="005E72F0" w:rsidRPr="005E72F0" w:rsidRDefault="005E72F0" w:rsidP="005E72F0">
            <w:pPr>
              <w:jc w:val="both"/>
              <w:rPr>
                <w:rFonts w:ascii="Arial" w:hAnsi="Arial" w:cs="Arial"/>
                <w:sz w:val="18"/>
                <w:szCs w:val="18"/>
                <w:lang w:val="en-GB"/>
              </w:rPr>
            </w:pPr>
            <w:r w:rsidRPr="005E72F0">
              <w:rPr>
                <w:rFonts w:ascii="Arial" w:hAnsi="Arial" w:cs="Arial"/>
                <w:sz w:val="18"/>
                <w:szCs w:val="18"/>
                <w:lang w:val="en-GB"/>
              </w:rPr>
              <w:t xml:space="preserve">Total </w:t>
            </w:r>
          </w:p>
        </w:tc>
        <w:tc>
          <w:tcPr>
            <w:tcW w:w="1828" w:type="dxa"/>
            <w:vAlign w:val="center"/>
          </w:tcPr>
          <w:p w14:paraId="7DBD2C45"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£17,999.33</w:t>
            </w:r>
          </w:p>
        </w:tc>
        <w:tc>
          <w:tcPr>
            <w:tcW w:w="1828" w:type="dxa"/>
            <w:vAlign w:val="center"/>
          </w:tcPr>
          <w:p w14:paraId="5D58609B"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Total</w:t>
            </w:r>
          </w:p>
        </w:tc>
        <w:tc>
          <w:tcPr>
            <w:tcW w:w="1829" w:type="dxa"/>
            <w:vAlign w:val="center"/>
          </w:tcPr>
          <w:p w14:paraId="227EF8CC" w14:textId="77777777" w:rsidR="005E72F0" w:rsidRPr="005E72F0" w:rsidRDefault="005E72F0" w:rsidP="005E72F0">
            <w:pPr>
              <w:jc w:val="center"/>
              <w:rPr>
                <w:rFonts w:ascii="Arial" w:hAnsi="Arial" w:cs="Arial"/>
                <w:sz w:val="18"/>
                <w:szCs w:val="18"/>
                <w:lang w:val="en-GB"/>
              </w:rPr>
            </w:pPr>
            <w:r w:rsidRPr="005E72F0">
              <w:rPr>
                <w:rFonts w:ascii="Arial" w:hAnsi="Arial" w:cs="Arial"/>
                <w:sz w:val="18"/>
                <w:szCs w:val="18"/>
                <w:lang w:val="en-GB"/>
              </w:rPr>
              <w:t>£17,999.33</w:t>
            </w:r>
          </w:p>
        </w:tc>
      </w:tr>
    </w:tbl>
    <w:p w14:paraId="4129F1EE" w14:textId="77777777" w:rsidR="005E72F0" w:rsidRPr="005E72F0" w:rsidRDefault="005E72F0" w:rsidP="005E72F0">
      <w:pPr>
        <w:jc w:val="both"/>
        <w:rPr>
          <w:rFonts w:ascii="Arial" w:hAnsi="Arial" w:cs="Arial"/>
          <w:lang w:val="en-CA"/>
        </w:rPr>
      </w:pPr>
    </w:p>
    <w:p w14:paraId="01331CFE" w14:textId="3A9CCBA2" w:rsidR="005E72F0" w:rsidRPr="00484277" w:rsidRDefault="005E72F0" w:rsidP="00484277">
      <w:pPr>
        <w:pStyle w:val="Footnote"/>
      </w:pPr>
      <w:r w:rsidRPr="00484277">
        <w:t xml:space="preserve">Note: </w:t>
      </w:r>
      <w:proofErr w:type="spellStart"/>
      <w:r w:rsidRPr="00484277">
        <w:t>StanChart</w:t>
      </w:r>
      <w:proofErr w:type="spellEnd"/>
      <w:r w:rsidRPr="00484277">
        <w:t xml:space="preserve"> = Standard Chartered PLC; £ = GBP = British pounds</w:t>
      </w:r>
    </w:p>
    <w:p w14:paraId="20EBF479" w14:textId="77777777" w:rsidR="005E72F0" w:rsidRPr="00484277" w:rsidRDefault="005E72F0" w:rsidP="00484277">
      <w:pPr>
        <w:pStyle w:val="Footnote"/>
      </w:pPr>
      <w:r w:rsidRPr="00484277">
        <w:t xml:space="preserve">Source: “Securities Lending Fees and Utilization Rates of Standard Chartered PLC,” extracted from IHS </w:t>
      </w:r>
      <w:proofErr w:type="spellStart"/>
      <w:r w:rsidRPr="00484277">
        <w:t>Markit</w:t>
      </w:r>
      <w:proofErr w:type="spellEnd"/>
      <w:r w:rsidRPr="00484277">
        <w:t xml:space="preserve"> Securities Finance Database, accessed February 15, 2017.</w:t>
      </w:r>
    </w:p>
    <w:p w14:paraId="170E8247" w14:textId="77777777" w:rsidR="005E72F0" w:rsidRDefault="005E72F0">
      <w:pPr>
        <w:spacing w:after="200" w:line="276" w:lineRule="auto"/>
        <w:rPr>
          <w:lang w:val="en-CA"/>
        </w:rPr>
      </w:pPr>
      <w:r>
        <w:rPr>
          <w:lang w:val="en-CA"/>
        </w:rPr>
        <w:br w:type="page"/>
      </w:r>
    </w:p>
    <w:p w14:paraId="22A8A53D" w14:textId="77777777" w:rsidR="00465348" w:rsidRPr="000C7D3F" w:rsidRDefault="005E72F0" w:rsidP="005E72F0">
      <w:pPr>
        <w:pStyle w:val="ExhibitHeading"/>
        <w:jc w:val="left"/>
      </w:pPr>
      <w:r>
        <w:lastRenderedPageBreak/>
        <w:t>ENDNOTES</w:t>
      </w:r>
    </w:p>
    <w:sectPr w:rsidR="00465348" w:rsidRPr="000C7D3F" w:rsidSect="005E72F0">
      <w:headerReference w:type="default" r:id="rId18"/>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7C826" w14:textId="77777777" w:rsidR="00322A61" w:rsidRDefault="00322A61" w:rsidP="00D75295">
      <w:r>
        <w:separator/>
      </w:r>
    </w:p>
  </w:endnote>
  <w:endnote w:type="continuationSeparator" w:id="0">
    <w:p w14:paraId="6E39984D" w14:textId="77777777" w:rsidR="00322A61" w:rsidRDefault="00322A61" w:rsidP="00D75295">
      <w:r>
        <w:continuationSeparator/>
      </w:r>
    </w:p>
  </w:endnote>
  <w:endnote w:id="1">
    <w:p w14:paraId="628E9E6F" w14:textId="77777777" w:rsidR="00322A61" w:rsidRPr="004A1294" w:rsidRDefault="00322A61" w:rsidP="003127DD">
      <w:pPr>
        <w:pStyle w:val="EndnoteText"/>
        <w:jc w:val="both"/>
        <w:rPr>
          <w:lang w:val="en-GB"/>
        </w:rPr>
      </w:pPr>
      <w:r w:rsidRPr="00084F3F">
        <w:rPr>
          <w:rStyle w:val="FootnoteChar"/>
          <w:rFonts w:eastAsia="Calibri"/>
          <w:vertAlign w:val="superscript"/>
        </w:rPr>
        <w:endnoteRef/>
      </w:r>
      <w:r w:rsidRPr="003127DD">
        <w:rPr>
          <w:rStyle w:val="FootnoteChar"/>
          <w:rFonts w:eastAsia="Calibri"/>
        </w:rPr>
        <w:t xml:space="preserve"> </w:t>
      </w:r>
      <w:r w:rsidRPr="004A1294">
        <w:rPr>
          <w:rStyle w:val="FootnoteChar"/>
          <w:rFonts w:eastAsia="Calibri"/>
          <w:lang w:val="en-GB"/>
        </w:rPr>
        <w:t xml:space="preserve">This case has been written on the basis of published sources only. Consequently, the interpretation and perspectives presented in this case are not necessarily those of </w:t>
      </w:r>
      <w:r w:rsidRPr="004A1294">
        <w:rPr>
          <w:rFonts w:ascii="Arial" w:hAnsi="Arial" w:cs="Arial"/>
          <w:sz w:val="17"/>
          <w:szCs w:val="17"/>
          <w:lang w:val="en-GB"/>
        </w:rPr>
        <w:t>Standard Chartered PLC</w:t>
      </w:r>
      <w:r w:rsidRPr="004A1294">
        <w:rPr>
          <w:rStyle w:val="FootnoteChar"/>
          <w:rFonts w:eastAsia="Calibri"/>
          <w:lang w:val="en-GB"/>
        </w:rPr>
        <w:t xml:space="preserve"> or any of its employees.</w:t>
      </w:r>
    </w:p>
  </w:endnote>
  <w:endnote w:id="2">
    <w:p w14:paraId="14610528"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This section is based on Standard Chartered PLC, “Standard Chartered Reorganisation of Business and Board Changes,” press release, January 9, 2014, accessed March 20, 2016, www.sc.com/en/news-and-media/news/global/09-01-2014-reorganisation-and-changes.html.</w:t>
      </w:r>
    </w:p>
  </w:endnote>
  <w:endnote w:id="3">
    <w:p w14:paraId="690F9A88" w14:textId="2C3CE8C2"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 = GBP = British </w:t>
      </w:r>
      <w:r>
        <w:rPr>
          <w:lang w:val="en-GB"/>
        </w:rPr>
        <w:t>p</w:t>
      </w:r>
      <w:r w:rsidRPr="004A1294">
        <w:rPr>
          <w:lang w:val="en-GB"/>
        </w:rPr>
        <w:t>ound</w:t>
      </w:r>
      <w:r>
        <w:rPr>
          <w:lang w:val="en-GB"/>
        </w:rPr>
        <w:t>s</w:t>
      </w:r>
      <w:r w:rsidRPr="004A1294">
        <w:rPr>
          <w:lang w:val="en-GB"/>
        </w:rPr>
        <w:t>; £1 = US$1.24 on March 31, 2015.</w:t>
      </w:r>
    </w:p>
  </w:endnote>
  <w:endnote w:id="4">
    <w:p w14:paraId="16A84CCB" w14:textId="37BA2B53"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All dollar amounts are in US</w:t>
      </w:r>
      <w:r>
        <w:rPr>
          <w:lang w:val="en-GB"/>
        </w:rPr>
        <w:t>$</w:t>
      </w:r>
      <w:r w:rsidRPr="004A1294">
        <w:rPr>
          <w:lang w:val="en-GB"/>
        </w:rPr>
        <w:t xml:space="preserve"> unless otherwise noted.</w:t>
      </w:r>
    </w:p>
  </w:endnote>
  <w:endnote w:id="5">
    <w:p w14:paraId="5196C51D"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“RBS to Cut Further 300 Jobs at Investment Bank,” Reuters, December 24, 2012, accessed on January 9, 2018, www.reuters.com/article/us-rbs-jobs/rbs-to-cut-further-300-jobs-at-investment-bank-idUSBRE88N0FB20120924.</w:t>
      </w:r>
    </w:p>
  </w:endnote>
  <w:endnote w:id="6">
    <w:p w14:paraId="2014BA4F" w14:textId="7C14CA9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Ibid. </w:t>
      </w:r>
    </w:p>
  </w:endnote>
  <w:endnote w:id="7">
    <w:p w14:paraId="563C3B32"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Adam Jones and Jennifer Thompson, “Barclays Cuts 3,700 Jobs in Restructuring,” </w:t>
      </w:r>
      <w:r w:rsidRPr="004A1294">
        <w:rPr>
          <w:i/>
          <w:lang w:val="en-GB"/>
        </w:rPr>
        <w:t>Financial Times</w:t>
      </w:r>
      <w:r w:rsidRPr="004A1294">
        <w:rPr>
          <w:lang w:val="en-GB"/>
        </w:rPr>
        <w:t>, February 12, 2013, accessed January 9, 2018, www.ft.com/content/4539ea1e-72fe-11e2-a7d7-00144feabdc0.</w:t>
      </w:r>
    </w:p>
  </w:endnote>
  <w:endnote w:id="8">
    <w:p w14:paraId="5FB7C67A"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“HSBC May Cut Up to 14,000 Jobs under Restructuring Plan,” BBC News, May 15, 2013, accessed January 9, 2018, www.bbc.com/news/business-22537306.</w:t>
      </w:r>
    </w:p>
  </w:endnote>
  <w:endnote w:id="9">
    <w:p w14:paraId="284623F1" w14:textId="44ACF0ED"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Jill </w:t>
      </w:r>
      <w:proofErr w:type="spellStart"/>
      <w:r w:rsidRPr="004A1294">
        <w:rPr>
          <w:lang w:val="en-GB"/>
        </w:rPr>
        <w:t>Treanor</w:t>
      </w:r>
      <w:proofErr w:type="spellEnd"/>
      <w:r w:rsidRPr="004A1294">
        <w:rPr>
          <w:lang w:val="en-GB"/>
        </w:rPr>
        <w:t xml:space="preserve">, “Barclays Fined £290m as Bid to Manipulate Interest Rates </w:t>
      </w:r>
      <w:r>
        <w:rPr>
          <w:lang w:val="en-GB"/>
        </w:rPr>
        <w:t>I</w:t>
      </w:r>
      <w:r w:rsidRPr="004A1294">
        <w:rPr>
          <w:lang w:val="en-GB"/>
        </w:rPr>
        <w:t xml:space="preserve">s Exposed,” </w:t>
      </w:r>
      <w:r w:rsidRPr="004A1294">
        <w:rPr>
          <w:i/>
          <w:lang w:val="en-GB"/>
        </w:rPr>
        <w:t>Guardian</w:t>
      </w:r>
      <w:r w:rsidRPr="004A1294">
        <w:rPr>
          <w:lang w:val="en-GB"/>
        </w:rPr>
        <w:t xml:space="preserve">, June 28, 2012, accessed March 20, 2016, www.theguardian.com/business/2012/jun/27/barclays-chief-bob-diamond-bonus-fine. </w:t>
      </w:r>
    </w:p>
  </w:endnote>
  <w:endnote w:id="10">
    <w:p w14:paraId="25DDA46D"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Dominic </w:t>
      </w:r>
      <w:proofErr w:type="spellStart"/>
      <w:r w:rsidRPr="004A1294">
        <w:rPr>
          <w:lang w:val="en-GB"/>
        </w:rPr>
        <w:t>Rushe</w:t>
      </w:r>
      <w:proofErr w:type="spellEnd"/>
      <w:r w:rsidRPr="004A1294">
        <w:rPr>
          <w:lang w:val="en-GB"/>
        </w:rPr>
        <w:t xml:space="preserve">, “HSBC Failed to Act on Money Laundering, Says US Senate,” </w:t>
      </w:r>
      <w:r w:rsidRPr="004A1294">
        <w:rPr>
          <w:i/>
          <w:lang w:val="en-GB"/>
        </w:rPr>
        <w:t>Guardian</w:t>
      </w:r>
      <w:r w:rsidRPr="004A1294">
        <w:rPr>
          <w:lang w:val="en-GB"/>
        </w:rPr>
        <w:t>, July 12, 2012, accessed March 20, 2016, www.theguardian.com/business/2012/jul/17/hsbc-money-laundering-us-senate.</w:t>
      </w:r>
    </w:p>
  </w:endnote>
  <w:endnote w:id="11">
    <w:p w14:paraId="42F9B533"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Jill </w:t>
      </w:r>
      <w:proofErr w:type="spellStart"/>
      <w:r w:rsidRPr="004A1294">
        <w:rPr>
          <w:lang w:val="en-GB"/>
        </w:rPr>
        <w:t>Treanor</w:t>
      </w:r>
      <w:proofErr w:type="spellEnd"/>
      <w:r w:rsidRPr="004A1294">
        <w:rPr>
          <w:lang w:val="en-GB"/>
        </w:rPr>
        <w:t xml:space="preserve">, “Standard Charted to Pay $340m Fine to New York Bank Regulator,” </w:t>
      </w:r>
      <w:r w:rsidRPr="004A1294">
        <w:rPr>
          <w:i/>
          <w:lang w:val="en-GB"/>
        </w:rPr>
        <w:t>Guardian</w:t>
      </w:r>
      <w:r w:rsidRPr="004A1294">
        <w:rPr>
          <w:lang w:val="en-GB"/>
        </w:rPr>
        <w:t>, August 14, 2012, accessed March 20, 2016, www.theguardian.com/business/2012/aug/14/standard-chartered-pay-fine-regulator.</w:t>
      </w:r>
    </w:p>
  </w:endnote>
  <w:endnote w:id="12">
    <w:p w14:paraId="00A949EF" w14:textId="77777777" w:rsidR="00322A61" w:rsidRPr="004A1294" w:rsidRDefault="00322A61" w:rsidP="000C7D3F">
      <w:pPr>
        <w:pStyle w:val="Footnote"/>
        <w:rPr>
          <w:lang w:val="en-GB"/>
        </w:rPr>
      </w:pPr>
      <w:r w:rsidRPr="004A1294">
        <w:rPr>
          <w:rStyle w:val="EndnoteReference"/>
          <w:lang w:val="en-GB"/>
        </w:rPr>
        <w:endnoteRef/>
      </w:r>
      <w:r w:rsidRPr="004A1294">
        <w:rPr>
          <w:i/>
          <w:lang w:val="en-GB"/>
        </w:rPr>
        <w:t xml:space="preserve"> </w:t>
      </w:r>
      <w:r>
        <w:rPr>
          <w:lang w:val="en-GB"/>
        </w:rPr>
        <w:t xml:space="preserve">David Benoit, </w:t>
      </w:r>
      <w:r w:rsidRPr="004A1294">
        <w:rPr>
          <w:lang w:val="en-GB"/>
        </w:rPr>
        <w:t xml:space="preserve">“Standard </w:t>
      </w:r>
      <w:proofErr w:type="spellStart"/>
      <w:r w:rsidRPr="004A1294">
        <w:rPr>
          <w:lang w:val="en-GB"/>
        </w:rPr>
        <w:t>Chartered’s</w:t>
      </w:r>
      <w:proofErr w:type="spellEnd"/>
      <w:r w:rsidRPr="004A1294">
        <w:rPr>
          <w:lang w:val="en-GB"/>
        </w:rPr>
        <w:t xml:space="preserve"> Fine Tally Runs to $667 Million,” </w:t>
      </w:r>
      <w:r w:rsidRPr="004A1294">
        <w:rPr>
          <w:i/>
          <w:lang w:val="en-GB"/>
        </w:rPr>
        <w:t>Wall Street Journal</w:t>
      </w:r>
      <w:r w:rsidRPr="004A1294">
        <w:rPr>
          <w:lang w:val="en-GB"/>
        </w:rPr>
        <w:t>, December 10, 2012, accessed February 26, 2015, http://blogs.wsj.com/deals/2012/12/10/standard-chartereds-fine-tally-runs-to-667-million.</w:t>
      </w:r>
    </w:p>
  </w:endnote>
  <w:endnote w:id="13">
    <w:p w14:paraId="79861895"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“Our History,” Standard Chartered PLC, accessed March 20, 2016, www.sc.com/en/about-us/our-history.html.</w:t>
      </w:r>
    </w:p>
  </w:endnote>
  <w:endnote w:id="14">
    <w:p w14:paraId="286A0644" w14:textId="39A3877E"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Ibid. </w:t>
      </w:r>
    </w:p>
  </w:endnote>
  <w:endnote w:id="15">
    <w:p w14:paraId="067F2092"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w:t>
      </w:r>
      <w:r>
        <w:rPr>
          <w:lang w:val="en-GB"/>
        </w:rPr>
        <w:t xml:space="preserve">“Global Head Office,” </w:t>
      </w:r>
      <w:r w:rsidRPr="004A1294">
        <w:rPr>
          <w:lang w:val="en-GB"/>
        </w:rPr>
        <w:t xml:space="preserve">Standard Chartered Bank, accessed March 20, 2016, https://www.sc.com/en/about-us/standard-chartered-worldwide/europe/unitedkingdom.html. </w:t>
      </w:r>
    </w:p>
  </w:endnote>
  <w:endnote w:id="16">
    <w:p w14:paraId="5611278D" w14:textId="61719BB6" w:rsidR="00322A61" w:rsidRPr="004A1294" w:rsidRDefault="00322A61" w:rsidP="000C7D3F">
      <w:pPr>
        <w:pStyle w:val="Footnote"/>
        <w:rPr>
          <w:spacing w:val="-6"/>
          <w:kern w:val="17"/>
          <w:lang w:val="en-GB"/>
        </w:rPr>
      </w:pPr>
      <w:r w:rsidRPr="004A1294">
        <w:rPr>
          <w:rStyle w:val="EndnoteReference"/>
          <w:spacing w:val="-6"/>
          <w:kern w:val="17"/>
          <w:lang w:val="en-GB"/>
        </w:rPr>
        <w:endnoteRef/>
      </w:r>
      <w:r w:rsidRPr="004A1294">
        <w:rPr>
          <w:spacing w:val="-6"/>
          <w:kern w:val="17"/>
          <w:lang w:val="en-GB"/>
        </w:rPr>
        <w:t xml:space="preserve"> “Our History,” op. cit. </w:t>
      </w:r>
    </w:p>
  </w:endnote>
  <w:endnote w:id="17">
    <w:p w14:paraId="6B2733FF" w14:textId="78EE65E6" w:rsidR="00322A61" w:rsidRPr="004A1294" w:rsidRDefault="00322A61" w:rsidP="000C7D3F">
      <w:pPr>
        <w:pStyle w:val="Footnote"/>
        <w:rPr>
          <w:spacing w:val="-4"/>
          <w:kern w:val="17"/>
          <w:lang w:val="en-GB"/>
        </w:rPr>
      </w:pPr>
      <w:r w:rsidRPr="004A1294">
        <w:rPr>
          <w:rStyle w:val="EndnoteReference"/>
          <w:spacing w:val="-4"/>
          <w:kern w:val="17"/>
          <w:lang w:val="en-GB"/>
        </w:rPr>
        <w:endnoteRef/>
      </w:r>
      <w:r w:rsidRPr="004A1294">
        <w:rPr>
          <w:spacing w:val="-4"/>
          <w:kern w:val="17"/>
          <w:lang w:val="en-GB"/>
        </w:rPr>
        <w:t xml:space="preserve"> Standard Chartered PLC, “Standard Chartered Reorganisation of Business and Board Changes</w:t>
      </w:r>
      <w:r>
        <w:rPr>
          <w:spacing w:val="-4"/>
          <w:kern w:val="17"/>
          <w:lang w:val="en-GB"/>
        </w:rPr>
        <w:t>,</w:t>
      </w:r>
      <w:r w:rsidRPr="004A1294">
        <w:rPr>
          <w:spacing w:val="-4"/>
          <w:kern w:val="17"/>
          <w:lang w:val="en-GB"/>
        </w:rPr>
        <w:t xml:space="preserve">” </w:t>
      </w:r>
      <w:r>
        <w:rPr>
          <w:spacing w:val="-4"/>
          <w:kern w:val="17"/>
          <w:lang w:val="en-GB"/>
        </w:rPr>
        <w:t xml:space="preserve">press release, </w:t>
      </w:r>
      <w:r w:rsidRPr="004A1294">
        <w:rPr>
          <w:spacing w:val="-4"/>
          <w:kern w:val="17"/>
          <w:lang w:val="en-GB"/>
        </w:rPr>
        <w:t xml:space="preserve">January 9, 2014, accessed March 20, 2016, https://www.sc.com/en/news-and-media/news/global/09-01-2014-reorganisation-and-changes.html. </w:t>
      </w:r>
    </w:p>
  </w:endnote>
  <w:endnote w:id="18">
    <w:p w14:paraId="5A02AD6E"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w:t>
      </w:r>
      <w:proofErr w:type="spellStart"/>
      <w:r w:rsidRPr="004A1294">
        <w:rPr>
          <w:lang w:val="en-GB"/>
        </w:rPr>
        <w:t>StanChart</w:t>
      </w:r>
      <w:proofErr w:type="spellEnd"/>
      <w:r w:rsidRPr="004A1294">
        <w:rPr>
          <w:lang w:val="en-GB"/>
        </w:rPr>
        <w:t xml:space="preserve"> Eyes Bank Stake Sales as It Tries to Slim Down,” Reuters, January 16, 2015, accessed January 9, 2018, www.reuters.com/article/2015/01/16/stanchart-restructuring-idUSL3N0UU18Y20150116.</w:t>
      </w:r>
    </w:p>
  </w:endnote>
  <w:endnote w:id="19">
    <w:p w14:paraId="33C42F1A" w14:textId="54D65766"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Ibid. </w:t>
      </w:r>
    </w:p>
  </w:endnote>
  <w:endnote w:id="20">
    <w:p w14:paraId="084FBFA2" w14:textId="6EFFBBF2" w:rsidR="00322A61" w:rsidRPr="004A1294" w:rsidRDefault="00322A61" w:rsidP="000C7D3F">
      <w:pPr>
        <w:pStyle w:val="Footnote"/>
        <w:rPr>
          <w:spacing w:val="-4"/>
          <w:kern w:val="17"/>
          <w:lang w:val="en-GB"/>
        </w:rPr>
      </w:pPr>
      <w:r w:rsidRPr="004A1294">
        <w:rPr>
          <w:rStyle w:val="EndnoteReference"/>
          <w:spacing w:val="-4"/>
          <w:kern w:val="17"/>
          <w:lang w:val="en-GB"/>
        </w:rPr>
        <w:endnoteRef/>
      </w:r>
      <w:r w:rsidRPr="004A1294">
        <w:rPr>
          <w:spacing w:val="-4"/>
          <w:kern w:val="17"/>
          <w:lang w:val="en-GB"/>
        </w:rPr>
        <w:t xml:space="preserve"> Standard Chartered PLC, “Standard Chartered Reorganisation of Business and Board Changes</w:t>
      </w:r>
      <w:r>
        <w:rPr>
          <w:spacing w:val="-4"/>
          <w:kern w:val="17"/>
          <w:lang w:val="en-GB"/>
        </w:rPr>
        <w:t>,</w:t>
      </w:r>
      <w:r w:rsidRPr="004A1294">
        <w:rPr>
          <w:spacing w:val="-4"/>
          <w:kern w:val="17"/>
          <w:lang w:val="en-GB"/>
        </w:rPr>
        <w:t xml:space="preserve">” </w:t>
      </w:r>
      <w:r>
        <w:rPr>
          <w:spacing w:val="-4"/>
          <w:kern w:val="17"/>
          <w:lang w:val="en-GB"/>
        </w:rPr>
        <w:t>op. cit.</w:t>
      </w:r>
      <w:r w:rsidRPr="004A1294">
        <w:rPr>
          <w:spacing w:val="-4"/>
          <w:kern w:val="17"/>
          <w:lang w:val="en-GB"/>
        </w:rPr>
        <w:t xml:space="preserve"> </w:t>
      </w:r>
    </w:p>
  </w:endnote>
  <w:endnote w:id="21">
    <w:p w14:paraId="76774C64" w14:textId="4401E1FE"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Ibid. </w:t>
      </w:r>
    </w:p>
  </w:endnote>
  <w:endnote w:id="22">
    <w:p w14:paraId="59BA8E6A" w14:textId="318704DB"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w:t>
      </w:r>
      <w:proofErr w:type="spellStart"/>
      <w:r w:rsidRPr="004A1294">
        <w:rPr>
          <w:lang w:val="en-GB"/>
        </w:rPr>
        <w:t>StanChart</w:t>
      </w:r>
      <w:proofErr w:type="spellEnd"/>
      <w:r w:rsidRPr="004A1294">
        <w:rPr>
          <w:lang w:val="en-GB"/>
        </w:rPr>
        <w:t xml:space="preserve"> Eyes Bank Stake Sales as It Tries to Slim Down,” op. cit. </w:t>
      </w:r>
    </w:p>
  </w:endnote>
  <w:endnote w:id="23">
    <w:p w14:paraId="64F65C89" w14:textId="23D21EE0" w:rsidR="00322A61" w:rsidRPr="004A1294" w:rsidRDefault="00322A61" w:rsidP="000C7D3F">
      <w:pPr>
        <w:pStyle w:val="Footnote"/>
        <w:rPr>
          <w:spacing w:val="-4"/>
          <w:kern w:val="17"/>
          <w:lang w:val="en-GB"/>
        </w:rPr>
      </w:pPr>
      <w:r w:rsidRPr="004A1294">
        <w:rPr>
          <w:rStyle w:val="EndnoteReference"/>
          <w:spacing w:val="-4"/>
          <w:kern w:val="17"/>
          <w:lang w:val="en-GB"/>
        </w:rPr>
        <w:endnoteRef/>
      </w:r>
      <w:r w:rsidRPr="004A1294">
        <w:rPr>
          <w:spacing w:val="-4"/>
          <w:kern w:val="17"/>
          <w:lang w:val="en-GB"/>
        </w:rPr>
        <w:t xml:space="preserve"> Standard Chartered PLC, “Full Year 2013 Income and Profits Lower in Challenging Market Conditions,” press release, March 5, 2014, accessed March 20, 2016, www.sc.com/en/news-and-media/news/global/2014-03-05-full-year-results-2013.html. </w:t>
      </w:r>
    </w:p>
  </w:endnote>
  <w:endnote w:id="24">
    <w:p w14:paraId="5A48E06A" w14:textId="7E2A9CB9" w:rsidR="00322A61" w:rsidRPr="004A1294" w:rsidRDefault="00322A61" w:rsidP="000C7D3F">
      <w:pPr>
        <w:pStyle w:val="Footnote"/>
        <w:rPr>
          <w:spacing w:val="-4"/>
          <w:kern w:val="17"/>
          <w:lang w:val="en-GB"/>
        </w:rPr>
      </w:pPr>
      <w:r w:rsidRPr="004A1294">
        <w:rPr>
          <w:rStyle w:val="EndnoteReference"/>
          <w:spacing w:val="-4"/>
          <w:kern w:val="17"/>
          <w:lang w:val="en-GB"/>
        </w:rPr>
        <w:endnoteRef/>
      </w:r>
      <w:r w:rsidRPr="004A1294">
        <w:rPr>
          <w:spacing w:val="-4"/>
          <w:kern w:val="17"/>
          <w:lang w:val="en-GB"/>
        </w:rPr>
        <w:t xml:space="preserve"> Ibid. </w:t>
      </w:r>
    </w:p>
  </w:endnote>
  <w:endnote w:id="25">
    <w:p w14:paraId="38D62AE2"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Lawrence White and Lee Slater, “Standard Chartered Shares Tumble to Five-Year Low as Profit Slumps on Bad Debts,” Reuters, October 28, 2014, accessed February 15, 2016, www.reuters.com/article/us-stanchart-results-idUSKBN0IH09N20141028. </w:t>
      </w:r>
    </w:p>
  </w:endnote>
  <w:endnote w:id="26">
    <w:p w14:paraId="0B37FAEB" w14:textId="2E52C35E"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w:t>
      </w:r>
      <w:r>
        <w:rPr>
          <w:lang w:val="en-GB"/>
        </w:rPr>
        <w:t xml:space="preserve">James </w:t>
      </w:r>
      <w:proofErr w:type="spellStart"/>
      <w:r>
        <w:rPr>
          <w:lang w:val="en-GB"/>
        </w:rPr>
        <w:t>Titcomb</w:t>
      </w:r>
      <w:proofErr w:type="spellEnd"/>
      <w:r>
        <w:rPr>
          <w:lang w:val="en-GB"/>
        </w:rPr>
        <w:t xml:space="preserve">, </w:t>
      </w:r>
      <w:r w:rsidRPr="004A1294">
        <w:rPr>
          <w:lang w:val="en-GB"/>
        </w:rPr>
        <w:t xml:space="preserve">“S&amp;P Downgrades Standard Chartered for the First Time in Bank's History,” </w:t>
      </w:r>
      <w:r w:rsidRPr="004A1294">
        <w:rPr>
          <w:i/>
          <w:lang w:val="en-GB"/>
        </w:rPr>
        <w:t>Telegraph</w:t>
      </w:r>
      <w:r w:rsidRPr="004A1294">
        <w:rPr>
          <w:lang w:val="en-GB"/>
        </w:rPr>
        <w:t>, November 28, 2014, accessed February 15, 2015, www.telegraph.co.uk/finance/newsbysector/epic/stan/11260273/SandP-downgrades-Standard-Chartered-for-the-first-time-in-banks-history.html.</w:t>
      </w:r>
    </w:p>
  </w:endnote>
  <w:endnote w:id="27">
    <w:p w14:paraId="7DA1C28A"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“Standard &amp; Poor’s Ratings Definitions,” Standard &amp; Poor’s, June 22, 2012, accessed February 15, 2015, www.standardandpoors.com/spf/general/RatingsDirect_Commentary_979212_06_22_2012_12_42_54.pdf. </w:t>
      </w:r>
    </w:p>
  </w:endnote>
  <w:endnote w:id="28">
    <w:p w14:paraId="41B118AD" w14:textId="20BBD084" w:rsidR="00322A61" w:rsidRPr="004A1294" w:rsidRDefault="00322A61" w:rsidP="000C7D3F">
      <w:pPr>
        <w:pStyle w:val="Footnote"/>
        <w:rPr>
          <w:spacing w:val="-4"/>
          <w:kern w:val="17"/>
          <w:lang w:val="en-GB"/>
        </w:rPr>
      </w:pPr>
      <w:r w:rsidRPr="004A1294">
        <w:rPr>
          <w:rStyle w:val="EndnoteReference"/>
          <w:spacing w:val="-4"/>
          <w:kern w:val="17"/>
          <w:lang w:val="en-GB"/>
        </w:rPr>
        <w:endnoteRef/>
      </w:r>
      <w:r w:rsidRPr="004A1294">
        <w:rPr>
          <w:spacing w:val="-4"/>
          <w:kern w:val="17"/>
          <w:lang w:val="en-GB"/>
        </w:rPr>
        <w:t xml:space="preserve"> “S&amp;P Downgrades Standard Chartered for the First Time in Bank</w:t>
      </w:r>
      <w:r>
        <w:rPr>
          <w:spacing w:val="-4"/>
          <w:kern w:val="17"/>
          <w:lang w:val="en-GB"/>
        </w:rPr>
        <w:t>’</w:t>
      </w:r>
      <w:r w:rsidRPr="004A1294">
        <w:rPr>
          <w:spacing w:val="-4"/>
          <w:kern w:val="17"/>
          <w:lang w:val="en-GB"/>
        </w:rPr>
        <w:t xml:space="preserve">s History,” op. cit. </w:t>
      </w:r>
    </w:p>
  </w:endnote>
  <w:endnote w:id="29">
    <w:p w14:paraId="420C7818" w14:textId="77777777" w:rsidR="00322A61" w:rsidRPr="004A1294" w:rsidRDefault="00322A61" w:rsidP="000C7D3F">
      <w:pPr>
        <w:pStyle w:val="Footnote"/>
        <w:rPr>
          <w:lang w:val="en-GB"/>
        </w:rPr>
      </w:pPr>
      <w:r w:rsidRPr="004A1294">
        <w:rPr>
          <w:rStyle w:val="EndnoteReference"/>
          <w:lang w:val="en-GB"/>
        </w:rPr>
        <w:endnoteRef/>
      </w:r>
      <w:r w:rsidRPr="004A1294">
        <w:rPr>
          <w:lang w:val="en-GB"/>
        </w:rPr>
        <w:t xml:space="preserve"> April 29, 2014, was chosen because there was infrequent trading of </w:t>
      </w:r>
      <w:proofErr w:type="spellStart"/>
      <w:r w:rsidRPr="004A1294">
        <w:rPr>
          <w:lang w:val="en-GB"/>
        </w:rPr>
        <w:t>StanChart</w:t>
      </w:r>
      <w:proofErr w:type="spellEnd"/>
      <w:r w:rsidRPr="004A1294">
        <w:rPr>
          <w:lang w:val="en-GB"/>
        </w:rPr>
        <w:t xml:space="preserve"> bonds but there were actual bond transactions recorded on this date. Moreover, this date fell into the range of the 3-month investment horizon that was used for evaluating a potential trading strategy.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78A36" w14:textId="77777777" w:rsidR="00322A61" w:rsidRDefault="00322A61" w:rsidP="00D75295">
      <w:r>
        <w:separator/>
      </w:r>
    </w:p>
  </w:footnote>
  <w:footnote w:type="continuationSeparator" w:id="0">
    <w:p w14:paraId="5C2E54E3" w14:textId="77777777" w:rsidR="00322A61" w:rsidRDefault="00322A6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C9725" w14:textId="71B1451E" w:rsidR="00322A61" w:rsidRPr="00C92CC4" w:rsidRDefault="00322A6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4F3F">
      <w:rPr>
        <w:rFonts w:ascii="Arial" w:hAnsi="Arial"/>
        <w:b/>
        <w:noProof/>
      </w:rPr>
      <w:t>8</w:t>
    </w:r>
    <w:r>
      <w:rPr>
        <w:rFonts w:ascii="Arial" w:hAnsi="Arial"/>
        <w:b/>
      </w:rPr>
      <w:fldChar w:fldCharType="end"/>
    </w:r>
    <w:r>
      <w:rPr>
        <w:rFonts w:ascii="Arial" w:hAnsi="Arial"/>
        <w:b/>
      </w:rPr>
      <w:tab/>
      <w:t>9B18N004</w:t>
    </w:r>
  </w:p>
  <w:p w14:paraId="1D7F5291" w14:textId="77777777" w:rsidR="00322A61" w:rsidRDefault="00322A61" w:rsidP="00D13667">
    <w:pPr>
      <w:pStyle w:val="Header"/>
      <w:tabs>
        <w:tab w:val="clear" w:pos="4680"/>
      </w:tabs>
      <w:rPr>
        <w:sz w:val="18"/>
        <w:szCs w:val="18"/>
      </w:rPr>
    </w:pPr>
  </w:p>
  <w:p w14:paraId="388F3C46" w14:textId="77777777" w:rsidR="00322A61" w:rsidRPr="00C92CC4" w:rsidRDefault="00322A6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62E7B" w14:textId="4678AC1B" w:rsidR="00322A61" w:rsidRPr="00C92CC4" w:rsidRDefault="00322A61" w:rsidP="005E72F0">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4F3F">
      <w:rPr>
        <w:rFonts w:ascii="Arial" w:hAnsi="Arial"/>
        <w:b/>
        <w:noProof/>
      </w:rPr>
      <w:t>10</w:t>
    </w:r>
    <w:r>
      <w:rPr>
        <w:rFonts w:ascii="Arial" w:hAnsi="Arial"/>
        <w:b/>
      </w:rPr>
      <w:fldChar w:fldCharType="end"/>
    </w:r>
    <w:r>
      <w:rPr>
        <w:rFonts w:ascii="Arial" w:hAnsi="Arial"/>
        <w:b/>
      </w:rPr>
      <w:tab/>
      <w:t>9B18N004</w:t>
    </w:r>
  </w:p>
  <w:p w14:paraId="26620784" w14:textId="77777777" w:rsidR="00322A61" w:rsidRDefault="00322A61" w:rsidP="005E72F0">
    <w:pPr>
      <w:pStyle w:val="Header"/>
      <w:tabs>
        <w:tab w:val="clear" w:pos="4680"/>
        <w:tab w:val="clear" w:pos="9360"/>
        <w:tab w:val="right" w:pos="12960"/>
      </w:tabs>
      <w:rPr>
        <w:sz w:val="18"/>
        <w:szCs w:val="18"/>
      </w:rPr>
    </w:pPr>
  </w:p>
  <w:p w14:paraId="19C71CD6" w14:textId="77777777" w:rsidR="00322A61" w:rsidRPr="00C92CC4" w:rsidRDefault="00322A61" w:rsidP="005E72F0">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77C8D" w14:textId="468432C2" w:rsidR="00322A61" w:rsidRPr="00C92CC4" w:rsidRDefault="00322A61" w:rsidP="005E72F0">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4F3F">
      <w:rPr>
        <w:rFonts w:ascii="Arial" w:hAnsi="Arial"/>
        <w:b/>
        <w:noProof/>
      </w:rPr>
      <w:t>13</w:t>
    </w:r>
    <w:r>
      <w:rPr>
        <w:rFonts w:ascii="Arial" w:hAnsi="Arial"/>
        <w:b/>
      </w:rPr>
      <w:fldChar w:fldCharType="end"/>
    </w:r>
    <w:r>
      <w:rPr>
        <w:rFonts w:ascii="Arial" w:hAnsi="Arial"/>
        <w:b/>
      </w:rPr>
      <w:tab/>
      <w:t>9B18N004</w:t>
    </w:r>
  </w:p>
  <w:p w14:paraId="22E1F861" w14:textId="77777777" w:rsidR="00322A61" w:rsidRDefault="00322A61" w:rsidP="005E72F0">
    <w:pPr>
      <w:pStyle w:val="Header"/>
      <w:tabs>
        <w:tab w:val="clear" w:pos="4680"/>
      </w:tabs>
      <w:rPr>
        <w:sz w:val="18"/>
        <w:szCs w:val="18"/>
      </w:rPr>
    </w:pPr>
  </w:p>
  <w:p w14:paraId="52025BD5" w14:textId="77777777" w:rsidR="00322A61" w:rsidRPr="00C92CC4" w:rsidRDefault="00322A61" w:rsidP="005E72F0">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33754"/>
    <w:multiLevelType w:val="hybridMultilevel"/>
    <w:tmpl w:val="911C48C2"/>
    <w:lvl w:ilvl="0" w:tplc="10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9"/>
  </w:num>
  <w:num w:numId="11">
    <w:abstractNumId w:val="12"/>
  </w:num>
  <w:num w:numId="12">
    <w:abstractNumId w:val="36"/>
  </w:num>
  <w:num w:numId="13">
    <w:abstractNumId w:val="15"/>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3"/>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13360"/>
    <w:rsid w:val="00016759"/>
    <w:rsid w:val="000216CE"/>
    <w:rsid w:val="00024ED4"/>
    <w:rsid w:val="00025DC7"/>
    <w:rsid w:val="00035F09"/>
    <w:rsid w:val="00044ECC"/>
    <w:rsid w:val="000531D3"/>
    <w:rsid w:val="0005646B"/>
    <w:rsid w:val="0008102D"/>
    <w:rsid w:val="00084F3F"/>
    <w:rsid w:val="00094C0E"/>
    <w:rsid w:val="000C7D3F"/>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3A77"/>
    <w:rsid w:val="001A752D"/>
    <w:rsid w:val="001A757E"/>
    <w:rsid w:val="001B5032"/>
    <w:rsid w:val="001C7777"/>
    <w:rsid w:val="001D572D"/>
    <w:rsid w:val="001E364F"/>
    <w:rsid w:val="001F4222"/>
    <w:rsid w:val="00203AA1"/>
    <w:rsid w:val="00213E98"/>
    <w:rsid w:val="0023081A"/>
    <w:rsid w:val="00277CA5"/>
    <w:rsid w:val="002F460C"/>
    <w:rsid w:val="002F48D6"/>
    <w:rsid w:val="003127DD"/>
    <w:rsid w:val="00316DA5"/>
    <w:rsid w:val="00317391"/>
    <w:rsid w:val="00317F40"/>
    <w:rsid w:val="00322A61"/>
    <w:rsid w:val="00326216"/>
    <w:rsid w:val="00336580"/>
    <w:rsid w:val="00354899"/>
    <w:rsid w:val="00355FD6"/>
    <w:rsid w:val="00364A5C"/>
    <w:rsid w:val="00373FB1"/>
    <w:rsid w:val="00374435"/>
    <w:rsid w:val="00396C76"/>
    <w:rsid w:val="003B30D8"/>
    <w:rsid w:val="003B7EF2"/>
    <w:rsid w:val="003C3FA4"/>
    <w:rsid w:val="003C5249"/>
    <w:rsid w:val="003D0BA1"/>
    <w:rsid w:val="003F2B0C"/>
    <w:rsid w:val="004105B2"/>
    <w:rsid w:val="00412900"/>
    <w:rsid w:val="004221E4"/>
    <w:rsid w:val="004273F8"/>
    <w:rsid w:val="004355A3"/>
    <w:rsid w:val="00446546"/>
    <w:rsid w:val="00452769"/>
    <w:rsid w:val="00465348"/>
    <w:rsid w:val="0048059C"/>
    <w:rsid w:val="00484277"/>
    <w:rsid w:val="004A0A44"/>
    <w:rsid w:val="004A1294"/>
    <w:rsid w:val="004B1CCB"/>
    <w:rsid w:val="004B632F"/>
    <w:rsid w:val="004D3FB1"/>
    <w:rsid w:val="004D6F21"/>
    <w:rsid w:val="004D73A5"/>
    <w:rsid w:val="005160F1"/>
    <w:rsid w:val="00516FDA"/>
    <w:rsid w:val="00524B27"/>
    <w:rsid w:val="00524F2F"/>
    <w:rsid w:val="00527E5C"/>
    <w:rsid w:val="00532CF5"/>
    <w:rsid w:val="005476A1"/>
    <w:rsid w:val="005528CB"/>
    <w:rsid w:val="00566771"/>
    <w:rsid w:val="00581E2E"/>
    <w:rsid w:val="00584F15"/>
    <w:rsid w:val="0059514B"/>
    <w:rsid w:val="005A1B0F"/>
    <w:rsid w:val="005E72F0"/>
    <w:rsid w:val="006163F7"/>
    <w:rsid w:val="00627C63"/>
    <w:rsid w:val="0063350B"/>
    <w:rsid w:val="00652606"/>
    <w:rsid w:val="00666712"/>
    <w:rsid w:val="006840F6"/>
    <w:rsid w:val="00690AA7"/>
    <w:rsid w:val="006946EE"/>
    <w:rsid w:val="006A58A9"/>
    <w:rsid w:val="006A606D"/>
    <w:rsid w:val="006C0371"/>
    <w:rsid w:val="006C08B6"/>
    <w:rsid w:val="006C0B1A"/>
    <w:rsid w:val="006C2A64"/>
    <w:rsid w:val="006C4583"/>
    <w:rsid w:val="006C6065"/>
    <w:rsid w:val="006C7F9F"/>
    <w:rsid w:val="006E2F6D"/>
    <w:rsid w:val="006E58F6"/>
    <w:rsid w:val="006E77E1"/>
    <w:rsid w:val="006F131D"/>
    <w:rsid w:val="00711642"/>
    <w:rsid w:val="00715891"/>
    <w:rsid w:val="007507C6"/>
    <w:rsid w:val="00751E0B"/>
    <w:rsid w:val="00752BCD"/>
    <w:rsid w:val="00766DA1"/>
    <w:rsid w:val="00780D94"/>
    <w:rsid w:val="00784AB5"/>
    <w:rsid w:val="007866A6"/>
    <w:rsid w:val="007A130D"/>
    <w:rsid w:val="007A4173"/>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1325"/>
    <w:rsid w:val="00995547"/>
    <w:rsid w:val="009A312F"/>
    <w:rsid w:val="009A5348"/>
    <w:rsid w:val="009B0AB7"/>
    <w:rsid w:val="009C76D5"/>
    <w:rsid w:val="009D65F6"/>
    <w:rsid w:val="009F7AA4"/>
    <w:rsid w:val="00A10AD7"/>
    <w:rsid w:val="00A559DB"/>
    <w:rsid w:val="00A569EA"/>
    <w:rsid w:val="00AF35FC"/>
    <w:rsid w:val="00AF5556"/>
    <w:rsid w:val="00B03639"/>
    <w:rsid w:val="00B0652A"/>
    <w:rsid w:val="00B40937"/>
    <w:rsid w:val="00B423EF"/>
    <w:rsid w:val="00B453DE"/>
    <w:rsid w:val="00B72597"/>
    <w:rsid w:val="00B73828"/>
    <w:rsid w:val="00B901F9"/>
    <w:rsid w:val="00B91507"/>
    <w:rsid w:val="00BA4570"/>
    <w:rsid w:val="00BD6EFB"/>
    <w:rsid w:val="00BE3826"/>
    <w:rsid w:val="00C1584D"/>
    <w:rsid w:val="00C15BE2"/>
    <w:rsid w:val="00C3447F"/>
    <w:rsid w:val="00C45E8D"/>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261C"/>
    <w:rsid w:val="00D97F12"/>
    <w:rsid w:val="00DA6095"/>
    <w:rsid w:val="00DB42E7"/>
    <w:rsid w:val="00DE01A6"/>
    <w:rsid w:val="00DE5A3A"/>
    <w:rsid w:val="00DE7A98"/>
    <w:rsid w:val="00DF32C2"/>
    <w:rsid w:val="00E21607"/>
    <w:rsid w:val="00E471A7"/>
    <w:rsid w:val="00E635CF"/>
    <w:rsid w:val="00EC6E0A"/>
    <w:rsid w:val="00ED4E18"/>
    <w:rsid w:val="00EE1F37"/>
    <w:rsid w:val="00EF2E73"/>
    <w:rsid w:val="00F0159C"/>
    <w:rsid w:val="00F105B7"/>
    <w:rsid w:val="00F13220"/>
    <w:rsid w:val="00F17A21"/>
    <w:rsid w:val="00F37B27"/>
    <w:rsid w:val="00F46556"/>
    <w:rsid w:val="00F50E91"/>
    <w:rsid w:val="00F578EB"/>
    <w:rsid w:val="00F57D29"/>
    <w:rsid w:val="00F96201"/>
    <w:rsid w:val="00F97FBB"/>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2E1E1F1"/>
  <w15:docId w15:val="{9AFB29EE-3A22-49E3-9BF4-793E977E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75353">
      <w:bodyDiv w:val="1"/>
      <w:marLeft w:val="0"/>
      <w:marRight w:val="0"/>
      <w:marTop w:val="0"/>
      <w:marBottom w:val="0"/>
      <w:divBdr>
        <w:top w:val="none" w:sz="0" w:space="0" w:color="auto"/>
        <w:left w:val="none" w:sz="0" w:space="0" w:color="auto"/>
        <w:bottom w:val="none" w:sz="0" w:space="0" w:color="auto"/>
        <w:right w:val="none" w:sz="0" w:space="0" w:color="auto"/>
      </w:divBdr>
    </w:div>
    <w:div w:id="103057035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inra-markets.morningstar.com/BondCenter/BondDetail.jsp?ticker=FSCBFF3764769&amp;symbol=SCBFF3764769"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izhzr\AppData\Local\Microsoft\Windows\Temporary%20Internet%20Files\Content.Outlook\ETLTHQMQ\180222%20StudentSpreadsheet-ToAuthorEdi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izhzr\AppData\Local\Microsoft\Windows\Temporary%20Internet%20Files\Content.Outlook\ETLTHQMQ\180222%20StudentSpreadsheet-ToAuthorEdi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'Exhibit 8A'!$B$1</c:f>
              <c:strCache>
                <c:ptCount val="1"/>
                <c:pt idx="0">
                  <c:v>Utilization Rate</c:v>
                </c:pt>
              </c:strCache>
            </c:strRef>
          </c:tx>
          <c:spPr>
            <a:ln w="19050" cap="rnd" cmpd="sng" algn="ctr">
              <a:solidFill>
                <a:schemeClr val="dk1">
                  <a:tint val="88500"/>
                </a:schemeClr>
              </a:solidFill>
              <a:prstDash val="sysDash"/>
              <a:round/>
            </a:ln>
            <a:effectLst/>
          </c:spPr>
          <c:marker>
            <c:symbol val="none"/>
          </c:marker>
          <c:cat>
            <c:numRef>
              <c:f>'Exhibit 8A'!$A$2:$A$289</c:f>
              <c:numCache>
                <c:formatCode>m/d/yyyy</c:formatCode>
                <c:ptCount val="288"/>
                <c:pt idx="0">
                  <c:v>41246</c:v>
                </c:pt>
                <c:pt idx="1">
                  <c:v>41247</c:v>
                </c:pt>
                <c:pt idx="2">
                  <c:v>41248</c:v>
                </c:pt>
                <c:pt idx="3">
                  <c:v>41249</c:v>
                </c:pt>
                <c:pt idx="4">
                  <c:v>41250</c:v>
                </c:pt>
                <c:pt idx="5">
                  <c:v>41253</c:v>
                </c:pt>
                <c:pt idx="6">
                  <c:v>41254</c:v>
                </c:pt>
                <c:pt idx="7">
                  <c:v>41255</c:v>
                </c:pt>
                <c:pt idx="8">
                  <c:v>41256</c:v>
                </c:pt>
                <c:pt idx="9">
                  <c:v>41257</c:v>
                </c:pt>
                <c:pt idx="10">
                  <c:v>41260</c:v>
                </c:pt>
                <c:pt idx="11">
                  <c:v>41261</c:v>
                </c:pt>
                <c:pt idx="12">
                  <c:v>41262</c:v>
                </c:pt>
                <c:pt idx="13">
                  <c:v>41263</c:v>
                </c:pt>
                <c:pt idx="14">
                  <c:v>41264</c:v>
                </c:pt>
                <c:pt idx="15">
                  <c:v>41267</c:v>
                </c:pt>
                <c:pt idx="16">
                  <c:v>41268</c:v>
                </c:pt>
                <c:pt idx="17">
                  <c:v>41269</c:v>
                </c:pt>
                <c:pt idx="18">
                  <c:v>41270</c:v>
                </c:pt>
                <c:pt idx="19">
                  <c:v>41271</c:v>
                </c:pt>
                <c:pt idx="20">
                  <c:v>41274</c:v>
                </c:pt>
                <c:pt idx="21">
                  <c:v>41275</c:v>
                </c:pt>
                <c:pt idx="22">
                  <c:v>41276</c:v>
                </c:pt>
                <c:pt idx="23">
                  <c:v>41277</c:v>
                </c:pt>
                <c:pt idx="24">
                  <c:v>41278</c:v>
                </c:pt>
                <c:pt idx="25">
                  <c:v>41281</c:v>
                </c:pt>
                <c:pt idx="26">
                  <c:v>41282</c:v>
                </c:pt>
                <c:pt idx="27">
                  <c:v>41283</c:v>
                </c:pt>
                <c:pt idx="28">
                  <c:v>41284</c:v>
                </c:pt>
                <c:pt idx="29">
                  <c:v>41285</c:v>
                </c:pt>
                <c:pt idx="30">
                  <c:v>41288</c:v>
                </c:pt>
                <c:pt idx="31">
                  <c:v>41289</c:v>
                </c:pt>
                <c:pt idx="32">
                  <c:v>41290</c:v>
                </c:pt>
                <c:pt idx="33">
                  <c:v>41291</c:v>
                </c:pt>
                <c:pt idx="34">
                  <c:v>41292</c:v>
                </c:pt>
                <c:pt idx="35">
                  <c:v>41295</c:v>
                </c:pt>
                <c:pt idx="36">
                  <c:v>41296</c:v>
                </c:pt>
                <c:pt idx="37">
                  <c:v>41297</c:v>
                </c:pt>
                <c:pt idx="38">
                  <c:v>41298</c:v>
                </c:pt>
                <c:pt idx="39">
                  <c:v>41299</c:v>
                </c:pt>
                <c:pt idx="40">
                  <c:v>41302</c:v>
                </c:pt>
                <c:pt idx="41">
                  <c:v>41303</c:v>
                </c:pt>
                <c:pt idx="42">
                  <c:v>41304</c:v>
                </c:pt>
                <c:pt idx="43">
                  <c:v>41305</c:v>
                </c:pt>
                <c:pt idx="44">
                  <c:v>41306</c:v>
                </c:pt>
                <c:pt idx="45">
                  <c:v>41309</c:v>
                </c:pt>
                <c:pt idx="46">
                  <c:v>41310</c:v>
                </c:pt>
                <c:pt idx="47">
                  <c:v>41311</c:v>
                </c:pt>
                <c:pt idx="48">
                  <c:v>41312</c:v>
                </c:pt>
                <c:pt idx="49">
                  <c:v>41313</c:v>
                </c:pt>
                <c:pt idx="50">
                  <c:v>41316</c:v>
                </c:pt>
                <c:pt idx="51">
                  <c:v>41317</c:v>
                </c:pt>
                <c:pt idx="52">
                  <c:v>41318</c:v>
                </c:pt>
                <c:pt idx="53">
                  <c:v>41319</c:v>
                </c:pt>
                <c:pt idx="54">
                  <c:v>41320</c:v>
                </c:pt>
                <c:pt idx="55">
                  <c:v>41323</c:v>
                </c:pt>
                <c:pt idx="56">
                  <c:v>41324</c:v>
                </c:pt>
                <c:pt idx="57">
                  <c:v>41325</c:v>
                </c:pt>
                <c:pt idx="58">
                  <c:v>41326</c:v>
                </c:pt>
                <c:pt idx="59">
                  <c:v>41327</c:v>
                </c:pt>
                <c:pt idx="60">
                  <c:v>41330</c:v>
                </c:pt>
                <c:pt idx="61">
                  <c:v>41331</c:v>
                </c:pt>
                <c:pt idx="62">
                  <c:v>41332</c:v>
                </c:pt>
                <c:pt idx="63">
                  <c:v>41333</c:v>
                </c:pt>
                <c:pt idx="64">
                  <c:v>41334</c:v>
                </c:pt>
                <c:pt idx="65">
                  <c:v>41337</c:v>
                </c:pt>
                <c:pt idx="66">
                  <c:v>41338</c:v>
                </c:pt>
                <c:pt idx="67">
                  <c:v>41339</c:v>
                </c:pt>
                <c:pt idx="68">
                  <c:v>41340</c:v>
                </c:pt>
                <c:pt idx="69">
                  <c:v>41341</c:v>
                </c:pt>
                <c:pt idx="70">
                  <c:v>41344</c:v>
                </c:pt>
                <c:pt idx="71">
                  <c:v>41345</c:v>
                </c:pt>
                <c:pt idx="72">
                  <c:v>41346</c:v>
                </c:pt>
                <c:pt idx="73">
                  <c:v>41347</c:v>
                </c:pt>
                <c:pt idx="74">
                  <c:v>41348</c:v>
                </c:pt>
                <c:pt idx="75">
                  <c:v>41351</c:v>
                </c:pt>
                <c:pt idx="76">
                  <c:v>41352</c:v>
                </c:pt>
                <c:pt idx="77">
                  <c:v>41353</c:v>
                </c:pt>
                <c:pt idx="78">
                  <c:v>41354</c:v>
                </c:pt>
                <c:pt idx="79">
                  <c:v>41355</c:v>
                </c:pt>
                <c:pt idx="80">
                  <c:v>41358</c:v>
                </c:pt>
                <c:pt idx="81">
                  <c:v>41359</c:v>
                </c:pt>
                <c:pt idx="82">
                  <c:v>41360</c:v>
                </c:pt>
                <c:pt idx="83">
                  <c:v>41361</c:v>
                </c:pt>
                <c:pt idx="84">
                  <c:v>41362</c:v>
                </c:pt>
                <c:pt idx="85">
                  <c:v>41365</c:v>
                </c:pt>
                <c:pt idx="86">
                  <c:v>41366</c:v>
                </c:pt>
                <c:pt idx="87">
                  <c:v>41367</c:v>
                </c:pt>
                <c:pt idx="88">
                  <c:v>41368</c:v>
                </c:pt>
                <c:pt idx="89">
                  <c:v>41369</c:v>
                </c:pt>
                <c:pt idx="90">
                  <c:v>41372</c:v>
                </c:pt>
                <c:pt idx="91">
                  <c:v>41373</c:v>
                </c:pt>
                <c:pt idx="92">
                  <c:v>41374</c:v>
                </c:pt>
                <c:pt idx="93">
                  <c:v>41375</c:v>
                </c:pt>
                <c:pt idx="94">
                  <c:v>41376</c:v>
                </c:pt>
                <c:pt idx="95">
                  <c:v>41379</c:v>
                </c:pt>
                <c:pt idx="96">
                  <c:v>41380</c:v>
                </c:pt>
                <c:pt idx="97">
                  <c:v>41381</c:v>
                </c:pt>
                <c:pt idx="98">
                  <c:v>41382</c:v>
                </c:pt>
                <c:pt idx="99">
                  <c:v>41383</c:v>
                </c:pt>
                <c:pt idx="100">
                  <c:v>41386</c:v>
                </c:pt>
                <c:pt idx="101">
                  <c:v>41387</c:v>
                </c:pt>
                <c:pt idx="102">
                  <c:v>41388</c:v>
                </c:pt>
                <c:pt idx="103">
                  <c:v>41389</c:v>
                </c:pt>
                <c:pt idx="104">
                  <c:v>41390</c:v>
                </c:pt>
                <c:pt idx="105">
                  <c:v>41393</c:v>
                </c:pt>
                <c:pt idx="106">
                  <c:v>41394</c:v>
                </c:pt>
                <c:pt idx="107">
                  <c:v>41395</c:v>
                </c:pt>
                <c:pt idx="108">
                  <c:v>41396</c:v>
                </c:pt>
                <c:pt idx="109">
                  <c:v>41397</c:v>
                </c:pt>
                <c:pt idx="110">
                  <c:v>41400</c:v>
                </c:pt>
                <c:pt idx="111">
                  <c:v>41401</c:v>
                </c:pt>
                <c:pt idx="112">
                  <c:v>41402</c:v>
                </c:pt>
                <c:pt idx="113">
                  <c:v>41403</c:v>
                </c:pt>
                <c:pt idx="114">
                  <c:v>41404</c:v>
                </c:pt>
                <c:pt idx="115">
                  <c:v>41407</c:v>
                </c:pt>
                <c:pt idx="116">
                  <c:v>41408</c:v>
                </c:pt>
                <c:pt idx="117">
                  <c:v>41409</c:v>
                </c:pt>
                <c:pt idx="118">
                  <c:v>41410</c:v>
                </c:pt>
                <c:pt idx="119">
                  <c:v>41411</c:v>
                </c:pt>
                <c:pt idx="120">
                  <c:v>41414</c:v>
                </c:pt>
                <c:pt idx="121">
                  <c:v>41415</c:v>
                </c:pt>
                <c:pt idx="122">
                  <c:v>41416</c:v>
                </c:pt>
                <c:pt idx="123">
                  <c:v>41417</c:v>
                </c:pt>
                <c:pt idx="124">
                  <c:v>41418</c:v>
                </c:pt>
                <c:pt idx="125">
                  <c:v>41421</c:v>
                </c:pt>
                <c:pt idx="126">
                  <c:v>41422</c:v>
                </c:pt>
                <c:pt idx="127">
                  <c:v>41423</c:v>
                </c:pt>
                <c:pt idx="128">
                  <c:v>41424</c:v>
                </c:pt>
                <c:pt idx="129">
                  <c:v>41425</c:v>
                </c:pt>
                <c:pt idx="130">
                  <c:v>41428</c:v>
                </c:pt>
                <c:pt idx="131">
                  <c:v>41429</c:v>
                </c:pt>
                <c:pt idx="132">
                  <c:v>41430</c:v>
                </c:pt>
                <c:pt idx="133">
                  <c:v>41431</c:v>
                </c:pt>
                <c:pt idx="134">
                  <c:v>41432</c:v>
                </c:pt>
                <c:pt idx="135">
                  <c:v>41435</c:v>
                </c:pt>
                <c:pt idx="136">
                  <c:v>41436</c:v>
                </c:pt>
                <c:pt idx="137">
                  <c:v>41437</c:v>
                </c:pt>
                <c:pt idx="138">
                  <c:v>41438</c:v>
                </c:pt>
                <c:pt idx="139">
                  <c:v>41439</c:v>
                </c:pt>
                <c:pt idx="140">
                  <c:v>41442</c:v>
                </c:pt>
                <c:pt idx="141">
                  <c:v>41443</c:v>
                </c:pt>
                <c:pt idx="142">
                  <c:v>41444</c:v>
                </c:pt>
                <c:pt idx="143">
                  <c:v>41445</c:v>
                </c:pt>
                <c:pt idx="144">
                  <c:v>41446</c:v>
                </c:pt>
                <c:pt idx="145">
                  <c:v>41449</c:v>
                </c:pt>
                <c:pt idx="146">
                  <c:v>41450</c:v>
                </c:pt>
                <c:pt idx="147">
                  <c:v>41451</c:v>
                </c:pt>
                <c:pt idx="148">
                  <c:v>41452</c:v>
                </c:pt>
                <c:pt idx="149">
                  <c:v>41453</c:v>
                </c:pt>
                <c:pt idx="150">
                  <c:v>41456</c:v>
                </c:pt>
                <c:pt idx="151">
                  <c:v>41457</c:v>
                </c:pt>
                <c:pt idx="152">
                  <c:v>41458</c:v>
                </c:pt>
                <c:pt idx="153">
                  <c:v>41459</c:v>
                </c:pt>
                <c:pt idx="154">
                  <c:v>41460</c:v>
                </c:pt>
                <c:pt idx="155">
                  <c:v>41463</c:v>
                </c:pt>
                <c:pt idx="156">
                  <c:v>41464</c:v>
                </c:pt>
                <c:pt idx="157">
                  <c:v>41465</c:v>
                </c:pt>
                <c:pt idx="158">
                  <c:v>41466</c:v>
                </c:pt>
                <c:pt idx="159">
                  <c:v>41467</c:v>
                </c:pt>
                <c:pt idx="160">
                  <c:v>41470</c:v>
                </c:pt>
                <c:pt idx="161">
                  <c:v>41471</c:v>
                </c:pt>
                <c:pt idx="162">
                  <c:v>41472</c:v>
                </c:pt>
                <c:pt idx="163">
                  <c:v>41473</c:v>
                </c:pt>
                <c:pt idx="164">
                  <c:v>41474</c:v>
                </c:pt>
                <c:pt idx="165">
                  <c:v>41477</c:v>
                </c:pt>
                <c:pt idx="166">
                  <c:v>41478</c:v>
                </c:pt>
                <c:pt idx="167">
                  <c:v>41479</c:v>
                </c:pt>
                <c:pt idx="168">
                  <c:v>41480</c:v>
                </c:pt>
                <c:pt idx="169">
                  <c:v>41481</c:v>
                </c:pt>
                <c:pt idx="170">
                  <c:v>41484</c:v>
                </c:pt>
                <c:pt idx="171">
                  <c:v>41485</c:v>
                </c:pt>
                <c:pt idx="172">
                  <c:v>41486</c:v>
                </c:pt>
                <c:pt idx="173">
                  <c:v>41487</c:v>
                </c:pt>
                <c:pt idx="174">
                  <c:v>41488</c:v>
                </c:pt>
                <c:pt idx="175">
                  <c:v>41491</c:v>
                </c:pt>
                <c:pt idx="176">
                  <c:v>41492</c:v>
                </c:pt>
                <c:pt idx="177">
                  <c:v>41493</c:v>
                </c:pt>
                <c:pt idx="178">
                  <c:v>41494</c:v>
                </c:pt>
                <c:pt idx="179">
                  <c:v>41495</c:v>
                </c:pt>
                <c:pt idx="180">
                  <c:v>41498</c:v>
                </c:pt>
                <c:pt idx="181">
                  <c:v>41499</c:v>
                </c:pt>
                <c:pt idx="182">
                  <c:v>41500</c:v>
                </c:pt>
                <c:pt idx="183">
                  <c:v>41501</c:v>
                </c:pt>
                <c:pt idx="184">
                  <c:v>41502</c:v>
                </c:pt>
                <c:pt idx="185">
                  <c:v>41505</c:v>
                </c:pt>
                <c:pt idx="186">
                  <c:v>41506</c:v>
                </c:pt>
                <c:pt idx="187">
                  <c:v>41507</c:v>
                </c:pt>
                <c:pt idx="188">
                  <c:v>41508</c:v>
                </c:pt>
                <c:pt idx="189">
                  <c:v>41509</c:v>
                </c:pt>
                <c:pt idx="190">
                  <c:v>41512</c:v>
                </c:pt>
                <c:pt idx="191">
                  <c:v>41513</c:v>
                </c:pt>
                <c:pt idx="192">
                  <c:v>41514</c:v>
                </c:pt>
                <c:pt idx="193">
                  <c:v>41515</c:v>
                </c:pt>
                <c:pt idx="194">
                  <c:v>41516</c:v>
                </c:pt>
                <c:pt idx="195">
                  <c:v>41519</c:v>
                </c:pt>
                <c:pt idx="196">
                  <c:v>41520</c:v>
                </c:pt>
                <c:pt idx="197">
                  <c:v>41521</c:v>
                </c:pt>
                <c:pt idx="198">
                  <c:v>41522</c:v>
                </c:pt>
                <c:pt idx="199">
                  <c:v>41523</c:v>
                </c:pt>
                <c:pt idx="200">
                  <c:v>41526</c:v>
                </c:pt>
                <c:pt idx="201">
                  <c:v>41527</c:v>
                </c:pt>
                <c:pt idx="202">
                  <c:v>41528</c:v>
                </c:pt>
                <c:pt idx="203">
                  <c:v>41529</c:v>
                </c:pt>
                <c:pt idx="204">
                  <c:v>41530</c:v>
                </c:pt>
                <c:pt idx="205">
                  <c:v>41533</c:v>
                </c:pt>
                <c:pt idx="206">
                  <c:v>41534</c:v>
                </c:pt>
                <c:pt idx="207">
                  <c:v>41535</c:v>
                </c:pt>
                <c:pt idx="208">
                  <c:v>41536</c:v>
                </c:pt>
                <c:pt idx="209">
                  <c:v>41537</c:v>
                </c:pt>
                <c:pt idx="210">
                  <c:v>41540</c:v>
                </c:pt>
                <c:pt idx="211">
                  <c:v>41541</c:v>
                </c:pt>
                <c:pt idx="212">
                  <c:v>41542</c:v>
                </c:pt>
                <c:pt idx="213">
                  <c:v>41543</c:v>
                </c:pt>
                <c:pt idx="214">
                  <c:v>41544</c:v>
                </c:pt>
                <c:pt idx="215">
                  <c:v>41547</c:v>
                </c:pt>
                <c:pt idx="216">
                  <c:v>41548</c:v>
                </c:pt>
                <c:pt idx="217">
                  <c:v>41549</c:v>
                </c:pt>
                <c:pt idx="218">
                  <c:v>41550</c:v>
                </c:pt>
                <c:pt idx="219">
                  <c:v>41551</c:v>
                </c:pt>
                <c:pt idx="220">
                  <c:v>41554</c:v>
                </c:pt>
                <c:pt idx="221">
                  <c:v>41555</c:v>
                </c:pt>
                <c:pt idx="222">
                  <c:v>41556</c:v>
                </c:pt>
                <c:pt idx="223">
                  <c:v>41557</c:v>
                </c:pt>
                <c:pt idx="224">
                  <c:v>41558</c:v>
                </c:pt>
                <c:pt idx="225">
                  <c:v>41561</c:v>
                </c:pt>
                <c:pt idx="226">
                  <c:v>41562</c:v>
                </c:pt>
                <c:pt idx="227">
                  <c:v>41563</c:v>
                </c:pt>
                <c:pt idx="228">
                  <c:v>41564</c:v>
                </c:pt>
                <c:pt idx="229">
                  <c:v>41565</c:v>
                </c:pt>
                <c:pt idx="230">
                  <c:v>41568</c:v>
                </c:pt>
                <c:pt idx="231">
                  <c:v>41569</c:v>
                </c:pt>
                <c:pt idx="232">
                  <c:v>41570</c:v>
                </c:pt>
                <c:pt idx="233">
                  <c:v>41571</c:v>
                </c:pt>
                <c:pt idx="234">
                  <c:v>41572</c:v>
                </c:pt>
                <c:pt idx="235">
                  <c:v>41575</c:v>
                </c:pt>
                <c:pt idx="236">
                  <c:v>41576</c:v>
                </c:pt>
                <c:pt idx="237">
                  <c:v>41577</c:v>
                </c:pt>
                <c:pt idx="238">
                  <c:v>41578</c:v>
                </c:pt>
                <c:pt idx="239">
                  <c:v>41579</c:v>
                </c:pt>
                <c:pt idx="240">
                  <c:v>41582</c:v>
                </c:pt>
                <c:pt idx="241">
                  <c:v>41583</c:v>
                </c:pt>
                <c:pt idx="242">
                  <c:v>41584</c:v>
                </c:pt>
                <c:pt idx="243">
                  <c:v>41585</c:v>
                </c:pt>
                <c:pt idx="244">
                  <c:v>41586</c:v>
                </c:pt>
                <c:pt idx="245">
                  <c:v>41589</c:v>
                </c:pt>
                <c:pt idx="246">
                  <c:v>41590</c:v>
                </c:pt>
                <c:pt idx="247">
                  <c:v>41591</c:v>
                </c:pt>
                <c:pt idx="248">
                  <c:v>41592</c:v>
                </c:pt>
                <c:pt idx="249">
                  <c:v>41593</c:v>
                </c:pt>
                <c:pt idx="250">
                  <c:v>41596</c:v>
                </c:pt>
                <c:pt idx="251">
                  <c:v>41597</c:v>
                </c:pt>
                <c:pt idx="252">
                  <c:v>41598</c:v>
                </c:pt>
                <c:pt idx="253">
                  <c:v>41599</c:v>
                </c:pt>
                <c:pt idx="254">
                  <c:v>41600</c:v>
                </c:pt>
                <c:pt idx="255">
                  <c:v>41603</c:v>
                </c:pt>
                <c:pt idx="256">
                  <c:v>41604</c:v>
                </c:pt>
                <c:pt idx="257">
                  <c:v>41605</c:v>
                </c:pt>
                <c:pt idx="258">
                  <c:v>41606</c:v>
                </c:pt>
                <c:pt idx="259">
                  <c:v>41607</c:v>
                </c:pt>
                <c:pt idx="260">
                  <c:v>41610</c:v>
                </c:pt>
                <c:pt idx="261">
                  <c:v>41611</c:v>
                </c:pt>
                <c:pt idx="262">
                  <c:v>41612</c:v>
                </c:pt>
                <c:pt idx="263">
                  <c:v>41613</c:v>
                </c:pt>
                <c:pt idx="264">
                  <c:v>41614</c:v>
                </c:pt>
                <c:pt idx="265">
                  <c:v>41617</c:v>
                </c:pt>
                <c:pt idx="266">
                  <c:v>41618</c:v>
                </c:pt>
                <c:pt idx="267">
                  <c:v>41619</c:v>
                </c:pt>
                <c:pt idx="268">
                  <c:v>41620</c:v>
                </c:pt>
                <c:pt idx="269">
                  <c:v>41621</c:v>
                </c:pt>
                <c:pt idx="270">
                  <c:v>41624</c:v>
                </c:pt>
                <c:pt idx="271">
                  <c:v>41625</c:v>
                </c:pt>
                <c:pt idx="272">
                  <c:v>41626</c:v>
                </c:pt>
                <c:pt idx="273">
                  <c:v>41627</c:v>
                </c:pt>
                <c:pt idx="274">
                  <c:v>41628</c:v>
                </c:pt>
                <c:pt idx="275">
                  <c:v>41631</c:v>
                </c:pt>
                <c:pt idx="276">
                  <c:v>41632</c:v>
                </c:pt>
                <c:pt idx="277">
                  <c:v>41633</c:v>
                </c:pt>
                <c:pt idx="278">
                  <c:v>41634</c:v>
                </c:pt>
                <c:pt idx="279">
                  <c:v>41635</c:v>
                </c:pt>
                <c:pt idx="280">
                  <c:v>41638</c:v>
                </c:pt>
                <c:pt idx="281">
                  <c:v>41639</c:v>
                </c:pt>
                <c:pt idx="282">
                  <c:v>41640</c:v>
                </c:pt>
                <c:pt idx="283">
                  <c:v>41641</c:v>
                </c:pt>
                <c:pt idx="284">
                  <c:v>41642</c:v>
                </c:pt>
                <c:pt idx="285">
                  <c:v>41645</c:v>
                </c:pt>
                <c:pt idx="286">
                  <c:v>41646</c:v>
                </c:pt>
                <c:pt idx="287">
                  <c:v>41647</c:v>
                </c:pt>
              </c:numCache>
            </c:numRef>
          </c:cat>
          <c:val>
            <c:numRef>
              <c:f>'Exhibit 8A'!$B$2:$B$289</c:f>
              <c:numCache>
                <c:formatCode>General</c:formatCode>
                <c:ptCount val="288"/>
                <c:pt idx="0">
                  <c:v>11.5</c:v>
                </c:pt>
                <c:pt idx="1">
                  <c:v>11.66</c:v>
                </c:pt>
                <c:pt idx="2">
                  <c:v>11.555</c:v>
                </c:pt>
                <c:pt idx="3">
                  <c:v>11.5</c:v>
                </c:pt>
                <c:pt idx="4">
                  <c:v>11.505000000000001</c:v>
                </c:pt>
                <c:pt idx="5">
                  <c:v>11.22</c:v>
                </c:pt>
                <c:pt idx="6">
                  <c:v>11.24</c:v>
                </c:pt>
                <c:pt idx="7">
                  <c:v>11.225</c:v>
                </c:pt>
                <c:pt idx="8">
                  <c:v>11.25</c:v>
                </c:pt>
                <c:pt idx="9">
                  <c:v>11.215</c:v>
                </c:pt>
                <c:pt idx="10">
                  <c:v>12.78</c:v>
                </c:pt>
                <c:pt idx="11">
                  <c:v>12.734999999999999</c:v>
                </c:pt>
                <c:pt idx="12">
                  <c:v>12.695</c:v>
                </c:pt>
                <c:pt idx="13">
                  <c:v>12.66</c:v>
                </c:pt>
                <c:pt idx="14">
                  <c:v>12.295</c:v>
                </c:pt>
                <c:pt idx="15">
                  <c:v>12.4</c:v>
                </c:pt>
                <c:pt idx="16">
                  <c:v>12.365</c:v>
                </c:pt>
                <c:pt idx="17">
                  <c:v>12.37</c:v>
                </c:pt>
                <c:pt idx="18">
                  <c:v>11.26</c:v>
                </c:pt>
                <c:pt idx="19">
                  <c:v>11.335000000000001</c:v>
                </c:pt>
                <c:pt idx="20">
                  <c:v>11.414999999999999</c:v>
                </c:pt>
                <c:pt idx="21">
                  <c:v>11.34</c:v>
                </c:pt>
                <c:pt idx="22">
                  <c:v>11.36</c:v>
                </c:pt>
                <c:pt idx="23">
                  <c:v>12.355</c:v>
                </c:pt>
                <c:pt idx="24">
                  <c:v>11.95</c:v>
                </c:pt>
                <c:pt idx="25">
                  <c:v>11.44</c:v>
                </c:pt>
                <c:pt idx="26">
                  <c:v>7.6566999999999998</c:v>
                </c:pt>
                <c:pt idx="27">
                  <c:v>11.315</c:v>
                </c:pt>
                <c:pt idx="28">
                  <c:v>11.34</c:v>
                </c:pt>
                <c:pt idx="29">
                  <c:v>11.355</c:v>
                </c:pt>
                <c:pt idx="30">
                  <c:v>11.29</c:v>
                </c:pt>
                <c:pt idx="31">
                  <c:v>8.99</c:v>
                </c:pt>
                <c:pt idx="32">
                  <c:v>9.23</c:v>
                </c:pt>
                <c:pt idx="33">
                  <c:v>9.1950000000000003</c:v>
                </c:pt>
                <c:pt idx="34">
                  <c:v>9.2000000000000011</c:v>
                </c:pt>
                <c:pt idx="35">
                  <c:v>9.1449999999999996</c:v>
                </c:pt>
                <c:pt idx="36">
                  <c:v>9.2249999999999996</c:v>
                </c:pt>
                <c:pt idx="37">
                  <c:v>9</c:v>
                </c:pt>
                <c:pt idx="38">
                  <c:v>8.8450000000000006</c:v>
                </c:pt>
                <c:pt idx="39">
                  <c:v>8.77</c:v>
                </c:pt>
                <c:pt idx="40">
                  <c:v>8.65</c:v>
                </c:pt>
                <c:pt idx="41">
                  <c:v>8.51</c:v>
                </c:pt>
                <c:pt idx="42">
                  <c:v>8.4049999999999994</c:v>
                </c:pt>
                <c:pt idx="43">
                  <c:v>8.2650000000000006</c:v>
                </c:pt>
                <c:pt idx="44">
                  <c:v>8.23</c:v>
                </c:pt>
                <c:pt idx="45">
                  <c:v>8.1950000000000003</c:v>
                </c:pt>
                <c:pt idx="46">
                  <c:v>8.1349999999999998</c:v>
                </c:pt>
                <c:pt idx="47">
                  <c:v>8</c:v>
                </c:pt>
                <c:pt idx="48">
                  <c:v>8.1300000000000008</c:v>
                </c:pt>
                <c:pt idx="49">
                  <c:v>8.08</c:v>
                </c:pt>
                <c:pt idx="50">
                  <c:v>8.0050000000000008</c:v>
                </c:pt>
                <c:pt idx="51">
                  <c:v>8.2150000000000016</c:v>
                </c:pt>
                <c:pt idx="52">
                  <c:v>8.15</c:v>
                </c:pt>
                <c:pt idx="53">
                  <c:v>8.2950000000000017</c:v>
                </c:pt>
                <c:pt idx="54">
                  <c:v>8.3700000000000028</c:v>
                </c:pt>
                <c:pt idx="55">
                  <c:v>8.6449999999999996</c:v>
                </c:pt>
                <c:pt idx="56">
                  <c:v>8.61</c:v>
                </c:pt>
                <c:pt idx="57">
                  <c:v>8.6850000000000005</c:v>
                </c:pt>
                <c:pt idx="58">
                  <c:v>8.6050000000000004</c:v>
                </c:pt>
                <c:pt idx="59">
                  <c:v>8.52</c:v>
                </c:pt>
                <c:pt idx="60">
                  <c:v>8.48</c:v>
                </c:pt>
                <c:pt idx="61">
                  <c:v>8.3650000000000002</c:v>
                </c:pt>
                <c:pt idx="62">
                  <c:v>8.3650000000000002</c:v>
                </c:pt>
                <c:pt idx="63">
                  <c:v>8.4499999999999993</c:v>
                </c:pt>
                <c:pt idx="64">
                  <c:v>8.4949999999999992</c:v>
                </c:pt>
                <c:pt idx="65">
                  <c:v>8.6050000000000004</c:v>
                </c:pt>
                <c:pt idx="66">
                  <c:v>8.5300000000000011</c:v>
                </c:pt>
                <c:pt idx="67">
                  <c:v>8.64</c:v>
                </c:pt>
                <c:pt idx="68">
                  <c:v>9.0050000000000008</c:v>
                </c:pt>
                <c:pt idx="69">
                  <c:v>9.1850000000000005</c:v>
                </c:pt>
                <c:pt idx="70">
                  <c:v>9.48</c:v>
                </c:pt>
                <c:pt idx="71">
                  <c:v>12.72</c:v>
                </c:pt>
                <c:pt idx="72">
                  <c:v>18.815000000000001</c:v>
                </c:pt>
                <c:pt idx="73">
                  <c:v>35.744999999999997</c:v>
                </c:pt>
                <c:pt idx="74">
                  <c:v>61</c:v>
                </c:pt>
                <c:pt idx="75">
                  <c:v>26.68</c:v>
                </c:pt>
                <c:pt idx="76">
                  <c:v>23.114999999999998</c:v>
                </c:pt>
                <c:pt idx="77">
                  <c:v>15.335000000000001</c:v>
                </c:pt>
                <c:pt idx="78">
                  <c:v>12.755000000000001</c:v>
                </c:pt>
                <c:pt idx="79">
                  <c:v>10.73</c:v>
                </c:pt>
                <c:pt idx="80">
                  <c:v>10.115</c:v>
                </c:pt>
                <c:pt idx="81">
                  <c:v>9.76</c:v>
                </c:pt>
                <c:pt idx="82">
                  <c:v>9.7800000000000011</c:v>
                </c:pt>
                <c:pt idx="83">
                  <c:v>9.8249999999999993</c:v>
                </c:pt>
                <c:pt idx="84">
                  <c:v>9.83</c:v>
                </c:pt>
                <c:pt idx="85">
                  <c:v>9.875</c:v>
                </c:pt>
                <c:pt idx="86">
                  <c:v>9.5500000000000007</c:v>
                </c:pt>
                <c:pt idx="87">
                  <c:v>9.7650000000000006</c:v>
                </c:pt>
                <c:pt idx="88">
                  <c:v>9.8000000000000007</c:v>
                </c:pt>
                <c:pt idx="89">
                  <c:v>10.324999999999999</c:v>
                </c:pt>
                <c:pt idx="90">
                  <c:v>10.775</c:v>
                </c:pt>
                <c:pt idx="91">
                  <c:v>10.33</c:v>
                </c:pt>
                <c:pt idx="92">
                  <c:v>10.48</c:v>
                </c:pt>
                <c:pt idx="93">
                  <c:v>11.56</c:v>
                </c:pt>
                <c:pt idx="94">
                  <c:v>11.855</c:v>
                </c:pt>
                <c:pt idx="95">
                  <c:v>12.12</c:v>
                </c:pt>
                <c:pt idx="96">
                  <c:v>13.664999999999999</c:v>
                </c:pt>
                <c:pt idx="97">
                  <c:v>14.045</c:v>
                </c:pt>
                <c:pt idx="98">
                  <c:v>13.035</c:v>
                </c:pt>
                <c:pt idx="99">
                  <c:v>13.295</c:v>
                </c:pt>
                <c:pt idx="100">
                  <c:v>13.105</c:v>
                </c:pt>
                <c:pt idx="101">
                  <c:v>13.83</c:v>
                </c:pt>
                <c:pt idx="102">
                  <c:v>13.25</c:v>
                </c:pt>
                <c:pt idx="103">
                  <c:v>11.11</c:v>
                </c:pt>
                <c:pt idx="104">
                  <c:v>11.115</c:v>
                </c:pt>
                <c:pt idx="105">
                  <c:v>11.51</c:v>
                </c:pt>
                <c:pt idx="106">
                  <c:v>10.8</c:v>
                </c:pt>
                <c:pt idx="107">
                  <c:v>10.78</c:v>
                </c:pt>
                <c:pt idx="108">
                  <c:v>11.02</c:v>
                </c:pt>
                <c:pt idx="109">
                  <c:v>9.25</c:v>
                </c:pt>
                <c:pt idx="110">
                  <c:v>9.1150000000000002</c:v>
                </c:pt>
                <c:pt idx="111">
                  <c:v>9.15</c:v>
                </c:pt>
                <c:pt idx="112">
                  <c:v>8.5850000000000026</c:v>
                </c:pt>
                <c:pt idx="113">
                  <c:v>8.57</c:v>
                </c:pt>
                <c:pt idx="114">
                  <c:v>8.98</c:v>
                </c:pt>
                <c:pt idx="115">
                  <c:v>8.4550000000000001</c:v>
                </c:pt>
                <c:pt idx="116">
                  <c:v>8.77</c:v>
                </c:pt>
                <c:pt idx="117">
                  <c:v>12.055</c:v>
                </c:pt>
                <c:pt idx="118">
                  <c:v>13.734999999999999</c:v>
                </c:pt>
                <c:pt idx="119">
                  <c:v>13.68</c:v>
                </c:pt>
                <c:pt idx="120">
                  <c:v>13.69</c:v>
                </c:pt>
                <c:pt idx="121">
                  <c:v>13.19</c:v>
                </c:pt>
                <c:pt idx="122">
                  <c:v>13.074999999999999</c:v>
                </c:pt>
                <c:pt idx="123">
                  <c:v>11.135</c:v>
                </c:pt>
                <c:pt idx="124">
                  <c:v>8.1950000000000003</c:v>
                </c:pt>
                <c:pt idx="125">
                  <c:v>8.23</c:v>
                </c:pt>
                <c:pt idx="126">
                  <c:v>8.4350000000000005</c:v>
                </c:pt>
                <c:pt idx="127">
                  <c:v>7.56</c:v>
                </c:pt>
                <c:pt idx="128">
                  <c:v>7.5049999999999981</c:v>
                </c:pt>
                <c:pt idx="129">
                  <c:v>7.43</c:v>
                </c:pt>
                <c:pt idx="130">
                  <c:v>7.5</c:v>
                </c:pt>
                <c:pt idx="131">
                  <c:v>7.54</c:v>
                </c:pt>
                <c:pt idx="132">
                  <c:v>7.6099999999999977</c:v>
                </c:pt>
                <c:pt idx="133">
                  <c:v>7.8649999999999967</c:v>
                </c:pt>
                <c:pt idx="134">
                  <c:v>7.81</c:v>
                </c:pt>
                <c:pt idx="135">
                  <c:v>10.675000000000001</c:v>
                </c:pt>
                <c:pt idx="136">
                  <c:v>10.805</c:v>
                </c:pt>
                <c:pt idx="137">
                  <c:v>10.72</c:v>
                </c:pt>
                <c:pt idx="138">
                  <c:v>12.175000000000001</c:v>
                </c:pt>
                <c:pt idx="139">
                  <c:v>11.74</c:v>
                </c:pt>
                <c:pt idx="140">
                  <c:v>11.914999999999999</c:v>
                </c:pt>
                <c:pt idx="141">
                  <c:v>12.705</c:v>
                </c:pt>
                <c:pt idx="142">
                  <c:v>12.91</c:v>
                </c:pt>
                <c:pt idx="143">
                  <c:v>13.515000000000001</c:v>
                </c:pt>
                <c:pt idx="144">
                  <c:v>13.77</c:v>
                </c:pt>
                <c:pt idx="145">
                  <c:v>15.215</c:v>
                </c:pt>
                <c:pt idx="146">
                  <c:v>16.04</c:v>
                </c:pt>
                <c:pt idx="147">
                  <c:v>16.114999999999998</c:v>
                </c:pt>
                <c:pt idx="148">
                  <c:v>17.899999999999999</c:v>
                </c:pt>
                <c:pt idx="149">
                  <c:v>10.65</c:v>
                </c:pt>
                <c:pt idx="150">
                  <c:v>16.04</c:v>
                </c:pt>
                <c:pt idx="151">
                  <c:v>15.914999999999999</c:v>
                </c:pt>
                <c:pt idx="152">
                  <c:v>15.85</c:v>
                </c:pt>
                <c:pt idx="153">
                  <c:v>15.565</c:v>
                </c:pt>
                <c:pt idx="154">
                  <c:v>13.07</c:v>
                </c:pt>
                <c:pt idx="155">
                  <c:v>12.975</c:v>
                </c:pt>
                <c:pt idx="156">
                  <c:v>12.93</c:v>
                </c:pt>
                <c:pt idx="157">
                  <c:v>11.75</c:v>
                </c:pt>
                <c:pt idx="158">
                  <c:v>11.65</c:v>
                </c:pt>
                <c:pt idx="159">
                  <c:v>12.01</c:v>
                </c:pt>
                <c:pt idx="160">
                  <c:v>11.945</c:v>
                </c:pt>
                <c:pt idx="161">
                  <c:v>11.414999999999999</c:v>
                </c:pt>
                <c:pt idx="162">
                  <c:v>11.505000000000001</c:v>
                </c:pt>
                <c:pt idx="163">
                  <c:v>11.53</c:v>
                </c:pt>
                <c:pt idx="164">
                  <c:v>11.545</c:v>
                </c:pt>
                <c:pt idx="165">
                  <c:v>11.685</c:v>
                </c:pt>
                <c:pt idx="166">
                  <c:v>11.525</c:v>
                </c:pt>
                <c:pt idx="167">
                  <c:v>10.98</c:v>
                </c:pt>
                <c:pt idx="168">
                  <c:v>10.96</c:v>
                </c:pt>
                <c:pt idx="169">
                  <c:v>10.984999999999999</c:v>
                </c:pt>
                <c:pt idx="170">
                  <c:v>10.89</c:v>
                </c:pt>
                <c:pt idx="171">
                  <c:v>10.725</c:v>
                </c:pt>
                <c:pt idx="172">
                  <c:v>10.525</c:v>
                </c:pt>
                <c:pt idx="173">
                  <c:v>10.199999999999999</c:v>
                </c:pt>
                <c:pt idx="174">
                  <c:v>10.885</c:v>
                </c:pt>
                <c:pt idx="175">
                  <c:v>10.875</c:v>
                </c:pt>
                <c:pt idx="176">
                  <c:v>14.935</c:v>
                </c:pt>
                <c:pt idx="177">
                  <c:v>14.94</c:v>
                </c:pt>
                <c:pt idx="178">
                  <c:v>14.994999999999999</c:v>
                </c:pt>
                <c:pt idx="179">
                  <c:v>14.9</c:v>
                </c:pt>
                <c:pt idx="180">
                  <c:v>13.324999999999999</c:v>
                </c:pt>
                <c:pt idx="181">
                  <c:v>14.414999999999999</c:v>
                </c:pt>
                <c:pt idx="182">
                  <c:v>15.71</c:v>
                </c:pt>
                <c:pt idx="183">
                  <c:v>37.744999999999997</c:v>
                </c:pt>
                <c:pt idx="184">
                  <c:v>61.945</c:v>
                </c:pt>
                <c:pt idx="185">
                  <c:v>20.475000000000001</c:v>
                </c:pt>
                <c:pt idx="186">
                  <c:v>11.14</c:v>
                </c:pt>
                <c:pt idx="187">
                  <c:v>9.2800000000000011</c:v>
                </c:pt>
                <c:pt idx="188">
                  <c:v>9.49</c:v>
                </c:pt>
                <c:pt idx="189">
                  <c:v>9.7100000000000009</c:v>
                </c:pt>
                <c:pt idx="190">
                  <c:v>9.6349999999999998</c:v>
                </c:pt>
                <c:pt idx="191">
                  <c:v>9.49</c:v>
                </c:pt>
                <c:pt idx="192">
                  <c:v>9.23</c:v>
                </c:pt>
                <c:pt idx="193">
                  <c:v>10.045</c:v>
                </c:pt>
                <c:pt idx="194">
                  <c:v>10.025</c:v>
                </c:pt>
                <c:pt idx="195">
                  <c:v>10.79</c:v>
                </c:pt>
                <c:pt idx="196">
                  <c:v>11.21</c:v>
                </c:pt>
                <c:pt idx="197">
                  <c:v>10.775</c:v>
                </c:pt>
                <c:pt idx="198">
                  <c:v>10.93</c:v>
                </c:pt>
                <c:pt idx="199">
                  <c:v>7.8467000000000002</c:v>
                </c:pt>
                <c:pt idx="200">
                  <c:v>7.6899999999999986</c:v>
                </c:pt>
                <c:pt idx="201">
                  <c:v>7.7633000000000001</c:v>
                </c:pt>
                <c:pt idx="202">
                  <c:v>7.9367000000000001</c:v>
                </c:pt>
                <c:pt idx="203">
                  <c:v>7.96</c:v>
                </c:pt>
                <c:pt idx="204">
                  <c:v>7.7667000000000002</c:v>
                </c:pt>
                <c:pt idx="205">
                  <c:v>7.5332999999999997</c:v>
                </c:pt>
                <c:pt idx="206">
                  <c:v>7.51</c:v>
                </c:pt>
                <c:pt idx="207">
                  <c:v>7.2933000000000003</c:v>
                </c:pt>
                <c:pt idx="208">
                  <c:v>7.3467000000000002</c:v>
                </c:pt>
                <c:pt idx="209">
                  <c:v>7.3766999999999996</c:v>
                </c:pt>
                <c:pt idx="210">
                  <c:v>9.1067</c:v>
                </c:pt>
                <c:pt idx="211">
                  <c:v>9.0733000000000015</c:v>
                </c:pt>
                <c:pt idx="212">
                  <c:v>8.9433000000000007</c:v>
                </c:pt>
                <c:pt idx="213">
                  <c:v>8.1233000000000004</c:v>
                </c:pt>
                <c:pt idx="214">
                  <c:v>6.7667000000000002</c:v>
                </c:pt>
                <c:pt idx="215">
                  <c:v>7.1333000000000002</c:v>
                </c:pt>
                <c:pt idx="216">
                  <c:v>7.2267000000000001</c:v>
                </c:pt>
                <c:pt idx="217">
                  <c:v>7.42</c:v>
                </c:pt>
                <c:pt idx="218">
                  <c:v>7.07</c:v>
                </c:pt>
                <c:pt idx="219">
                  <c:v>7.0867000000000004</c:v>
                </c:pt>
                <c:pt idx="220">
                  <c:v>7.05</c:v>
                </c:pt>
                <c:pt idx="221">
                  <c:v>7.1067</c:v>
                </c:pt>
                <c:pt idx="222">
                  <c:v>7.21</c:v>
                </c:pt>
                <c:pt idx="223">
                  <c:v>7.1199999999999983</c:v>
                </c:pt>
                <c:pt idx="224">
                  <c:v>7.25</c:v>
                </c:pt>
                <c:pt idx="225">
                  <c:v>7.1932999999999998</c:v>
                </c:pt>
                <c:pt idx="226">
                  <c:v>7.1767000000000003</c:v>
                </c:pt>
                <c:pt idx="227">
                  <c:v>7.0232999999999999</c:v>
                </c:pt>
                <c:pt idx="228">
                  <c:v>6.9466999999999999</c:v>
                </c:pt>
                <c:pt idx="229">
                  <c:v>6.92</c:v>
                </c:pt>
                <c:pt idx="230">
                  <c:v>6.9233000000000002</c:v>
                </c:pt>
                <c:pt idx="231">
                  <c:v>6.92</c:v>
                </c:pt>
                <c:pt idx="232">
                  <c:v>6.92</c:v>
                </c:pt>
                <c:pt idx="233">
                  <c:v>6.9267000000000003</c:v>
                </c:pt>
                <c:pt idx="234">
                  <c:v>7.2667000000000002</c:v>
                </c:pt>
                <c:pt idx="235">
                  <c:v>7.2667000000000002</c:v>
                </c:pt>
                <c:pt idx="236">
                  <c:v>7.2533000000000003</c:v>
                </c:pt>
                <c:pt idx="237">
                  <c:v>8.0067000000000004</c:v>
                </c:pt>
                <c:pt idx="238">
                  <c:v>7.7732999999999999</c:v>
                </c:pt>
                <c:pt idx="239">
                  <c:v>7.8132999999999999</c:v>
                </c:pt>
                <c:pt idx="240">
                  <c:v>7.6067</c:v>
                </c:pt>
                <c:pt idx="241">
                  <c:v>7.5332999999999997</c:v>
                </c:pt>
                <c:pt idx="242">
                  <c:v>7.5667</c:v>
                </c:pt>
                <c:pt idx="243">
                  <c:v>7.4132999999999996</c:v>
                </c:pt>
                <c:pt idx="244">
                  <c:v>7.41</c:v>
                </c:pt>
                <c:pt idx="245">
                  <c:v>7.3933</c:v>
                </c:pt>
                <c:pt idx="246">
                  <c:v>7.29</c:v>
                </c:pt>
                <c:pt idx="247">
                  <c:v>7.53</c:v>
                </c:pt>
                <c:pt idx="248">
                  <c:v>7.44</c:v>
                </c:pt>
                <c:pt idx="249">
                  <c:v>7.8632999999999997</c:v>
                </c:pt>
                <c:pt idx="250">
                  <c:v>8.15</c:v>
                </c:pt>
                <c:pt idx="251">
                  <c:v>8.15</c:v>
                </c:pt>
                <c:pt idx="252">
                  <c:v>8.1367000000000012</c:v>
                </c:pt>
                <c:pt idx="253">
                  <c:v>8.1167000000000016</c:v>
                </c:pt>
                <c:pt idx="254">
                  <c:v>8.32</c:v>
                </c:pt>
                <c:pt idx="255">
                  <c:v>8.2833000000000006</c:v>
                </c:pt>
                <c:pt idx="256">
                  <c:v>8.34</c:v>
                </c:pt>
                <c:pt idx="257">
                  <c:v>8.263300000000001</c:v>
                </c:pt>
                <c:pt idx="258">
                  <c:v>8.24</c:v>
                </c:pt>
                <c:pt idx="259">
                  <c:v>8.1733000000000011</c:v>
                </c:pt>
                <c:pt idx="260">
                  <c:v>8.14</c:v>
                </c:pt>
                <c:pt idx="261">
                  <c:v>8.0833000000000013</c:v>
                </c:pt>
                <c:pt idx="262">
                  <c:v>8.0967000000000002</c:v>
                </c:pt>
                <c:pt idx="263">
                  <c:v>8.0633000000000035</c:v>
                </c:pt>
                <c:pt idx="264">
                  <c:v>7.9932999999999996</c:v>
                </c:pt>
                <c:pt idx="265">
                  <c:v>9.4633000000000003</c:v>
                </c:pt>
                <c:pt idx="266">
                  <c:v>9.8967000000000027</c:v>
                </c:pt>
                <c:pt idx="267">
                  <c:v>10.896699999999999</c:v>
                </c:pt>
                <c:pt idx="268">
                  <c:v>15.3033</c:v>
                </c:pt>
                <c:pt idx="269">
                  <c:v>16.496700000000001</c:v>
                </c:pt>
                <c:pt idx="270">
                  <c:v>16.133299999999991</c:v>
                </c:pt>
                <c:pt idx="271">
                  <c:v>17.653300000000002</c:v>
                </c:pt>
                <c:pt idx="272">
                  <c:v>17.736699999999999</c:v>
                </c:pt>
                <c:pt idx="273">
                  <c:v>17.743300000000001</c:v>
                </c:pt>
                <c:pt idx="274">
                  <c:v>25.324999999999999</c:v>
                </c:pt>
                <c:pt idx="275">
                  <c:v>23.58</c:v>
                </c:pt>
                <c:pt idx="276">
                  <c:v>23.725000000000001</c:v>
                </c:pt>
                <c:pt idx="277">
                  <c:v>24.015000000000001</c:v>
                </c:pt>
                <c:pt idx="278">
                  <c:v>23.66</c:v>
                </c:pt>
                <c:pt idx="279">
                  <c:v>22.535</c:v>
                </c:pt>
                <c:pt idx="280">
                  <c:v>24.605</c:v>
                </c:pt>
                <c:pt idx="281">
                  <c:v>24.54</c:v>
                </c:pt>
                <c:pt idx="282">
                  <c:v>24.84</c:v>
                </c:pt>
                <c:pt idx="283">
                  <c:v>24.445</c:v>
                </c:pt>
                <c:pt idx="284">
                  <c:v>23.37</c:v>
                </c:pt>
                <c:pt idx="285">
                  <c:v>24.535</c:v>
                </c:pt>
                <c:pt idx="286">
                  <c:v>23.954999999999991</c:v>
                </c:pt>
                <c:pt idx="287">
                  <c:v>16.149999999999999</c:v>
                </c:pt>
              </c:numCache>
            </c:numRef>
          </c:val>
          <c:smooth val="0"/>
          <c:extLst xmlns:c16r2="http://schemas.microsoft.com/office/drawing/2015/06/chart">
            <c:ext xmlns:c16="http://schemas.microsoft.com/office/drawing/2014/chart" uri="{C3380CC4-5D6E-409C-BE32-E72D297353CC}">
              <c16:uniqueId val="{00000000-323D-0B49-80D2-898417DB122E}"/>
            </c:ext>
          </c:extLst>
        </c:ser>
        <c:ser>
          <c:idx val="1"/>
          <c:order val="1"/>
          <c:tx>
            <c:strRef>
              <c:f>'Exhibit 8A'!$C$1</c:f>
              <c:strCache>
                <c:ptCount val="1"/>
                <c:pt idx="0">
                  <c:v>Average Value-Weighted Fee in bps</c:v>
                </c:pt>
              </c:strCache>
            </c:strRef>
          </c:tx>
          <c:spPr>
            <a:ln w="19050" cap="rnd" cmpd="sng" algn="ctr">
              <a:solidFill>
                <a:schemeClr val="dk1">
                  <a:tint val="55000"/>
                </a:schemeClr>
              </a:solidFill>
              <a:prstDash val="solid"/>
              <a:round/>
            </a:ln>
            <a:effectLst/>
          </c:spPr>
          <c:marker>
            <c:symbol val="none"/>
          </c:marker>
          <c:cat>
            <c:numRef>
              <c:f>'Exhibit 8A'!$A$2:$A$289</c:f>
              <c:numCache>
                <c:formatCode>m/d/yyyy</c:formatCode>
                <c:ptCount val="288"/>
                <c:pt idx="0">
                  <c:v>41246</c:v>
                </c:pt>
                <c:pt idx="1">
                  <c:v>41247</c:v>
                </c:pt>
                <c:pt idx="2">
                  <c:v>41248</c:v>
                </c:pt>
                <c:pt idx="3">
                  <c:v>41249</c:v>
                </c:pt>
                <c:pt idx="4">
                  <c:v>41250</c:v>
                </c:pt>
                <c:pt idx="5">
                  <c:v>41253</c:v>
                </c:pt>
                <c:pt idx="6">
                  <c:v>41254</c:v>
                </c:pt>
                <c:pt idx="7">
                  <c:v>41255</c:v>
                </c:pt>
                <c:pt idx="8">
                  <c:v>41256</c:v>
                </c:pt>
                <c:pt idx="9">
                  <c:v>41257</c:v>
                </c:pt>
                <c:pt idx="10">
                  <c:v>41260</c:v>
                </c:pt>
                <c:pt idx="11">
                  <c:v>41261</c:v>
                </c:pt>
                <c:pt idx="12">
                  <c:v>41262</c:v>
                </c:pt>
                <c:pt idx="13">
                  <c:v>41263</c:v>
                </c:pt>
                <c:pt idx="14">
                  <c:v>41264</c:v>
                </c:pt>
                <c:pt idx="15">
                  <c:v>41267</c:v>
                </c:pt>
                <c:pt idx="16">
                  <c:v>41268</c:v>
                </c:pt>
                <c:pt idx="17">
                  <c:v>41269</c:v>
                </c:pt>
                <c:pt idx="18">
                  <c:v>41270</c:v>
                </c:pt>
                <c:pt idx="19">
                  <c:v>41271</c:v>
                </c:pt>
                <c:pt idx="20">
                  <c:v>41274</c:v>
                </c:pt>
                <c:pt idx="21">
                  <c:v>41275</c:v>
                </c:pt>
                <c:pt idx="22">
                  <c:v>41276</c:v>
                </c:pt>
                <c:pt idx="23">
                  <c:v>41277</c:v>
                </c:pt>
                <c:pt idx="24">
                  <c:v>41278</c:v>
                </c:pt>
                <c:pt idx="25">
                  <c:v>41281</c:v>
                </c:pt>
                <c:pt idx="26">
                  <c:v>41282</c:v>
                </c:pt>
                <c:pt idx="27">
                  <c:v>41283</c:v>
                </c:pt>
                <c:pt idx="28">
                  <c:v>41284</c:v>
                </c:pt>
                <c:pt idx="29">
                  <c:v>41285</c:v>
                </c:pt>
                <c:pt idx="30">
                  <c:v>41288</c:v>
                </c:pt>
                <c:pt idx="31">
                  <c:v>41289</c:v>
                </c:pt>
                <c:pt idx="32">
                  <c:v>41290</c:v>
                </c:pt>
                <c:pt idx="33">
                  <c:v>41291</c:v>
                </c:pt>
                <c:pt idx="34">
                  <c:v>41292</c:v>
                </c:pt>
                <c:pt idx="35">
                  <c:v>41295</c:v>
                </c:pt>
                <c:pt idx="36">
                  <c:v>41296</c:v>
                </c:pt>
                <c:pt idx="37">
                  <c:v>41297</c:v>
                </c:pt>
                <c:pt idx="38">
                  <c:v>41298</c:v>
                </c:pt>
                <c:pt idx="39">
                  <c:v>41299</c:v>
                </c:pt>
                <c:pt idx="40">
                  <c:v>41302</c:v>
                </c:pt>
                <c:pt idx="41">
                  <c:v>41303</c:v>
                </c:pt>
                <c:pt idx="42">
                  <c:v>41304</c:v>
                </c:pt>
                <c:pt idx="43">
                  <c:v>41305</c:v>
                </c:pt>
                <c:pt idx="44">
                  <c:v>41306</c:v>
                </c:pt>
                <c:pt idx="45">
                  <c:v>41309</c:v>
                </c:pt>
                <c:pt idx="46">
                  <c:v>41310</c:v>
                </c:pt>
                <c:pt idx="47">
                  <c:v>41311</c:v>
                </c:pt>
                <c:pt idx="48">
                  <c:v>41312</c:v>
                </c:pt>
                <c:pt idx="49">
                  <c:v>41313</c:v>
                </c:pt>
                <c:pt idx="50">
                  <c:v>41316</c:v>
                </c:pt>
                <c:pt idx="51">
                  <c:v>41317</c:v>
                </c:pt>
                <c:pt idx="52">
                  <c:v>41318</c:v>
                </c:pt>
                <c:pt idx="53">
                  <c:v>41319</c:v>
                </c:pt>
                <c:pt idx="54">
                  <c:v>41320</c:v>
                </c:pt>
                <c:pt idx="55">
                  <c:v>41323</c:v>
                </c:pt>
                <c:pt idx="56">
                  <c:v>41324</c:v>
                </c:pt>
                <c:pt idx="57">
                  <c:v>41325</c:v>
                </c:pt>
                <c:pt idx="58">
                  <c:v>41326</c:v>
                </c:pt>
                <c:pt idx="59">
                  <c:v>41327</c:v>
                </c:pt>
                <c:pt idx="60">
                  <c:v>41330</c:v>
                </c:pt>
                <c:pt idx="61">
                  <c:v>41331</c:v>
                </c:pt>
                <c:pt idx="62">
                  <c:v>41332</c:v>
                </c:pt>
                <c:pt idx="63">
                  <c:v>41333</c:v>
                </c:pt>
                <c:pt idx="64">
                  <c:v>41334</c:v>
                </c:pt>
                <c:pt idx="65">
                  <c:v>41337</c:v>
                </c:pt>
                <c:pt idx="66">
                  <c:v>41338</c:v>
                </c:pt>
                <c:pt idx="67">
                  <c:v>41339</c:v>
                </c:pt>
                <c:pt idx="68">
                  <c:v>41340</c:v>
                </c:pt>
                <c:pt idx="69">
                  <c:v>41341</c:v>
                </c:pt>
                <c:pt idx="70">
                  <c:v>41344</c:v>
                </c:pt>
                <c:pt idx="71">
                  <c:v>41345</c:v>
                </c:pt>
                <c:pt idx="72">
                  <c:v>41346</c:v>
                </c:pt>
                <c:pt idx="73">
                  <c:v>41347</c:v>
                </c:pt>
                <c:pt idx="74">
                  <c:v>41348</c:v>
                </c:pt>
                <c:pt idx="75">
                  <c:v>41351</c:v>
                </c:pt>
                <c:pt idx="76">
                  <c:v>41352</c:v>
                </c:pt>
                <c:pt idx="77">
                  <c:v>41353</c:v>
                </c:pt>
                <c:pt idx="78">
                  <c:v>41354</c:v>
                </c:pt>
                <c:pt idx="79">
                  <c:v>41355</c:v>
                </c:pt>
                <c:pt idx="80">
                  <c:v>41358</c:v>
                </c:pt>
                <c:pt idx="81">
                  <c:v>41359</c:v>
                </c:pt>
                <c:pt idx="82">
                  <c:v>41360</c:v>
                </c:pt>
                <c:pt idx="83">
                  <c:v>41361</c:v>
                </c:pt>
                <c:pt idx="84">
                  <c:v>41362</c:v>
                </c:pt>
                <c:pt idx="85">
                  <c:v>41365</c:v>
                </c:pt>
                <c:pt idx="86">
                  <c:v>41366</c:v>
                </c:pt>
                <c:pt idx="87">
                  <c:v>41367</c:v>
                </c:pt>
                <c:pt idx="88">
                  <c:v>41368</c:v>
                </c:pt>
                <c:pt idx="89">
                  <c:v>41369</c:v>
                </c:pt>
                <c:pt idx="90">
                  <c:v>41372</c:v>
                </c:pt>
                <c:pt idx="91">
                  <c:v>41373</c:v>
                </c:pt>
                <c:pt idx="92">
                  <c:v>41374</c:v>
                </c:pt>
                <c:pt idx="93">
                  <c:v>41375</c:v>
                </c:pt>
                <c:pt idx="94">
                  <c:v>41376</c:v>
                </c:pt>
                <c:pt idx="95">
                  <c:v>41379</c:v>
                </c:pt>
                <c:pt idx="96">
                  <c:v>41380</c:v>
                </c:pt>
                <c:pt idx="97">
                  <c:v>41381</c:v>
                </c:pt>
                <c:pt idx="98">
                  <c:v>41382</c:v>
                </c:pt>
                <c:pt idx="99">
                  <c:v>41383</c:v>
                </c:pt>
                <c:pt idx="100">
                  <c:v>41386</c:v>
                </c:pt>
                <c:pt idx="101">
                  <c:v>41387</c:v>
                </c:pt>
                <c:pt idx="102">
                  <c:v>41388</c:v>
                </c:pt>
                <c:pt idx="103">
                  <c:v>41389</c:v>
                </c:pt>
                <c:pt idx="104">
                  <c:v>41390</c:v>
                </c:pt>
                <c:pt idx="105">
                  <c:v>41393</c:v>
                </c:pt>
                <c:pt idx="106">
                  <c:v>41394</c:v>
                </c:pt>
                <c:pt idx="107">
                  <c:v>41395</c:v>
                </c:pt>
                <c:pt idx="108">
                  <c:v>41396</c:v>
                </c:pt>
                <c:pt idx="109">
                  <c:v>41397</c:v>
                </c:pt>
                <c:pt idx="110">
                  <c:v>41400</c:v>
                </c:pt>
                <c:pt idx="111">
                  <c:v>41401</c:v>
                </c:pt>
                <c:pt idx="112">
                  <c:v>41402</c:v>
                </c:pt>
                <c:pt idx="113">
                  <c:v>41403</c:v>
                </c:pt>
                <c:pt idx="114">
                  <c:v>41404</c:v>
                </c:pt>
                <c:pt idx="115">
                  <c:v>41407</c:v>
                </c:pt>
                <c:pt idx="116">
                  <c:v>41408</c:v>
                </c:pt>
                <c:pt idx="117">
                  <c:v>41409</c:v>
                </c:pt>
                <c:pt idx="118">
                  <c:v>41410</c:v>
                </c:pt>
                <c:pt idx="119">
                  <c:v>41411</c:v>
                </c:pt>
                <c:pt idx="120">
                  <c:v>41414</c:v>
                </c:pt>
                <c:pt idx="121">
                  <c:v>41415</c:v>
                </c:pt>
                <c:pt idx="122">
                  <c:v>41416</c:v>
                </c:pt>
                <c:pt idx="123">
                  <c:v>41417</c:v>
                </c:pt>
                <c:pt idx="124">
                  <c:v>41418</c:v>
                </c:pt>
                <c:pt idx="125">
                  <c:v>41421</c:v>
                </c:pt>
                <c:pt idx="126">
                  <c:v>41422</c:v>
                </c:pt>
                <c:pt idx="127">
                  <c:v>41423</c:v>
                </c:pt>
                <c:pt idx="128">
                  <c:v>41424</c:v>
                </c:pt>
                <c:pt idx="129">
                  <c:v>41425</c:v>
                </c:pt>
                <c:pt idx="130">
                  <c:v>41428</c:v>
                </c:pt>
                <c:pt idx="131">
                  <c:v>41429</c:v>
                </c:pt>
                <c:pt idx="132">
                  <c:v>41430</c:v>
                </c:pt>
                <c:pt idx="133">
                  <c:v>41431</c:v>
                </c:pt>
                <c:pt idx="134">
                  <c:v>41432</c:v>
                </c:pt>
                <c:pt idx="135">
                  <c:v>41435</c:v>
                </c:pt>
                <c:pt idx="136">
                  <c:v>41436</c:v>
                </c:pt>
                <c:pt idx="137">
                  <c:v>41437</c:v>
                </c:pt>
                <c:pt idx="138">
                  <c:v>41438</c:v>
                </c:pt>
                <c:pt idx="139">
                  <c:v>41439</c:v>
                </c:pt>
                <c:pt idx="140">
                  <c:v>41442</c:v>
                </c:pt>
                <c:pt idx="141">
                  <c:v>41443</c:v>
                </c:pt>
                <c:pt idx="142">
                  <c:v>41444</c:v>
                </c:pt>
                <c:pt idx="143">
                  <c:v>41445</c:v>
                </c:pt>
                <c:pt idx="144">
                  <c:v>41446</c:v>
                </c:pt>
                <c:pt idx="145">
                  <c:v>41449</c:v>
                </c:pt>
                <c:pt idx="146">
                  <c:v>41450</c:v>
                </c:pt>
                <c:pt idx="147">
                  <c:v>41451</c:v>
                </c:pt>
                <c:pt idx="148">
                  <c:v>41452</c:v>
                </c:pt>
                <c:pt idx="149">
                  <c:v>41453</c:v>
                </c:pt>
                <c:pt idx="150">
                  <c:v>41456</c:v>
                </c:pt>
                <c:pt idx="151">
                  <c:v>41457</c:v>
                </c:pt>
                <c:pt idx="152">
                  <c:v>41458</c:v>
                </c:pt>
                <c:pt idx="153">
                  <c:v>41459</c:v>
                </c:pt>
                <c:pt idx="154">
                  <c:v>41460</c:v>
                </c:pt>
                <c:pt idx="155">
                  <c:v>41463</c:v>
                </c:pt>
                <c:pt idx="156">
                  <c:v>41464</c:v>
                </c:pt>
                <c:pt idx="157">
                  <c:v>41465</c:v>
                </c:pt>
                <c:pt idx="158">
                  <c:v>41466</c:v>
                </c:pt>
                <c:pt idx="159">
                  <c:v>41467</c:v>
                </c:pt>
                <c:pt idx="160">
                  <c:v>41470</c:v>
                </c:pt>
                <c:pt idx="161">
                  <c:v>41471</c:v>
                </c:pt>
                <c:pt idx="162">
                  <c:v>41472</c:v>
                </c:pt>
                <c:pt idx="163">
                  <c:v>41473</c:v>
                </c:pt>
                <c:pt idx="164">
                  <c:v>41474</c:v>
                </c:pt>
                <c:pt idx="165">
                  <c:v>41477</c:v>
                </c:pt>
                <c:pt idx="166">
                  <c:v>41478</c:v>
                </c:pt>
                <c:pt idx="167">
                  <c:v>41479</c:v>
                </c:pt>
                <c:pt idx="168">
                  <c:v>41480</c:v>
                </c:pt>
                <c:pt idx="169">
                  <c:v>41481</c:v>
                </c:pt>
                <c:pt idx="170">
                  <c:v>41484</c:v>
                </c:pt>
                <c:pt idx="171">
                  <c:v>41485</c:v>
                </c:pt>
                <c:pt idx="172">
                  <c:v>41486</c:v>
                </c:pt>
                <c:pt idx="173">
                  <c:v>41487</c:v>
                </c:pt>
                <c:pt idx="174">
                  <c:v>41488</c:v>
                </c:pt>
                <c:pt idx="175">
                  <c:v>41491</c:v>
                </c:pt>
                <c:pt idx="176">
                  <c:v>41492</c:v>
                </c:pt>
                <c:pt idx="177">
                  <c:v>41493</c:v>
                </c:pt>
                <c:pt idx="178">
                  <c:v>41494</c:v>
                </c:pt>
                <c:pt idx="179">
                  <c:v>41495</c:v>
                </c:pt>
                <c:pt idx="180">
                  <c:v>41498</c:v>
                </c:pt>
                <c:pt idx="181">
                  <c:v>41499</c:v>
                </c:pt>
                <c:pt idx="182">
                  <c:v>41500</c:v>
                </c:pt>
                <c:pt idx="183">
                  <c:v>41501</c:v>
                </c:pt>
                <c:pt idx="184">
                  <c:v>41502</c:v>
                </c:pt>
                <c:pt idx="185">
                  <c:v>41505</c:v>
                </c:pt>
                <c:pt idx="186">
                  <c:v>41506</c:v>
                </c:pt>
                <c:pt idx="187">
                  <c:v>41507</c:v>
                </c:pt>
                <c:pt idx="188">
                  <c:v>41508</c:v>
                </c:pt>
                <c:pt idx="189">
                  <c:v>41509</c:v>
                </c:pt>
                <c:pt idx="190">
                  <c:v>41512</c:v>
                </c:pt>
                <c:pt idx="191">
                  <c:v>41513</c:v>
                </c:pt>
                <c:pt idx="192">
                  <c:v>41514</c:v>
                </c:pt>
                <c:pt idx="193">
                  <c:v>41515</c:v>
                </c:pt>
                <c:pt idx="194">
                  <c:v>41516</c:v>
                </c:pt>
                <c:pt idx="195">
                  <c:v>41519</c:v>
                </c:pt>
                <c:pt idx="196">
                  <c:v>41520</c:v>
                </c:pt>
                <c:pt idx="197">
                  <c:v>41521</c:v>
                </c:pt>
                <c:pt idx="198">
                  <c:v>41522</c:v>
                </c:pt>
                <c:pt idx="199">
                  <c:v>41523</c:v>
                </c:pt>
                <c:pt idx="200">
                  <c:v>41526</c:v>
                </c:pt>
                <c:pt idx="201">
                  <c:v>41527</c:v>
                </c:pt>
                <c:pt idx="202">
                  <c:v>41528</c:v>
                </c:pt>
                <c:pt idx="203">
                  <c:v>41529</c:v>
                </c:pt>
                <c:pt idx="204">
                  <c:v>41530</c:v>
                </c:pt>
                <c:pt idx="205">
                  <c:v>41533</c:v>
                </c:pt>
                <c:pt idx="206">
                  <c:v>41534</c:v>
                </c:pt>
                <c:pt idx="207">
                  <c:v>41535</c:v>
                </c:pt>
                <c:pt idx="208">
                  <c:v>41536</c:v>
                </c:pt>
                <c:pt idx="209">
                  <c:v>41537</c:v>
                </c:pt>
                <c:pt idx="210">
                  <c:v>41540</c:v>
                </c:pt>
                <c:pt idx="211">
                  <c:v>41541</c:v>
                </c:pt>
                <c:pt idx="212">
                  <c:v>41542</c:v>
                </c:pt>
                <c:pt idx="213">
                  <c:v>41543</c:v>
                </c:pt>
                <c:pt idx="214">
                  <c:v>41544</c:v>
                </c:pt>
                <c:pt idx="215">
                  <c:v>41547</c:v>
                </c:pt>
                <c:pt idx="216">
                  <c:v>41548</c:v>
                </c:pt>
                <c:pt idx="217">
                  <c:v>41549</c:v>
                </c:pt>
                <c:pt idx="218">
                  <c:v>41550</c:v>
                </c:pt>
                <c:pt idx="219">
                  <c:v>41551</c:v>
                </c:pt>
                <c:pt idx="220">
                  <c:v>41554</c:v>
                </c:pt>
                <c:pt idx="221">
                  <c:v>41555</c:v>
                </c:pt>
                <c:pt idx="222">
                  <c:v>41556</c:v>
                </c:pt>
                <c:pt idx="223">
                  <c:v>41557</c:v>
                </c:pt>
                <c:pt idx="224">
                  <c:v>41558</c:v>
                </c:pt>
                <c:pt idx="225">
                  <c:v>41561</c:v>
                </c:pt>
                <c:pt idx="226">
                  <c:v>41562</c:v>
                </c:pt>
                <c:pt idx="227">
                  <c:v>41563</c:v>
                </c:pt>
                <c:pt idx="228">
                  <c:v>41564</c:v>
                </c:pt>
                <c:pt idx="229">
                  <c:v>41565</c:v>
                </c:pt>
                <c:pt idx="230">
                  <c:v>41568</c:v>
                </c:pt>
                <c:pt idx="231">
                  <c:v>41569</c:v>
                </c:pt>
                <c:pt idx="232">
                  <c:v>41570</c:v>
                </c:pt>
                <c:pt idx="233">
                  <c:v>41571</c:v>
                </c:pt>
                <c:pt idx="234">
                  <c:v>41572</c:v>
                </c:pt>
                <c:pt idx="235">
                  <c:v>41575</c:v>
                </c:pt>
                <c:pt idx="236">
                  <c:v>41576</c:v>
                </c:pt>
                <c:pt idx="237">
                  <c:v>41577</c:v>
                </c:pt>
                <c:pt idx="238">
                  <c:v>41578</c:v>
                </c:pt>
                <c:pt idx="239">
                  <c:v>41579</c:v>
                </c:pt>
                <c:pt idx="240">
                  <c:v>41582</c:v>
                </c:pt>
                <c:pt idx="241">
                  <c:v>41583</c:v>
                </c:pt>
                <c:pt idx="242">
                  <c:v>41584</c:v>
                </c:pt>
                <c:pt idx="243">
                  <c:v>41585</c:v>
                </c:pt>
                <c:pt idx="244">
                  <c:v>41586</c:v>
                </c:pt>
                <c:pt idx="245">
                  <c:v>41589</c:v>
                </c:pt>
                <c:pt idx="246">
                  <c:v>41590</c:v>
                </c:pt>
                <c:pt idx="247">
                  <c:v>41591</c:v>
                </c:pt>
                <c:pt idx="248">
                  <c:v>41592</c:v>
                </c:pt>
                <c:pt idx="249">
                  <c:v>41593</c:v>
                </c:pt>
                <c:pt idx="250">
                  <c:v>41596</c:v>
                </c:pt>
                <c:pt idx="251">
                  <c:v>41597</c:v>
                </c:pt>
                <c:pt idx="252">
                  <c:v>41598</c:v>
                </c:pt>
                <c:pt idx="253">
                  <c:v>41599</c:v>
                </c:pt>
                <c:pt idx="254">
                  <c:v>41600</c:v>
                </c:pt>
                <c:pt idx="255">
                  <c:v>41603</c:v>
                </c:pt>
                <c:pt idx="256">
                  <c:v>41604</c:v>
                </c:pt>
                <c:pt idx="257">
                  <c:v>41605</c:v>
                </c:pt>
                <c:pt idx="258">
                  <c:v>41606</c:v>
                </c:pt>
                <c:pt idx="259">
                  <c:v>41607</c:v>
                </c:pt>
                <c:pt idx="260">
                  <c:v>41610</c:v>
                </c:pt>
                <c:pt idx="261">
                  <c:v>41611</c:v>
                </c:pt>
                <c:pt idx="262">
                  <c:v>41612</c:v>
                </c:pt>
                <c:pt idx="263">
                  <c:v>41613</c:v>
                </c:pt>
                <c:pt idx="264">
                  <c:v>41614</c:v>
                </c:pt>
                <c:pt idx="265">
                  <c:v>41617</c:v>
                </c:pt>
                <c:pt idx="266">
                  <c:v>41618</c:v>
                </c:pt>
                <c:pt idx="267">
                  <c:v>41619</c:v>
                </c:pt>
                <c:pt idx="268">
                  <c:v>41620</c:v>
                </c:pt>
                <c:pt idx="269">
                  <c:v>41621</c:v>
                </c:pt>
                <c:pt idx="270">
                  <c:v>41624</c:v>
                </c:pt>
                <c:pt idx="271">
                  <c:v>41625</c:v>
                </c:pt>
                <c:pt idx="272">
                  <c:v>41626</c:v>
                </c:pt>
                <c:pt idx="273">
                  <c:v>41627</c:v>
                </c:pt>
                <c:pt idx="274">
                  <c:v>41628</c:v>
                </c:pt>
                <c:pt idx="275">
                  <c:v>41631</c:v>
                </c:pt>
                <c:pt idx="276">
                  <c:v>41632</c:v>
                </c:pt>
                <c:pt idx="277">
                  <c:v>41633</c:v>
                </c:pt>
                <c:pt idx="278">
                  <c:v>41634</c:v>
                </c:pt>
                <c:pt idx="279">
                  <c:v>41635</c:v>
                </c:pt>
                <c:pt idx="280">
                  <c:v>41638</c:v>
                </c:pt>
                <c:pt idx="281">
                  <c:v>41639</c:v>
                </c:pt>
                <c:pt idx="282">
                  <c:v>41640</c:v>
                </c:pt>
                <c:pt idx="283">
                  <c:v>41641</c:v>
                </c:pt>
                <c:pt idx="284">
                  <c:v>41642</c:v>
                </c:pt>
                <c:pt idx="285">
                  <c:v>41645</c:v>
                </c:pt>
                <c:pt idx="286">
                  <c:v>41646</c:v>
                </c:pt>
                <c:pt idx="287">
                  <c:v>41647</c:v>
                </c:pt>
              </c:numCache>
            </c:numRef>
          </c:cat>
          <c:val>
            <c:numRef>
              <c:f>'Exhibit 8A'!$C$2:$C$289</c:f>
              <c:numCache>
                <c:formatCode>General</c:formatCode>
                <c:ptCount val="288"/>
                <c:pt idx="0">
                  <c:v>20.48</c:v>
                </c:pt>
                <c:pt idx="1">
                  <c:v>20.443999999999999</c:v>
                </c:pt>
                <c:pt idx="2">
                  <c:v>20.457000000000001</c:v>
                </c:pt>
                <c:pt idx="3">
                  <c:v>20.69</c:v>
                </c:pt>
                <c:pt idx="4">
                  <c:v>20.577000000000009</c:v>
                </c:pt>
                <c:pt idx="5">
                  <c:v>20.437000000000001</c:v>
                </c:pt>
                <c:pt idx="6">
                  <c:v>20.672999999999991</c:v>
                </c:pt>
                <c:pt idx="7">
                  <c:v>20.648</c:v>
                </c:pt>
                <c:pt idx="8">
                  <c:v>21.106000000000009</c:v>
                </c:pt>
                <c:pt idx="9">
                  <c:v>20.852</c:v>
                </c:pt>
                <c:pt idx="10">
                  <c:v>19.725999999999999</c:v>
                </c:pt>
                <c:pt idx="11">
                  <c:v>19.949000000000002</c:v>
                </c:pt>
                <c:pt idx="12">
                  <c:v>19.919</c:v>
                </c:pt>
                <c:pt idx="13">
                  <c:v>19.667999999999999</c:v>
                </c:pt>
                <c:pt idx="14">
                  <c:v>20.064</c:v>
                </c:pt>
                <c:pt idx="15">
                  <c:v>19.71</c:v>
                </c:pt>
                <c:pt idx="16">
                  <c:v>19.661000000000001</c:v>
                </c:pt>
                <c:pt idx="17">
                  <c:v>19.603000000000002</c:v>
                </c:pt>
                <c:pt idx="18">
                  <c:v>19.741</c:v>
                </c:pt>
                <c:pt idx="19">
                  <c:v>19.861999999999991</c:v>
                </c:pt>
                <c:pt idx="20">
                  <c:v>18.280999999999999</c:v>
                </c:pt>
                <c:pt idx="21">
                  <c:v>18.001999999999999</c:v>
                </c:pt>
                <c:pt idx="22">
                  <c:v>18.795999999999999</c:v>
                </c:pt>
                <c:pt idx="23">
                  <c:v>19.452000000000002</c:v>
                </c:pt>
                <c:pt idx="24">
                  <c:v>18.943000000000001</c:v>
                </c:pt>
                <c:pt idx="25">
                  <c:v>18.984999999999999</c:v>
                </c:pt>
                <c:pt idx="26">
                  <c:v>19.795000000000002</c:v>
                </c:pt>
                <c:pt idx="27">
                  <c:v>18.937000000000001</c:v>
                </c:pt>
                <c:pt idx="28">
                  <c:v>18.815000000000001</c:v>
                </c:pt>
                <c:pt idx="29">
                  <c:v>18.858000000000001</c:v>
                </c:pt>
                <c:pt idx="30">
                  <c:v>25.878</c:v>
                </c:pt>
                <c:pt idx="31">
                  <c:v>23.712</c:v>
                </c:pt>
                <c:pt idx="32">
                  <c:v>23.59</c:v>
                </c:pt>
                <c:pt idx="33">
                  <c:v>23.620999999999999</c:v>
                </c:pt>
                <c:pt idx="34">
                  <c:v>23.692</c:v>
                </c:pt>
                <c:pt idx="35">
                  <c:v>23.71</c:v>
                </c:pt>
                <c:pt idx="36">
                  <c:v>23.731000000000009</c:v>
                </c:pt>
                <c:pt idx="37">
                  <c:v>23.535</c:v>
                </c:pt>
                <c:pt idx="38">
                  <c:v>23.038</c:v>
                </c:pt>
                <c:pt idx="39">
                  <c:v>22.876999999999999</c:v>
                </c:pt>
                <c:pt idx="40">
                  <c:v>23.768000000000001</c:v>
                </c:pt>
                <c:pt idx="41">
                  <c:v>24.341000000000001</c:v>
                </c:pt>
                <c:pt idx="42">
                  <c:v>24.376000000000001</c:v>
                </c:pt>
                <c:pt idx="43">
                  <c:v>24.405999999999999</c:v>
                </c:pt>
                <c:pt idx="44">
                  <c:v>24.366</c:v>
                </c:pt>
                <c:pt idx="45">
                  <c:v>24.100999999999999</c:v>
                </c:pt>
                <c:pt idx="46">
                  <c:v>23.87</c:v>
                </c:pt>
                <c:pt idx="47">
                  <c:v>23.271000000000001</c:v>
                </c:pt>
                <c:pt idx="48">
                  <c:v>23.273</c:v>
                </c:pt>
                <c:pt idx="49">
                  <c:v>23.067</c:v>
                </c:pt>
                <c:pt idx="50">
                  <c:v>23.148</c:v>
                </c:pt>
                <c:pt idx="51">
                  <c:v>23.135000000000009</c:v>
                </c:pt>
                <c:pt idx="52">
                  <c:v>23.251000000000001</c:v>
                </c:pt>
                <c:pt idx="53">
                  <c:v>23.128</c:v>
                </c:pt>
                <c:pt idx="54">
                  <c:v>22.689</c:v>
                </c:pt>
                <c:pt idx="55">
                  <c:v>22.640999999999991</c:v>
                </c:pt>
                <c:pt idx="56">
                  <c:v>22.713999999999999</c:v>
                </c:pt>
                <c:pt idx="57">
                  <c:v>19.023</c:v>
                </c:pt>
                <c:pt idx="58">
                  <c:v>19.286000000000001</c:v>
                </c:pt>
                <c:pt idx="59">
                  <c:v>19.234000000000009</c:v>
                </c:pt>
                <c:pt idx="60">
                  <c:v>19.254000000000001</c:v>
                </c:pt>
                <c:pt idx="61">
                  <c:v>19.048999999999999</c:v>
                </c:pt>
                <c:pt idx="62">
                  <c:v>19.370999999999999</c:v>
                </c:pt>
                <c:pt idx="63">
                  <c:v>19.643999999999991</c:v>
                </c:pt>
                <c:pt idx="64">
                  <c:v>19.779</c:v>
                </c:pt>
                <c:pt idx="65">
                  <c:v>20.443000000000001</c:v>
                </c:pt>
                <c:pt idx="66">
                  <c:v>20.082000000000001</c:v>
                </c:pt>
                <c:pt idx="67">
                  <c:v>19.954999999999991</c:v>
                </c:pt>
                <c:pt idx="68">
                  <c:v>20.018999999999991</c:v>
                </c:pt>
                <c:pt idx="69">
                  <c:v>17.698</c:v>
                </c:pt>
                <c:pt idx="70">
                  <c:v>21.515000000000001</c:v>
                </c:pt>
                <c:pt idx="71">
                  <c:v>29.943999999999999</c:v>
                </c:pt>
                <c:pt idx="72">
                  <c:v>34.564999999999998</c:v>
                </c:pt>
                <c:pt idx="73">
                  <c:v>103.946</c:v>
                </c:pt>
                <c:pt idx="74">
                  <c:v>145.71</c:v>
                </c:pt>
                <c:pt idx="75">
                  <c:v>64.11</c:v>
                </c:pt>
                <c:pt idx="76">
                  <c:v>47.294000000000011</c:v>
                </c:pt>
                <c:pt idx="77">
                  <c:v>35.616999999999997</c:v>
                </c:pt>
                <c:pt idx="78">
                  <c:v>32.325000000000003</c:v>
                </c:pt>
                <c:pt idx="79">
                  <c:v>23.913</c:v>
                </c:pt>
                <c:pt idx="80">
                  <c:v>21.827000000000009</c:v>
                </c:pt>
                <c:pt idx="81">
                  <c:v>21.257000000000001</c:v>
                </c:pt>
                <c:pt idx="82">
                  <c:v>21.355</c:v>
                </c:pt>
                <c:pt idx="83">
                  <c:v>21.622</c:v>
                </c:pt>
                <c:pt idx="84">
                  <c:v>21.623000000000001</c:v>
                </c:pt>
                <c:pt idx="85">
                  <c:v>20.329999999999991</c:v>
                </c:pt>
                <c:pt idx="86">
                  <c:v>16.271000000000001</c:v>
                </c:pt>
                <c:pt idx="87">
                  <c:v>15.804</c:v>
                </c:pt>
                <c:pt idx="88">
                  <c:v>15.847</c:v>
                </c:pt>
                <c:pt idx="89">
                  <c:v>15.962999999999999</c:v>
                </c:pt>
                <c:pt idx="90">
                  <c:v>15.853</c:v>
                </c:pt>
                <c:pt idx="91">
                  <c:v>15.933</c:v>
                </c:pt>
                <c:pt idx="92">
                  <c:v>15.933999999999999</c:v>
                </c:pt>
                <c:pt idx="93">
                  <c:v>15.72</c:v>
                </c:pt>
                <c:pt idx="94">
                  <c:v>15.664</c:v>
                </c:pt>
                <c:pt idx="95">
                  <c:v>15.683999999999999</c:v>
                </c:pt>
                <c:pt idx="96">
                  <c:v>15.705</c:v>
                </c:pt>
                <c:pt idx="97">
                  <c:v>15.7</c:v>
                </c:pt>
                <c:pt idx="98">
                  <c:v>15.71</c:v>
                </c:pt>
                <c:pt idx="99">
                  <c:v>15.628</c:v>
                </c:pt>
                <c:pt idx="100">
                  <c:v>15.502000000000001</c:v>
                </c:pt>
                <c:pt idx="101">
                  <c:v>15.367000000000001</c:v>
                </c:pt>
                <c:pt idx="102">
                  <c:v>15.423</c:v>
                </c:pt>
                <c:pt idx="103">
                  <c:v>15.601000000000001</c:v>
                </c:pt>
                <c:pt idx="104">
                  <c:v>15.622999999999999</c:v>
                </c:pt>
                <c:pt idx="105">
                  <c:v>15.659000000000001</c:v>
                </c:pt>
                <c:pt idx="106">
                  <c:v>15.632999999999999</c:v>
                </c:pt>
                <c:pt idx="107">
                  <c:v>15.609</c:v>
                </c:pt>
                <c:pt idx="108">
                  <c:v>15.622</c:v>
                </c:pt>
                <c:pt idx="109">
                  <c:v>15.628</c:v>
                </c:pt>
                <c:pt idx="110">
                  <c:v>15.622</c:v>
                </c:pt>
                <c:pt idx="111">
                  <c:v>15.558</c:v>
                </c:pt>
                <c:pt idx="112">
                  <c:v>15.497999999999999</c:v>
                </c:pt>
                <c:pt idx="113">
                  <c:v>15.657</c:v>
                </c:pt>
                <c:pt idx="114">
                  <c:v>15.48</c:v>
                </c:pt>
                <c:pt idx="115">
                  <c:v>15.375999999999999</c:v>
                </c:pt>
                <c:pt idx="116">
                  <c:v>15.368</c:v>
                </c:pt>
                <c:pt idx="117">
                  <c:v>15.522</c:v>
                </c:pt>
                <c:pt idx="118">
                  <c:v>15.797000000000001</c:v>
                </c:pt>
                <c:pt idx="119">
                  <c:v>15.653</c:v>
                </c:pt>
                <c:pt idx="120">
                  <c:v>15.14</c:v>
                </c:pt>
                <c:pt idx="121">
                  <c:v>16.321999999999999</c:v>
                </c:pt>
                <c:pt idx="122">
                  <c:v>16.353999999999999</c:v>
                </c:pt>
                <c:pt idx="123">
                  <c:v>16.524999999999999</c:v>
                </c:pt>
                <c:pt idx="124">
                  <c:v>16.242000000000001</c:v>
                </c:pt>
                <c:pt idx="125">
                  <c:v>16.280999999999999</c:v>
                </c:pt>
                <c:pt idx="126">
                  <c:v>16.126999999999999</c:v>
                </c:pt>
                <c:pt idx="127">
                  <c:v>15.414</c:v>
                </c:pt>
                <c:pt idx="128">
                  <c:v>15.292</c:v>
                </c:pt>
                <c:pt idx="129">
                  <c:v>16.899999999999999</c:v>
                </c:pt>
                <c:pt idx="130">
                  <c:v>16.776</c:v>
                </c:pt>
                <c:pt idx="131">
                  <c:v>17.218</c:v>
                </c:pt>
                <c:pt idx="132">
                  <c:v>15.807</c:v>
                </c:pt>
                <c:pt idx="133">
                  <c:v>16.382999999999999</c:v>
                </c:pt>
                <c:pt idx="134">
                  <c:v>16.39</c:v>
                </c:pt>
                <c:pt idx="135">
                  <c:v>16.47</c:v>
                </c:pt>
                <c:pt idx="136">
                  <c:v>16.992999999999981</c:v>
                </c:pt>
                <c:pt idx="137">
                  <c:v>16.984999999999999</c:v>
                </c:pt>
                <c:pt idx="138">
                  <c:v>17.361999999999991</c:v>
                </c:pt>
                <c:pt idx="139">
                  <c:v>17.474</c:v>
                </c:pt>
                <c:pt idx="140">
                  <c:v>17.931999999999999</c:v>
                </c:pt>
                <c:pt idx="141">
                  <c:v>18.052</c:v>
                </c:pt>
                <c:pt idx="142">
                  <c:v>17.917999999999999</c:v>
                </c:pt>
                <c:pt idx="143">
                  <c:v>17.861999999999991</c:v>
                </c:pt>
                <c:pt idx="144">
                  <c:v>17.783000000000001</c:v>
                </c:pt>
                <c:pt idx="145">
                  <c:v>18.018000000000001</c:v>
                </c:pt>
                <c:pt idx="146">
                  <c:v>18.353999999999999</c:v>
                </c:pt>
                <c:pt idx="147">
                  <c:v>19.120999999999999</c:v>
                </c:pt>
                <c:pt idx="148">
                  <c:v>18.611000000000001</c:v>
                </c:pt>
                <c:pt idx="149">
                  <c:v>15.285</c:v>
                </c:pt>
                <c:pt idx="150">
                  <c:v>18.513000000000009</c:v>
                </c:pt>
                <c:pt idx="151">
                  <c:v>18.696000000000002</c:v>
                </c:pt>
                <c:pt idx="152">
                  <c:v>18.75</c:v>
                </c:pt>
                <c:pt idx="153">
                  <c:v>18.77</c:v>
                </c:pt>
                <c:pt idx="154">
                  <c:v>20.393000000000001</c:v>
                </c:pt>
                <c:pt idx="155">
                  <c:v>20.532</c:v>
                </c:pt>
                <c:pt idx="156">
                  <c:v>20.050999999999991</c:v>
                </c:pt>
                <c:pt idx="157">
                  <c:v>18.530999999999999</c:v>
                </c:pt>
                <c:pt idx="158">
                  <c:v>18.475999999999999</c:v>
                </c:pt>
                <c:pt idx="159">
                  <c:v>18.106000000000009</c:v>
                </c:pt>
                <c:pt idx="160">
                  <c:v>18.193999999999999</c:v>
                </c:pt>
                <c:pt idx="161">
                  <c:v>17.632999999999999</c:v>
                </c:pt>
                <c:pt idx="162">
                  <c:v>17.355</c:v>
                </c:pt>
                <c:pt idx="163">
                  <c:v>17.411999999999999</c:v>
                </c:pt>
                <c:pt idx="164">
                  <c:v>17.794</c:v>
                </c:pt>
                <c:pt idx="165">
                  <c:v>17.766999999999999</c:v>
                </c:pt>
                <c:pt idx="166">
                  <c:v>14.91</c:v>
                </c:pt>
                <c:pt idx="167">
                  <c:v>14.779</c:v>
                </c:pt>
                <c:pt idx="168">
                  <c:v>14.648999999999999</c:v>
                </c:pt>
                <c:pt idx="169">
                  <c:v>14.728999999999999</c:v>
                </c:pt>
                <c:pt idx="170">
                  <c:v>14.510999999999999</c:v>
                </c:pt>
                <c:pt idx="171">
                  <c:v>14.542999999999999</c:v>
                </c:pt>
                <c:pt idx="172">
                  <c:v>14.372999999999999</c:v>
                </c:pt>
                <c:pt idx="173">
                  <c:v>14.471</c:v>
                </c:pt>
                <c:pt idx="174">
                  <c:v>14.819000000000001</c:v>
                </c:pt>
                <c:pt idx="175">
                  <c:v>14.776999999999999</c:v>
                </c:pt>
                <c:pt idx="176">
                  <c:v>15.725</c:v>
                </c:pt>
                <c:pt idx="177">
                  <c:v>15.651</c:v>
                </c:pt>
                <c:pt idx="178">
                  <c:v>15.766999999999999</c:v>
                </c:pt>
                <c:pt idx="179">
                  <c:v>15.632999999999999</c:v>
                </c:pt>
                <c:pt idx="180">
                  <c:v>18.158000000000001</c:v>
                </c:pt>
                <c:pt idx="181">
                  <c:v>19.861999999999991</c:v>
                </c:pt>
                <c:pt idx="182">
                  <c:v>31.945</c:v>
                </c:pt>
                <c:pt idx="183">
                  <c:v>62.862000000000002</c:v>
                </c:pt>
                <c:pt idx="184">
                  <c:v>90.251999999999995</c:v>
                </c:pt>
                <c:pt idx="185">
                  <c:v>32.853999999999999</c:v>
                </c:pt>
                <c:pt idx="186">
                  <c:v>32.116999999999997</c:v>
                </c:pt>
                <c:pt idx="187">
                  <c:v>17.010000000000009</c:v>
                </c:pt>
                <c:pt idx="188">
                  <c:v>15.692</c:v>
                </c:pt>
                <c:pt idx="189">
                  <c:v>15.531000000000001</c:v>
                </c:pt>
                <c:pt idx="190">
                  <c:v>14.396000000000001</c:v>
                </c:pt>
                <c:pt idx="191">
                  <c:v>14.502000000000001</c:v>
                </c:pt>
                <c:pt idx="192">
                  <c:v>13.923999999999999</c:v>
                </c:pt>
                <c:pt idx="193">
                  <c:v>14.083</c:v>
                </c:pt>
                <c:pt idx="194">
                  <c:v>14.004</c:v>
                </c:pt>
                <c:pt idx="195">
                  <c:v>14.233000000000001</c:v>
                </c:pt>
                <c:pt idx="196">
                  <c:v>14.699</c:v>
                </c:pt>
                <c:pt idx="197">
                  <c:v>14.835000000000001</c:v>
                </c:pt>
                <c:pt idx="198">
                  <c:v>14.84</c:v>
                </c:pt>
                <c:pt idx="199">
                  <c:v>14.97</c:v>
                </c:pt>
                <c:pt idx="200">
                  <c:v>14.925000000000001</c:v>
                </c:pt>
                <c:pt idx="201">
                  <c:v>13.832000000000001</c:v>
                </c:pt>
                <c:pt idx="202">
                  <c:v>13.922000000000001</c:v>
                </c:pt>
                <c:pt idx="203">
                  <c:v>13.781000000000001</c:v>
                </c:pt>
                <c:pt idx="204">
                  <c:v>13.965999999999999</c:v>
                </c:pt>
                <c:pt idx="205">
                  <c:v>14.164999999999999</c:v>
                </c:pt>
                <c:pt idx="206">
                  <c:v>14.189</c:v>
                </c:pt>
                <c:pt idx="207">
                  <c:v>14.01</c:v>
                </c:pt>
                <c:pt idx="208">
                  <c:v>13.907999999999999</c:v>
                </c:pt>
                <c:pt idx="209">
                  <c:v>14.534000000000001</c:v>
                </c:pt>
                <c:pt idx="210">
                  <c:v>14.787000000000001</c:v>
                </c:pt>
                <c:pt idx="211">
                  <c:v>14.885</c:v>
                </c:pt>
                <c:pt idx="212">
                  <c:v>14.685</c:v>
                </c:pt>
                <c:pt idx="213">
                  <c:v>14.566000000000001</c:v>
                </c:pt>
                <c:pt idx="214">
                  <c:v>14.356999999999999</c:v>
                </c:pt>
                <c:pt idx="215">
                  <c:v>12.901999999999999</c:v>
                </c:pt>
                <c:pt idx="216">
                  <c:v>13.484999999999999</c:v>
                </c:pt>
                <c:pt idx="217">
                  <c:v>13.49</c:v>
                </c:pt>
                <c:pt idx="218">
                  <c:v>13.565</c:v>
                </c:pt>
                <c:pt idx="219">
                  <c:v>13.794</c:v>
                </c:pt>
                <c:pt idx="220">
                  <c:v>13.337</c:v>
                </c:pt>
                <c:pt idx="221">
                  <c:v>13.4</c:v>
                </c:pt>
                <c:pt idx="222">
                  <c:v>13.311999999999999</c:v>
                </c:pt>
                <c:pt idx="223">
                  <c:v>13.425000000000001</c:v>
                </c:pt>
                <c:pt idx="224">
                  <c:v>13.426</c:v>
                </c:pt>
                <c:pt idx="225">
                  <c:v>13.193</c:v>
                </c:pt>
                <c:pt idx="226">
                  <c:v>13.641999999999999</c:v>
                </c:pt>
                <c:pt idx="227">
                  <c:v>13.635999999999999</c:v>
                </c:pt>
                <c:pt idx="228">
                  <c:v>13.407999999999999</c:v>
                </c:pt>
                <c:pt idx="229">
                  <c:v>13.603</c:v>
                </c:pt>
                <c:pt idx="230">
                  <c:v>13.507</c:v>
                </c:pt>
                <c:pt idx="231">
                  <c:v>13.537000000000001</c:v>
                </c:pt>
                <c:pt idx="232">
                  <c:v>13.676</c:v>
                </c:pt>
                <c:pt idx="233">
                  <c:v>13.835000000000001</c:v>
                </c:pt>
                <c:pt idx="234">
                  <c:v>13.853999999999999</c:v>
                </c:pt>
                <c:pt idx="235">
                  <c:v>14.667999999999999</c:v>
                </c:pt>
                <c:pt idx="236">
                  <c:v>14.945</c:v>
                </c:pt>
                <c:pt idx="237">
                  <c:v>14.497999999999999</c:v>
                </c:pt>
                <c:pt idx="238">
                  <c:v>14.061</c:v>
                </c:pt>
                <c:pt idx="239">
                  <c:v>14.215</c:v>
                </c:pt>
                <c:pt idx="240">
                  <c:v>13.821</c:v>
                </c:pt>
                <c:pt idx="241">
                  <c:v>13.702999999999999</c:v>
                </c:pt>
                <c:pt idx="242">
                  <c:v>13.723000000000001</c:v>
                </c:pt>
                <c:pt idx="243">
                  <c:v>13.747</c:v>
                </c:pt>
                <c:pt idx="244">
                  <c:v>13.73</c:v>
                </c:pt>
                <c:pt idx="245">
                  <c:v>13.612</c:v>
                </c:pt>
                <c:pt idx="246">
                  <c:v>13.734999999999999</c:v>
                </c:pt>
                <c:pt idx="247">
                  <c:v>13.88</c:v>
                </c:pt>
                <c:pt idx="248">
                  <c:v>13.97</c:v>
                </c:pt>
                <c:pt idx="249">
                  <c:v>14.335000000000001</c:v>
                </c:pt>
                <c:pt idx="250">
                  <c:v>14.265000000000001</c:v>
                </c:pt>
                <c:pt idx="251">
                  <c:v>14.385</c:v>
                </c:pt>
                <c:pt idx="252">
                  <c:v>13.957000000000001</c:v>
                </c:pt>
                <c:pt idx="253">
                  <c:v>14.147</c:v>
                </c:pt>
                <c:pt idx="254">
                  <c:v>13.638</c:v>
                </c:pt>
                <c:pt idx="255">
                  <c:v>13.605</c:v>
                </c:pt>
                <c:pt idx="256">
                  <c:v>13.63</c:v>
                </c:pt>
                <c:pt idx="257">
                  <c:v>13.792999999999999</c:v>
                </c:pt>
                <c:pt idx="258">
                  <c:v>14.617000000000001</c:v>
                </c:pt>
                <c:pt idx="259">
                  <c:v>13.971</c:v>
                </c:pt>
                <c:pt idx="260">
                  <c:v>14.134</c:v>
                </c:pt>
                <c:pt idx="261">
                  <c:v>14.407</c:v>
                </c:pt>
                <c:pt idx="262">
                  <c:v>14.297000000000001</c:v>
                </c:pt>
                <c:pt idx="263">
                  <c:v>14.244</c:v>
                </c:pt>
                <c:pt idx="264">
                  <c:v>14.81</c:v>
                </c:pt>
                <c:pt idx="265">
                  <c:v>15.32</c:v>
                </c:pt>
                <c:pt idx="266">
                  <c:v>16.452000000000002</c:v>
                </c:pt>
                <c:pt idx="267">
                  <c:v>18.170000000000009</c:v>
                </c:pt>
                <c:pt idx="268">
                  <c:v>61.921999999999997</c:v>
                </c:pt>
                <c:pt idx="269">
                  <c:v>18.465</c:v>
                </c:pt>
                <c:pt idx="270">
                  <c:v>18.367999999999999</c:v>
                </c:pt>
                <c:pt idx="271">
                  <c:v>18.73</c:v>
                </c:pt>
                <c:pt idx="272">
                  <c:v>18.414999999999999</c:v>
                </c:pt>
                <c:pt idx="273">
                  <c:v>18.507000000000001</c:v>
                </c:pt>
                <c:pt idx="274">
                  <c:v>18.074000000000009</c:v>
                </c:pt>
                <c:pt idx="275">
                  <c:v>18.132999999999999</c:v>
                </c:pt>
                <c:pt idx="276">
                  <c:v>17.838000000000001</c:v>
                </c:pt>
                <c:pt idx="277">
                  <c:v>17.757000000000001</c:v>
                </c:pt>
                <c:pt idx="278">
                  <c:v>17.855</c:v>
                </c:pt>
                <c:pt idx="279">
                  <c:v>18.465</c:v>
                </c:pt>
                <c:pt idx="280">
                  <c:v>19.004999999999999</c:v>
                </c:pt>
                <c:pt idx="281">
                  <c:v>18.326000000000001</c:v>
                </c:pt>
                <c:pt idx="282">
                  <c:v>18.326000000000001</c:v>
                </c:pt>
                <c:pt idx="283">
                  <c:v>18.998999999999999</c:v>
                </c:pt>
                <c:pt idx="284">
                  <c:v>18.305</c:v>
                </c:pt>
                <c:pt idx="285">
                  <c:v>18.289000000000001</c:v>
                </c:pt>
                <c:pt idx="286">
                  <c:v>18.059999999999999</c:v>
                </c:pt>
                <c:pt idx="287">
                  <c:v>16.088999999999999</c:v>
                </c:pt>
              </c:numCache>
            </c:numRef>
          </c:val>
          <c:smooth val="0"/>
          <c:extLst xmlns:c16r2="http://schemas.microsoft.com/office/drawing/2015/06/chart">
            <c:ext xmlns:c16="http://schemas.microsoft.com/office/drawing/2014/chart" uri="{C3380CC4-5D6E-409C-BE32-E72D297353CC}">
              <c16:uniqueId val="{00000001-323D-0B49-80D2-898417DB122E}"/>
            </c:ext>
          </c:extLst>
        </c:ser>
        <c:dLbls>
          <c:showLegendKey val="0"/>
          <c:showVal val="0"/>
          <c:showCatName val="0"/>
          <c:showSerName val="0"/>
          <c:showPercent val="0"/>
          <c:showBubbleSize val="0"/>
        </c:dLbls>
        <c:smooth val="0"/>
        <c:axId val="155577856"/>
        <c:axId val="157486520"/>
      </c:lineChart>
      <c:dateAx>
        <c:axId val="155577856"/>
        <c:scaling>
          <c:orientation val="minMax"/>
        </c:scaling>
        <c:delete val="0"/>
        <c:axPos val="b"/>
        <c:numFmt formatCode="[$-14809]yyyy\-mm\-dd;@" sourceLinked="0"/>
        <c:majorTickMark val="none"/>
        <c:minorTickMark val="none"/>
        <c:tickLblPos val="nextTo"/>
        <c:spPr>
          <a:noFill/>
          <a:ln w="6350" cap="flat" cmpd="sng" algn="ctr">
            <a:solidFill>
              <a:schemeClr val="tx1">
                <a:lumMod val="15000"/>
                <a:lumOff val="85000"/>
              </a:schemeClr>
            </a:solidFill>
            <a:prstDash val="solid"/>
            <a:round/>
          </a:ln>
          <a:effectLst/>
        </c:spPr>
        <c:txPr>
          <a:bodyPr rot="-5400000" spcFirstLastPara="1" vertOverflow="ellipsis" wrap="square" anchor="ctr" anchorCtr="0"/>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7486520"/>
        <c:crosses val="autoZero"/>
        <c:auto val="1"/>
        <c:lblOffset val="100"/>
        <c:baseTimeUnit val="days"/>
        <c:majorUnit val="14"/>
        <c:majorTimeUnit val="days"/>
      </c:dateAx>
      <c:valAx>
        <c:axId val="157486520"/>
        <c:scaling>
          <c:orientation val="minMax"/>
        </c:scaling>
        <c:delete val="0"/>
        <c:axPos val="l"/>
        <c:majorGridlines>
          <c:spPr>
            <a:ln w="6350" cap="flat" cmpd="sng" algn="ctr">
              <a:solidFill>
                <a:schemeClr val="bg1">
                  <a:lumMod val="6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ln>
                      <a:noFill/>
                    </a:ln>
                    <a:solidFill>
                      <a:schemeClr val="tx1"/>
                    </a:solidFill>
                    <a:latin typeface="+mn-lt"/>
                    <a:ea typeface="+mn-ea"/>
                    <a:cs typeface="+mn-cs"/>
                  </a:defRPr>
                </a:pPr>
                <a:r>
                  <a:rPr lang="en-US"/>
                  <a:t>Utilization Rate in</a:t>
                </a:r>
                <a:r>
                  <a:rPr lang="en-US" baseline="0"/>
                  <a:t> % and Fees in bps</a:t>
                </a:r>
                <a:endParaRPr lang="en-US"/>
              </a:p>
            </c:rich>
          </c:tx>
          <c:layout>
            <c:manualLayout>
              <c:xMode val="edge"/>
              <c:yMode val="edge"/>
              <c:x val="1.73441734417344E-2"/>
              <c:y val="4.7904191616766498E-2"/>
            </c:manualLayout>
          </c:layout>
          <c:overlay val="0"/>
          <c:spPr>
            <a:noFill/>
            <a:ln>
              <a:noFill/>
            </a:ln>
            <a:effectLst/>
          </c:spPr>
          <c:txPr>
            <a:bodyPr rot="-5400000" spcFirstLastPara="1" vertOverflow="ellipsis" vert="horz" wrap="square" anchor="ctr" anchorCtr="1"/>
            <a:lstStyle/>
            <a:p>
              <a:pPr>
                <a:defRPr sz="1000" b="1"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55778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6350"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round/>
    </a:ln>
    <a:effectLst/>
  </c:spPr>
  <c:txPr>
    <a:bodyPr/>
    <a:lstStyle/>
    <a:p>
      <a:pPr>
        <a:defRPr>
          <a:ln>
            <a:noFill/>
          </a:ln>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3605664375358E-2"/>
          <c:y val="4.52054697000389E-2"/>
          <c:w val="0.87188935768262898"/>
          <c:h val="0.64843541183574305"/>
        </c:manualLayout>
      </c:layout>
      <c:lineChart>
        <c:grouping val="standard"/>
        <c:varyColors val="0"/>
        <c:ser>
          <c:idx val="1"/>
          <c:order val="0"/>
          <c:tx>
            <c:strRef>
              <c:f>'Exhibit 8B'!$C$1</c:f>
              <c:strCache>
                <c:ptCount val="1"/>
                <c:pt idx="0">
                  <c:v>Utilization Rate</c:v>
                </c:pt>
              </c:strCache>
            </c:strRef>
          </c:tx>
          <c:spPr>
            <a:ln w="28575" cap="rnd">
              <a:solidFill>
                <a:schemeClr val="tx1">
                  <a:lumMod val="65000"/>
                  <a:lumOff val="35000"/>
                </a:schemeClr>
              </a:solidFill>
              <a:prstDash val="sysDash"/>
              <a:round/>
            </a:ln>
            <a:effectLst/>
          </c:spPr>
          <c:marker>
            <c:symbol val="none"/>
          </c:marker>
          <c:cat>
            <c:numRef>
              <c:f>'Exhibit 8B'!$A$2:$A$289</c:f>
              <c:numCache>
                <c:formatCode>m/d/yyyy</c:formatCode>
                <c:ptCount val="288"/>
                <c:pt idx="0">
                  <c:v>41246</c:v>
                </c:pt>
                <c:pt idx="1">
                  <c:v>41247</c:v>
                </c:pt>
                <c:pt idx="2">
                  <c:v>41248</c:v>
                </c:pt>
                <c:pt idx="3">
                  <c:v>41249</c:v>
                </c:pt>
                <c:pt idx="4">
                  <c:v>41250</c:v>
                </c:pt>
                <c:pt idx="5">
                  <c:v>41253</c:v>
                </c:pt>
                <c:pt idx="6">
                  <c:v>41254</c:v>
                </c:pt>
                <c:pt idx="7">
                  <c:v>41255</c:v>
                </c:pt>
                <c:pt idx="8">
                  <c:v>41256</c:v>
                </c:pt>
                <c:pt idx="9">
                  <c:v>41257</c:v>
                </c:pt>
                <c:pt idx="10">
                  <c:v>41260</c:v>
                </c:pt>
                <c:pt idx="11">
                  <c:v>41261</c:v>
                </c:pt>
                <c:pt idx="12">
                  <c:v>41262</c:v>
                </c:pt>
                <c:pt idx="13">
                  <c:v>41263</c:v>
                </c:pt>
                <c:pt idx="14">
                  <c:v>41264</c:v>
                </c:pt>
                <c:pt idx="15">
                  <c:v>41267</c:v>
                </c:pt>
                <c:pt idx="16">
                  <c:v>41268</c:v>
                </c:pt>
                <c:pt idx="17">
                  <c:v>41269</c:v>
                </c:pt>
                <c:pt idx="18">
                  <c:v>41270</c:v>
                </c:pt>
                <c:pt idx="19">
                  <c:v>41271</c:v>
                </c:pt>
                <c:pt idx="20">
                  <c:v>41274</c:v>
                </c:pt>
                <c:pt idx="21">
                  <c:v>41275</c:v>
                </c:pt>
                <c:pt idx="22">
                  <c:v>41276</c:v>
                </c:pt>
                <c:pt idx="23">
                  <c:v>41277</c:v>
                </c:pt>
                <c:pt idx="24">
                  <c:v>41278</c:v>
                </c:pt>
                <c:pt idx="25">
                  <c:v>41281</c:v>
                </c:pt>
                <c:pt idx="26">
                  <c:v>41282</c:v>
                </c:pt>
                <c:pt idx="27">
                  <c:v>41283</c:v>
                </c:pt>
                <c:pt idx="28">
                  <c:v>41284</c:v>
                </c:pt>
                <c:pt idx="29">
                  <c:v>41285</c:v>
                </c:pt>
                <c:pt idx="30">
                  <c:v>41288</c:v>
                </c:pt>
                <c:pt idx="31">
                  <c:v>41289</c:v>
                </c:pt>
                <c:pt idx="32">
                  <c:v>41290</c:v>
                </c:pt>
                <c:pt idx="33">
                  <c:v>41291</c:v>
                </c:pt>
                <c:pt idx="34">
                  <c:v>41292</c:v>
                </c:pt>
                <c:pt idx="35">
                  <c:v>41295</c:v>
                </c:pt>
                <c:pt idx="36">
                  <c:v>41296</c:v>
                </c:pt>
                <c:pt idx="37">
                  <c:v>41297</c:v>
                </c:pt>
                <c:pt idx="38">
                  <c:v>41298</c:v>
                </c:pt>
                <c:pt idx="39">
                  <c:v>41299</c:v>
                </c:pt>
                <c:pt idx="40">
                  <c:v>41302</c:v>
                </c:pt>
                <c:pt idx="41">
                  <c:v>41303</c:v>
                </c:pt>
                <c:pt idx="42">
                  <c:v>41304</c:v>
                </c:pt>
                <c:pt idx="43">
                  <c:v>41305</c:v>
                </c:pt>
                <c:pt idx="44">
                  <c:v>41306</c:v>
                </c:pt>
                <c:pt idx="45">
                  <c:v>41309</c:v>
                </c:pt>
                <c:pt idx="46">
                  <c:v>41310</c:v>
                </c:pt>
                <c:pt idx="47">
                  <c:v>41311</c:v>
                </c:pt>
                <c:pt idx="48">
                  <c:v>41312</c:v>
                </c:pt>
                <c:pt idx="49">
                  <c:v>41313</c:v>
                </c:pt>
                <c:pt idx="50">
                  <c:v>41316</c:v>
                </c:pt>
                <c:pt idx="51">
                  <c:v>41317</c:v>
                </c:pt>
                <c:pt idx="52">
                  <c:v>41318</c:v>
                </c:pt>
                <c:pt idx="53">
                  <c:v>41319</c:v>
                </c:pt>
                <c:pt idx="54">
                  <c:v>41320</c:v>
                </c:pt>
                <c:pt idx="55">
                  <c:v>41323</c:v>
                </c:pt>
                <c:pt idx="56">
                  <c:v>41324</c:v>
                </c:pt>
                <c:pt idx="57">
                  <c:v>41325</c:v>
                </c:pt>
                <c:pt idx="58">
                  <c:v>41326</c:v>
                </c:pt>
                <c:pt idx="59">
                  <c:v>41327</c:v>
                </c:pt>
                <c:pt idx="60">
                  <c:v>41330</c:v>
                </c:pt>
                <c:pt idx="61">
                  <c:v>41331</c:v>
                </c:pt>
                <c:pt idx="62">
                  <c:v>41332</c:v>
                </c:pt>
                <c:pt idx="63">
                  <c:v>41333</c:v>
                </c:pt>
                <c:pt idx="64">
                  <c:v>41334</c:v>
                </c:pt>
                <c:pt idx="65">
                  <c:v>41337</c:v>
                </c:pt>
                <c:pt idx="66">
                  <c:v>41338</c:v>
                </c:pt>
                <c:pt idx="67">
                  <c:v>41339</c:v>
                </c:pt>
                <c:pt idx="68">
                  <c:v>41340</c:v>
                </c:pt>
                <c:pt idx="69">
                  <c:v>41341</c:v>
                </c:pt>
                <c:pt idx="70">
                  <c:v>41344</c:v>
                </c:pt>
                <c:pt idx="71">
                  <c:v>41345</c:v>
                </c:pt>
                <c:pt idx="72">
                  <c:v>41346</c:v>
                </c:pt>
                <c:pt idx="73">
                  <c:v>41347</c:v>
                </c:pt>
                <c:pt idx="74">
                  <c:v>41348</c:v>
                </c:pt>
                <c:pt idx="75">
                  <c:v>41351</c:v>
                </c:pt>
                <c:pt idx="76">
                  <c:v>41352</c:v>
                </c:pt>
                <c:pt idx="77">
                  <c:v>41353</c:v>
                </c:pt>
                <c:pt idx="78">
                  <c:v>41354</c:v>
                </c:pt>
                <c:pt idx="79">
                  <c:v>41355</c:v>
                </c:pt>
                <c:pt idx="80">
                  <c:v>41358</c:v>
                </c:pt>
                <c:pt idx="81">
                  <c:v>41359</c:v>
                </c:pt>
                <c:pt idx="82">
                  <c:v>41360</c:v>
                </c:pt>
                <c:pt idx="83">
                  <c:v>41361</c:v>
                </c:pt>
                <c:pt idx="84">
                  <c:v>41362</c:v>
                </c:pt>
                <c:pt idx="85">
                  <c:v>41365</c:v>
                </c:pt>
                <c:pt idx="86">
                  <c:v>41366</c:v>
                </c:pt>
                <c:pt idx="87">
                  <c:v>41367</c:v>
                </c:pt>
                <c:pt idx="88">
                  <c:v>41368</c:v>
                </c:pt>
                <c:pt idx="89">
                  <c:v>41369</c:v>
                </c:pt>
                <c:pt idx="90">
                  <c:v>41372</c:v>
                </c:pt>
                <c:pt idx="91">
                  <c:v>41373</c:v>
                </c:pt>
                <c:pt idx="92">
                  <c:v>41374</c:v>
                </c:pt>
                <c:pt idx="93">
                  <c:v>41375</c:v>
                </c:pt>
                <c:pt idx="94">
                  <c:v>41376</c:v>
                </c:pt>
                <c:pt idx="95">
                  <c:v>41379</c:v>
                </c:pt>
                <c:pt idx="96">
                  <c:v>41380</c:v>
                </c:pt>
                <c:pt idx="97">
                  <c:v>41381</c:v>
                </c:pt>
                <c:pt idx="98">
                  <c:v>41382</c:v>
                </c:pt>
                <c:pt idx="99">
                  <c:v>41383</c:v>
                </c:pt>
                <c:pt idx="100">
                  <c:v>41386</c:v>
                </c:pt>
                <c:pt idx="101">
                  <c:v>41387</c:v>
                </c:pt>
                <c:pt idx="102">
                  <c:v>41388</c:v>
                </c:pt>
                <c:pt idx="103">
                  <c:v>41389</c:v>
                </c:pt>
                <c:pt idx="104">
                  <c:v>41390</c:v>
                </c:pt>
                <c:pt idx="105">
                  <c:v>41393</c:v>
                </c:pt>
                <c:pt idx="106">
                  <c:v>41394</c:v>
                </c:pt>
                <c:pt idx="107">
                  <c:v>41395</c:v>
                </c:pt>
                <c:pt idx="108">
                  <c:v>41396</c:v>
                </c:pt>
                <c:pt idx="109">
                  <c:v>41397</c:v>
                </c:pt>
                <c:pt idx="110">
                  <c:v>41400</c:v>
                </c:pt>
                <c:pt idx="111">
                  <c:v>41401</c:v>
                </c:pt>
                <c:pt idx="112">
                  <c:v>41402</c:v>
                </c:pt>
                <c:pt idx="113">
                  <c:v>41403</c:v>
                </c:pt>
                <c:pt idx="114">
                  <c:v>41404</c:v>
                </c:pt>
                <c:pt idx="115">
                  <c:v>41407</c:v>
                </c:pt>
                <c:pt idx="116">
                  <c:v>41408</c:v>
                </c:pt>
                <c:pt idx="117">
                  <c:v>41409</c:v>
                </c:pt>
                <c:pt idx="118">
                  <c:v>41410</c:v>
                </c:pt>
                <c:pt idx="119">
                  <c:v>41411</c:v>
                </c:pt>
                <c:pt idx="120">
                  <c:v>41414</c:v>
                </c:pt>
                <c:pt idx="121">
                  <c:v>41415</c:v>
                </c:pt>
                <c:pt idx="122">
                  <c:v>41416</c:v>
                </c:pt>
                <c:pt idx="123">
                  <c:v>41417</c:v>
                </c:pt>
                <c:pt idx="124">
                  <c:v>41418</c:v>
                </c:pt>
                <c:pt idx="125">
                  <c:v>41421</c:v>
                </c:pt>
                <c:pt idx="126">
                  <c:v>41422</c:v>
                </c:pt>
                <c:pt idx="127">
                  <c:v>41423</c:v>
                </c:pt>
                <c:pt idx="128">
                  <c:v>41424</c:v>
                </c:pt>
                <c:pt idx="129">
                  <c:v>41425</c:v>
                </c:pt>
                <c:pt idx="130">
                  <c:v>41428</c:v>
                </c:pt>
                <c:pt idx="131">
                  <c:v>41429</c:v>
                </c:pt>
                <c:pt idx="132">
                  <c:v>41430</c:v>
                </c:pt>
                <c:pt idx="133">
                  <c:v>41431</c:v>
                </c:pt>
                <c:pt idx="134">
                  <c:v>41432</c:v>
                </c:pt>
                <c:pt idx="135">
                  <c:v>41435</c:v>
                </c:pt>
                <c:pt idx="136">
                  <c:v>41436</c:v>
                </c:pt>
                <c:pt idx="137">
                  <c:v>41437</c:v>
                </c:pt>
                <c:pt idx="138">
                  <c:v>41438</c:v>
                </c:pt>
                <c:pt idx="139">
                  <c:v>41439</c:v>
                </c:pt>
                <c:pt idx="140">
                  <c:v>41442</c:v>
                </c:pt>
                <c:pt idx="141">
                  <c:v>41443</c:v>
                </c:pt>
                <c:pt idx="142">
                  <c:v>41444</c:v>
                </c:pt>
                <c:pt idx="143">
                  <c:v>41445</c:v>
                </c:pt>
                <c:pt idx="144">
                  <c:v>41446</c:v>
                </c:pt>
                <c:pt idx="145">
                  <c:v>41449</c:v>
                </c:pt>
                <c:pt idx="146">
                  <c:v>41450</c:v>
                </c:pt>
                <c:pt idx="147">
                  <c:v>41451</c:v>
                </c:pt>
                <c:pt idx="148">
                  <c:v>41452</c:v>
                </c:pt>
                <c:pt idx="149">
                  <c:v>41453</c:v>
                </c:pt>
                <c:pt idx="150">
                  <c:v>41456</c:v>
                </c:pt>
                <c:pt idx="151">
                  <c:v>41457</c:v>
                </c:pt>
                <c:pt idx="152">
                  <c:v>41458</c:v>
                </c:pt>
                <c:pt idx="153">
                  <c:v>41459</c:v>
                </c:pt>
                <c:pt idx="154">
                  <c:v>41460</c:v>
                </c:pt>
                <c:pt idx="155">
                  <c:v>41463</c:v>
                </c:pt>
                <c:pt idx="156">
                  <c:v>41464</c:v>
                </c:pt>
                <c:pt idx="157">
                  <c:v>41465</c:v>
                </c:pt>
                <c:pt idx="158">
                  <c:v>41466</c:v>
                </c:pt>
                <c:pt idx="159">
                  <c:v>41467</c:v>
                </c:pt>
                <c:pt idx="160">
                  <c:v>41470</c:v>
                </c:pt>
                <c:pt idx="161">
                  <c:v>41471</c:v>
                </c:pt>
                <c:pt idx="162">
                  <c:v>41472</c:v>
                </c:pt>
                <c:pt idx="163">
                  <c:v>41473</c:v>
                </c:pt>
                <c:pt idx="164">
                  <c:v>41474</c:v>
                </c:pt>
                <c:pt idx="165">
                  <c:v>41477</c:v>
                </c:pt>
                <c:pt idx="166">
                  <c:v>41478</c:v>
                </c:pt>
                <c:pt idx="167">
                  <c:v>41479</c:v>
                </c:pt>
                <c:pt idx="168">
                  <c:v>41480</c:v>
                </c:pt>
                <c:pt idx="169">
                  <c:v>41481</c:v>
                </c:pt>
                <c:pt idx="170">
                  <c:v>41484</c:v>
                </c:pt>
                <c:pt idx="171">
                  <c:v>41485</c:v>
                </c:pt>
                <c:pt idx="172">
                  <c:v>41486</c:v>
                </c:pt>
                <c:pt idx="173">
                  <c:v>41487</c:v>
                </c:pt>
                <c:pt idx="174">
                  <c:v>41488</c:v>
                </c:pt>
                <c:pt idx="175">
                  <c:v>41491</c:v>
                </c:pt>
                <c:pt idx="176">
                  <c:v>41492</c:v>
                </c:pt>
                <c:pt idx="177">
                  <c:v>41493</c:v>
                </c:pt>
                <c:pt idx="178">
                  <c:v>41494</c:v>
                </c:pt>
                <c:pt idx="179">
                  <c:v>41495</c:v>
                </c:pt>
                <c:pt idx="180">
                  <c:v>41498</c:v>
                </c:pt>
                <c:pt idx="181">
                  <c:v>41499</c:v>
                </c:pt>
                <c:pt idx="182">
                  <c:v>41500</c:v>
                </c:pt>
                <c:pt idx="183">
                  <c:v>41501</c:v>
                </c:pt>
                <c:pt idx="184">
                  <c:v>41502</c:v>
                </c:pt>
                <c:pt idx="185">
                  <c:v>41505</c:v>
                </c:pt>
                <c:pt idx="186">
                  <c:v>41506</c:v>
                </c:pt>
                <c:pt idx="187">
                  <c:v>41507</c:v>
                </c:pt>
                <c:pt idx="188">
                  <c:v>41508</c:v>
                </c:pt>
                <c:pt idx="189">
                  <c:v>41509</c:v>
                </c:pt>
                <c:pt idx="190">
                  <c:v>41512</c:v>
                </c:pt>
                <c:pt idx="191">
                  <c:v>41513</c:v>
                </c:pt>
                <c:pt idx="192">
                  <c:v>41514</c:v>
                </c:pt>
                <c:pt idx="193">
                  <c:v>41515</c:v>
                </c:pt>
                <c:pt idx="194">
                  <c:v>41516</c:v>
                </c:pt>
                <c:pt idx="195">
                  <c:v>41519</c:v>
                </c:pt>
                <c:pt idx="196">
                  <c:v>41520</c:v>
                </c:pt>
                <c:pt idx="197">
                  <c:v>41521</c:v>
                </c:pt>
                <c:pt idx="198">
                  <c:v>41522</c:v>
                </c:pt>
                <c:pt idx="199">
                  <c:v>41523</c:v>
                </c:pt>
                <c:pt idx="200">
                  <c:v>41526</c:v>
                </c:pt>
                <c:pt idx="201">
                  <c:v>41527</c:v>
                </c:pt>
                <c:pt idx="202">
                  <c:v>41528</c:v>
                </c:pt>
                <c:pt idx="203">
                  <c:v>41529</c:v>
                </c:pt>
                <c:pt idx="204">
                  <c:v>41530</c:v>
                </c:pt>
                <c:pt idx="205">
                  <c:v>41533</c:v>
                </c:pt>
                <c:pt idx="206">
                  <c:v>41534</c:v>
                </c:pt>
                <c:pt idx="207">
                  <c:v>41535</c:v>
                </c:pt>
                <c:pt idx="208">
                  <c:v>41536</c:v>
                </c:pt>
                <c:pt idx="209">
                  <c:v>41537</c:v>
                </c:pt>
                <c:pt idx="210">
                  <c:v>41540</c:v>
                </c:pt>
                <c:pt idx="211">
                  <c:v>41541</c:v>
                </c:pt>
                <c:pt idx="212">
                  <c:v>41542</c:v>
                </c:pt>
                <c:pt idx="213">
                  <c:v>41543</c:v>
                </c:pt>
                <c:pt idx="214">
                  <c:v>41544</c:v>
                </c:pt>
                <c:pt idx="215">
                  <c:v>41547</c:v>
                </c:pt>
                <c:pt idx="216">
                  <c:v>41548</c:v>
                </c:pt>
                <c:pt idx="217">
                  <c:v>41549</c:v>
                </c:pt>
                <c:pt idx="218">
                  <c:v>41550</c:v>
                </c:pt>
                <c:pt idx="219">
                  <c:v>41551</c:v>
                </c:pt>
                <c:pt idx="220">
                  <c:v>41554</c:v>
                </c:pt>
                <c:pt idx="221">
                  <c:v>41555</c:v>
                </c:pt>
                <c:pt idx="222">
                  <c:v>41556</c:v>
                </c:pt>
                <c:pt idx="223">
                  <c:v>41557</c:v>
                </c:pt>
                <c:pt idx="224">
                  <c:v>41558</c:v>
                </c:pt>
                <c:pt idx="225">
                  <c:v>41561</c:v>
                </c:pt>
                <c:pt idx="226">
                  <c:v>41562</c:v>
                </c:pt>
                <c:pt idx="227">
                  <c:v>41563</c:v>
                </c:pt>
                <c:pt idx="228">
                  <c:v>41564</c:v>
                </c:pt>
                <c:pt idx="229">
                  <c:v>41565</c:v>
                </c:pt>
                <c:pt idx="230">
                  <c:v>41568</c:v>
                </c:pt>
                <c:pt idx="231">
                  <c:v>41569</c:v>
                </c:pt>
                <c:pt idx="232">
                  <c:v>41570</c:v>
                </c:pt>
                <c:pt idx="233">
                  <c:v>41571</c:v>
                </c:pt>
                <c:pt idx="234">
                  <c:v>41572</c:v>
                </c:pt>
                <c:pt idx="235">
                  <c:v>41575</c:v>
                </c:pt>
                <c:pt idx="236">
                  <c:v>41576</c:v>
                </c:pt>
                <c:pt idx="237">
                  <c:v>41577</c:v>
                </c:pt>
                <c:pt idx="238">
                  <c:v>41578</c:v>
                </c:pt>
                <c:pt idx="239">
                  <c:v>41579</c:v>
                </c:pt>
                <c:pt idx="240">
                  <c:v>41582</c:v>
                </c:pt>
                <c:pt idx="241">
                  <c:v>41583</c:v>
                </c:pt>
                <c:pt idx="242">
                  <c:v>41584</c:v>
                </c:pt>
                <c:pt idx="243">
                  <c:v>41585</c:v>
                </c:pt>
                <c:pt idx="244">
                  <c:v>41586</c:v>
                </c:pt>
                <c:pt idx="245">
                  <c:v>41589</c:v>
                </c:pt>
                <c:pt idx="246">
                  <c:v>41590</c:v>
                </c:pt>
                <c:pt idx="247">
                  <c:v>41591</c:v>
                </c:pt>
                <c:pt idx="248">
                  <c:v>41592</c:v>
                </c:pt>
                <c:pt idx="249">
                  <c:v>41593</c:v>
                </c:pt>
                <c:pt idx="250">
                  <c:v>41596</c:v>
                </c:pt>
                <c:pt idx="251">
                  <c:v>41597</c:v>
                </c:pt>
                <c:pt idx="252">
                  <c:v>41598</c:v>
                </c:pt>
                <c:pt idx="253">
                  <c:v>41599</c:v>
                </c:pt>
                <c:pt idx="254">
                  <c:v>41600</c:v>
                </c:pt>
                <c:pt idx="255">
                  <c:v>41603</c:v>
                </c:pt>
                <c:pt idx="256">
                  <c:v>41604</c:v>
                </c:pt>
                <c:pt idx="257">
                  <c:v>41605</c:v>
                </c:pt>
                <c:pt idx="258">
                  <c:v>41606</c:v>
                </c:pt>
                <c:pt idx="259">
                  <c:v>41607</c:v>
                </c:pt>
                <c:pt idx="260">
                  <c:v>41610</c:v>
                </c:pt>
                <c:pt idx="261">
                  <c:v>41611</c:v>
                </c:pt>
                <c:pt idx="262">
                  <c:v>41612</c:v>
                </c:pt>
                <c:pt idx="263">
                  <c:v>41613</c:v>
                </c:pt>
                <c:pt idx="264">
                  <c:v>41614</c:v>
                </c:pt>
                <c:pt idx="265">
                  <c:v>41617</c:v>
                </c:pt>
                <c:pt idx="266">
                  <c:v>41618</c:v>
                </c:pt>
                <c:pt idx="267">
                  <c:v>41619</c:v>
                </c:pt>
                <c:pt idx="268">
                  <c:v>41620</c:v>
                </c:pt>
                <c:pt idx="269">
                  <c:v>41621</c:v>
                </c:pt>
                <c:pt idx="270">
                  <c:v>41624</c:v>
                </c:pt>
                <c:pt idx="271">
                  <c:v>41625</c:v>
                </c:pt>
                <c:pt idx="272">
                  <c:v>41626</c:v>
                </c:pt>
                <c:pt idx="273">
                  <c:v>41627</c:v>
                </c:pt>
                <c:pt idx="274">
                  <c:v>41628</c:v>
                </c:pt>
                <c:pt idx="275">
                  <c:v>41631</c:v>
                </c:pt>
                <c:pt idx="276">
                  <c:v>41632</c:v>
                </c:pt>
                <c:pt idx="277">
                  <c:v>41633</c:v>
                </c:pt>
                <c:pt idx="278">
                  <c:v>41634</c:v>
                </c:pt>
                <c:pt idx="279">
                  <c:v>41635</c:v>
                </c:pt>
                <c:pt idx="280">
                  <c:v>41638</c:v>
                </c:pt>
                <c:pt idx="281">
                  <c:v>41639</c:v>
                </c:pt>
                <c:pt idx="282">
                  <c:v>41640</c:v>
                </c:pt>
                <c:pt idx="283">
                  <c:v>41641</c:v>
                </c:pt>
                <c:pt idx="284">
                  <c:v>41642</c:v>
                </c:pt>
                <c:pt idx="285">
                  <c:v>41645</c:v>
                </c:pt>
                <c:pt idx="286">
                  <c:v>41646</c:v>
                </c:pt>
                <c:pt idx="287">
                  <c:v>41647</c:v>
                </c:pt>
              </c:numCache>
            </c:numRef>
          </c:cat>
          <c:val>
            <c:numRef>
              <c:f>'Exhibit 8B'!$C$2:$C$289</c:f>
              <c:numCache>
                <c:formatCode>0.00</c:formatCode>
                <c:ptCount val="288"/>
                <c:pt idx="0">
                  <c:v>31.79</c:v>
                </c:pt>
                <c:pt idx="1">
                  <c:v>13.51</c:v>
                </c:pt>
                <c:pt idx="2">
                  <c:v>13.5</c:v>
                </c:pt>
                <c:pt idx="3">
                  <c:v>13.5</c:v>
                </c:pt>
                <c:pt idx="4">
                  <c:v>13.5</c:v>
                </c:pt>
                <c:pt idx="5">
                  <c:v>13.51</c:v>
                </c:pt>
                <c:pt idx="6">
                  <c:v>13.55</c:v>
                </c:pt>
                <c:pt idx="7">
                  <c:v>13.6</c:v>
                </c:pt>
                <c:pt idx="8">
                  <c:v>13.58</c:v>
                </c:pt>
                <c:pt idx="9">
                  <c:v>13.6</c:v>
                </c:pt>
                <c:pt idx="10">
                  <c:v>13.6</c:v>
                </c:pt>
                <c:pt idx="11">
                  <c:v>13.59</c:v>
                </c:pt>
                <c:pt idx="12">
                  <c:v>20.63</c:v>
                </c:pt>
                <c:pt idx="13">
                  <c:v>20.62</c:v>
                </c:pt>
                <c:pt idx="14">
                  <c:v>20.62</c:v>
                </c:pt>
                <c:pt idx="15">
                  <c:v>20.61</c:v>
                </c:pt>
                <c:pt idx="16">
                  <c:v>20.62</c:v>
                </c:pt>
                <c:pt idx="17">
                  <c:v>20.63</c:v>
                </c:pt>
                <c:pt idx="18">
                  <c:v>20.61</c:v>
                </c:pt>
                <c:pt idx="19">
                  <c:v>13.59</c:v>
                </c:pt>
                <c:pt idx="20">
                  <c:v>13.59</c:v>
                </c:pt>
                <c:pt idx="21">
                  <c:v>13.6</c:v>
                </c:pt>
                <c:pt idx="22">
                  <c:v>13.6</c:v>
                </c:pt>
                <c:pt idx="23">
                  <c:v>13.6</c:v>
                </c:pt>
                <c:pt idx="24">
                  <c:v>13.6</c:v>
                </c:pt>
                <c:pt idx="25">
                  <c:v>13.61</c:v>
                </c:pt>
                <c:pt idx="26">
                  <c:v>13.62</c:v>
                </c:pt>
                <c:pt idx="27">
                  <c:v>13.45</c:v>
                </c:pt>
                <c:pt idx="28">
                  <c:v>13.42</c:v>
                </c:pt>
                <c:pt idx="29">
                  <c:v>13.43</c:v>
                </c:pt>
                <c:pt idx="30">
                  <c:v>13.41</c:v>
                </c:pt>
                <c:pt idx="31">
                  <c:v>13.41</c:v>
                </c:pt>
                <c:pt idx="32">
                  <c:v>13.42</c:v>
                </c:pt>
                <c:pt idx="33">
                  <c:v>13.42</c:v>
                </c:pt>
                <c:pt idx="34">
                  <c:v>13.43</c:v>
                </c:pt>
                <c:pt idx="35">
                  <c:v>17.079999999999991</c:v>
                </c:pt>
                <c:pt idx="36">
                  <c:v>17.11</c:v>
                </c:pt>
                <c:pt idx="37">
                  <c:v>17.12</c:v>
                </c:pt>
                <c:pt idx="38">
                  <c:v>17.100000000000001</c:v>
                </c:pt>
                <c:pt idx="39">
                  <c:v>17.14</c:v>
                </c:pt>
                <c:pt idx="40">
                  <c:v>17.14</c:v>
                </c:pt>
                <c:pt idx="41">
                  <c:v>17.190000000000001</c:v>
                </c:pt>
                <c:pt idx="42">
                  <c:v>24.61</c:v>
                </c:pt>
                <c:pt idx="43">
                  <c:v>24.68</c:v>
                </c:pt>
                <c:pt idx="44">
                  <c:v>38.08</c:v>
                </c:pt>
                <c:pt idx="45">
                  <c:v>38.06</c:v>
                </c:pt>
                <c:pt idx="46">
                  <c:v>38.21</c:v>
                </c:pt>
                <c:pt idx="47">
                  <c:v>38.14</c:v>
                </c:pt>
                <c:pt idx="48">
                  <c:v>38.11</c:v>
                </c:pt>
                <c:pt idx="49">
                  <c:v>45.58</c:v>
                </c:pt>
                <c:pt idx="50">
                  <c:v>45.62</c:v>
                </c:pt>
                <c:pt idx="51">
                  <c:v>45.56</c:v>
                </c:pt>
                <c:pt idx="52">
                  <c:v>45.58</c:v>
                </c:pt>
                <c:pt idx="53">
                  <c:v>45.63</c:v>
                </c:pt>
                <c:pt idx="54">
                  <c:v>45.65</c:v>
                </c:pt>
                <c:pt idx="55">
                  <c:v>45.64</c:v>
                </c:pt>
                <c:pt idx="56">
                  <c:v>45.61</c:v>
                </c:pt>
                <c:pt idx="57">
                  <c:v>45.61</c:v>
                </c:pt>
                <c:pt idx="58">
                  <c:v>45.62</c:v>
                </c:pt>
                <c:pt idx="59">
                  <c:v>45.61</c:v>
                </c:pt>
                <c:pt idx="60">
                  <c:v>45.61</c:v>
                </c:pt>
                <c:pt idx="61">
                  <c:v>45.57</c:v>
                </c:pt>
                <c:pt idx="62">
                  <c:v>45.52</c:v>
                </c:pt>
                <c:pt idx="63">
                  <c:v>45.54</c:v>
                </c:pt>
                <c:pt idx="64">
                  <c:v>45.54</c:v>
                </c:pt>
                <c:pt idx="65">
                  <c:v>45.51</c:v>
                </c:pt>
                <c:pt idx="66">
                  <c:v>45.45</c:v>
                </c:pt>
                <c:pt idx="67">
                  <c:v>45.47</c:v>
                </c:pt>
                <c:pt idx="68">
                  <c:v>45.5</c:v>
                </c:pt>
                <c:pt idx="69">
                  <c:v>45.56</c:v>
                </c:pt>
                <c:pt idx="70">
                  <c:v>45.63</c:v>
                </c:pt>
                <c:pt idx="71">
                  <c:v>45.61</c:v>
                </c:pt>
                <c:pt idx="72">
                  <c:v>45.59</c:v>
                </c:pt>
                <c:pt idx="73">
                  <c:v>45.61</c:v>
                </c:pt>
                <c:pt idx="74">
                  <c:v>45.62</c:v>
                </c:pt>
                <c:pt idx="75">
                  <c:v>45.55</c:v>
                </c:pt>
                <c:pt idx="76">
                  <c:v>45.57</c:v>
                </c:pt>
                <c:pt idx="77">
                  <c:v>70.58</c:v>
                </c:pt>
                <c:pt idx="78">
                  <c:v>70.58</c:v>
                </c:pt>
                <c:pt idx="79">
                  <c:v>70.650000000000006</c:v>
                </c:pt>
                <c:pt idx="80">
                  <c:v>45.62</c:v>
                </c:pt>
                <c:pt idx="81">
                  <c:v>57.93</c:v>
                </c:pt>
                <c:pt idx="82">
                  <c:v>65.12</c:v>
                </c:pt>
                <c:pt idx="83">
                  <c:v>65.169999999999973</c:v>
                </c:pt>
                <c:pt idx="84">
                  <c:v>65.2</c:v>
                </c:pt>
                <c:pt idx="85">
                  <c:v>65.209999999999994</c:v>
                </c:pt>
                <c:pt idx="86">
                  <c:v>65.169999999999973</c:v>
                </c:pt>
                <c:pt idx="87">
                  <c:v>65.179999999999978</c:v>
                </c:pt>
                <c:pt idx="88">
                  <c:v>53.16</c:v>
                </c:pt>
                <c:pt idx="89">
                  <c:v>53.1</c:v>
                </c:pt>
                <c:pt idx="90">
                  <c:v>45.68</c:v>
                </c:pt>
                <c:pt idx="91">
                  <c:v>45.69</c:v>
                </c:pt>
                <c:pt idx="92">
                  <c:v>45.7</c:v>
                </c:pt>
                <c:pt idx="93">
                  <c:v>81.650000000000006</c:v>
                </c:pt>
                <c:pt idx="94">
                  <c:v>81.669999999999973</c:v>
                </c:pt>
                <c:pt idx="95">
                  <c:v>81.62</c:v>
                </c:pt>
                <c:pt idx="96">
                  <c:v>81.540000000000006</c:v>
                </c:pt>
                <c:pt idx="97">
                  <c:v>81.569999999999993</c:v>
                </c:pt>
                <c:pt idx="98">
                  <c:v>81.58</c:v>
                </c:pt>
                <c:pt idx="99">
                  <c:v>81.56</c:v>
                </c:pt>
                <c:pt idx="100">
                  <c:v>81.540000000000006</c:v>
                </c:pt>
                <c:pt idx="101">
                  <c:v>81.53</c:v>
                </c:pt>
                <c:pt idx="102">
                  <c:v>81.48</c:v>
                </c:pt>
                <c:pt idx="103">
                  <c:v>81.44</c:v>
                </c:pt>
                <c:pt idx="104">
                  <c:v>81.459999999999994</c:v>
                </c:pt>
                <c:pt idx="105">
                  <c:v>79.66</c:v>
                </c:pt>
                <c:pt idx="106">
                  <c:v>79.59</c:v>
                </c:pt>
                <c:pt idx="107">
                  <c:v>79.56</c:v>
                </c:pt>
                <c:pt idx="108">
                  <c:v>79.5</c:v>
                </c:pt>
                <c:pt idx="109">
                  <c:v>79.39</c:v>
                </c:pt>
                <c:pt idx="110">
                  <c:v>79.53</c:v>
                </c:pt>
                <c:pt idx="111">
                  <c:v>79.58</c:v>
                </c:pt>
                <c:pt idx="112">
                  <c:v>59.85</c:v>
                </c:pt>
                <c:pt idx="113">
                  <c:v>59.82</c:v>
                </c:pt>
                <c:pt idx="114">
                  <c:v>68.56</c:v>
                </c:pt>
                <c:pt idx="115">
                  <c:v>77.62</c:v>
                </c:pt>
                <c:pt idx="116">
                  <c:v>77.77</c:v>
                </c:pt>
                <c:pt idx="117">
                  <c:v>69.64</c:v>
                </c:pt>
                <c:pt idx="118">
                  <c:v>69.25</c:v>
                </c:pt>
                <c:pt idx="119">
                  <c:v>33.4</c:v>
                </c:pt>
                <c:pt idx="120">
                  <c:v>33.46</c:v>
                </c:pt>
                <c:pt idx="121">
                  <c:v>27.56</c:v>
                </c:pt>
                <c:pt idx="122">
                  <c:v>27.55</c:v>
                </c:pt>
                <c:pt idx="123">
                  <c:v>27.59</c:v>
                </c:pt>
                <c:pt idx="124">
                  <c:v>27.58</c:v>
                </c:pt>
                <c:pt idx="125">
                  <c:v>27.67</c:v>
                </c:pt>
                <c:pt idx="126">
                  <c:v>27.67</c:v>
                </c:pt>
                <c:pt idx="127">
                  <c:v>27.76</c:v>
                </c:pt>
                <c:pt idx="128">
                  <c:v>27.88</c:v>
                </c:pt>
                <c:pt idx="129">
                  <c:v>27.87</c:v>
                </c:pt>
                <c:pt idx="130">
                  <c:v>19.059999999999999</c:v>
                </c:pt>
                <c:pt idx="131">
                  <c:v>19.04</c:v>
                </c:pt>
                <c:pt idx="132">
                  <c:v>19.07</c:v>
                </c:pt>
                <c:pt idx="133">
                  <c:v>19.11</c:v>
                </c:pt>
                <c:pt idx="134">
                  <c:v>19.09</c:v>
                </c:pt>
                <c:pt idx="135">
                  <c:v>19.14</c:v>
                </c:pt>
                <c:pt idx="136">
                  <c:v>19.149999999999999</c:v>
                </c:pt>
                <c:pt idx="137">
                  <c:v>27.95</c:v>
                </c:pt>
                <c:pt idx="138">
                  <c:v>18.13</c:v>
                </c:pt>
                <c:pt idx="139">
                  <c:v>26.46</c:v>
                </c:pt>
                <c:pt idx="140">
                  <c:v>34.4</c:v>
                </c:pt>
                <c:pt idx="141">
                  <c:v>34.36</c:v>
                </c:pt>
                <c:pt idx="142">
                  <c:v>34.47</c:v>
                </c:pt>
                <c:pt idx="143">
                  <c:v>34.51</c:v>
                </c:pt>
                <c:pt idx="144">
                  <c:v>51.31</c:v>
                </c:pt>
                <c:pt idx="145">
                  <c:v>51.41</c:v>
                </c:pt>
                <c:pt idx="146">
                  <c:v>31.42</c:v>
                </c:pt>
                <c:pt idx="147">
                  <c:v>41.01</c:v>
                </c:pt>
                <c:pt idx="148">
                  <c:v>41.03</c:v>
                </c:pt>
                <c:pt idx="149">
                  <c:v>58.02</c:v>
                </c:pt>
                <c:pt idx="150">
                  <c:v>58.04</c:v>
                </c:pt>
                <c:pt idx="151">
                  <c:v>37.39</c:v>
                </c:pt>
                <c:pt idx="152">
                  <c:v>57.99</c:v>
                </c:pt>
                <c:pt idx="153">
                  <c:v>57.96</c:v>
                </c:pt>
                <c:pt idx="154">
                  <c:v>57.99</c:v>
                </c:pt>
                <c:pt idx="155">
                  <c:v>58.06</c:v>
                </c:pt>
                <c:pt idx="156">
                  <c:v>58.04</c:v>
                </c:pt>
                <c:pt idx="157">
                  <c:v>58.03</c:v>
                </c:pt>
                <c:pt idx="158">
                  <c:v>58.03</c:v>
                </c:pt>
                <c:pt idx="159">
                  <c:v>58.01</c:v>
                </c:pt>
                <c:pt idx="160">
                  <c:v>58</c:v>
                </c:pt>
                <c:pt idx="161">
                  <c:v>57.2</c:v>
                </c:pt>
                <c:pt idx="162">
                  <c:v>76.75</c:v>
                </c:pt>
                <c:pt idx="163">
                  <c:v>76.739999999999995</c:v>
                </c:pt>
                <c:pt idx="164">
                  <c:v>68.16</c:v>
                </c:pt>
                <c:pt idx="165">
                  <c:v>68.150000000000006</c:v>
                </c:pt>
                <c:pt idx="166">
                  <c:v>68.14</c:v>
                </c:pt>
                <c:pt idx="167">
                  <c:v>68.14</c:v>
                </c:pt>
                <c:pt idx="168">
                  <c:v>68.14</c:v>
                </c:pt>
                <c:pt idx="169">
                  <c:v>68.14</c:v>
                </c:pt>
                <c:pt idx="170">
                  <c:v>68.12</c:v>
                </c:pt>
                <c:pt idx="171">
                  <c:v>68.12</c:v>
                </c:pt>
                <c:pt idx="172">
                  <c:v>68.12</c:v>
                </c:pt>
                <c:pt idx="173">
                  <c:v>68.12</c:v>
                </c:pt>
                <c:pt idx="174">
                  <c:v>68.11</c:v>
                </c:pt>
                <c:pt idx="175">
                  <c:v>68.099999999999994</c:v>
                </c:pt>
                <c:pt idx="176">
                  <c:v>68.099999999999994</c:v>
                </c:pt>
                <c:pt idx="177">
                  <c:v>68.099999999999994</c:v>
                </c:pt>
                <c:pt idx="178">
                  <c:v>68.09</c:v>
                </c:pt>
                <c:pt idx="179">
                  <c:v>78.48</c:v>
                </c:pt>
                <c:pt idx="180">
                  <c:v>78.459999999999994</c:v>
                </c:pt>
                <c:pt idx="181">
                  <c:v>78.45</c:v>
                </c:pt>
                <c:pt idx="182">
                  <c:v>78.47</c:v>
                </c:pt>
                <c:pt idx="183">
                  <c:v>78.459999999999994</c:v>
                </c:pt>
                <c:pt idx="184">
                  <c:v>55.07</c:v>
                </c:pt>
                <c:pt idx="185">
                  <c:v>33.630000000000003</c:v>
                </c:pt>
                <c:pt idx="186">
                  <c:v>55.28</c:v>
                </c:pt>
                <c:pt idx="187">
                  <c:v>33.82</c:v>
                </c:pt>
                <c:pt idx="188">
                  <c:v>33.840000000000003</c:v>
                </c:pt>
                <c:pt idx="189">
                  <c:v>32.369999999999997</c:v>
                </c:pt>
                <c:pt idx="190">
                  <c:v>32.33</c:v>
                </c:pt>
                <c:pt idx="191">
                  <c:v>32.29</c:v>
                </c:pt>
                <c:pt idx="192">
                  <c:v>37.14</c:v>
                </c:pt>
                <c:pt idx="193">
                  <c:v>36.39</c:v>
                </c:pt>
                <c:pt idx="194">
                  <c:v>36.4</c:v>
                </c:pt>
                <c:pt idx="195">
                  <c:v>36.380000000000003</c:v>
                </c:pt>
                <c:pt idx="196">
                  <c:v>36.43</c:v>
                </c:pt>
                <c:pt idx="197">
                  <c:v>32.5</c:v>
                </c:pt>
                <c:pt idx="198">
                  <c:v>32.5</c:v>
                </c:pt>
                <c:pt idx="199">
                  <c:v>32.619999999999997</c:v>
                </c:pt>
                <c:pt idx="200">
                  <c:v>32.619999999999997</c:v>
                </c:pt>
                <c:pt idx="201">
                  <c:v>32.58</c:v>
                </c:pt>
                <c:pt idx="202">
                  <c:v>40.82</c:v>
                </c:pt>
                <c:pt idx="203">
                  <c:v>32.58</c:v>
                </c:pt>
                <c:pt idx="204">
                  <c:v>40.68</c:v>
                </c:pt>
                <c:pt idx="205">
                  <c:v>35.659999999999997</c:v>
                </c:pt>
                <c:pt idx="206">
                  <c:v>29.07</c:v>
                </c:pt>
                <c:pt idx="207">
                  <c:v>28.74</c:v>
                </c:pt>
                <c:pt idx="208">
                  <c:v>28.52</c:v>
                </c:pt>
                <c:pt idx="209">
                  <c:v>34.56</c:v>
                </c:pt>
                <c:pt idx="210">
                  <c:v>37.99</c:v>
                </c:pt>
                <c:pt idx="211">
                  <c:v>37.96</c:v>
                </c:pt>
                <c:pt idx="212">
                  <c:v>30.34</c:v>
                </c:pt>
                <c:pt idx="213">
                  <c:v>37.96</c:v>
                </c:pt>
                <c:pt idx="214">
                  <c:v>38.049999999999997</c:v>
                </c:pt>
                <c:pt idx="215">
                  <c:v>38.04</c:v>
                </c:pt>
                <c:pt idx="216">
                  <c:v>34.17</c:v>
                </c:pt>
                <c:pt idx="217">
                  <c:v>7.8599999999999977</c:v>
                </c:pt>
                <c:pt idx="218">
                  <c:v>10.93</c:v>
                </c:pt>
                <c:pt idx="219">
                  <c:v>10.92</c:v>
                </c:pt>
                <c:pt idx="220">
                  <c:v>10.93</c:v>
                </c:pt>
                <c:pt idx="221">
                  <c:v>10.94</c:v>
                </c:pt>
                <c:pt idx="222">
                  <c:v>10.96</c:v>
                </c:pt>
                <c:pt idx="223">
                  <c:v>10.97</c:v>
                </c:pt>
                <c:pt idx="224">
                  <c:v>10.97</c:v>
                </c:pt>
                <c:pt idx="225">
                  <c:v>10.96</c:v>
                </c:pt>
                <c:pt idx="226">
                  <c:v>10.99</c:v>
                </c:pt>
                <c:pt idx="227">
                  <c:v>10.97</c:v>
                </c:pt>
                <c:pt idx="228">
                  <c:v>10.97</c:v>
                </c:pt>
                <c:pt idx="229">
                  <c:v>11.06</c:v>
                </c:pt>
                <c:pt idx="230">
                  <c:v>11.05</c:v>
                </c:pt>
                <c:pt idx="231">
                  <c:v>11.05</c:v>
                </c:pt>
                <c:pt idx="232">
                  <c:v>11.04</c:v>
                </c:pt>
                <c:pt idx="233">
                  <c:v>11.02</c:v>
                </c:pt>
                <c:pt idx="234">
                  <c:v>11.02</c:v>
                </c:pt>
                <c:pt idx="235">
                  <c:v>11.02</c:v>
                </c:pt>
                <c:pt idx="236">
                  <c:v>11.02</c:v>
                </c:pt>
                <c:pt idx="237">
                  <c:v>11.01</c:v>
                </c:pt>
                <c:pt idx="238">
                  <c:v>12.27</c:v>
                </c:pt>
                <c:pt idx="239">
                  <c:v>12.27</c:v>
                </c:pt>
                <c:pt idx="240">
                  <c:v>11.03</c:v>
                </c:pt>
                <c:pt idx="241">
                  <c:v>11.02</c:v>
                </c:pt>
                <c:pt idx="242">
                  <c:v>11.03</c:v>
                </c:pt>
                <c:pt idx="243">
                  <c:v>11.02</c:v>
                </c:pt>
                <c:pt idx="244">
                  <c:v>11.02</c:v>
                </c:pt>
                <c:pt idx="245">
                  <c:v>11.04</c:v>
                </c:pt>
                <c:pt idx="246">
                  <c:v>11.04</c:v>
                </c:pt>
                <c:pt idx="247">
                  <c:v>11.05</c:v>
                </c:pt>
                <c:pt idx="248">
                  <c:v>11.77</c:v>
                </c:pt>
                <c:pt idx="249">
                  <c:v>11.77</c:v>
                </c:pt>
                <c:pt idx="250">
                  <c:v>11.77</c:v>
                </c:pt>
                <c:pt idx="251">
                  <c:v>11.76</c:v>
                </c:pt>
                <c:pt idx="252">
                  <c:v>11.77</c:v>
                </c:pt>
                <c:pt idx="253">
                  <c:v>11.76</c:v>
                </c:pt>
                <c:pt idx="254">
                  <c:v>11.77</c:v>
                </c:pt>
                <c:pt idx="255">
                  <c:v>11.78</c:v>
                </c:pt>
                <c:pt idx="256">
                  <c:v>11.77</c:v>
                </c:pt>
                <c:pt idx="257">
                  <c:v>11.77</c:v>
                </c:pt>
                <c:pt idx="258">
                  <c:v>11.78</c:v>
                </c:pt>
                <c:pt idx="259">
                  <c:v>11.77</c:v>
                </c:pt>
                <c:pt idx="260">
                  <c:v>11.77</c:v>
                </c:pt>
                <c:pt idx="261">
                  <c:v>11.79</c:v>
                </c:pt>
                <c:pt idx="262">
                  <c:v>11.78</c:v>
                </c:pt>
                <c:pt idx="263">
                  <c:v>11.8</c:v>
                </c:pt>
                <c:pt idx="264">
                  <c:v>11.81</c:v>
                </c:pt>
                <c:pt idx="265">
                  <c:v>11.81</c:v>
                </c:pt>
                <c:pt idx="266">
                  <c:v>11.81</c:v>
                </c:pt>
                <c:pt idx="267">
                  <c:v>11.81</c:v>
                </c:pt>
                <c:pt idx="268">
                  <c:v>11.8</c:v>
                </c:pt>
                <c:pt idx="269">
                  <c:v>11.83</c:v>
                </c:pt>
                <c:pt idx="270">
                  <c:v>11.83</c:v>
                </c:pt>
                <c:pt idx="271">
                  <c:v>11.82</c:v>
                </c:pt>
                <c:pt idx="272">
                  <c:v>11.82</c:v>
                </c:pt>
                <c:pt idx="273">
                  <c:v>11.83</c:v>
                </c:pt>
                <c:pt idx="274">
                  <c:v>11.85</c:v>
                </c:pt>
                <c:pt idx="275">
                  <c:v>11.85</c:v>
                </c:pt>
                <c:pt idx="276">
                  <c:v>11.85</c:v>
                </c:pt>
                <c:pt idx="277">
                  <c:v>11.87</c:v>
                </c:pt>
                <c:pt idx="278">
                  <c:v>11.87</c:v>
                </c:pt>
                <c:pt idx="279">
                  <c:v>11.87</c:v>
                </c:pt>
                <c:pt idx="280">
                  <c:v>11.87</c:v>
                </c:pt>
                <c:pt idx="281">
                  <c:v>11.86</c:v>
                </c:pt>
                <c:pt idx="282">
                  <c:v>11.87</c:v>
                </c:pt>
                <c:pt idx="283">
                  <c:v>11.83</c:v>
                </c:pt>
                <c:pt idx="284">
                  <c:v>11.86</c:v>
                </c:pt>
                <c:pt idx="285">
                  <c:v>11.84</c:v>
                </c:pt>
                <c:pt idx="286">
                  <c:v>11.79</c:v>
                </c:pt>
                <c:pt idx="287">
                  <c:v>11.79</c:v>
                </c:pt>
              </c:numCache>
            </c:numRef>
          </c:val>
          <c:smooth val="0"/>
          <c:extLst xmlns:c16r2="http://schemas.microsoft.com/office/drawing/2015/06/chart">
            <c:ext xmlns:c16="http://schemas.microsoft.com/office/drawing/2014/chart" uri="{C3380CC4-5D6E-409C-BE32-E72D297353CC}">
              <c16:uniqueId val="{00000001-9F7C-FC46-98A9-D64546519997}"/>
            </c:ext>
          </c:extLst>
        </c:ser>
        <c:ser>
          <c:idx val="0"/>
          <c:order val="1"/>
          <c:tx>
            <c:strRef>
              <c:f>'Exhibit 8B'!$B$1</c:f>
              <c:strCache>
                <c:ptCount val="1"/>
                <c:pt idx="0">
                  <c:v>Average Value-Weighted Fee in bps</c:v>
                </c:pt>
              </c:strCache>
            </c:strRef>
          </c:tx>
          <c:spPr>
            <a:ln w="28575" cap="rnd">
              <a:solidFill>
                <a:schemeClr val="bg1">
                  <a:lumMod val="65000"/>
                </a:schemeClr>
              </a:solidFill>
              <a:prstDash val="solid"/>
              <a:round/>
            </a:ln>
            <a:effectLst/>
          </c:spPr>
          <c:marker>
            <c:symbol val="none"/>
          </c:marker>
          <c:cat>
            <c:numRef>
              <c:f>'Exhibit 8B'!$A$2:$A$289</c:f>
              <c:numCache>
                <c:formatCode>m/d/yyyy</c:formatCode>
                <c:ptCount val="288"/>
                <c:pt idx="0">
                  <c:v>41246</c:v>
                </c:pt>
                <c:pt idx="1">
                  <c:v>41247</c:v>
                </c:pt>
                <c:pt idx="2">
                  <c:v>41248</c:v>
                </c:pt>
                <c:pt idx="3">
                  <c:v>41249</c:v>
                </c:pt>
                <c:pt idx="4">
                  <c:v>41250</c:v>
                </c:pt>
                <c:pt idx="5">
                  <c:v>41253</c:v>
                </c:pt>
                <c:pt idx="6">
                  <c:v>41254</c:v>
                </c:pt>
                <c:pt idx="7">
                  <c:v>41255</c:v>
                </c:pt>
                <c:pt idx="8">
                  <c:v>41256</c:v>
                </c:pt>
                <c:pt idx="9">
                  <c:v>41257</c:v>
                </c:pt>
                <c:pt idx="10">
                  <c:v>41260</c:v>
                </c:pt>
                <c:pt idx="11">
                  <c:v>41261</c:v>
                </c:pt>
                <c:pt idx="12">
                  <c:v>41262</c:v>
                </c:pt>
                <c:pt idx="13">
                  <c:v>41263</c:v>
                </c:pt>
                <c:pt idx="14">
                  <c:v>41264</c:v>
                </c:pt>
                <c:pt idx="15">
                  <c:v>41267</c:v>
                </c:pt>
                <c:pt idx="16">
                  <c:v>41268</c:v>
                </c:pt>
                <c:pt idx="17">
                  <c:v>41269</c:v>
                </c:pt>
                <c:pt idx="18">
                  <c:v>41270</c:v>
                </c:pt>
                <c:pt idx="19">
                  <c:v>41271</c:v>
                </c:pt>
                <c:pt idx="20">
                  <c:v>41274</c:v>
                </c:pt>
                <c:pt idx="21">
                  <c:v>41275</c:v>
                </c:pt>
                <c:pt idx="22">
                  <c:v>41276</c:v>
                </c:pt>
                <c:pt idx="23">
                  <c:v>41277</c:v>
                </c:pt>
                <c:pt idx="24">
                  <c:v>41278</c:v>
                </c:pt>
                <c:pt idx="25">
                  <c:v>41281</c:v>
                </c:pt>
                <c:pt idx="26">
                  <c:v>41282</c:v>
                </c:pt>
                <c:pt idx="27">
                  <c:v>41283</c:v>
                </c:pt>
                <c:pt idx="28">
                  <c:v>41284</c:v>
                </c:pt>
                <c:pt idx="29">
                  <c:v>41285</c:v>
                </c:pt>
                <c:pt idx="30">
                  <c:v>41288</c:v>
                </c:pt>
                <c:pt idx="31">
                  <c:v>41289</c:v>
                </c:pt>
                <c:pt idx="32">
                  <c:v>41290</c:v>
                </c:pt>
                <c:pt idx="33">
                  <c:v>41291</c:v>
                </c:pt>
                <c:pt idx="34">
                  <c:v>41292</c:v>
                </c:pt>
                <c:pt idx="35">
                  <c:v>41295</c:v>
                </c:pt>
                <c:pt idx="36">
                  <c:v>41296</c:v>
                </c:pt>
                <c:pt idx="37">
                  <c:v>41297</c:v>
                </c:pt>
                <c:pt idx="38">
                  <c:v>41298</c:v>
                </c:pt>
                <c:pt idx="39">
                  <c:v>41299</c:v>
                </c:pt>
                <c:pt idx="40">
                  <c:v>41302</c:v>
                </c:pt>
                <c:pt idx="41">
                  <c:v>41303</c:v>
                </c:pt>
                <c:pt idx="42">
                  <c:v>41304</c:v>
                </c:pt>
                <c:pt idx="43">
                  <c:v>41305</c:v>
                </c:pt>
                <c:pt idx="44">
                  <c:v>41306</c:v>
                </c:pt>
                <c:pt idx="45">
                  <c:v>41309</c:v>
                </c:pt>
                <c:pt idx="46">
                  <c:v>41310</c:v>
                </c:pt>
                <c:pt idx="47">
                  <c:v>41311</c:v>
                </c:pt>
                <c:pt idx="48">
                  <c:v>41312</c:v>
                </c:pt>
                <c:pt idx="49">
                  <c:v>41313</c:v>
                </c:pt>
                <c:pt idx="50">
                  <c:v>41316</c:v>
                </c:pt>
                <c:pt idx="51">
                  <c:v>41317</c:v>
                </c:pt>
                <c:pt idx="52">
                  <c:v>41318</c:v>
                </c:pt>
                <c:pt idx="53">
                  <c:v>41319</c:v>
                </c:pt>
                <c:pt idx="54">
                  <c:v>41320</c:v>
                </c:pt>
                <c:pt idx="55">
                  <c:v>41323</c:v>
                </c:pt>
                <c:pt idx="56">
                  <c:v>41324</c:v>
                </c:pt>
                <c:pt idx="57">
                  <c:v>41325</c:v>
                </c:pt>
                <c:pt idx="58">
                  <c:v>41326</c:v>
                </c:pt>
                <c:pt idx="59">
                  <c:v>41327</c:v>
                </c:pt>
                <c:pt idx="60">
                  <c:v>41330</c:v>
                </c:pt>
                <c:pt idx="61">
                  <c:v>41331</c:v>
                </c:pt>
                <c:pt idx="62">
                  <c:v>41332</c:v>
                </c:pt>
                <c:pt idx="63">
                  <c:v>41333</c:v>
                </c:pt>
                <c:pt idx="64">
                  <c:v>41334</c:v>
                </c:pt>
                <c:pt idx="65">
                  <c:v>41337</c:v>
                </c:pt>
                <c:pt idx="66">
                  <c:v>41338</c:v>
                </c:pt>
                <c:pt idx="67">
                  <c:v>41339</c:v>
                </c:pt>
                <c:pt idx="68">
                  <c:v>41340</c:v>
                </c:pt>
                <c:pt idx="69">
                  <c:v>41341</c:v>
                </c:pt>
                <c:pt idx="70">
                  <c:v>41344</c:v>
                </c:pt>
                <c:pt idx="71">
                  <c:v>41345</c:v>
                </c:pt>
                <c:pt idx="72">
                  <c:v>41346</c:v>
                </c:pt>
                <c:pt idx="73">
                  <c:v>41347</c:v>
                </c:pt>
                <c:pt idx="74">
                  <c:v>41348</c:v>
                </c:pt>
                <c:pt idx="75">
                  <c:v>41351</c:v>
                </c:pt>
                <c:pt idx="76">
                  <c:v>41352</c:v>
                </c:pt>
                <c:pt idx="77">
                  <c:v>41353</c:v>
                </c:pt>
                <c:pt idx="78">
                  <c:v>41354</c:v>
                </c:pt>
                <c:pt idx="79">
                  <c:v>41355</c:v>
                </c:pt>
                <c:pt idx="80">
                  <c:v>41358</c:v>
                </c:pt>
                <c:pt idx="81">
                  <c:v>41359</c:v>
                </c:pt>
                <c:pt idx="82">
                  <c:v>41360</c:v>
                </c:pt>
                <c:pt idx="83">
                  <c:v>41361</c:v>
                </c:pt>
                <c:pt idx="84">
                  <c:v>41362</c:v>
                </c:pt>
                <c:pt idx="85">
                  <c:v>41365</c:v>
                </c:pt>
                <c:pt idx="86">
                  <c:v>41366</c:v>
                </c:pt>
                <c:pt idx="87">
                  <c:v>41367</c:v>
                </c:pt>
                <c:pt idx="88">
                  <c:v>41368</c:v>
                </c:pt>
                <c:pt idx="89">
                  <c:v>41369</c:v>
                </c:pt>
                <c:pt idx="90">
                  <c:v>41372</c:v>
                </c:pt>
                <c:pt idx="91">
                  <c:v>41373</c:v>
                </c:pt>
                <c:pt idx="92">
                  <c:v>41374</c:v>
                </c:pt>
                <c:pt idx="93">
                  <c:v>41375</c:v>
                </c:pt>
                <c:pt idx="94">
                  <c:v>41376</c:v>
                </c:pt>
                <c:pt idx="95">
                  <c:v>41379</c:v>
                </c:pt>
                <c:pt idx="96">
                  <c:v>41380</c:v>
                </c:pt>
                <c:pt idx="97">
                  <c:v>41381</c:v>
                </c:pt>
                <c:pt idx="98">
                  <c:v>41382</c:v>
                </c:pt>
                <c:pt idx="99">
                  <c:v>41383</c:v>
                </c:pt>
                <c:pt idx="100">
                  <c:v>41386</c:v>
                </c:pt>
                <c:pt idx="101">
                  <c:v>41387</c:v>
                </c:pt>
                <c:pt idx="102">
                  <c:v>41388</c:v>
                </c:pt>
                <c:pt idx="103">
                  <c:v>41389</c:v>
                </c:pt>
                <c:pt idx="104">
                  <c:v>41390</c:v>
                </c:pt>
                <c:pt idx="105">
                  <c:v>41393</c:v>
                </c:pt>
                <c:pt idx="106">
                  <c:v>41394</c:v>
                </c:pt>
                <c:pt idx="107">
                  <c:v>41395</c:v>
                </c:pt>
                <c:pt idx="108">
                  <c:v>41396</c:v>
                </c:pt>
                <c:pt idx="109">
                  <c:v>41397</c:v>
                </c:pt>
                <c:pt idx="110">
                  <c:v>41400</c:v>
                </c:pt>
                <c:pt idx="111">
                  <c:v>41401</c:v>
                </c:pt>
                <c:pt idx="112">
                  <c:v>41402</c:v>
                </c:pt>
                <c:pt idx="113">
                  <c:v>41403</c:v>
                </c:pt>
                <c:pt idx="114">
                  <c:v>41404</c:v>
                </c:pt>
                <c:pt idx="115">
                  <c:v>41407</c:v>
                </c:pt>
                <c:pt idx="116">
                  <c:v>41408</c:v>
                </c:pt>
                <c:pt idx="117">
                  <c:v>41409</c:v>
                </c:pt>
                <c:pt idx="118">
                  <c:v>41410</c:v>
                </c:pt>
                <c:pt idx="119">
                  <c:v>41411</c:v>
                </c:pt>
                <c:pt idx="120">
                  <c:v>41414</c:v>
                </c:pt>
                <c:pt idx="121">
                  <c:v>41415</c:v>
                </c:pt>
                <c:pt idx="122">
                  <c:v>41416</c:v>
                </c:pt>
                <c:pt idx="123">
                  <c:v>41417</c:v>
                </c:pt>
                <c:pt idx="124">
                  <c:v>41418</c:v>
                </c:pt>
                <c:pt idx="125">
                  <c:v>41421</c:v>
                </c:pt>
                <c:pt idx="126">
                  <c:v>41422</c:v>
                </c:pt>
                <c:pt idx="127">
                  <c:v>41423</c:v>
                </c:pt>
                <c:pt idx="128">
                  <c:v>41424</c:v>
                </c:pt>
                <c:pt idx="129">
                  <c:v>41425</c:v>
                </c:pt>
                <c:pt idx="130">
                  <c:v>41428</c:v>
                </c:pt>
                <c:pt idx="131">
                  <c:v>41429</c:v>
                </c:pt>
                <c:pt idx="132">
                  <c:v>41430</c:v>
                </c:pt>
                <c:pt idx="133">
                  <c:v>41431</c:v>
                </c:pt>
                <c:pt idx="134">
                  <c:v>41432</c:v>
                </c:pt>
                <c:pt idx="135">
                  <c:v>41435</c:v>
                </c:pt>
                <c:pt idx="136">
                  <c:v>41436</c:v>
                </c:pt>
                <c:pt idx="137">
                  <c:v>41437</c:v>
                </c:pt>
                <c:pt idx="138">
                  <c:v>41438</c:v>
                </c:pt>
                <c:pt idx="139">
                  <c:v>41439</c:v>
                </c:pt>
                <c:pt idx="140">
                  <c:v>41442</c:v>
                </c:pt>
                <c:pt idx="141">
                  <c:v>41443</c:v>
                </c:pt>
                <c:pt idx="142">
                  <c:v>41444</c:v>
                </c:pt>
                <c:pt idx="143">
                  <c:v>41445</c:v>
                </c:pt>
                <c:pt idx="144">
                  <c:v>41446</c:v>
                </c:pt>
                <c:pt idx="145">
                  <c:v>41449</c:v>
                </c:pt>
                <c:pt idx="146">
                  <c:v>41450</c:v>
                </c:pt>
                <c:pt idx="147">
                  <c:v>41451</c:v>
                </c:pt>
                <c:pt idx="148">
                  <c:v>41452</c:v>
                </c:pt>
                <c:pt idx="149">
                  <c:v>41453</c:v>
                </c:pt>
                <c:pt idx="150">
                  <c:v>41456</c:v>
                </c:pt>
                <c:pt idx="151">
                  <c:v>41457</c:v>
                </c:pt>
                <c:pt idx="152">
                  <c:v>41458</c:v>
                </c:pt>
                <c:pt idx="153">
                  <c:v>41459</c:v>
                </c:pt>
                <c:pt idx="154">
                  <c:v>41460</c:v>
                </c:pt>
                <c:pt idx="155">
                  <c:v>41463</c:v>
                </c:pt>
                <c:pt idx="156">
                  <c:v>41464</c:v>
                </c:pt>
                <c:pt idx="157">
                  <c:v>41465</c:v>
                </c:pt>
                <c:pt idx="158">
                  <c:v>41466</c:v>
                </c:pt>
                <c:pt idx="159">
                  <c:v>41467</c:v>
                </c:pt>
                <c:pt idx="160">
                  <c:v>41470</c:v>
                </c:pt>
                <c:pt idx="161">
                  <c:v>41471</c:v>
                </c:pt>
                <c:pt idx="162">
                  <c:v>41472</c:v>
                </c:pt>
                <c:pt idx="163">
                  <c:v>41473</c:v>
                </c:pt>
                <c:pt idx="164">
                  <c:v>41474</c:v>
                </c:pt>
                <c:pt idx="165">
                  <c:v>41477</c:v>
                </c:pt>
                <c:pt idx="166">
                  <c:v>41478</c:v>
                </c:pt>
                <c:pt idx="167">
                  <c:v>41479</c:v>
                </c:pt>
                <c:pt idx="168">
                  <c:v>41480</c:v>
                </c:pt>
                <c:pt idx="169">
                  <c:v>41481</c:v>
                </c:pt>
                <c:pt idx="170">
                  <c:v>41484</c:v>
                </c:pt>
                <c:pt idx="171">
                  <c:v>41485</c:v>
                </c:pt>
                <c:pt idx="172">
                  <c:v>41486</c:v>
                </c:pt>
                <c:pt idx="173">
                  <c:v>41487</c:v>
                </c:pt>
                <c:pt idx="174">
                  <c:v>41488</c:v>
                </c:pt>
                <c:pt idx="175">
                  <c:v>41491</c:v>
                </c:pt>
                <c:pt idx="176">
                  <c:v>41492</c:v>
                </c:pt>
                <c:pt idx="177">
                  <c:v>41493</c:v>
                </c:pt>
                <c:pt idx="178">
                  <c:v>41494</c:v>
                </c:pt>
                <c:pt idx="179">
                  <c:v>41495</c:v>
                </c:pt>
                <c:pt idx="180">
                  <c:v>41498</c:v>
                </c:pt>
                <c:pt idx="181">
                  <c:v>41499</c:v>
                </c:pt>
                <c:pt idx="182">
                  <c:v>41500</c:v>
                </c:pt>
                <c:pt idx="183">
                  <c:v>41501</c:v>
                </c:pt>
                <c:pt idx="184">
                  <c:v>41502</c:v>
                </c:pt>
                <c:pt idx="185">
                  <c:v>41505</c:v>
                </c:pt>
                <c:pt idx="186">
                  <c:v>41506</c:v>
                </c:pt>
                <c:pt idx="187">
                  <c:v>41507</c:v>
                </c:pt>
                <c:pt idx="188">
                  <c:v>41508</c:v>
                </c:pt>
                <c:pt idx="189">
                  <c:v>41509</c:v>
                </c:pt>
                <c:pt idx="190">
                  <c:v>41512</c:v>
                </c:pt>
                <c:pt idx="191">
                  <c:v>41513</c:v>
                </c:pt>
                <c:pt idx="192">
                  <c:v>41514</c:v>
                </c:pt>
                <c:pt idx="193">
                  <c:v>41515</c:v>
                </c:pt>
                <c:pt idx="194">
                  <c:v>41516</c:v>
                </c:pt>
                <c:pt idx="195">
                  <c:v>41519</c:v>
                </c:pt>
                <c:pt idx="196">
                  <c:v>41520</c:v>
                </c:pt>
                <c:pt idx="197">
                  <c:v>41521</c:v>
                </c:pt>
                <c:pt idx="198">
                  <c:v>41522</c:v>
                </c:pt>
                <c:pt idx="199">
                  <c:v>41523</c:v>
                </c:pt>
                <c:pt idx="200">
                  <c:v>41526</c:v>
                </c:pt>
                <c:pt idx="201">
                  <c:v>41527</c:v>
                </c:pt>
                <c:pt idx="202">
                  <c:v>41528</c:v>
                </c:pt>
                <c:pt idx="203">
                  <c:v>41529</c:v>
                </c:pt>
                <c:pt idx="204">
                  <c:v>41530</c:v>
                </c:pt>
                <c:pt idx="205">
                  <c:v>41533</c:v>
                </c:pt>
                <c:pt idx="206">
                  <c:v>41534</c:v>
                </c:pt>
                <c:pt idx="207">
                  <c:v>41535</c:v>
                </c:pt>
                <c:pt idx="208">
                  <c:v>41536</c:v>
                </c:pt>
                <c:pt idx="209">
                  <c:v>41537</c:v>
                </c:pt>
                <c:pt idx="210">
                  <c:v>41540</c:v>
                </c:pt>
                <c:pt idx="211">
                  <c:v>41541</c:v>
                </c:pt>
                <c:pt idx="212">
                  <c:v>41542</c:v>
                </c:pt>
                <c:pt idx="213">
                  <c:v>41543</c:v>
                </c:pt>
                <c:pt idx="214">
                  <c:v>41544</c:v>
                </c:pt>
                <c:pt idx="215">
                  <c:v>41547</c:v>
                </c:pt>
                <c:pt idx="216">
                  <c:v>41548</c:v>
                </c:pt>
                <c:pt idx="217">
                  <c:v>41549</c:v>
                </c:pt>
                <c:pt idx="218">
                  <c:v>41550</c:v>
                </c:pt>
                <c:pt idx="219">
                  <c:v>41551</c:v>
                </c:pt>
                <c:pt idx="220">
                  <c:v>41554</c:v>
                </c:pt>
                <c:pt idx="221">
                  <c:v>41555</c:v>
                </c:pt>
                <c:pt idx="222">
                  <c:v>41556</c:v>
                </c:pt>
                <c:pt idx="223">
                  <c:v>41557</c:v>
                </c:pt>
                <c:pt idx="224">
                  <c:v>41558</c:v>
                </c:pt>
                <c:pt idx="225">
                  <c:v>41561</c:v>
                </c:pt>
                <c:pt idx="226">
                  <c:v>41562</c:v>
                </c:pt>
                <c:pt idx="227">
                  <c:v>41563</c:v>
                </c:pt>
                <c:pt idx="228">
                  <c:v>41564</c:v>
                </c:pt>
                <c:pt idx="229">
                  <c:v>41565</c:v>
                </c:pt>
                <c:pt idx="230">
                  <c:v>41568</c:v>
                </c:pt>
                <c:pt idx="231">
                  <c:v>41569</c:v>
                </c:pt>
                <c:pt idx="232">
                  <c:v>41570</c:v>
                </c:pt>
                <c:pt idx="233">
                  <c:v>41571</c:v>
                </c:pt>
                <c:pt idx="234">
                  <c:v>41572</c:v>
                </c:pt>
                <c:pt idx="235">
                  <c:v>41575</c:v>
                </c:pt>
                <c:pt idx="236">
                  <c:v>41576</c:v>
                </c:pt>
                <c:pt idx="237">
                  <c:v>41577</c:v>
                </c:pt>
                <c:pt idx="238">
                  <c:v>41578</c:v>
                </c:pt>
                <c:pt idx="239">
                  <c:v>41579</c:v>
                </c:pt>
                <c:pt idx="240">
                  <c:v>41582</c:v>
                </c:pt>
                <c:pt idx="241">
                  <c:v>41583</c:v>
                </c:pt>
                <c:pt idx="242">
                  <c:v>41584</c:v>
                </c:pt>
                <c:pt idx="243">
                  <c:v>41585</c:v>
                </c:pt>
                <c:pt idx="244">
                  <c:v>41586</c:v>
                </c:pt>
                <c:pt idx="245">
                  <c:v>41589</c:v>
                </c:pt>
                <c:pt idx="246">
                  <c:v>41590</c:v>
                </c:pt>
                <c:pt idx="247">
                  <c:v>41591</c:v>
                </c:pt>
                <c:pt idx="248">
                  <c:v>41592</c:v>
                </c:pt>
                <c:pt idx="249">
                  <c:v>41593</c:v>
                </c:pt>
                <c:pt idx="250">
                  <c:v>41596</c:v>
                </c:pt>
                <c:pt idx="251">
                  <c:v>41597</c:v>
                </c:pt>
                <c:pt idx="252">
                  <c:v>41598</c:v>
                </c:pt>
                <c:pt idx="253">
                  <c:v>41599</c:v>
                </c:pt>
                <c:pt idx="254">
                  <c:v>41600</c:v>
                </c:pt>
                <c:pt idx="255">
                  <c:v>41603</c:v>
                </c:pt>
                <c:pt idx="256">
                  <c:v>41604</c:v>
                </c:pt>
                <c:pt idx="257">
                  <c:v>41605</c:v>
                </c:pt>
                <c:pt idx="258">
                  <c:v>41606</c:v>
                </c:pt>
                <c:pt idx="259">
                  <c:v>41607</c:v>
                </c:pt>
                <c:pt idx="260">
                  <c:v>41610</c:v>
                </c:pt>
                <c:pt idx="261">
                  <c:v>41611</c:v>
                </c:pt>
                <c:pt idx="262">
                  <c:v>41612</c:v>
                </c:pt>
                <c:pt idx="263">
                  <c:v>41613</c:v>
                </c:pt>
                <c:pt idx="264">
                  <c:v>41614</c:v>
                </c:pt>
                <c:pt idx="265">
                  <c:v>41617</c:v>
                </c:pt>
                <c:pt idx="266">
                  <c:v>41618</c:v>
                </c:pt>
                <c:pt idx="267">
                  <c:v>41619</c:v>
                </c:pt>
                <c:pt idx="268">
                  <c:v>41620</c:v>
                </c:pt>
                <c:pt idx="269">
                  <c:v>41621</c:v>
                </c:pt>
                <c:pt idx="270">
                  <c:v>41624</c:v>
                </c:pt>
                <c:pt idx="271">
                  <c:v>41625</c:v>
                </c:pt>
                <c:pt idx="272">
                  <c:v>41626</c:v>
                </c:pt>
                <c:pt idx="273">
                  <c:v>41627</c:v>
                </c:pt>
                <c:pt idx="274">
                  <c:v>41628</c:v>
                </c:pt>
                <c:pt idx="275">
                  <c:v>41631</c:v>
                </c:pt>
                <c:pt idx="276">
                  <c:v>41632</c:v>
                </c:pt>
                <c:pt idx="277">
                  <c:v>41633</c:v>
                </c:pt>
                <c:pt idx="278">
                  <c:v>41634</c:v>
                </c:pt>
                <c:pt idx="279">
                  <c:v>41635</c:v>
                </c:pt>
                <c:pt idx="280">
                  <c:v>41638</c:v>
                </c:pt>
                <c:pt idx="281">
                  <c:v>41639</c:v>
                </c:pt>
                <c:pt idx="282">
                  <c:v>41640</c:v>
                </c:pt>
                <c:pt idx="283">
                  <c:v>41641</c:v>
                </c:pt>
                <c:pt idx="284">
                  <c:v>41642</c:v>
                </c:pt>
                <c:pt idx="285">
                  <c:v>41645</c:v>
                </c:pt>
                <c:pt idx="286">
                  <c:v>41646</c:v>
                </c:pt>
                <c:pt idx="287">
                  <c:v>41647</c:v>
                </c:pt>
              </c:numCache>
            </c:numRef>
          </c:cat>
          <c:val>
            <c:numRef>
              <c:f>'Exhibit 8B'!$B$2:$B$289</c:f>
              <c:numCache>
                <c:formatCode>0.000</c:formatCode>
                <c:ptCount val="288"/>
                <c:pt idx="0">
                  <c:v>75</c:v>
                </c:pt>
                <c:pt idx="1">
                  <c:v>79.402000000000001</c:v>
                </c:pt>
                <c:pt idx="2">
                  <c:v>79.402000000000001</c:v>
                </c:pt>
                <c:pt idx="3">
                  <c:v>79.402000000000001</c:v>
                </c:pt>
                <c:pt idx="4">
                  <c:v>79.402000000000001</c:v>
                </c:pt>
                <c:pt idx="5">
                  <c:v>79.402000000000001</c:v>
                </c:pt>
                <c:pt idx="6">
                  <c:v>79.601999999999975</c:v>
                </c:pt>
                <c:pt idx="7">
                  <c:v>79.601999999999975</c:v>
                </c:pt>
                <c:pt idx="8">
                  <c:v>79.601999999999975</c:v>
                </c:pt>
                <c:pt idx="9">
                  <c:v>79.601999999999975</c:v>
                </c:pt>
                <c:pt idx="10">
                  <c:v>79.601999999999975</c:v>
                </c:pt>
                <c:pt idx="11">
                  <c:v>79.601999999999975</c:v>
                </c:pt>
                <c:pt idx="12">
                  <c:v>78.040000000000006</c:v>
                </c:pt>
                <c:pt idx="13">
                  <c:v>78.040000000000006</c:v>
                </c:pt>
                <c:pt idx="14">
                  <c:v>78.040000000000006</c:v>
                </c:pt>
                <c:pt idx="15">
                  <c:v>78.040000000000006</c:v>
                </c:pt>
                <c:pt idx="16">
                  <c:v>78.040000000000006</c:v>
                </c:pt>
                <c:pt idx="17">
                  <c:v>78.040000000000006</c:v>
                </c:pt>
                <c:pt idx="18">
                  <c:v>78.040000000000006</c:v>
                </c:pt>
                <c:pt idx="19">
                  <c:v>79.601999999999975</c:v>
                </c:pt>
                <c:pt idx="20">
                  <c:v>77.400999999999996</c:v>
                </c:pt>
                <c:pt idx="21">
                  <c:v>77.400999999999996</c:v>
                </c:pt>
                <c:pt idx="22">
                  <c:v>79.402000000000001</c:v>
                </c:pt>
                <c:pt idx="23">
                  <c:v>79.402000000000001</c:v>
                </c:pt>
                <c:pt idx="24">
                  <c:v>79.402000000000001</c:v>
                </c:pt>
                <c:pt idx="25">
                  <c:v>79.402000000000001</c:v>
                </c:pt>
                <c:pt idx="26">
                  <c:v>79.402000000000001</c:v>
                </c:pt>
                <c:pt idx="27">
                  <c:v>79.402000000000001</c:v>
                </c:pt>
                <c:pt idx="28">
                  <c:v>79.202000000000012</c:v>
                </c:pt>
                <c:pt idx="29">
                  <c:v>79.202000000000012</c:v>
                </c:pt>
                <c:pt idx="30">
                  <c:v>79.202000000000012</c:v>
                </c:pt>
                <c:pt idx="31">
                  <c:v>79.402000000000001</c:v>
                </c:pt>
                <c:pt idx="32">
                  <c:v>79.202000000000012</c:v>
                </c:pt>
                <c:pt idx="33">
                  <c:v>79.202000000000012</c:v>
                </c:pt>
                <c:pt idx="34">
                  <c:v>79.202000000000012</c:v>
                </c:pt>
                <c:pt idx="35">
                  <c:v>79.202000000000012</c:v>
                </c:pt>
                <c:pt idx="36">
                  <c:v>79.202000000000012</c:v>
                </c:pt>
                <c:pt idx="37">
                  <c:v>79.001999999999995</c:v>
                </c:pt>
                <c:pt idx="38">
                  <c:v>79.202000000000012</c:v>
                </c:pt>
                <c:pt idx="39">
                  <c:v>79.202000000000012</c:v>
                </c:pt>
                <c:pt idx="40">
                  <c:v>79.202000000000012</c:v>
                </c:pt>
                <c:pt idx="41">
                  <c:v>79.001999999999995</c:v>
                </c:pt>
                <c:pt idx="42">
                  <c:v>77.795000000000002</c:v>
                </c:pt>
                <c:pt idx="43">
                  <c:v>78.632999999999981</c:v>
                </c:pt>
                <c:pt idx="44">
                  <c:v>77.695999999999998</c:v>
                </c:pt>
                <c:pt idx="45">
                  <c:v>77.251000000000005</c:v>
                </c:pt>
                <c:pt idx="46">
                  <c:v>77.251000000000005</c:v>
                </c:pt>
                <c:pt idx="47">
                  <c:v>77.251000000000005</c:v>
                </c:pt>
                <c:pt idx="48">
                  <c:v>77.251000000000005</c:v>
                </c:pt>
                <c:pt idx="49">
                  <c:v>67.031000000000006</c:v>
                </c:pt>
                <c:pt idx="50">
                  <c:v>67.031999999999996</c:v>
                </c:pt>
                <c:pt idx="51">
                  <c:v>67.037000000000006</c:v>
                </c:pt>
                <c:pt idx="52">
                  <c:v>67.42</c:v>
                </c:pt>
                <c:pt idx="53">
                  <c:v>67.415999999999997</c:v>
                </c:pt>
                <c:pt idx="54">
                  <c:v>67.783000000000001</c:v>
                </c:pt>
                <c:pt idx="55">
                  <c:v>67.781000000000006</c:v>
                </c:pt>
                <c:pt idx="56">
                  <c:v>67.406999999999996</c:v>
                </c:pt>
                <c:pt idx="57">
                  <c:v>67.406999999999996</c:v>
                </c:pt>
                <c:pt idx="58">
                  <c:v>67.768000000000001</c:v>
                </c:pt>
                <c:pt idx="59">
                  <c:v>67.391000000000005</c:v>
                </c:pt>
                <c:pt idx="60">
                  <c:v>67.384</c:v>
                </c:pt>
                <c:pt idx="61">
                  <c:v>67.034000000000006</c:v>
                </c:pt>
                <c:pt idx="62">
                  <c:v>67.036000000000001</c:v>
                </c:pt>
                <c:pt idx="63">
                  <c:v>67.408000000000001</c:v>
                </c:pt>
                <c:pt idx="64">
                  <c:v>67.399000000000001</c:v>
                </c:pt>
                <c:pt idx="65">
                  <c:v>67.774000000000001</c:v>
                </c:pt>
                <c:pt idx="66">
                  <c:v>67.406999999999996</c:v>
                </c:pt>
                <c:pt idx="67">
                  <c:v>67.412999999999997</c:v>
                </c:pt>
                <c:pt idx="68">
                  <c:v>67.426000000000002</c:v>
                </c:pt>
                <c:pt idx="69">
                  <c:v>67.441999999999993</c:v>
                </c:pt>
                <c:pt idx="70">
                  <c:v>67.438999999999993</c:v>
                </c:pt>
                <c:pt idx="71">
                  <c:v>67.382000000000005</c:v>
                </c:pt>
                <c:pt idx="72">
                  <c:v>67.385999999999981</c:v>
                </c:pt>
                <c:pt idx="73">
                  <c:v>67.385000000000005</c:v>
                </c:pt>
                <c:pt idx="74">
                  <c:v>67.741</c:v>
                </c:pt>
                <c:pt idx="75">
                  <c:v>67.730999999999995</c:v>
                </c:pt>
                <c:pt idx="76">
                  <c:v>67.348000000000013</c:v>
                </c:pt>
                <c:pt idx="77">
                  <c:v>48.68</c:v>
                </c:pt>
                <c:pt idx="78">
                  <c:v>48.707999999999998</c:v>
                </c:pt>
                <c:pt idx="79">
                  <c:v>48.637999999999998</c:v>
                </c:pt>
                <c:pt idx="80">
                  <c:v>67.373999999999981</c:v>
                </c:pt>
                <c:pt idx="81">
                  <c:v>56.015000000000001</c:v>
                </c:pt>
                <c:pt idx="82">
                  <c:v>58.128</c:v>
                </c:pt>
                <c:pt idx="83">
                  <c:v>58.363</c:v>
                </c:pt>
                <c:pt idx="84">
                  <c:v>58.357999999999997</c:v>
                </c:pt>
                <c:pt idx="85">
                  <c:v>55.539000000000001</c:v>
                </c:pt>
                <c:pt idx="86">
                  <c:v>57.847000000000001</c:v>
                </c:pt>
                <c:pt idx="87">
                  <c:v>57.759</c:v>
                </c:pt>
                <c:pt idx="88">
                  <c:v>68.010000000000005</c:v>
                </c:pt>
                <c:pt idx="89">
                  <c:v>68.644000000000005</c:v>
                </c:pt>
                <c:pt idx="90">
                  <c:v>67.638999999999982</c:v>
                </c:pt>
                <c:pt idx="91">
                  <c:v>67.64</c:v>
                </c:pt>
                <c:pt idx="92">
                  <c:v>67.606999999999999</c:v>
                </c:pt>
                <c:pt idx="93">
                  <c:v>70.574999999999974</c:v>
                </c:pt>
                <c:pt idx="94">
                  <c:v>70.568000000000012</c:v>
                </c:pt>
                <c:pt idx="95">
                  <c:v>70.568000000000012</c:v>
                </c:pt>
                <c:pt idx="96">
                  <c:v>70.522000000000006</c:v>
                </c:pt>
                <c:pt idx="97">
                  <c:v>70.519000000000005</c:v>
                </c:pt>
                <c:pt idx="98">
                  <c:v>70.510999999999996</c:v>
                </c:pt>
                <c:pt idx="99">
                  <c:v>70.289000000000001</c:v>
                </c:pt>
                <c:pt idx="100">
                  <c:v>70.286000000000001</c:v>
                </c:pt>
                <c:pt idx="101">
                  <c:v>70.063000000000002</c:v>
                </c:pt>
                <c:pt idx="102">
                  <c:v>70.072999999999979</c:v>
                </c:pt>
                <c:pt idx="103">
                  <c:v>70.074999999999974</c:v>
                </c:pt>
                <c:pt idx="104">
                  <c:v>70.066000000000003</c:v>
                </c:pt>
                <c:pt idx="105">
                  <c:v>76.001999999999995</c:v>
                </c:pt>
                <c:pt idx="106">
                  <c:v>76.001999999999995</c:v>
                </c:pt>
                <c:pt idx="107">
                  <c:v>76.001999999999995</c:v>
                </c:pt>
                <c:pt idx="108">
                  <c:v>76.001999999999995</c:v>
                </c:pt>
                <c:pt idx="109">
                  <c:v>76.25</c:v>
                </c:pt>
                <c:pt idx="110">
                  <c:v>76.25</c:v>
                </c:pt>
                <c:pt idx="111">
                  <c:v>76.001999999999995</c:v>
                </c:pt>
                <c:pt idx="112">
                  <c:v>75</c:v>
                </c:pt>
                <c:pt idx="113">
                  <c:v>75</c:v>
                </c:pt>
                <c:pt idx="114">
                  <c:v>75</c:v>
                </c:pt>
                <c:pt idx="115">
                  <c:v>75</c:v>
                </c:pt>
                <c:pt idx="116">
                  <c:v>75</c:v>
                </c:pt>
                <c:pt idx="117">
                  <c:v>75</c:v>
                </c:pt>
                <c:pt idx="118">
                  <c:v>75</c:v>
                </c:pt>
                <c:pt idx="119">
                  <c:v>75</c:v>
                </c:pt>
                <c:pt idx="120">
                  <c:v>75</c:v>
                </c:pt>
                <c:pt idx="121">
                  <c:v>75</c:v>
                </c:pt>
                <c:pt idx="122">
                  <c:v>75</c:v>
                </c:pt>
                <c:pt idx="123">
                  <c:v>75</c:v>
                </c:pt>
                <c:pt idx="124">
                  <c:v>75</c:v>
                </c:pt>
                <c:pt idx="125">
                  <c:v>75</c:v>
                </c:pt>
                <c:pt idx="126">
                  <c:v>75</c:v>
                </c:pt>
                <c:pt idx="127">
                  <c:v>75</c:v>
                </c:pt>
                <c:pt idx="128">
                  <c:v>75</c:v>
                </c:pt>
                <c:pt idx="129">
                  <c:v>75</c:v>
                </c:pt>
                <c:pt idx="130">
                  <c:v>75</c:v>
                </c:pt>
                <c:pt idx="131">
                  <c:v>75</c:v>
                </c:pt>
                <c:pt idx="132">
                  <c:v>75</c:v>
                </c:pt>
                <c:pt idx="133">
                  <c:v>75</c:v>
                </c:pt>
                <c:pt idx="134">
                  <c:v>75</c:v>
                </c:pt>
                <c:pt idx="135">
                  <c:v>75</c:v>
                </c:pt>
                <c:pt idx="136">
                  <c:v>75</c:v>
                </c:pt>
                <c:pt idx="137">
                  <c:v>75</c:v>
                </c:pt>
                <c:pt idx="138">
                  <c:v>75</c:v>
                </c:pt>
                <c:pt idx="139">
                  <c:v>75</c:v>
                </c:pt>
                <c:pt idx="140">
                  <c:v>75</c:v>
                </c:pt>
                <c:pt idx="141">
                  <c:v>75</c:v>
                </c:pt>
                <c:pt idx="142">
                  <c:v>75</c:v>
                </c:pt>
                <c:pt idx="143">
                  <c:v>75</c:v>
                </c:pt>
                <c:pt idx="144">
                  <c:v>75</c:v>
                </c:pt>
                <c:pt idx="145">
                  <c:v>75</c:v>
                </c:pt>
                <c:pt idx="146">
                  <c:v>75</c:v>
                </c:pt>
                <c:pt idx="147">
                  <c:v>75</c:v>
                </c:pt>
                <c:pt idx="148">
                  <c:v>75</c:v>
                </c:pt>
                <c:pt idx="149">
                  <c:v>75</c:v>
                </c:pt>
                <c:pt idx="150">
                  <c:v>75</c:v>
                </c:pt>
                <c:pt idx="151">
                  <c:v>75</c:v>
                </c:pt>
                <c:pt idx="152">
                  <c:v>75</c:v>
                </c:pt>
                <c:pt idx="153">
                  <c:v>75</c:v>
                </c:pt>
                <c:pt idx="154">
                  <c:v>75</c:v>
                </c:pt>
                <c:pt idx="155">
                  <c:v>75</c:v>
                </c:pt>
                <c:pt idx="156">
                  <c:v>75</c:v>
                </c:pt>
                <c:pt idx="157">
                  <c:v>75</c:v>
                </c:pt>
                <c:pt idx="158">
                  <c:v>75</c:v>
                </c:pt>
                <c:pt idx="159">
                  <c:v>75</c:v>
                </c:pt>
                <c:pt idx="160">
                  <c:v>75</c:v>
                </c:pt>
                <c:pt idx="161">
                  <c:v>75</c:v>
                </c:pt>
                <c:pt idx="162">
                  <c:v>70.527000000000001</c:v>
                </c:pt>
                <c:pt idx="163">
                  <c:v>70.525999999999982</c:v>
                </c:pt>
                <c:pt idx="164">
                  <c:v>75</c:v>
                </c:pt>
                <c:pt idx="165">
                  <c:v>75</c:v>
                </c:pt>
                <c:pt idx="166">
                  <c:v>75</c:v>
                </c:pt>
                <c:pt idx="167">
                  <c:v>75</c:v>
                </c:pt>
                <c:pt idx="168">
                  <c:v>75</c:v>
                </c:pt>
                <c:pt idx="169">
                  <c:v>75</c:v>
                </c:pt>
                <c:pt idx="170">
                  <c:v>75</c:v>
                </c:pt>
                <c:pt idx="171">
                  <c:v>75</c:v>
                </c:pt>
                <c:pt idx="172">
                  <c:v>75</c:v>
                </c:pt>
                <c:pt idx="173">
                  <c:v>75</c:v>
                </c:pt>
                <c:pt idx="174">
                  <c:v>75</c:v>
                </c:pt>
                <c:pt idx="175">
                  <c:v>75</c:v>
                </c:pt>
                <c:pt idx="176">
                  <c:v>75</c:v>
                </c:pt>
                <c:pt idx="177">
                  <c:v>75</c:v>
                </c:pt>
                <c:pt idx="178">
                  <c:v>75</c:v>
                </c:pt>
                <c:pt idx="179">
                  <c:v>75</c:v>
                </c:pt>
                <c:pt idx="180">
                  <c:v>75</c:v>
                </c:pt>
                <c:pt idx="181">
                  <c:v>75</c:v>
                </c:pt>
                <c:pt idx="182">
                  <c:v>75</c:v>
                </c:pt>
                <c:pt idx="183">
                  <c:v>75</c:v>
                </c:pt>
                <c:pt idx="184">
                  <c:v>75</c:v>
                </c:pt>
                <c:pt idx="185">
                  <c:v>75</c:v>
                </c:pt>
                <c:pt idx="186">
                  <c:v>75</c:v>
                </c:pt>
                <c:pt idx="187">
                  <c:v>75</c:v>
                </c:pt>
                <c:pt idx="188">
                  <c:v>75</c:v>
                </c:pt>
                <c:pt idx="189">
                  <c:v>75</c:v>
                </c:pt>
                <c:pt idx="190">
                  <c:v>75</c:v>
                </c:pt>
                <c:pt idx="191">
                  <c:v>75</c:v>
                </c:pt>
                <c:pt idx="192">
                  <c:v>75</c:v>
                </c:pt>
                <c:pt idx="193">
                  <c:v>75</c:v>
                </c:pt>
                <c:pt idx="194">
                  <c:v>75</c:v>
                </c:pt>
                <c:pt idx="195">
                  <c:v>75</c:v>
                </c:pt>
                <c:pt idx="196">
                  <c:v>75</c:v>
                </c:pt>
                <c:pt idx="197">
                  <c:v>75</c:v>
                </c:pt>
                <c:pt idx="198">
                  <c:v>75</c:v>
                </c:pt>
                <c:pt idx="199">
                  <c:v>75</c:v>
                </c:pt>
                <c:pt idx="200">
                  <c:v>75</c:v>
                </c:pt>
                <c:pt idx="201">
                  <c:v>75</c:v>
                </c:pt>
                <c:pt idx="202">
                  <c:v>75</c:v>
                </c:pt>
                <c:pt idx="203">
                  <c:v>75</c:v>
                </c:pt>
                <c:pt idx="204">
                  <c:v>75</c:v>
                </c:pt>
                <c:pt idx="205">
                  <c:v>75</c:v>
                </c:pt>
                <c:pt idx="206">
                  <c:v>75</c:v>
                </c:pt>
                <c:pt idx="207">
                  <c:v>75</c:v>
                </c:pt>
                <c:pt idx="208">
                  <c:v>75</c:v>
                </c:pt>
                <c:pt idx="209">
                  <c:v>75</c:v>
                </c:pt>
                <c:pt idx="210">
                  <c:v>74.599999999999994</c:v>
                </c:pt>
                <c:pt idx="211">
                  <c:v>74.599999999999994</c:v>
                </c:pt>
                <c:pt idx="212">
                  <c:v>74.533000000000001</c:v>
                </c:pt>
                <c:pt idx="213">
                  <c:v>74.599999999999994</c:v>
                </c:pt>
                <c:pt idx="214">
                  <c:v>74.599999999999994</c:v>
                </c:pt>
                <c:pt idx="215">
                  <c:v>74.066000000000003</c:v>
                </c:pt>
                <c:pt idx="216">
                  <c:v>74.533000000000001</c:v>
                </c:pt>
                <c:pt idx="217">
                  <c:v>72.944999999999993</c:v>
                </c:pt>
                <c:pt idx="218">
                  <c:v>75</c:v>
                </c:pt>
                <c:pt idx="219">
                  <c:v>75</c:v>
                </c:pt>
                <c:pt idx="220">
                  <c:v>75</c:v>
                </c:pt>
                <c:pt idx="221">
                  <c:v>75</c:v>
                </c:pt>
                <c:pt idx="222">
                  <c:v>75</c:v>
                </c:pt>
                <c:pt idx="223">
                  <c:v>75</c:v>
                </c:pt>
                <c:pt idx="224">
                  <c:v>75</c:v>
                </c:pt>
                <c:pt idx="225">
                  <c:v>75</c:v>
                </c:pt>
                <c:pt idx="226">
                  <c:v>75</c:v>
                </c:pt>
                <c:pt idx="227">
                  <c:v>75</c:v>
                </c:pt>
                <c:pt idx="228">
                  <c:v>75</c:v>
                </c:pt>
                <c:pt idx="229">
                  <c:v>75</c:v>
                </c:pt>
                <c:pt idx="230">
                  <c:v>75</c:v>
                </c:pt>
                <c:pt idx="231">
                  <c:v>75</c:v>
                </c:pt>
                <c:pt idx="232">
                  <c:v>75</c:v>
                </c:pt>
                <c:pt idx="233">
                  <c:v>75</c:v>
                </c:pt>
                <c:pt idx="234">
                  <c:v>75</c:v>
                </c:pt>
                <c:pt idx="235">
                  <c:v>75</c:v>
                </c:pt>
                <c:pt idx="236">
                  <c:v>75</c:v>
                </c:pt>
                <c:pt idx="237">
                  <c:v>75</c:v>
                </c:pt>
                <c:pt idx="238">
                  <c:v>75</c:v>
                </c:pt>
                <c:pt idx="239">
                  <c:v>75</c:v>
                </c:pt>
                <c:pt idx="240">
                  <c:v>75</c:v>
                </c:pt>
                <c:pt idx="241">
                  <c:v>75</c:v>
                </c:pt>
                <c:pt idx="242">
                  <c:v>75</c:v>
                </c:pt>
                <c:pt idx="243">
                  <c:v>75</c:v>
                </c:pt>
                <c:pt idx="244">
                  <c:v>75</c:v>
                </c:pt>
                <c:pt idx="245">
                  <c:v>75</c:v>
                </c:pt>
                <c:pt idx="246">
                  <c:v>75</c:v>
                </c:pt>
                <c:pt idx="247">
                  <c:v>75</c:v>
                </c:pt>
                <c:pt idx="248">
                  <c:v>74.815000000000012</c:v>
                </c:pt>
                <c:pt idx="249">
                  <c:v>75</c:v>
                </c:pt>
                <c:pt idx="250">
                  <c:v>74.815000000000012</c:v>
                </c:pt>
                <c:pt idx="251">
                  <c:v>74.815000000000012</c:v>
                </c:pt>
                <c:pt idx="252">
                  <c:v>74.815000000000012</c:v>
                </c:pt>
                <c:pt idx="253">
                  <c:v>75</c:v>
                </c:pt>
                <c:pt idx="254">
                  <c:v>74.815000000000012</c:v>
                </c:pt>
                <c:pt idx="255">
                  <c:v>74.815000000000012</c:v>
                </c:pt>
                <c:pt idx="256">
                  <c:v>74.815000000000012</c:v>
                </c:pt>
                <c:pt idx="257">
                  <c:v>74.815000000000012</c:v>
                </c:pt>
                <c:pt idx="258">
                  <c:v>74.815000000000012</c:v>
                </c:pt>
                <c:pt idx="259">
                  <c:v>74.63</c:v>
                </c:pt>
                <c:pt idx="260">
                  <c:v>74.815000000000012</c:v>
                </c:pt>
                <c:pt idx="261">
                  <c:v>74.815000000000012</c:v>
                </c:pt>
                <c:pt idx="262">
                  <c:v>74.815000000000012</c:v>
                </c:pt>
                <c:pt idx="263">
                  <c:v>74.815000000000012</c:v>
                </c:pt>
                <c:pt idx="264">
                  <c:v>75</c:v>
                </c:pt>
                <c:pt idx="265">
                  <c:v>74.815000000000012</c:v>
                </c:pt>
                <c:pt idx="266">
                  <c:v>74.815000000000012</c:v>
                </c:pt>
                <c:pt idx="267">
                  <c:v>74.815000000000012</c:v>
                </c:pt>
                <c:pt idx="268">
                  <c:v>74.815000000000012</c:v>
                </c:pt>
                <c:pt idx="269">
                  <c:v>74.815000000000012</c:v>
                </c:pt>
                <c:pt idx="270">
                  <c:v>74.815000000000012</c:v>
                </c:pt>
                <c:pt idx="271">
                  <c:v>74.815000000000012</c:v>
                </c:pt>
                <c:pt idx="272">
                  <c:v>74.815000000000012</c:v>
                </c:pt>
                <c:pt idx="273">
                  <c:v>74.815000000000012</c:v>
                </c:pt>
                <c:pt idx="274">
                  <c:v>74.815000000000012</c:v>
                </c:pt>
                <c:pt idx="275">
                  <c:v>74.815000000000012</c:v>
                </c:pt>
                <c:pt idx="276">
                  <c:v>74.815000000000012</c:v>
                </c:pt>
                <c:pt idx="277">
                  <c:v>74.721999999999994</c:v>
                </c:pt>
                <c:pt idx="278">
                  <c:v>74.815000000000012</c:v>
                </c:pt>
                <c:pt idx="279">
                  <c:v>74.815000000000012</c:v>
                </c:pt>
                <c:pt idx="280">
                  <c:v>75</c:v>
                </c:pt>
                <c:pt idx="281">
                  <c:v>74.351999999999975</c:v>
                </c:pt>
                <c:pt idx="282">
                  <c:v>74.351999999999975</c:v>
                </c:pt>
                <c:pt idx="283">
                  <c:v>75</c:v>
                </c:pt>
                <c:pt idx="284">
                  <c:v>75</c:v>
                </c:pt>
                <c:pt idx="285">
                  <c:v>75</c:v>
                </c:pt>
                <c:pt idx="286">
                  <c:v>75</c:v>
                </c:pt>
                <c:pt idx="287">
                  <c:v>75</c:v>
                </c:pt>
              </c:numCache>
            </c:numRef>
          </c:val>
          <c:smooth val="0"/>
          <c:extLst xmlns:c16r2="http://schemas.microsoft.com/office/drawing/2015/06/chart">
            <c:ext xmlns:c16="http://schemas.microsoft.com/office/drawing/2014/chart" uri="{C3380CC4-5D6E-409C-BE32-E72D297353CC}">
              <c16:uniqueId val="{00000000-9F7C-FC46-98A9-D64546519997}"/>
            </c:ext>
          </c:extLst>
        </c:ser>
        <c:dLbls>
          <c:showLegendKey val="0"/>
          <c:showVal val="0"/>
          <c:showCatName val="0"/>
          <c:showSerName val="0"/>
          <c:showPercent val="0"/>
          <c:showBubbleSize val="0"/>
        </c:dLbls>
        <c:smooth val="0"/>
        <c:axId val="157844936"/>
        <c:axId val="157773840"/>
      </c:lineChart>
      <c:dateAx>
        <c:axId val="157844936"/>
        <c:scaling>
          <c:orientation val="minMax"/>
        </c:scaling>
        <c:delete val="0"/>
        <c:axPos val="b"/>
        <c:numFmt formatCode="[$-14809]yyyy\-mm\-dd;@"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73840"/>
        <c:crosses val="autoZero"/>
        <c:auto val="0"/>
        <c:lblOffset val="100"/>
        <c:baseTimeUnit val="days"/>
      </c:dateAx>
      <c:valAx>
        <c:axId val="15777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baseline="0">
                    <a:effectLst/>
                  </a:rPr>
                  <a:t>Utilization Rate in % and Fees in bps</a:t>
                </a:r>
                <a:endParaRPr lang="en-SG" sz="1000">
                  <a:effectLst/>
                </a:endParaRPr>
              </a:p>
            </c:rich>
          </c:tx>
          <c:layout>
            <c:manualLayout>
              <c:xMode val="edge"/>
              <c:yMode val="edge"/>
              <c:x val="1.90355339459778E-2"/>
              <c:y val="4.9327354260089697E-2"/>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449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3D647-2A25-4A25-A679-A6540FCF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2018-03-16T17:32:00Z</cp:lastPrinted>
  <dcterms:created xsi:type="dcterms:W3CDTF">2018-03-20T16:42:00Z</dcterms:created>
  <dcterms:modified xsi:type="dcterms:W3CDTF">2018-03-23T14:51:00Z</dcterms:modified>
</cp:coreProperties>
</file>