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801D7" w14:textId="7949657E" w:rsidR="00856D9F" w:rsidRPr="0075128C" w:rsidRDefault="00A17BA5" w:rsidP="008467D5">
      <w:pPr>
        <w:pBdr>
          <w:bottom w:val="single" w:sz="18" w:space="1" w:color="auto"/>
        </w:pBdr>
        <w:tabs>
          <w:tab w:val="left" w:pos="-1440"/>
          <w:tab w:val="left" w:pos="-720"/>
          <w:tab w:val="left" w:pos="1"/>
        </w:tabs>
        <w:jc w:val="both"/>
        <w:rPr>
          <w:rFonts w:ascii="Arial" w:hAnsi="Arial"/>
          <w:b/>
          <w:sz w:val="24"/>
          <w:lang w:val="en-GB"/>
        </w:rPr>
      </w:pPr>
      <w:r w:rsidRPr="00A17BA5">
        <w:rPr>
          <w:rFonts w:ascii="Arial" w:hAnsi="Arial"/>
          <w:b/>
          <w:noProof/>
          <w:sz w:val="24"/>
        </w:rPr>
        <w:drawing>
          <wp:inline distT="0" distB="0" distL="0" distR="0" wp14:anchorId="0FC778D4" wp14:editId="72731FC6">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B3B505F" w14:textId="4B9E7404" w:rsidR="00D75295" w:rsidRPr="0075128C" w:rsidRDefault="00A66D2B" w:rsidP="00F105B7">
      <w:pPr>
        <w:pStyle w:val="ProductNumber"/>
        <w:rPr>
          <w:lang w:val="en-GB"/>
        </w:rPr>
      </w:pPr>
      <w:r>
        <w:rPr>
          <w:lang w:val="en-GB"/>
        </w:rPr>
        <w:t>9B18N007</w:t>
      </w:r>
    </w:p>
    <w:p w14:paraId="2D87405A" w14:textId="77777777" w:rsidR="00D75295" w:rsidRPr="0075128C" w:rsidRDefault="00D75295" w:rsidP="00D75295">
      <w:pPr>
        <w:jc w:val="right"/>
        <w:rPr>
          <w:rFonts w:ascii="Arial" w:hAnsi="Arial"/>
          <w:b/>
          <w:sz w:val="28"/>
          <w:szCs w:val="28"/>
          <w:lang w:val="en-GB"/>
        </w:rPr>
      </w:pPr>
    </w:p>
    <w:p w14:paraId="38BC8FA4" w14:textId="77777777" w:rsidR="00866F6D" w:rsidRPr="0075128C" w:rsidRDefault="00866F6D" w:rsidP="00D75295">
      <w:pPr>
        <w:jc w:val="right"/>
        <w:rPr>
          <w:rFonts w:ascii="Arial" w:hAnsi="Arial"/>
          <w:b/>
          <w:sz w:val="28"/>
          <w:szCs w:val="28"/>
          <w:lang w:val="en-GB"/>
        </w:rPr>
      </w:pPr>
    </w:p>
    <w:p w14:paraId="34DF6357" w14:textId="6D9F9F80" w:rsidR="00013360" w:rsidRPr="0075128C" w:rsidRDefault="002C7B2B" w:rsidP="00013360">
      <w:pPr>
        <w:pStyle w:val="CaseTitle"/>
        <w:spacing w:after="0" w:line="240" w:lineRule="auto"/>
        <w:rPr>
          <w:lang w:val="en-GB"/>
        </w:rPr>
      </w:pPr>
      <w:r w:rsidRPr="0075128C">
        <w:rPr>
          <w:lang w:val="en-GB"/>
        </w:rPr>
        <w:t xml:space="preserve">SIC </w:t>
      </w:r>
      <w:r w:rsidR="00F113F8">
        <w:rPr>
          <w:lang w:val="en-GB"/>
        </w:rPr>
        <w:t xml:space="preserve">insurance </w:t>
      </w:r>
      <w:r w:rsidRPr="0075128C">
        <w:rPr>
          <w:lang w:val="en-GB"/>
        </w:rPr>
        <w:t>Company Limited: Corporate Governance</w:t>
      </w:r>
      <w:r w:rsidRPr="0075128C">
        <w:rPr>
          <w:rStyle w:val="FootnoteReference"/>
          <w:lang w:val="en-GB"/>
        </w:rPr>
        <w:footnoteReference w:id="1"/>
      </w:r>
    </w:p>
    <w:p w14:paraId="78F2D57F" w14:textId="77777777" w:rsidR="00013360" w:rsidRPr="0075128C" w:rsidRDefault="00013360" w:rsidP="00013360">
      <w:pPr>
        <w:pStyle w:val="CaseTitle"/>
        <w:spacing w:after="0" w:line="240" w:lineRule="auto"/>
        <w:rPr>
          <w:sz w:val="20"/>
          <w:szCs w:val="20"/>
          <w:lang w:val="en-GB"/>
        </w:rPr>
      </w:pPr>
    </w:p>
    <w:p w14:paraId="5EAEED99" w14:textId="77777777" w:rsidR="00013360" w:rsidRPr="0075128C" w:rsidRDefault="00013360" w:rsidP="00013360">
      <w:pPr>
        <w:pStyle w:val="CaseTitle"/>
        <w:spacing w:after="0" w:line="240" w:lineRule="auto"/>
        <w:rPr>
          <w:sz w:val="20"/>
          <w:szCs w:val="20"/>
          <w:lang w:val="en-GB"/>
        </w:rPr>
      </w:pPr>
    </w:p>
    <w:p w14:paraId="77DDE271" w14:textId="0D76DA87" w:rsidR="00013360" w:rsidRPr="0075128C" w:rsidRDefault="002C7B2B" w:rsidP="00104567">
      <w:pPr>
        <w:pStyle w:val="StyleCopyrightStatementAfter0ptBottomSinglesolidline1"/>
        <w:rPr>
          <w:lang w:val="en-GB"/>
        </w:rPr>
      </w:pPr>
      <w:r w:rsidRPr="0075128C">
        <w:rPr>
          <w:lang w:val="en-GB"/>
        </w:rPr>
        <w:t xml:space="preserve">Joshua Abor, </w:t>
      </w:r>
      <w:proofErr w:type="spellStart"/>
      <w:r w:rsidRPr="0075128C">
        <w:rPr>
          <w:lang w:val="en-GB"/>
        </w:rPr>
        <w:t>Elikplimi</w:t>
      </w:r>
      <w:proofErr w:type="spellEnd"/>
      <w:r w:rsidRPr="0075128C">
        <w:rPr>
          <w:lang w:val="en-GB"/>
        </w:rPr>
        <w:t xml:space="preserve"> Komla </w:t>
      </w:r>
      <w:proofErr w:type="spellStart"/>
      <w:r w:rsidRPr="0075128C">
        <w:rPr>
          <w:lang w:val="en-GB"/>
        </w:rPr>
        <w:t>Agbloyor</w:t>
      </w:r>
      <w:proofErr w:type="spellEnd"/>
      <w:r w:rsidRPr="0075128C">
        <w:rPr>
          <w:lang w:val="en-GB"/>
        </w:rPr>
        <w:t xml:space="preserve">, </w:t>
      </w:r>
      <w:proofErr w:type="spellStart"/>
      <w:r w:rsidRPr="0075128C">
        <w:rPr>
          <w:lang w:val="en-GB"/>
        </w:rPr>
        <w:t>Agyapomaa</w:t>
      </w:r>
      <w:proofErr w:type="spellEnd"/>
      <w:r w:rsidRPr="0075128C">
        <w:rPr>
          <w:lang w:val="en-GB"/>
        </w:rPr>
        <w:t xml:space="preserve"> </w:t>
      </w:r>
      <w:proofErr w:type="spellStart"/>
      <w:r w:rsidRPr="0075128C">
        <w:rPr>
          <w:lang w:val="en-GB"/>
        </w:rPr>
        <w:t>Gyeke-Dako</w:t>
      </w:r>
      <w:proofErr w:type="spellEnd"/>
      <w:r w:rsidR="00BF556D">
        <w:rPr>
          <w:lang w:val="en-GB"/>
        </w:rPr>
        <w:t>,</w:t>
      </w:r>
      <w:r w:rsidR="00D43052" w:rsidRPr="0075128C">
        <w:rPr>
          <w:lang w:val="en-GB"/>
        </w:rPr>
        <w:t xml:space="preserve"> and Lydia </w:t>
      </w:r>
      <w:proofErr w:type="spellStart"/>
      <w:r w:rsidR="00D43052" w:rsidRPr="0075128C">
        <w:rPr>
          <w:lang w:val="en-GB"/>
        </w:rPr>
        <w:t>Adzobu</w:t>
      </w:r>
      <w:proofErr w:type="spellEnd"/>
      <w:r w:rsidRPr="0075128C">
        <w:rPr>
          <w:lang w:val="en-GB"/>
        </w:rPr>
        <w:t xml:space="preserve"> </w:t>
      </w:r>
      <w:r w:rsidR="007E5921" w:rsidRPr="0075128C">
        <w:rPr>
          <w:lang w:val="en-GB"/>
        </w:rPr>
        <w:t>wrote this case sol</w:t>
      </w:r>
      <w:r w:rsidR="00D75295" w:rsidRPr="0075128C">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644FD6B" w14:textId="77777777" w:rsidR="00013360" w:rsidRPr="0075128C" w:rsidRDefault="00013360" w:rsidP="00104567">
      <w:pPr>
        <w:pStyle w:val="StyleCopyrightStatementAfter0ptBottomSinglesolidline1"/>
        <w:rPr>
          <w:lang w:val="en-GB"/>
        </w:rPr>
      </w:pPr>
    </w:p>
    <w:p w14:paraId="4FA87E1F" w14:textId="77777777" w:rsidR="00A17BA5" w:rsidRPr="00E23AB7" w:rsidRDefault="00A17BA5"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0DFB597C" w14:textId="77777777" w:rsidR="00A17BA5" w:rsidRPr="00E23AB7" w:rsidRDefault="00A17BA5"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5C726A18" w14:textId="19B1026F" w:rsidR="003B7EF2" w:rsidRPr="0075128C" w:rsidRDefault="00A17BA5" w:rsidP="003B7EF2">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rsidRPr="0075128C">
        <w:rPr>
          <w:lang w:val="en-GB"/>
        </w:rPr>
        <w:tab/>
        <w:t xml:space="preserve">Version: </w:t>
      </w:r>
      <w:r w:rsidR="00361C8E" w:rsidRPr="0075128C">
        <w:rPr>
          <w:lang w:val="en-GB"/>
        </w:rPr>
        <w:t>201</w:t>
      </w:r>
      <w:r w:rsidR="00BF0BC8" w:rsidRPr="0075128C">
        <w:rPr>
          <w:lang w:val="en-GB"/>
        </w:rPr>
        <w:t>8</w:t>
      </w:r>
      <w:r w:rsidR="00361C8E" w:rsidRPr="0075128C">
        <w:rPr>
          <w:lang w:val="en-GB"/>
        </w:rPr>
        <w:t>-</w:t>
      </w:r>
      <w:r w:rsidR="00BF0BC8" w:rsidRPr="0075128C">
        <w:rPr>
          <w:lang w:val="en-GB"/>
        </w:rPr>
        <w:t>0</w:t>
      </w:r>
      <w:r w:rsidR="000D3354">
        <w:rPr>
          <w:lang w:val="en-GB"/>
        </w:rPr>
        <w:t>7</w:t>
      </w:r>
      <w:r w:rsidR="00361C8E" w:rsidRPr="0075128C">
        <w:rPr>
          <w:lang w:val="en-GB"/>
        </w:rPr>
        <w:t>-</w:t>
      </w:r>
      <w:r w:rsidR="000D3354">
        <w:rPr>
          <w:lang w:val="en-GB"/>
        </w:rPr>
        <w:t>06</w:t>
      </w:r>
    </w:p>
    <w:p w14:paraId="2C5D050B" w14:textId="77777777" w:rsidR="003B7EF2" w:rsidRPr="0075128C" w:rsidRDefault="003B7EF2" w:rsidP="00104567">
      <w:pPr>
        <w:pStyle w:val="StyleCopyrightStatementAfter0ptBottomSinglesolidline1"/>
        <w:rPr>
          <w:rFonts w:ascii="Times New Roman" w:hAnsi="Times New Roman"/>
          <w:sz w:val="22"/>
          <w:szCs w:val="22"/>
          <w:lang w:val="en-GB"/>
        </w:rPr>
      </w:pPr>
    </w:p>
    <w:p w14:paraId="0797472C" w14:textId="77777777" w:rsidR="003B7EF2" w:rsidRPr="0075128C" w:rsidRDefault="003B7EF2" w:rsidP="006B7F7A">
      <w:pPr>
        <w:pStyle w:val="BodyTextMain"/>
        <w:rPr>
          <w:lang w:val="en-GB"/>
        </w:rPr>
      </w:pPr>
    </w:p>
    <w:p w14:paraId="51922419" w14:textId="27791C16" w:rsidR="002C7B2B" w:rsidRPr="00A17BA5" w:rsidRDefault="002C7B2B" w:rsidP="002C7B2B">
      <w:pPr>
        <w:pStyle w:val="BodyTextMain"/>
        <w:rPr>
          <w:rFonts w:eastAsia="Calibri"/>
          <w:spacing w:val="-2"/>
          <w:kern w:val="22"/>
          <w:lang w:val="en-GB"/>
        </w:rPr>
      </w:pPr>
      <w:r w:rsidRPr="00A17BA5">
        <w:rPr>
          <w:rFonts w:eastAsia="Calibri"/>
          <w:spacing w:val="-2"/>
          <w:kern w:val="22"/>
          <w:lang w:val="en-GB"/>
        </w:rPr>
        <w:t xml:space="preserve">In 2013, SIC Insurance Company Ltd. (SIC) was one of </w:t>
      </w:r>
      <w:r w:rsidR="008211C4" w:rsidRPr="00A17BA5">
        <w:rPr>
          <w:rFonts w:eastAsia="Calibri"/>
          <w:spacing w:val="-2"/>
          <w:kern w:val="22"/>
          <w:lang w:val="en-GB"/>
        </w:rPr>
        <w:t xml:space="preserve">Ghana’s </w:t>
      </w:r>
      <w:r w:rsidRPr="00A17BA5">
        <w:rPr>
          <w:rFonts w:eastAsia="Calibri"/>
          <w:spacing w:val="-2"/>
          <w:kern w:val="22"/>
          <w:lang w:val="en-GB"/>
        </w:rPr>
        <w:t xml:space="preserve">elite insurance companies. SIC had </w:t>
      </w:r>
      <w:r w:rsidR="0075128C" w:rsidRPr="00A17BA5">
        <w:rPr>
          <w:rFonts w:eastAsia="Calibri"/>
          <w:spacing w:val="-2"/>
          <w:kern w:val="22"/>
          <w:lang w:val="en-GB"/>
        </w:rPr>
        <w:t xml:space="preserve">approximately </w:t>
      </w:r>
      <w:r w:rsidRPr="00A17BA5">
        <w:rPr>
          <w:rFonts w:eastAsia="Calibri"/>
          <w:spacing w:val="-2"/>
          <w:kern w:val="22"/>
          <w:lang w:val="en-GB"/>
        </w:rPr>
        <w:t xml:space="preserve">23 per cent of the insurance industry market share </w:t>
      </w:r>
      <w:r w:rsidR="008211C4" w:rsidRPr="00A17BA5">
        <w:rPr>
          <w:rFonts w:eastAsia="Calibri"/>
          <w:spacing w:val="-2"/>
          <w:kern w:val="22"/>
          <w:lang w:val="en-GB"/>
        </w:rPr>
        <w:t xml:space="preserve">and </w:t>
      </w:r>
      <w:r w:rsidRPr="00A17BA5">
        <w:rPr>
          <w:rFonts w:eastAsia="Calibri"/>
          <w:spacing w:val="-2"/>
          <w:kern w:val="22"/>
          <w:lang w:val="en-GB"/>
        </w:rPr>
        <w:t xml:space="preserve">was one of only two insurance companies listed on the Ghana Stock Exchange. In March 2013, SIC appointed Doris </w:t>
      </w:r>
      <w:proofErr w:type="spellStart"/>
      <w:r w:rsidRPr="00A17BA5">
        <w:rPr>
          <w:rFonts w:eastAsia="Calibri"/>
          <w:spacing w:val="-2"/>
          <w:kern w:val="22"/>
          <w:lang w:val="en-GB"/>
        </w:rPr>
        <w:t>Awo</w:t>
      </w:r>
      <w:proofErr w:type="spellEnd"/>
      <w:r w:rsidRPr="00A17BA5">
        <w:rPr>
          <w:rFonts w:eastAsia="Calibri"/>
          <w:spacing w:val="-2"/>
          <w:kern w:val="22"/>
          <w:lang w:val="en-GB"/>
        </w:rPr>
        <w:t xml:space="preserve"> </w:t>
      </w:r>
      <w:proofErr w:type="spellStart"/>
      <w:r w:rsidRPr="00A17BA5">
        <w:rPr>
          <w:rFonts w:eastAsia="Calibri"/>
          <w:spacing w:val="-2"/>
          <w:kern w:val="22"/>
          <w:lang w:val="en-GB"/>
        </w:rPr>
        <w:t>Nkani</w:t>
      </w:r>
      <w:proofErr w:type="spellEnd"/>
      <w:r w:rsidRPr="00A17BA5">
        <w:rPr>
          <w:rFonts w:eastAsia="Calibri"/>
          <w:spacing w:val="-2"/>
          <w:kern w:val="22"/>
          <w:lang w:val="en-GB"/>
        </w:rPr>
        <w:t xml:space="preserve"> as chief executive officer (CEO). </w:t>
      </w:r>
      <w:proofErr w:type="spellStart"/>
      <w:r w:rsidRPr="00A17BA5">
        <w:rPr>
          <w:rFonts w:eastAsia="Calibri"/>
          <w:spacing w:val="-2"/>
          <w:kern w:val="22"/>
          <w:lang w:val="en-GB"/>
        </w:rPr>
        <w:t>Nkani</w:t>
      </w:r>
      <w:proofErr w:type="spellEnd"/>
      <w:r w:rsidRPr="00A17BA5">
        <w:rPr>
          <w:rFonts w:eastAsia="Calibri"/>
          <w:spacing w:val="-2"/>
          <w:kern w:val="22"/>
          <w:lang w:val="en-GB"/>
        </w:rPr>
        <w:t xml:space="preserve"> was a lawyer, a marketer (Chartered Institute of Marketing, Ghana)</w:t>
      </w:r>
      <w:r w:rsidR="00BF556D">
        <w:rPr>
          <w:rFonts w:eastAsia="Calibri"/>
          <w:spacing w:val="-2"/>
          <w:kern w:val="22"/>
          <w:lang w:val="en-GB"/>
        </w:rPr>
        <w:t>,</w:t>
      </w:r>
      <w:r w:rsidRPr="00A17BA5">
        <w:rPr>
          <w:rFonts w:eastAsia="Calibri"/>
          <w:spacing w:val="-2"/>
          <w:kern w:val="22"/>
          <w:lang w:val="en-GB"/>
        </w:rPr>
        <w:t xml:space="preserve"> and a chartered insurer (Chartered Institute of Insurance, United Kingdom). She was also former CEO of Phoenix Insurance Company Ltd</w:t>
      </w:r>
      <w:r w:rsidR="0075128C" w:rsidRPr="00A17BA5">
        <w:rPr>
          <w:rFonts w:eastAsia="Calibri"/>
          <w:spacing w:val="-2"/>
          <w:kern w:val="22"/>
          <w:lang w:val="en-GB"/>
        </w:rPr>
        <w:t>.</w:t>
      </w:r>
      <w:r w:rsidR="00BF556D">
        <w:rPr>
          <w:rFonts w:eastAsia="Calibri"/>
          <w:spacing w:val="-2"/>
          <w:kern w:val="22"/>
          <w:lang w:val="en-GB"/>
        </w:rPr>
        <w:t>,</w:t>
      </w:r>
      <w:r w:rsidR="0075128C" w:rsidRPr="00A17BA5">
        <w:rPr>
          <w:rFonts w:eastAsia="Calibri"/>
          <w:spacing w:val="-2"/>
          <w:kern w:val="22"/>
          <w:lang w:val="en-GB"/>
        </w:rPr>
        <w:t xml:space="preserve"> </w:t>
      </w:r>
      <w:r w:rsidR="00AB0DEC" w:rsidRPr="00A17BA5">
        <w:rPr>
          <w:rFonts w:eastAsia="Calibri"/>
          <w:spacing w:val="-2"/>
          <w:kern w:val="22"/>
          <w:lang w:val="en-GB"/>
        </w:rPr>
        <w:t xml:space="preserve">which </w:t>
      </w:r>
      <w:r w:rsidR="00BF556D">
        <w:rPr>
          <w:rFonts w:eastAsia="Calibri"/>
          <w:spacing w:val="-2"/>
          <w:kern w:val="22"/>
          <w:lang w:val="en-GB"/>
        </w:rPr>
        <w:t>was</w:t>
      </w:r>
      <w:r w:rsidR="0075128C" w:rsidRPr="00A17BA5">
        <w:rPr>
          <w:rFonts w:eastAsia="Calibri"/>
          <w:spacing w:val="-2"/>
          <w:kern w:val="22"/>
          <w:lang w:val="en-GB"/>
        </w:rPr>
        <w:t xml:space="preserve"> </w:t>
      </w:r>
      <w:r w:rsidRPr="00A17BA5">
        <w:rPr>
          <w:rFonts w:eastAsia="Calibri"/>
          <w:spacing w:val="-2"/>
          <w:kern w:val="22"/>
          <w:lang w:val="en-GB"/>
        </w:rPr>
        <w:t xml:space="preserve">a member of the CDH </w:t>
      </w:r>
      <w:r w:rsidR="001846D7" w:rsidRPr="00A17BA5">
        <w:rPr>
          <w:rFonts w:eastAsia="Calibri"/>
          <w:spacing w:val="-2"/>
          <w:kern w:val="22"/>
          <w:lang w:val="en-GB"/>
        </w:rPr>
        <w:t xml:space="preserve">Investments </w:t>
      </w:r>
      <w:r w:rsidRPr="00A17BA5">
        <w:rPr>
          <w:rFonts w:eastAsia="Calibri"/>
          <w:spacing w:val="-2"/>
          <w:kern w:val="22"/>
          <w:lang w:val="en-GB"/>
        </w:rPr>
        <w:t xml:space="preserve">Group. Given </w:t>
      </w:r>
      <w:proofErr w:type="spellStart"/>
      <w:r w:rsidR="008211C4" w:rsidRPr="00A17BA5">
        <w:rPr>
          <w:rFonts w:eastAsia="Calibri"/>
          <w:spacing w:val="-2"/>
          <w:kern w:val="22"/>
          <w:lang w:val="en-GB"/>
        </w:rPr>
        <w:t>Nkani’s</w:t>
      </w:r>
      <w:proofErr w:type="spellEnd"/>
      <w:r w:rsidR="008211C4" w:rsidRPr="00A17BA5">
        <w:rPr>
          <w:rFonts w:eastAsia="Calibri"/>
          <w:spacing w:val="-2"/>
          <w:kern w:val="22"/>
          <w:lang w:val="en-GB"/>
        </w:rPr>
        <w:t xml:space="preserve"> </w:t>
      </w:r>
      <w:r w:rsidRPr="00A17BA5">
        <w:rPr>
          <w:rFonts w:eastAsia="Calibri"/>
          <w:spacing w:val="-2"/>
          <w:kern w:val="22"/>
          <w:lang w:val="en-GB"/>
        </w:rPr>
        <w:t xml:space="preserve">vast experience, SIC </w:t>
      </w:r>
      <w:r w:rsidR="008211C4" w:rsidRPr="00A17BA5">
        <w:rPr>
          <w:rFonts w:eastAsia="Calibri"/>
          <w:spacing w:val="-2"/>
          <w:kern w:val="22"/>
          <w:lang w:val="en-GB"/>
        </w:rPr>
        <w:t xml:space="preserve">seemed </w:t>
      </w:r>
      <w:r w:rsidRPr="00A17BA5">
        <w:rPr>
          <w:rFonts w:eastAsia="Calibri"/>
          <w:spacing w:val="-2"/>
          <w:kern w:val="22"/>
          <w:lang w:val="en-GB"/>
        </w:rPr>
        <w:t xml:space="preserve">poised to </w:t>
      </w:r>
      <w:r w:rsidR="00002813" w:rsidRPr="00A17BA5">
        <w:rPr>
          <w:rFonts w:eastAsia="Calibri"/>
          <w:spacing w:val="-2"/>
          <w:kern w:val="22"/>
          <w:lang w:val="en-GB"/>
        </w:rPr>
        <w:t xml:space="preserve">mark </w:t>
      </w:r>
      <w:r w:rsidRPr="00A17BA5">
        <w:rPr>
          <w:rFonts w:eastAsia="Calibri"/>
          <w:spacing w:val="-2"/>
          <w:kern w:val="22"/>
          <w:lang w:val="en-GB"/>
        </w:rPr>
        <w:t>further successes in the insurance industry. However, in January and February 2015,</w:t>
      </w:r>
      <w:r w:rsidRPr="00A17BA5">
        <w:rPr>
          <w:rFonts w:eastAsia="Helvetica"/>
          <w:spacing w:val="-2"/>
          <w:kern w:val="22"/>
          <w:lang w:val="en-GB"/>
        </w:rPr>
        <w:t xml:space="preserve"> SIC</w:t>
      </w:r>
      <w:r w:rsidR="00BF556D">
        <w:rPr>
          <w:rFonts w:eastAsia="Helvetica"/>
          <w:spacing w:val="-2"/>
          <w:kern w:val="22"/>
          <w:lang w:val="en-GB"/>
        </w:rPr>
        <w:t>’</w:t>
      </w:r>
      <w:r w:rsidRPr="00A17BA5">
        <w:rPr>
          <w:rFonts w:eastAsia="Helvetica"/>
          <w:spacing w:val="-2"/>
          <w:kern w:val="22"/>
          <w:lang w:val="en-GB"/>
        </w:rPr>
        <w:t>s stock price showed a downward trend (</w:t>
      </w:r>
      <w:r w:rsidR="0075128C" w:rsidRPr="00A17BA5">
        <w:rPr>
          <w:rFonts w:eastAsia="Helvetica"/>
          <w:spacing w:val="-2"/>
          <w:kern w:val="22"/>
          <w:lang w:val="en-GB"/>
        </w:rPr>
        <w:t xml:space="preserve">see </w:t>
      </w:r>
      <w:r w:rsidRPr="00A17BA5">
        <w:rPr>
          <w:rFonts w:eastAsia="Helvetica"/>
          <w:spacing w:val="-2"/>
          <w:kern w:val="22"/>
          <w:lang w:val="en-GB"/>
        </w:rPr>
        <w:t>Exhibit 1A)</w:t>
      </w:r>
      <w:r w:rsidR="0075128C" w:rsidRPr="00A17BA5">
        <w:rPr>
          <w:rFonts w:eastAsia="Helvetica"/>
          <w:spacing w:val="-2"/>
          <w:kern w:val="22"/>
          <w:lang w:val="en-GB"/>
        </w:rPr>
        <w:t>,</w:t>
      </w:r>
      <w:r w:rsidRPr="00A17BA5">
        <w:rPr>
          <w:rFonts w:eastAsia="Helvetica"/>
          <w:spacing w:val="-2"/>
          <w:kern w:val="22"/>
          <w:lang w:val="en-GB"/>
        </w:rPr>
        <w:t xml:space="preserve"> </w:t>
      </w:r>
      <w:r w:rsidR="0075128C" w:rsidRPr="00A17BA5">
        <w:rPr>
          <w:rFonts w:eastAsia="Helvetica"/>
          <w:spacing w:val="-2"/>
          <w:kern w:val="22"/>
          <w:lang w:val="en-GB"/>
        </w:rPr>
        <w:t xml:space="preserve">while </w:t>
      </w:r>
      <w:r w:rsidRPr="00A17BA5">
        <w:rPr>
          <w:rFonts w:eastAsia="Helvetica"/>
          <w:spacing w:val="-2"/>
          <w:kern w:val="22"/>
          <w:lang w:val="en-GB"/>
        </w:rPr>
        <w:t>the number of shares traded showed an upward trend (</w:t>
      </w:r>
      <w:r w:rsidR="0075128C" w:rsidRPr="00A17BA5">
        <w:rPr>
          <w:rFonts w:eastAsia="Helvetica"/>
          <w:spacing w:val="-2"/>
          <w:kern w:val="22"/>
          <w:lang w:val="en-GB"/>
        </w:rPr>
        <w:t xml:space="preserve">see </w:t>
      </w:r>
      <w:r w:rsidRPr="00A17BA5">
        <w:rPr>
          <w:rFonts w:eastAsia="Helvetica"/>
          <w:spacing w:val="-2"/>
          <w:kern w:val="22"/>
          <w:lang w:val="en-GB"/>
        </w:rPr>
        <w:t xml:space="preserve">Exhibit 1B) amid wrangling </w:t>
      </w:r>
      <w:r w:rsidRPr="00A17BA5">
        <w:rPr>
          <w:rFonts w:eastAsia="Calibri"/>
          <w:spacing w:val="-2"/>
          <w:kern w:val="22"/>
          <w:lang w:val="en-GB"/>
        </w:rPr>
        <w:lastRenderedPageBreak/>
        <w:t xml:space="preserve">in the company. This wrangling was related to allegations of financial misappropriation and a credit guarantee bond </w:t>
      </w:r>
      <w:r w:rsidR="0075128C" w:rsidRPr="00A17BA5">
        <w:rPr>
          <w:rFonts w:eastAsia="Calibri"/>
          <w:spacing w:val="-2"/>
          <w:kern w:val="22"/>
          <w:lang w:val="en-GB"/>
        </w:rPr>
        <w:t xml:space="preserve">that </w:t>
      </w:r>
      <w:r w:rsidRPr="00A17BA5">
        <w:rPr>
          <w:rFonts w:eastAsia="Calibri"/>
          <w:spacing w:val="-2"/>
          <w:kern w:val="22"/>
          <w:lang w:val="en-GB"/>
        </w:rPr>
        <w:t>SIC had issued in favour of Ivory Finance</w:t>
      </w:r>
      <w:r w:rsidR="00BF556D">
        <w:rPr>
          <w:rFonts w:eastAsia="Calibri"/>
          <w:spacing w:val="-2"/>
          <w:kern w:val="22"/>
          <w:lang w:val="en-GB"/>
        </w:rPr>
        <w:t xml:space="preserve"> Company Ltd. (Ivo</w:t>
      </w:r>
      <w:r w:rsidR="00921C1E">
        <w:rPr>
          <w:rFonts w:eastAsia="Calibri"/>
          <w:spacing w:val="-2"/>
          <w:kern w:val="22"/>
          <w:lang w:val="en-GB"/>
        </w:rPr>
        <w:t>r</w:t>
      </w:r>
      <w:r w:rsidR="00BF556D">
        <w:rPr>
          <w:rFonts w:eastAsia="Calibri"/>
          <w:spacing w:val="-2"/>
          <w:kern w:val="22"/>
          <w:lang w:val="en-GB"/>
        </w:rPr>
        <w:t>y Finance)</w:t>
      </w:r>
      <w:r w:rsidR="0075128C" w:rsidRPr="00A17BA5">
        <w:rPr>
          <w:rFonts w:eastAsia="Calibri"/>
          <w:spacing w:val="-2"/>
          <w:kern w:val="22"/>
          <w:lang w:val="en-GB"/>
        </w:rPr>
        <w:t>,</w:t>
      </w:r>
      <w:r w:rsidRPr="00A17BA5">
        <w:rPr>
          <w:rFonts w:eastAsia="Calibri"/>
          <w:spacing w:val="-2"/>
          <w:kern w:val="22"/>
          <w:lang w:val="en-GB"/>
        </w:rPr>
        <w:t xml:space="preserve"> which eventually led to litigation in the Ghanaian courts</w:t>
      </w:r>
      <w:r w:rsidR="000D3354">
        <w:rPr>
          <w:rFonts w:eastAsia="Calibri"/>
          <w:spacing w:val="-2"/>
          <w:kern w:val="22"/>
          <w:lang w:val="en-GB"/>
        </w:rPr>
        <w:t>.</w:t>
      </w:r>
      <w:bookmarkStart w:id="0" w:name="_Ref516999709"/>
      <w:r w:rsidR="00546661" w:rsidRPr="00A17BA5">
        <w:rPr>
          <w:rFonts w:eastAsia="Calibri"/>
          <w:spacing w:val="-2"/>
          <w:kern w:val="22"/>
          <w:vertAlign w:val="superscript"/>
          <w:lang w:val="en-GB"/>
        </w:rPr>
        <w:footnoteReference w:id="2"/>
      </w:r>
      <w:bookmarkEnd w:id="0"/>
    </w:p>
    <w:p w14:paraId="6E7FA700" w14:textId="77777777" w:rsidR="002C7B2B" w:rsidRPr="0075128C" w:rsidRDefault="002C7B2B" w:rsidP="002C7B2B">
      <w:pPr>
        <w:pStyle w:val="BodyTextMain"/>
        <w:rPr>
          <w:rFonts w:eastAsia="Calibri"/>
          <w:lang w:val="en-GB"/>
        </w:rPr>
      </w:pPr>
    </w:p>
    <w:p w14:paraId="323695A0" w14:textId="17CC5D62" w:rsidR="002C7B2B" w:rsidRPr="0075128C" w:rsidRDefault="002C7B2B" w:rsidP="002C7B2B">
      <w:pPr>
        <w:pStyle w:val="BodyTextMain"/>
        <w:rPr>
          <w:rFonts w:eastAsia="Calibri"/>
          <w:lang w:val="en-GB"/>
        </w:rPr>
      </w:pPr>
      <w:r w:rsidRPr="0075128C">
        <w:rPr>
          <w:rFonts w:eastAsia="Calibri"/>
          <w:lang w:val="en-GB"/>
        </w:rPr>
        <w:t>These events and the subsequent pressure by Ivory Finance (</w:t>
      </w:r>
      <w:r w:rsidR="00BF556D">
        <w:rPr>
          <w:rFonts w:eastAsia="Calibri"/>
          <w:lang w:val="en-GB"/>
        </w:rPr>
        <w:t>a</w:t>
      </w:r>
      <w:r w:rsidRPr="0075128C">
        <w:rPr>
          <w:rFonts w:eastAsia="Calibri"/>
          <w:lang w:val="en-GB"/>
        </w:rPr>
        <w:t xml:space="preserve"> </w:t>
      </w:r>
      <w:r w:rsidR="0075128C" w:rsidRPr="0075128C">
        <w:rPr>
          <w:rFonts w:eastAsia="Calibri"/>
          <w:lang w:val="en-GB"/>
        </w:rPr>
        <w:t xml:space="preserve">Ghanaian </w:t>
      </w:r>
      <w:r w:rsidR="0075128C">
        <w:rPr>
          <w:rFonts w:eastAsia="Calibri"/>
          <w:lang w:val="en-GB"/>
        </w:rPr>
        <w:t>s</w:t>
      </w:r>
      <w:r w:rsidRPr="0075128C">
        <w:rPr>
          <w:rFonts w:eastAsia="Calibri"/>
          <w:lang w:val="en-GB"/>
        </w:rPr>
        <w:t xml:space="preserve">avings and </w:t>
      </w:r>
      <w:r w:rsidR="0075128C">
        <w:rPr>
          <w:rFonts w:eastAsia="Calibri"/>
          <w:lang w:val="en-GB"/>
        </w:rPr>
        <w:t>l</w:t>
      </w:r>
      <w:r w:rsidRPr="0075128C">
        <w:rPr>
          <w:rFonts w:eastAsia="Calibri"/>
          <w:lang w:val="en-GB"/>
        </w:rPr>
        <w:t>oans compan</w:t>
      </w:r>
      <w:r w:rsidR="00BF556D">
        <w:rPr>
          <w:rFonts w:eastAsia="Calibri"/>
          <w:lang w:val="en-GB"/>
        </w:rPr>
        <w:t>y</w:t>
      </w:r>
      <w:r w:rsidRPr="0075128C">
        <w:rPr>
          <w:rFonts w:eastAsia="Calibri"/>
          <w:lang w:val="en-GB"/>
        </w:rPr>
        <w:t xml:space="preserve">) to </w:t>
      </w:r>
      <w:proofErr w:type="gramStart"/>
      <w:r w:rsidRPr="0075128C">
        <w:rPr>
          <w:rFonts w:eastAsia="Calibri"/>
          <w:lang w:val="en-GB"/>
        </w:rPr>
        <w:t>execute</w:t>
      </w:r>
      <w:proofErr w:type="gramEnd"/>
      <w:r w:rsidRPr="0075128C">
        <w:rPr>
          <w:rFonts w:eastAsia="Calibri"/>
          <w:lang w:val="en-GB"/>
        </w:rPr>
        <w:t xml:space="preserve"> a</w:t>
      </w:r>
      <w:r w:rsidR="001E3BD1" w:rsidRPr="0075128C">
        <w:rPr>
          <w:rFonts w:eastAsia="Calibri"/>
          <w:lang w:val="en-GB"/>
        </w:rPr>
        <w:t xml:space="preserve"> consent judgment</w:t>
      </w:r>
      <w:r w:rsidRPr="0075128C">
        <w:rPr>
          <w:rFonts w:eastAsia="Calibri"/>
          <w:lang w:val="en-GB"/>
        </w:rPr>
        <w:t xml:space="preserve"> in which SIC had covenanted to</w:t>
      </w:r>
      <w:r w:rsidR="007C726D" w:rsidRPr="0075128C">
        <w:rPr>
          <w:rFonts w:eastAsia="Calibri"/>
          <w:lang w:val="en-GB"/>
        </w:rPr>
        <w:t xml:space="preserve"> pay </w:t>
      </w:r>
      <w:r w:rsidR="007C726D" w:rsidRPr="0075128C">
        <w:rPr>
          <w:rFonts w:ascii="Segoe UI" w:eastAsia="Calibri" w:hAnsi="Segoe UI" w:cs="Segoe UI"/>
          <w:lang w:val="en-GB"/>
        </w:rPr>
        <w:t>₵</w:t>
      </w:r>
      <w:r w:rsidRPr="0075128C">
        <w:rPr>
          <w:rFonts w:eastAsia="Calibri"/>
          <w:lang w:val="en-GB"/>
        </w:rPr>
        <w:t>91.90 million</w:t>
      </w:r>
      <w:r w:rsidR="001E3BD1" w:rsidRPr="0075128C">
        <w:rPr>
          <w:rStyle w:val="FootnoteReference"/>
          <w:rFonts w:eastAsia="Calibri"/>
          <w:lang w:val="en-GB"/>
        </w:rPr>
        <w:footnoteReference w:id="3"/>
      </w:r>
      <w:r w:rsidRPr="0075128C">
        <w:rPr>
          <w:rFonts w:eastAsia="Calibri"/>
          <w:lang w:val="en-GB"/>
        </w:rPr>
        <w:t xml:space="preserve"> culminated in </w:t>
      </w:r>
      <w:r w:rsidR="007C726D" w:rsidRPr="0075128C">
        <w:rPr>
          <w:rFonts w:eastAsia="Calibri"/>
          <w:lang w:val="en-GB"/>
        </w:rPr>
        <w:t>the b</w:t>
      </w:r>
      <w:r w:rsidRPr="0075128C">
        <w:rPr>
          <w:rFonts w:eastAsia="Calibri"/>
          <w:lang w:val="en-GB"/>
        </w:rPr>
        <w:t xml:space="preserve">oard considering </w:t>
      </w:r>
      <w:r w:rsidR="00002813">
        <w:rPr>
          <w:rFonts w:eastAsia="Calibri"/>
          <w:lang w:val="en-GB"/>
        </w:rPr>
        <w:t xml:space="preserve">the </w:t>
      </w:r>
      <w:r w:rsidRPr="0075128C">
        <w:rPr>
          <w:rFonts w:eastAsia="Calibri"/>
          <w:lang w:val="en-GB"/>
        </w:rPr>
        <w:t xml:space="preserve">firing </w:t>
      </w:r>
      <w:r w:rsidR="00002813">
        <w:rPr>
          <w:rFonts w:eastAsia="Calibri"/>
          <w:lang w:val="en-GB"/>
        </w:rPr>
        <w:t xml:space="preserve">of </w:t>
      </w:r>
      <w:proofErr w:type="spellStart"/>
      <w:r w:rsidRPr="0075128C">
        <w:rPr>
          <w:rFonts w:eastAsia="Calibri"/>
          <w:lang w:val="en-GB"/>
        </w:rPr>
        <w:t>Nkani</w:t>
      </w:r>
      <w:proofErr w:type="spellEnd"/>
      <w:r w:rsidRPr="0075128C">
        <w:rPr>
          <w:rFonts w:eastAsia="Calibri"/>
          <w:lang w:val="en-GB"/>
        </w:rPr>
        <w:t xml:space="preserve"> in February 2015. </w:t>
      </w:r>
      <w:r w:rsidR="002A1E00">
        <w:rPr>
          <w:rFonts w:eastAsia="Calibri"/>
          <w:lang w:val="en-GB"/>
        </w:rPr>
        <w:t xml:space="preserve">The board was considering her dismissal </w:t>
      </w:r>
      <w:r w:rsidRPr="0075128C">
        <w:rPr>
          <w:rFonts w:eastAsia="Calibri"/>
          <w:lang w:val="en-GB"/>
        </w:rPr>
        <w:t xml:space="preserve">because of allegations of financial misappropriation and the issue of the credit guarantee insurance bond that had the potential of bankrupting the company. The board was also contemplating whether </w:t>
      </w:r>
      <w:r w:rsidR="00002813">
        <w:rPr>
          <w:rFonts w:eastAsia="Calibri"/>
          <w:lang w:val="en-GB"/>
        </w:rPr>
        <w:t>they should</w:t>
      </w:r>
      <w:r w:rsidR="00002813" w:rsidRPr="0075128C">
        <w:rPr>
          <w:rFonts w:eastAsia="Calibri"/>
          <w:lang w:val="en-GB"/>
        </w:rPr>
        <w:t xml:space="preserve"> </w:t>
      </w:r>
      <w:r w:rsidRPr="0075128C">
        <w:rPr>
          <w:rFonts w:eastAsia="Calibri"/>
          <w:lang w:val="en-GB"/>
        </w:rPr>
        <w:t xml:space="preserve">resign or face the probability of </w:t>
      </w:r>
      <w:r w:rsidR="00002813" w:rsidRPr="0075128C">
        <w:rPr>
          <w:rFonts w:eastAsia="Calibri"/>
          <w:lang w:val="en-GB"/>
        </w:rPr>
        <w:t>be</w:t>
      </w:r>
      <w:r w:rsidR="00002813">
        <w:rPr>
          <w:rFonts w:eastAsia="Calibri"/>
          <w:lang w:val="en-GB"/>
        </w:rPr>
        <w:t>ing</w:t>
      </w:r>
      <w:r w:rsidR="00002813" w:rsidRPr="0075128C">
        <w:rPr>
          <w:rFonts w:eastAsia="Calibri"/>
          <w:lang w:val="en-GB"/>
        </w:rPr>
        <w:t xml:space="preserve"> </w:t>
      </w:r>
      <w:r w:rsidR="00002813">
        <w:rPr>
          <w:rFonts w:eastAsia="Calibri"/>
          <w:lang w:val="en-GB"/>
        </w:rPr>
        <w:t>remov</w:t>
      </w:r>
      <w:r w:rsidR="00002813" w:rsidRPr="0075128C">
        <w:rPr>
          <w:rFonts w:eastAsia="Calibri"/>
          <w:lang w:val="en-GB"/>
        </w:rPr>
        <w:t xml:space="preserve">ed </w:t>
      </w:r>
      <w:r w:rsidRPr="0075128C">
        <w:rPr>
          <w:rFonts w:eastAsia="Calibri"/>
          <w:lang w:val="en-GB"/>
        </w:rPr>
        <w:t>by shareholders.</w:t>
      </w:r>
      <w:r w:rsidR="007C726D" w:rsidRPr="0075128C">
        <w:rPr>
          <w:rFonts w:eastAsia="Calibri"/>
          <w:lang w:val="en-GB"/>
        </w:rPr>
        <w:t xml:space="preserve"> The b</w:t>
      </w:r>
      <w:r w:rsidRPr="0075128C">
        <w:rPr>
          <w:rFonts w:eastAsia="Calibri"/>
          <w:lang w:val="en-GB"/>
        </w:rPr>
        <w:t xml:space="preserve">oard wanted to know why these lapses </w:t>
      </w:r>
      <w:r w:rsidR="002B21B6">
        <w:rPr>
          <w:rFonts w:eastAsia="Calibri"/>
          <w:lang w:val="en-GB"/>
        </w:rPr>
        <w:t xml:space="preserve">had </w:t>
      </w:r>
      <w:r w:rsidRPr="0075128C">
        <w:rPr>
          <w:rFonts w:eastAsia="Calibri"/>
          <w:lang w:val="en-GB"/>
        </w:rPr>
        <w:t>occurred and what could be done to prevent such a colossal failure in the firm’s corporate governance and risk management system</w:t>
      </w:r>
      <w:bookmarkStart w:id="1" w:name="_Ref516999865"/>
      <w:r w:rsidR="000D3354">
        <w:rPr>
          <w:rFonts w:eastAsia="Calibri"/>
          <w:lang w:val="en-GB"/>
        </w:rPr>
        <w:t>.</w:t>
      </w:r>
      <w:r w:rsidR="00921C1E">
        <w:rPr>
          <w:rStyle w:val="FootnoteReference"/>
          <w:rFonts w:eastAsia="Calibri"/>
          <w:lang w:val="en-GB"/>
        </w:rPr>
        <w:footnoteReference w:id="4"/>
      </w:r>
      <w:bookmarkEnd w:id="1"/>
    </w:p>
    <w:p w14:paraId="7316E0E1" w14:textId="77777777" w:rsidR="002C7B2B" w:rsidRDefault="002C7B2B" w:rsidP="002C7B2B">
      <w:pPr>
        <w:pStyle w:val="BodyTextMain"/>
        <w:rPr>
          <w:lang w:val="en-GB"/>
        </w:rPr>
      </w:pPr>
    </w:p>
    <w:p w14:paraId="4FBE1C10" w14:textId="77777777" w:rsidR="002C7B2B" w:rsidRPr="0075128C" w:rsidRDefault="002C7B2B" w:rsidP="002C7B2B">
      <w:pPr>
        <w:pStyle w:val="BodyTextMain"/>
        <w:rPr>
          <w:lang w:val="en-GB"/>
        </w:rPr>
      </w:pPr>
    </w:p>
    <w:p w14:paraId="4B476342" w14:textId="77777777" w:rsidR="002C7B2B" w:rsidRPr="0075128C" w:rsidRDefault="002C7B2B" w:rsidP="002C7B2B">
      <w:pPr>
        <w:pStyle w:val="Casehead1"/>
        <w:rPr>
          <w:rFonts w:eastAsia="Arial Unicode MS"/>
          <w:bdr w:val="nil"/>
          <w:lang w:val="en-GB"/>
        </w:rPr>
      </w:pPr>
      <w:r w:rsidRPr="0075128C">
        <w:rPr>
          <w:rFonts w:eastAsia="Arial Unicode MS"/>
          <w:bdr w:val="nil"/>
          <w:lang w:val="en-GB"/>
        </w:rPr>
        <w:t>Industry Background</w:t>
      </w:r>
    </w:p>
    <w:p w14:paraId="0CB7C5D4" w14:textId="77777777" w:rsidR="002C7B2B" w:rsidRPr="0075128C" w:rsidRDefault="002C7B2B" w:rsidP="002C7B2B">
      <w:pPr>
        <w:pStyle w:val="BodyTextMain"/>
        <w:rPr>
          <w:rFonts w:eastAsia="Arial Unicode MS"/>
          <w:bdr w:val="nil"/>
          <w:lang w:val="en-GB"/>
        </w:rPr>
      </w:pPr>
    </w:p>
    <w:p w14:paraId="012D0A3F" w14:textId="122F8EA0" w:rsidR="002C7B2B" w:rsidRPr="0075128C" w:rsidRDefault="002C7B2B" w:rsidP="002C7B2B">
      <w:pPr>
        <w:pStyle w:val="BodyTextMain"/>
        <w:rPr>
          <w:lang w:val="en-GB"/>
        </w:rPr>
      </w:pPr>
      <w:r w:rsidRPr="0075128C">
        <w:rPr>
          <w:lang w:val="en-GB"/>
        </w:rPr>
        <w:t>The insurance industry in Ghana had grown signifi</w:t>
      </w:r>
      <w:r w:rsidR="007C726D" w:rsidRPr="0075128C">
        <w:rPr>
          <w:lang w:val="en-GB"/>
        </w:rPr>
        <w:t>cantly since the 1990s</w:t>
      </w:r>
      <w:r w:rsidRPr="0075128C">
        <w:rPr>
          <w:lang w:val="en-GB"/>
        </w:rPr>
        <w:t xml:space="preserve">. Despite </w:t>
      </w:r>
      <w:r w:rsidR="007C726D" w:rsidRPr="0075128C">
        <w:rPr>
          <w:lang w:val="en-GB"/>
        </w:rPr>
        <w:t>this</w:t>
      </w:r>
      <w:r w:rsidRPr="0075128C">
        <w:rPr>
          <w:lang w:val="en-GB"/>
        </w:rPr>
        <w:t xml:space="preserve"> growth</w:t>
      </w:r>
      <w:r w:rsidR="002B21B6">
        <w:rPr>
          <w:lang w:val="en-GB"/>
        </w:rPr>
        <w:t>,</w:t>
      </w:r>
      <w:r w:rsidRPr="0075128C">
        <w:rPr>
          <w:lang w:val="en-GB"/>
        </w:rPr>
        <w:t xml:space="preserve"> </w:t>
      </w:r>
      <w:r w:rsidR="007C726D" w:rsidRPr="0075128C">
        <w:rPr>
          <w:lang w:val="en-GB"/>
        </w:rPr>
        <w:t>however</w:t>
      </w:r>
      <w:r w:rsidRPr="0075128C">
        <w:rPr>
          <w:lang w:val="en-GB"/>
        </w:rPr>
        <w:t xml:space="preserve">, insurance penetration in Ghana was relatively small compared </w:t>
      </w:r>
      <w:r w:rsidR="002B21B6">
        <w:rPr>
          <w:lang w:val="en-GB"/>
        </w:rPr>
        <w:t>with</w:t>
      </w:r>
      <w:r w:rsidR="002B21B6" w:rsidRPr="0075128C">
        <w:rPr>
          <w:lang w:val="en-GB"/>
        </w:rPr>
        <w:t xml:space="preserve"> </w:t>
      </w:r>
      <w:r w:rsidRPr="0075128C">
        <w:rPr>
          <w:lang w:val="en-GB"/>
        </w:rPr>
        <w:t>other countries in Africa</w:t>
      </w:r>
      <w:r w:rsidR="007C726D" w:rsidRPr="0075128C">
        <w:rPr>
          <w:lang w:val="en-GB"/>
        </w:rPr>
        <w:t xml:space="preserve"> (see </w:t>
      </w:r>
      <w:r w:rsidRPr="0075128C">
        <w:rPr>
          <w:lang w:val="en-GB"/>
        </w:rPr>
        <w:t>Exhibit 2A</w:t>
      </w:r>
      <w:r w:rsidR="007C726D" w:rsidRPr="0075128C">
        <w:rPr>
          <w:lang w:val="en-GB"/>
        </w:rPr>
        <w:t>)</w:t>
      </w:r>
      <w:r w:rsidRPr="0075128C">
        <w:rPr>
          <w:lang w:val="en-GB"/>
        </w:rPr>
        <w:t>. The average insurance penetration rate in Ghana between 2007 and 2012 was 0.</w:t>
      </w:r>
      <w:r w:rsidR="00921C1E">
        <w:rPr>
          <w:lang w:val="en-GB"/>
        </w:rPr>
        <w:t>9</w:t>
      </w:r>
      <w:r w:rsidR="00811502">
        <w:rPr>
          <w:lang w:val="en-GB"/>
        </w:rPr>
        <w:t>576</w:t>
      </w:r>
      <w:r w:rsidR="007C726D" w:rsidRPr="0075128C">
        <w:rPr>
          <w:lang w:val="en-GB"/>
        </w:rPr>
        <w:t xml:space="preserve"> per cent</w:t>
      </w:r>
      <w:r w:rsidRPr="0075128C">
        <w:rPr>
          <w:lang w:val="en-GB"/>
        </w:rPr>
        <w:t xml:space="preserve">. </w:t>
      </w:r>
      <w:r w:rsidR="002A1E00">
        <w:rPr>
          <w:lang w:val="en-GB"/>
        </w:rPr>
        <w:t>T</w:t>
      </w:r>
      <w:r w:rsidRPr="0075128C">
        <w:rPr>
          <w:lang w:val="en-GB"/>
        </w:rPr>
        <w:t>he National Insurance Commission</w:t>
      </w:r>
      <w:r w:rsidR="002A1E00">
        <w:rPr>
          <w:lang w:val="en-GB"/>
        </w:rPr>
        <w:t xml:space="preserve"> regulated the industry, and</w:t>
      </w:r>
      <w:r w:rsidRPr="0075128C">
        <w:rPr>
          <w:lang w:val="en-GB"/>
        </w:rPr>
        <w:t xml:space="preserve"> </w:t>
      </w:r>
      <w:r w:rsidRPr="00A66D2B">
        <w:rPr>
          <w:lang w:val="en-GB"/>
        </w:rPr>
        <w:t>The Insurance Act, 2006 (Act 724)</w:t>
      </w:r>
      <w:r w:rsidRPr="0075128C">
        <w:rPr>
          <w:lang w:val="en-GB"/>
        </w:rPr>
        <w:t xml:space="preserve"> governed the operation of the insurance industry in Ghana. Section 76 1(d) </w:t>
      </w:r>
      <w:r w:rsidR="002B21B6">
        <w:rPr>
          <w:lang w:val="en-GB"/>
        </w:rPr>
        <w:t xml:space="preserve">of the </w:t>
      </w:r>
      <w:r w:rsidR="002B21B6" w:rsidRPr="009A5107">
        <w:rPr>
          <w:lang w:val="en-GB"/>
        </w:rPr>
        <w:t>Act</w:t>
      </w:r>
      <w:r w:rsidR="002B21B6" w:rsidRPr="00C72E4A">
        <w:rPr>
          <w:i/>
          <w:lang w:val="en-GB"/>
        </w:rPr>
        <w:t xml:space="preserve"> </w:t>
      </w:r>
      <w:r w:rsidRPr="0075128C">
        <w:rPr>
          <w:lang w:val="en-GB"/>
        </w:rPr>
        <w:t>prohibited an insurer from entering into a guarantee or providing a security in connection with a loan by another person to a connected person</w:t>
      </w:r>
      <w:bookmarkStart w:id="2" w:name="_Ref516998082"/>
      <w:r w:rsidR="000D3354">
        <w:rPr>
          <w:lang w:val="en-GB"/>
        </w:rPr>
        <w:t>.</w:t>
      </w:r>
      <w:r w:rsidR="00921C1E">
        <w:rPr>
          <w:rStyle w:val="FootnoteReference"/>
          <w:lang w:val="en-GB"/>
        </w:rPr>
        <w:footnoteReference w:id="5"/>
      </w:r>
      <w:bookmarkEnd w:id="2"/>
    </w:p>
    <w:p w14:paraId="37EEB727" w14:textId="77777777" w:rsidR="002C7B2B" w:rsidRPr="0075128C" w:rsidRDefault="002C7B2B" w:rsidP="002C7B2B">
      <w:pPr>
        <w:pStyle w:val="BodyTextMain"/>
        <w:rPr>
          <w:lang w:val="en-GB"/>
        </w:rPr>
      </w:pPr>
    </w:p>
    <w:p w14:paraId="5BF529B6" w14:textId="750F5912" w:rsidR="002C7B2B" w:rsidRPr="0075128C" w:rsidRDefault="002C7B2B" w:rsidP="002C7B2B">
      <w:pPr>
        <w:pStyle w:val="BodyTextMain"/>
        <w:rPr>
          <w:lang w:val="en-GB"/>
        </w:rPr>
      </w:pPr>
      <w:r w:rsidRPr="00A66D2B">
        <w:rPr>
          <w:lang w:val="en-GB"/>
        </w:rPr>
        <w:lastRenderedPageBreak/>
        <w:t>The Insurance Act</w:t>
      </w:r>
      <w:r w:rsidRPr="0075128C">
        <w:rPr>
          <w:lang w:val="en-GB"/>
        </w:rPr>
        <w:t xml:space="preserve"> also required insurance companies to register to underwrite either life or non-life businesses</w:t>
      </w:r>
      <w:r w:rsidR="00BF556D">
        <w:rPr>
          <w:lang w:val="en-GB"/>
        </w:rPr>
        <w:t>,</w:t>
      </w:r>
      <w:r w:rsidRPr="0075128C">
        <w:rPr>
          <w:lang w:val="en-GB"/>
        </w:rPr>
        <w:t xml:space="preserve"> but not both. After the passage of the </w:t>
      </w:r>
      <w:r w:rsidRPr="00A66D2B">
        <w:rPr>
          <w:lang w:val="en-GB"/>
        </w:rPr>
        <w:t>Act</w:t>
      </w:r>
      <w:r w:rsidR="002B21B6">
        <w:rPr>
          <w:lang w:val="en-GB"/>
        </w:rPr>
        <w:t>,</w:t>
      </w:r>
      <w:r w:rsidRPr="0075128C">
        <w:rPr>
          <w:lang w:val="en-GB"/>
        </w:rPr>
        <w:t xml:space="preserve"> the industry witnessed an influx of companies in </w:t>
      </w:r>
      <w:r w:rsidR="002B21B6">
        <w:rPr>
          <w:lang w:val="en-GB"/>
        </w:rPr>
        <w:t xml:space="preserve">both </w:t>
      </w:r>
      <w:r w:rsidRPr="0075128C">
        <w:rPr>
          <w:lang w:val="en-GB"/>
        </w:rPr>
        <w:t xml:space="preserve">the non-life market </w:t>
      </w:r>
      <w:r w:rsidR="002B21B6">
        <w:rPr>
          <w:lang w:val="en-GB"/>
        </w:rPr>
        <w:t>and</w:t>
      </w:r>
      <w:r w:rsidR="007C726D" w:rsidRPr="0075128C">
        <w:rPr>
          <w:lang w:val="en-GB"/>
        </w:rPr>
        <w:t xml:space="preserve"> the life market (see </w:t>
      </w:r>
      <w:r w:rsidRPr="0075128C">
        <w:rPr>
          <w:lang w:val="en-GB"/>
        </w:rPr>
        <w:t>Exhibit 2B</w:t>
      </w:r>
      <w:r w:rsidR="007C726D" w:rsidRPr="0075128C">
        <w:rPr>
          <w:lang w:val="en-GB"/>
        </w:rPr>
        <w:t>)</w:t>
      </w:r>
      <w:r w:rsidRPr="0075128C">
        <w:rPr>
          <w:lang w:val="en-GB"/>
        </w:rPr>
        <w:t>.</w:t>
      </w:r>
      <w:r w:rsidR="007C726D" w:rsidRPr="0075128C">
        <w:rPr>
          <w:lang w:val="en-GB"/>
        </w:rPr>
        <w:t xml:space="preserve"> </w:t>
      </w:r>
      <w:r w:rsidR="002B21B6">
        <w:rPr>
          <w:lang w:val="en-GB"/>
        </w:rPr>
        <w:t>In 2010, the N</w:t>
      </w:r>
      <w:r w:rsidR="00BF556D">
        <w:rPr>
          <w:lang w:val="en-GB"/>
        </w:rPr>
        <w:t xml:space="preserve">ational </w:t>
      </w:r>
      <w:r w:rsidR="002B21B6">
        <w:rPr>
          <w:lang w:val="en-GB"/>
        </w:rPr>
        <w:t>I</w:t>
      </w:r>
      <w:r w:rsidR="00BF556D">
        <w:rPr>
          <w:lang w:val="en-GB"/>
        </w:rPr>
        <w:t xml:space="preserve">nsurance </w:t>
      </w:r>
      <w:proofErr w:type="spellStart"/>
      <w:r w:rsidR="002B21B6">
        <w:rPr>
          <w:lang w:val="en-GB"/>
        </w:rPr>
        <w:t>C</w:t>
      </w:r>
      <w:r w:rsidR="00BF556D">
        <w:rPr>
          <w:lang w:val="en-GB"/>
        </w:rPr>
        <w:t>omission</w:t>
      </w:r>
      <w:proofErr w:type="spellEnd"/>
      <w:r w:rsidR="002B21B6">
        <w:rPr>
          <w:lang w:val="en-GB"/>
        </w:rPr>
        <w:t xml:space="preserve"> </w:t>
      </w:r>
      <w:r w:rsidR="00185376" w:rsidRPr="0075128C">
        <w:rPr>
          <w:lang w:val="en-GB"/>
        </w:rPr>
        <w:t>replace</w:t>
      </w:r>
      <w:r w:rsidR="00185376">
        <w:rPr>
          <w:lang w:val="en-GB"/>
        </w:rPr>
        <w:t>d</w:t>
      </w:r>
      <w:r w:rsidR="00185376" w:rsidRPr="0075128C">
        <w:rPr>
          <w:lang w:val="en-GB"/>
        </w:rPr>
        <w:t xml:space="preserve"> the compliance-based approach </w:t>
      </w:r>
      <w:r w:rsidR="00185376">
        <w:rPr>
          <w:lang w:val="en-GB"/>
        </w:rPr>
        <w:t xml:space="preserve">by </w:t>
      </w:r>
      <w:r w:rsidR="002B21B6">
        <w:rPr>
          <w:lang w:val="en-GB"/>
        </w:rPr>
        <w:t>introduc</w:t>
      </w:r>
      <w:r w:rsidR="00185376">
        <w:rPr>
          <w:lang w:val="en-GB"/>
        </w:rPr>
        <w:t>ing</w:t>
      </w:r>
      <w:r w:rsidR="002B21B6">
        <w:rPr>
          <w:lang w:val="en-GB"/>
        </w:rPr>
        <w:t xml:space="preserve"> a</w:t>
      </w:r>
      <w:r w:rsidRPr="0075128C">
        <w:rPr>
          <w:lang w:val="en-GB"/>
        </w:rPr>
        <w:t xml:space="preserve"> risk-based framework geared toward empowering insurance companies to effectively and efficiently manage risks and </w:t>
      </w:r>
      <w:r w:rsidR="00015D40">
        <w:rPr>
          <w:lang w:val="en-GB"/>
        </w:rPr>
        <w:t xml:space="preserve">thereby </w:t>
      </w:r>
      <w:r w:rsidRPr="0075128C">
        <w:rPr>
          <w:lang w:val="en-GB"/>
        </w:rPr>
        <w:t xml:space="preserve">enhance </w:t>
      </w:r>
      <w:r w:rsidR="00185376">
        <w:rPr>
          <w:lang w:val="en-GB"/>
        </w:rPr>
        <w:t xml:space="preserve">the </w:t>
      </w:r>
      <w:r w:rsidRPr="0075128C">
        <w:rPr>
          <w:lang w:val="en-GB"/>
        </w:rPr>
        <w:t>stability of the insurance market. Minimum capital requirements were increased from US$1</w:t>
      </w:r>
      <w:r w:rsidR="00D62FAB">
        <w:rPr>
          <w:lang w:val="en-GB"/>
        </w:rPr>
        <w:t xml:space="preserve"> </w:t>
      </w:r>
      <w:r w:rsidRPr="0075128C">
        <w:rPr>
          <w:lang w:val="en-GB"/>
        </w:rPr>
        <w:t>million in 2006 to US$5 million in 2010</w:t>
      </w:r>
      <w:r w:rsidR="0077208F">
        <w:rPr>
          <w:lang w:val="en-GB"/>
        </w:rPr>
        <w:t>.</w:t>
      </w:r>
      <w:r w:rsidR="00546661">
        <w:rPr>
          <w:rStyle w:val="FootnoteReference"/>
          <w:lang w:val="en-GB"/>
        </w:rPr>
        <w:footnoteReference w:id="6"/>
      </w:r>
    </w:p>
    <w:p w14:paraId="674E088D" w14:textId="77777777" w:rsidR="002C7B2B" w:rsidRPr="0075128C" w:rsidRDefault="002C7B2B" w:rsidP="002C7B2B">
      <w:pPr>
        <w:pStyle w:val="BodyTextMain"/>
        <w:rPr>
          <w:lang w:val="en-GB"/>
        </w:rPr>
      </w:pPr>
    </w:p>
    <w:p w14:paraId="37AAF678" w14:textId="77777777" w:rsidR="002C7B2B" w:rsidRPr="0075128C" w:rsidRDefault="002C7B2B" w:rsidP="002C7B2B">
      <w:pPr>
        <w:pStyle w:val="BodyTextMain"/>
        <w:rPr>
          <w:lang w:val="en-GB"/>
        </w:rPr>
      </w:pPr>
    </w:p>
    <w:p w14:paraId="34BE2CFD" w14:textId="77777777" w:rsidR="002C7B2B" w:rsidRPr="0075128C" w:rsidRDefault="002C7B2B" w:rsidP="002C7B2B">
      <w:pPr>
        <w:pStyle w:val="Casehead1"/>
        <w:rPr>
          <w:rFonts w:eastAsia="Arial Unicode MS"/>
          <w:bdr w:val="nil"/>
          <w:lang w:val="en-GB"/>
        </w:rPr>
      </w:pPr>
      <w:r w:rsidRPr="0075128C">
        <w:rPr>
          <w:rFonts w:eastAsia="Arial Unicode MS"/>
          <w:bdr w:val="nil"/>
          <w:lang w:val="en-GB"/>
        </w:rPr>
        <w:t>Background on SIC</w:t>
      </w:r>
    </w:p>
    <w:p w14:paraId="7ED0C61D" w14:textId="77777777" w:rsidR="002C7B2B" w:rsidRPr="0075128C" w:rsidRDefault="002C7B2B" w:rsidP="002C7B2B">
      <w:pPr>
        <w:pStyle w:val="BodyTextMain"/>
        <w:rPr>
          <w:lang w:val="en-GB"/>
        </w:rPr>
      </w:pPr>
    </w:p>
    <w:p w14:paraId="2A4D4F6E" w14:textId="0CC33DB7" w:rsidR="002C7B2B" w:rsidRPr="0075128C" w:rsidRDefault="002C7B2B" w:rsidP="002C7B2B">
      <w:pPr>
        <w:pStyle w:val="BodyTextMain"/>
        <w:rPr>
          <w:lang w:val="en-GB"/>
        </w:rPr>
      </w:pPr>
      <w:r w:rsidRPr="0075128C">
        <w:rPr>
          <w:lang w:val="en-GB"/>
        </w:rPr>
        <w:t>SIC was the largest general insurance company in Ghana. SIC commenced business in 1962 but traced its roots to 1955</w:t>
      </w:r>
      <w:r w:rsidR="00185376">
        <w:rPr>
          <w:lang w:val="en-GB"/>
        </w:rPr>
        <w:t>,</w:t>
      </w:r>
      <w:r w:rsidRPr="0075128C">
        <w:rPr>
          <w:lang w:val="en-GB"/>
        </w:rPr>
        <w:t xml:space="preserve"> when the Gold Coast Insurance Company was established. </w:t>
      </w:r>
      <w:r w:rsidR="00B07128">
        <w:rPr>
          <w:lang w:val="en-GB"/>
        </w:rPr>
        <w:t>In 1962, it was re</w:t>
      </w:r>
      <w:r w:rsidR="00D62FAB">
        <w:rPr>
          <w:lang w:val="en-GB"/>
        </w:rPr>
        <w:t>-</w:t>
      </w:r>
      <w:r w:rsidR="00B07128">
        <w:rPr>
          <w:lang w:val="en-GB"/>
        </w:rPr>
        <w:t>named State Insurance Corporation, and in 2007 became SIC Insurance Company Limited. SIC</w:t>
      </w:r>
      <w:r w:rsidR="00B07128" w:rsidRPr="0075128C">
        <w:rPr>
          <w:lang w:val="en-GB"/>
        </w:rPr>
        <w:t xml:space="preserve"> </w:t>
      </w:r>
      <w:r w:rsidRPr="0075128C">
        <w:rPr>
          <w:lang w:val="en-GB"/>
        </w:rPr>
        <w:t>was listed on th</w:t>
      </w:r>
      <w:r w:rsidR="001846D7" w:rsidRPr="0075128C">
        <w:rPr>
          <w:lang w:val="en-GB"/>
        </w:rPr>
        <w:t xml:space="preserve">e Ghana Stock Exchange on </w:t>
      </w:r>
      <w:r w:rsidRPr="0075128C">
        <w:rPr>
          <w:lang w:val="en-GB"/>
        </w:rPr>
        <w:t>January</w:t>
      </w:r>
      <w:r w:rsidR="001846D7" w:rsidRPr="0075128C">
        <w:rPr>
          <w:lang w:val="en-GB"/>
        </w:rPr>
        <w:t xml:space="preserve"> 25</w:t>
      </w:r>
      <w:r w:rsidRPr="0075128C">
        <w:rPr>
          <w:lang w:val="en-GB"/>
        </w:rPr>
        <w:t>, 20</w:t>
      </w:r>
      <w:r w:rsidR="001846D7" w:rsidRPr="0075128C">
        <w:rPr>
          <w:lang w:val="en-GB"/>
        </w:rPr>
        <w:t xml:space="preserve">08. It had an asset size of </w:t>
      </w:r>
      <w:r w:rsidR="001846D7" w:rsidRPr="0075128C">
        <w:rPr>
          <w:rFonts w:ascii="Segoe UI" w:hAnsi="Segoe UI" w:cs="Segoe UI"/>
          <w:lang w:val="en-GB"/>
        </w:rPr>
        <w:t>₵</w:t>
      </w:r>
      <w:r w:rsidR="001846D7" w:rsidRPr="0075128C">
        <w:rPr>
          <w:lang w:val="en-GB"/>
        </w:rPr>
        <w:t xml:space="preserve">151.81 million and </w:t>
      </w:r>
      <w:r w:rsidR="001846D7" w:rsidRPr="0075128C">
        <w:rPr>
          <w:rFonts w:ascii="Segoe UI" w:hAnsi="Segoe UI" w:cs="Segoe UI"/>
          <w:lang w:val="en-GB"/>
        </w:rPr>
        <w:t>₵</w:t>
      </w:r>
      <w:r w:rsidRPr="0075128C">
        <w:rPr>
          <w:lang w:val="en-GB"/>
        </w:rPr>
        <w:t>175.39 million in 2013 and 2014</w:t>
      </w:r>
      <w:r w:rsidR="00B07128">
        <w:rPr>
          <w:lang w:val="en-GB"/>
        </w:rPr>
        <w:t>,</w:t>
      </w:r>
      <w:r w:rsidRPr="0075128C">
        <w:rPr>
          <w:lang w:val="en-GB"/>
        </w:rPr>
        <w:t xml:space="preserve"> respectively (see Exhibit</w:t>
      </w:r>
      <w:r w:rsidR="00185376">
        <w:rPr>
          <w:lang w:val="en-GB"/>
        </w:rPr>
        <w:t>s</w:t>
      </w:r>
      <w:r w:rsidRPr="0075128C">
        <w:rPr>
          <w:lang w:val="en-GB"/>
        </w:rPr>
        <w:t xml:space="preserve"> 3A</w:t>
      </w:r>
      <w:r w:rsidR="001846D7" w:rsidRPr="0075128C">
        <w:rPr>
          <w:lang w:val="en-GB"/>
        </w:rPr>
        <w:t xml:space="preserve"> and 3</w:t>
      </w:r>
      <w:r w:rsidRPr="0075128C">
        <w:rPr>
          <w:lang w:val="en-GB"/>
        </w:rPr>
        <w:t>B)</w:t>
      </w:r>
      <w:r w:rsidR="001846D7" w:rsidRPr="0075128C">
        <w:rPr>
          <w:lang w:val="en-GB"/>
        </w:rPr>
        <w:t>.</w:t>
      </w:r>
      <w:r w:rsidRPr="0075128C">
        <w:rPr>
          <w:lang w:val="en-GB"/>
        </w:rPr>
        <w:t xml:space="preserve"> The company reported </w:t>
      </w:r>
      <w:r w:rsidR="001846D7" w:rsidRPr="0075128C">
        <w:rPr>
          <w:lang w:val="en-GB"/>
        </w:rPr>
        <w:t xml:space="preserve">gross insurance premiums of </w:t>
      </w:r>
      <w:r w:rsidR="001846D7" w:rsidRPr="0075128C">
        <w:rPr>
          <w:rFonts w:ascii="Segoe UI" w:hAnsi="Segoe UI" w:cs="Segoe UI"/>
          <w:lang w:val="en-GB"/>
        </w:rPr>
        <w:t>₵</w:t>
      </w:r>
      <w:r w:rsidR="001846D7" w:rsidRPr="0075128C">
        <w:rPr>
          <w:lang w:val="en-GB"/>
        </w:rPr>
        <w:t xml:space="preserve">98.2 </w:t>
      </w:r>
      <w:r w:rsidR="00185376">
        <w:rPr>
          <w:lang w:val="en-GB"/>
        </w:rPr>
        <w:t xml:space="preserve">million </w:t>
      </w:r>
      <w:r w:rsidR="001846D7" w:rsidRPr="0075128C">
        <w:rPr>
          <w:lang w:val="en-GB"/>
        </w:rPr>
        <w:t xml:space="preserve">and </w:t>
      </w:r>
      <w:r w:rsidR="001846D7" w:rsidRPr="0075128C">
        <w:rPr>
          <w:rFonts w:ascii="Segoe UI" w:hAnsi="Segoe UI" w:cs="Segoe UI"/>
          <w:lang w:val="en-GB"/>
        </w:rPr>
        <w:t>₵</w:t>
      </w:r>
      <w:r w:rsidRPr="0075128C">
        <w:rPr>
          <w:lang w:val="en-GB"/>
        </w:rPr>
        <w:t xml:space="preserve">115.7 million for </w:t>
      </w:r>
      <w:r w:rsidR="001846D7" w:rsidRPr="0075128C">
        <w:rPr>
          <w:lang w:val="en-GB"/>
        </w:rPr>
        <w:t>2013 and 2014</w:t>
      </w:r>
      <w:r w:rsidR="00B07128">
        <w:rPr>
          <w:lang w:val="en-GB"/>
        </w:rPr>
        <w:t>,</w:t>
      </w:r>
      <w:r w:rsidR="001846D7" w:rsidRPr="0075128C">
        <w:rPr>
          <w:lang w:val="en-GB"/>
        </w:rPr>
        <w:t xml:space="preserve"> respectively</w:t>
      </w:r>
      <w:r w:rsidR="0077208F">
        <w:rPr>
          <w:lang w:val="en-GB"/>
        </w:rPr>
        <w:t>.</w:t>
      </w:r>
      <w:r w:rsidR="00921C1E">
        <w:rPr>
          <w:rStyle w:val="FootnoteReference"/>
          <w:lang w:val="en-GB"/>
        </w:rPr>
        <w:footnoteReference w:id="7"/>
      </w:r>
    </w:p>
    <w:p w14:paraId="72ED0367" w14:textId="77777777" w:rsidR="007C726D" w:rsidRPr="0075128C" w:rsidRDefault="007C726D" w:rsidP="002C7B2B">
      <w:pPr>
        <w:pStyle w:val="BodyTextMain"/>
        <w:rPr>
          <w:lang w:val="en-GB"/>
        </w:rPr>
      </w:pPr>
    </w:p>
    <w:p w14:paraId="09A87B76" w14:textId="551033FF" w:rsidR="002C7B2B" w:rsidRPr="0075128C" w:rsidRDefault="002C7B2B" w:rsidP="002C7B2B">
      <w:pPr>
        <w:pStyle w:val="BodyTextMain"/>
        <w:rPr>
          <w:lang w:val="en-GB"/>
        </w:rPr>
      </w:pPr>
      <w:r w:rsidRPr="0075128C">
        <w:rPr>
          <w:lang w:val="en-GB"/>
        </w:rPr>
        <w:t>The compa</w:t>
      </w:r>
      <w:r w:rsidR="001846D7" w:rsidRPr="0075128C">
        <w:rPr>
          <w:lang w:val="en-GB"/>
        </w:rPr>
        <w:t xml:space="preserve">ny incurred claims of </w:t>
      </w:r>
      <w:r w:rsidR="00185376">
        <w:rPr>
          <w:lang w:val="en-GB"/>
        </w:rPr>
        <w:t>approximately</w:t>
      </w:r>
      <w:r w:rsidR="00185376" w:rsidRPr="0075128C">
        <w:rPr>
          <w:lang w:val="en-GB"/>
        </w:rPr>
        <w:t xml:space="preserve"> </w:t>
      </w:r>
      <w:r w:rsidR="001846D7" w:rsidRPr="0075128C">
        <w:rPr>
          <w:rFonts w:ascii="Segoe UI" w:hAnsi="Segoe UI" w:cs="Segoe UI"/>
          <w:lang w:val="en-GB"/>
        </w:rPr>
        <w:t>₵</w:t>
      </w:r>
      <w:r w:rsidR="001846D7" w:rsidRPr="0075128C">
        <w:rPr>
          <w:lang w:val="en-GB"/>
        </w:rPr>
        <w:t xml:space="preserve">20,787,537 and </w:t>
      </w:r>
      <w:r w:rsidR="001846D7" w:rsidRPr="0075128C">
        <w:rPr>
          <w:rFonts w:ascii="Segoe UI" w:hAnsi="Segoe UI" w:cs="Segoe UI"/>
          <w:lang w:val="en-GB"/>
        </w:rPr>
        <w:t>₵</w:t>
      </w:r>
      <w:r w:rsidRPr="0075128C">
        <w:rPr>
          <w:lang w:val="en-GB"/>
        </w:rPr>
        <w:t>32,344,609 in 2013 and 2014</w:t>
      </w:r>
      <w:r w:rsidR="00015D40">
        <w:rPr>
          <w:lang w:val="en-GB"/>
        </w:rPr>
        <w:t>,</w:t>
      </w:r>
      <w:r w:rsidRPr="0075128C">
        <w:rPr>
          <w:lang w:val="en-GB"/>
        </w:rPr>
        <w:t xml:space="preserve"> respectively. </w:t>
      </w:r>
      <w:r w:rsidR="001846D7" w:rsidRPr="000D3354">
        <w:rPr>
          <w:color w:val="000000" w:themeColor="text1"/>
          <w:lang w:val="en-GB"/>
        </w:rPr>
        <w:t xml:space="preserve">Its capitalization was </w:t>
      </w:r>
      <w:r w:rsidR="001846D7" w:rsidRPr="000D3354">
        <w:rPr>
          <w:rFonts w:ascii="Segoe UI" w:hAnsi="Segoe UI" w:cs="Segoe UI"/>
          <w:color w:val="000000" w:themeColor="text1"/>
          <w:lang w:val="en-GB"/>
        </w:rPr>
        <w:t>₵</w:t>
      </w:r>
      <w:r w:rsidR="001846D7" w:rsidRPr="000D3354">
        <w:rPr>
          <w:color w:val="000000" w:themeColor="text1"/>
          <w:lang w:val="en-GB"/>
        </w:rPr>
        <w:t xml:space="preserve">76,301,550 and </w:t>
      </w:r>
      <w:r w:rsidR="001846D7" w:rsidRPr="000D3354">
        <w:rPr>
          <w:rFonts w:ascii="Segoe UI" w:hAnsi="Segoe UI" w:cs="Segoe UI"/>
          <w:color w:val="000000" w:themeColor="text1"/>
          <w:lang w:val="en-GB"/>
        </w:rPr>
        <w:t>₵</w:t>
      </w:r>
      <w:r w:rsidRPr="000D3354">
        <w:rPr>
          <w:color w:val="000000" w:themeColor="text1"/>
          <w:lang w:val="en-GB"/>
        </w:rPr>
        <w:t>72,388,650 as at December 2013 and 2014</w:t>
      </w:r>
      <w:r w:rsidR="00015D40" w:rsidRPr="000D3354">
        <w:rPr>
          <w:color w:val="000000" w:themeColor="text1"/>
          <w:lang w:val="en-GB"/>
        </w:rPr>
        <w:t>,</w:t>
      </w:r>
      <w:r w:rsidRPr="000D3354">
        <w:rPr>
          <w:color w:val="000000" w:themeColor="text1"/>
          <w:lang w:val="en-GB"/>
        </w:rPr>
        <w:t xml:space="preserve"> respectively.</w:t>
      </w:r>
      <w:r w:rsidRPr="0075128C">
        <w:rPr>
          <w:lang w:val="en-GB"/>
        </w:rPr>
        <w:t xml:space="preserve"> The policies offered by SIC Insurance were in six main categories</w:t>
      </w:r>
      <w:r w:rsidR="00015D40">
        <w:rPr>
          <w:lang w:val="en-GB"/>
        </w:rPr>
        <w:t>—</w:t>
      </w:r>
      <w:r w:rsidRPr="0075128C">
        <w:rPr>
          <w:lang w:val="en-GB"/>
        </w:rPr>
        <w:t>marine, motor, accident, travel, aviation, and oil and gas</w:t>
      </w:r>
      <w:r w:rsidR="000D3354">
        <w:rPr>
          <w:lang w:val="en-GB"/>
        </w:rPr>
        <w:t>.</w:t>
      </w:r>
      <w:r w:rsidR="00A83C18" w:rsidRPr="00A83C18">
        <w:rPr>
          <w:rStyle w:val="FootnoteReference"/>
          <w:color w:val="000000" w:themeColor="text1"/>
          <w:lang w:val="en-GB"/>
        </w:rPr>
        <w:footnoteReference w:id="8"/>
      </w:r>
    </w:p>
    <w:p w14:paraId="1F9506DB" w14:textId="77777777" w:rsidR="002C7B2B" w:rsidRPr="0075128C" w:rsidRDefault="002C7B2B" w:rsidP="002C7B2B">
      <w:pPr>
        <w:pStyle w:val="BodyTextMain"/>
        <w:rPr>
          <w:lang w:val="en-GB"/>
        </w:rPr>
      </w:pPr>
    </w:p>
    <w:p w14:paraId="3334C0BF" w14:textId="659B441A" w:rsidR="002C7B2B" w:rsidRPr="0075128C" w:rsidRDefault="002C7B2B" w:rsidP="002C7B2B">
      <w:pPr>
        <w:pStyle w:val="BodyTextMain"/>
        <w:rPr>
          <w:lang w:val="en-GB"/>
        </w:rPr>
      </w:pPr>
      <w:r w:rsidRPr="0075128C">
        <w:rPr>
          <w:lang w:val="en-GB"/>
        </w:rPr>
        <w:t>The objectives of SIC were to achieve total customer satisfaction and loyalty, maximize shareholder value, create a satisfied workforce</w:t>
      </w:r>
      <w:r w:rsidR="00185376">
        <w:rPr>
          <w:lang w:val="en-GB"/>
        </w:rPr>
        <w:t>,</w:t>
      </w:r>
      <w:r w:rsidRPr="0075128C">
        <w:rPr>
          <w:lang w:val="en-GB"/>
        </w:rPr>
        <w:t xml:space="preserve"> and </w:t>
      </w:r>
      <w:r w:rsidRPr="0075128C">
        <w:rPr>
          <w:lang w:val="en-GB"/>
        </w:rPr>
        <w:lastRenderedPageBreak/>
        <w:t>be a good corporate citizen. The values of the company were trust, relationship</w:t>
      </w:r>
      <w:r w:rsidR="00015D40">
        <w:rPr>
          <w:lang w:val="en-GB"/>
        </w:rPr>
        <w:t>s</w:t>
      </w:r>
      <w:r w:rsidRPr="0075128C">
        <w:rPr>
          <w:lang w:val="en-GB"/>
        </w:rPr>
        <w:t>, professionalism, respect</w:t>
      </w:r>
      <w:r w:rsidR="00185376">
        <w:rPr>
          <w:lang w:val="en-GB"/>
        </w:rPr>
        <w:t>,</w:t>
      </w:r>
      <w:r w:rsidRPr="0075128C">
        <w:rPr>
          <w:lang w:val="en-GB"/>
        </w:rPr>
        <w:t xml:space="preserve"> and </w:t>
      </w:r>
      <w:r w:rsidR="00185376">
        <w:rPr>
          <w:lang w:val="en-GB"/>
        </w:rPr>
        <w:t xml:space="preserve">a </w:t>
      </w:r>
      <w:r w:rsidRPr="0075128C">
        <w:rPr>
          <w:lang w:val="en-GB"/>
        </w:rPr>
        <w:t xml:space="preserve">sense of urgency. SIC carried out regular </w:t>
      </w:r>
      <w:r w:rsidR="00185376">
        <w:rPr>
          <w:lang w:val="en-GB"/>
        </w:rPr>
        <w:t>corporate social responsibility</w:t>
      </w:r>
      <w:r w:rsidR="00185376" w:rsidRPr="0075128C">
        <w:rPr>
          <w:lang w:val="en-GB"/>
        </w:rPr>
        <w:t xml:space="preserve"> </w:t>
      </w:r>
      <w:r w:rsidRPr="0075128C">
        <w:rPr>
          <w:lang w:val="en-GB"/>
        </w:rPr>
        <w:t>activities. The main goal</w:t>
      </w:r>
      <w:r w:rsidR="00185376">
        <w:rPr>
          <w:lang w:val="en-GB"/>
        </w:rPr>
        <w:t>s</w:t>
      </w:r>
      <w:r w:rsidRPr="0075128C">
        <w:rPr>
          <w:lang w:val="en-GB"/>
        </w:rPr>
        <w:t xml:space="preserve"> of these activities were</w:t>
      </w:r>
      <w:r w:rsidR="00185376">
        <w:rPr>
          <w:lang w:val="en-GB"/>
        </w:rPr>
        <w:t>, in order of importance</w:t>
      </w:r>
      <w:r w:rsidR="00B07128">
        <w:rPr>
          <w:lang w:val="en-GB"/>
        </w:rPr>
        <w:t>,</w:t>
      </w:r>
      <w:r w:rsidRPr="0075128C">
        <w:rPr>
          <w:lang w:val="en-GB"/>
        </w:rPr>
        <w:t xml:space="preserve"> to give back to society and to improve the image/reputation of the firm</w:t>
      </w:r>
      <w:r w:rsidR="000D3354">
        <w:rPr>
          <w:lang w:val="en-GB"/>
        </w:rPr>
        <w:t>.</w:t>
      </w:r>
      <w:r w:rsidR="00546661">
        <w:rPr>
          <w:rStyle w:val="FootnoteReference"/>
          <w:lang w:val="en-GB"/>
        </w:rPr>
        <w:footnoteReference w:id="9"/>
      </w:r>
    </w:p>
    <w:p w14:paraId="09D33A47" w14:textId="77777777" w:rsidR="002C7B2B" w:rsidRPr="0075128C" w:rsidRDefault="002C7B2B" w:rsidP="002C7B2B">
      <w:pPr>
        <w:pStyle w:val="BodyTextMain"/>
        <w:rPr>
          <w:lang w:val="en-GB"/>
        </w:rPr>
      </w:pPr>
    </w:p>
    <w:p w14:paraId="5A0C17E2" w14:textId="60A13540" w:rsidR="002C7B2B" w:rsidRDefault="002C7B2B" w:rsidP="002C7B2B">
      <w:pPr>
        <w:pStyle w:val="BodyTextMain"/>
        <w:rPr>
          <w:lang w:val="en-GB"/>
        </w:rPr>
      </w:pPr>
      <w:r w:rsidRPr="0075128C">
        <w:rPr>
          <w:lang w:val="en-GB"/>
        </w:rPr>
        <w:t xml:space="preserve">To manage its risks, SIC reinsured its risk with </w:t>
      </w:r>
      <w:r w:rsidR="00185376">
        <w:rPr>
          <w:lang w:val="en-GB"/>
        </w:rPr>
        <w:t>several</w:t>
      </w:r>
      <w:r w:rsidRPr="0075128C">
        <w:rPr>
          <w:lang w:val="en-GB"/>
        </w:rPr>
        <w:t xml:space="preserve"> reinsurers</w:t>
      </w:r>
      <w:r w:rsidR="00015D40">
        <w:rPr>
          <w:lang w:val="en-GB"/>
        </w:rPr>
        <w:t>,</w:t>
      </w:r>
      <w:r w:rsidR="001846D7" w:rsidRPr="0075128C">
        <w:rPr>
          <w:lang w:val="en-GB"/>
        </w:rPr>
        <w:t xml:space="preserve"> </w:t>
      </w:r>
      <w:r w:rsidR="00015D40" w:rsidRPr="0075128C">
        <w:rPr>
          <w:lang w:val="en-GB"/>
        </w:rPr>
        <w:t>includ</w:t>
      </w:r>
      <w:r w:rsidR="00015D40">
        <w:rPr>
          <w:lang w:val="en-GB"/>
        </w:rPr>
        <w:t>ing</w:t>
      </w:r>
      <w:r w:rsidR="00015D40" w:rsidRPr="0075128C">
        <w:rPr>
          <w:lang w:val="en-GB"/>
        </w:rPr>
        <w:t xml:space="preserve"> </w:t>
      </w:r>
      <w:r w:rsidR="001846D7" w:rsidRPr="0075128C">
        <w:rPr>
          <w:lang w:val="en-GB"/>
        </w:rPr>
        <w:t xml:space="preserve">AON Group Ltd. (United </w:t>
      </w:r>
      <w:r w:rsidRPr="0075128C">
        <w:rPr>
          <w:lang w:val="en-GB"/>
        </w:rPr>
        <w:t>K</w:t>
      </w:r>
      <w:r w:rsidR="001846D7" w:rsidRPr="0075128C">
        <w:rPr>
          <w:lang w:val="en-GB"/>
        </w:rPr>
        <w:t>ingdom</w:t>
      </w:r>
      <w:r w:rsidR="009A5107">
        <w:rPr>
          <w:lang w:val="en-GB"/>
        </w:rPr>
        <w:t>);</w:t>
      </w:r>
      <w:r w:rsidRPr="0075128C">
        <w:rPr>
          <w:lang w:val="en-GB"/>
        </w:rPr>
        <w:t xml:space="preserve"> A</w:t>
      </w:r>
      <w:r w:rsidR="001846D7" w:rsidRPr="0075128C">
        <w:rPr>
          <w:lang w:val="en-GB"/>
        </w:rPr>
        <w:t xml:space="preserve">fro-Asian Insurance Services (United </w:t>
      </w:r>
      <w:r w:rsidRPr="0075128C">
        <w:rPr>
          <w:lang w:val="en-GB"/>
        </w:rPr>
        <w:t>K</w:t>
      </w:r>
      <w:r w:rsidR="001846D7" w:rsidRPr="0075128C">
        <w:rPr>
          <w:lang w:val="en-GB"/>
        </w:rPr>
        <w:t>ingdom</w:t>
      </w:r>
      <w:r w:rsidR="009A5107">
        <w:rPr>
          <w:lang w:val="en-GB"/>
        </w:rPr>
        <w:t>);</w:t>
      </w:r>
      <w:r w:rsidRPr="0075128C">
        <w:rPr>
          <w:lang w:val="en-GB"/>
        </w:rPr>
        <w:t xml:space="preserve"> Afri</w:t>
      </w:r>
      <w:r w:rsidR="009A5107">
        <w:rPr>
          <w:lang w:val="en-GB"/>
        </w:rPr>
        <w:t>can Reinsurance Corp. (Nigeria);</w:t>
      </w:r>
      <w:r w:rsidRPr="0075128C">
        <w:rPr>
          <w:lang w:val="en-GB"/>
        </w:rPr>
        <w:t xml:space="preserve"> </w:t>
      </w:r>
      <w:proofErr w:type="spellStart"/>
      <w:r w:rsidRPr="0075128C">
        <w:rPr>
          <w:lang w:val="en-GB"/>
        </w:rPr>
        <w:t>Assicurazioni</w:t>
      </w:r>
      <w:proofErr w:type="spellEnd"/>
      <w:r w:rsidRPr="0075128C">
        <w:rPr>
          <w:lang w:val="en-GB"/>
        </w:rPr>
        <w:t xml:space="preserve"> Generali Trieste (U</w:t>
      </w:r>
      <w:r w:rsidR="001846D7" w:rsidRPr="0075128C">
        <w:rPr>
          <w:lang w:val="en-GB"/>
        </w:rPr>
        <w:t xml:space="preserve">nited </w:t>
      </w:r>
      <w:r w:rsidRPr="0075128C">
        <w:rPr>
          <w:lang w:val="en-GB"/>
        </w:rPr>
        <w:t>K</w:t>
      </w:r>
      <w:r w:rsidR="001846D7" w:rsidRPr="0075128C">
        <w:rPr>
          <w:lang w:val="en-GB"/>
        </w:rPr>
        <w:t>ingdom</w:t>
      </w:r>
      <w:r w:rsidR="009A5107">
        <w:rPr>
          <w:lang w:val="en-GB"/>
        </w:rPr>
        <w:t>);</w:t>
      </w:r>
      <w:r w:rsidRPr="0075128C">
        <w:rPr>
          <w:lang w:val="en-GB"/>
        </w:rPr>
        <w:t xml:space="preserve"> BEST Reinsure</w:t>
      </w:r>
      <w:r w:rsidRPr="0075128C">
        <w:rPr>
          <w:rFonts w:eastAsia="Helvetica"/>
          <w:lang w:val="en-GB"/>
        </w:rPr>
        <w:t>–</w:t>
      </w:r>
      <w:r w:rsidR="009A5107">
        <w:rPr>
          <w:lang w:val="en-GB"/>
        </w:rPr>
        <w:t>Tunis (Tunisia);</w:t>
      </w:r>
      <w:r w:rsidRPr="0075128C">
        <w:rPr>
          <w:lang w:val="en-GB"/>
        </w:rPr>
        <w:t xml:space="preserve"> Hannover</w:t>
      </w:r>
      <w:r w:rsidR="009A5107">
        <w:rPr>
          <w:lang w:val="en-GB"/>
        </w:rPr>
        <w:t xml:space="preserve"> Reinsurance Co. (South Africa);</w:t>
      </w:r>
      <w:r w:rsidRPr="0075128C">
        <w:rPr>
          <w:lang w:val="en-GB"/>
        </w:rPr>
        <w:t xml:space="preserve"> Marsh Ltd</w:t>
      </w:r>
      <w:r w:rsidR="001846D7" w:rsidRPr="0075128C">
        <w:rPr>
          <w:lang w:val="en-GB"/>
        </w:rPr>
        <w:t xml:space="preserve">. (United </w:t>
      </w:r>
      <w:r w:rsidRPr="0075128C">
        <w:rPr>
          <w:lang w:val="en-GB"/>
        </w:rPr>
        <w:t>K</w:t>
      </w:r>
      <w:r w:rsidR="001846D7" w:rsidRPr="0075128C">
        <w:rPr>
          <w:lang w:val="en-GB"/>
        </w:rPr>
        <w:t>ingdom</w:t>
      </w:r>
      <w:r w:rsidRPr="0075128C">
        <w:rPr>
          <w:lang w:val="en-GB"/>
        </w:rPr>
        <w:t>)</w:t>
      </w:r>
      <w:r w:rsidR="009A5107">
        <w:rPr>
          <w:lang w:val="en-GB"/>
        </w:rPr>
        <w:t>;</w:t>
      </w:r>
      <w:r w:rsidRPr="0075128C">
        <w:rPr>
          <w:lang w:val="en-GB"/>
        </w:rPr>
        <w:t xml:space="preserve"> and Munich Reinsurance Co. (South Africa). SIC insured a majority of its risks outside Ghana</w:t>
      </w:r>
      <w:r w:rsidR="000D3354">
        <w:rPr>
          <w:lang w:val="en-GB"/>
        </w:rPr>
        <w:t>.</w:t>
      </w:r>
      <w:r w:rsidR="00546661">
        <w:rPr>
          <w:rStyle w:val="FootnoteReference"/>
          <w:lang w:val="en-GB"/>
        </w:rPr>
        <w:footnoteReference w:id="10"/>
      </w:r>
    </w:p>
    <w:p w14:paraId="3A9DC558" w14:textId="77777777" w:rsidR="000D3354" w:rsidRPr="0075128C" w:rsidRDefault="000D3354" w:rsidP="002C7B2B">
      <w:pPr>
        <w:pStyle w:val="BodyTextMain"/>
        <w:rPr>
          <w:lang w:val="en-GB"/>
        </w:rPr>
      </w:pPr>
    </w:p>
    <w:p w14:paraId="1CFD0C93" w14:textId="6791AD1B" w:rsidR="002C7B2B" w:rsidRPr="000D3354" w:rsidRDefault="00185376" w:rsidP="002C7B2B">
      <w:pPr>
        <w:pStyle w:val="BodyTextMain"/>
        <w:rPr>
          <w:color w:val="000000" w:themeColor="text1"/>
          <w:lang w:val="en-GB"/>
        </w:rPr>
      </w:pPr>
      <w:r w:rsidRPr="000D3354">
        <w:rPr>
          <w:color w:val="000000" w:themeColor="text1"/>
          <w:lang w:val="en-GB"/>
        </w:rPr>
        <w:t xml:space="preserve">At </w:t>
      </w:r>
      <w:r w:rsidR="002C7B2B" w:rsidRPr="000D3354">
        <w:rPr>
          <w:color w:val="000000" w:themeColor="text1"/>
          <w:lang w:val="en-GB"/>
        </w:rPr>
        <w:t xml:space="preserve">SIC, the role of </w:t>
      </w:r>
      <w:r w:rsidR="001846D7" w:rsidRPr="000D3354">
        <w:rPr>
          <w:color w:val="000000" w:themeColor="text1"/>
          <w:lang w:val="en-GB"/>
        </w:rPr>
        <w:t xml:space="preserve">the CEO </w:t>
      </w:r>
      <w:r w:rsidRPr="000D3354">
        <w:rPr>
          <w:color w:val="000000" w:themeColor="text1"/>
          <w:lang w:val="en-GB"/>
        </w:rPr>
        <w:t xml:space="preserve">differed </w:t>
      </w:r>
      <w:r w:rsidR="001846D7" w:rsidRPr="000D3354">
        <w:rPr>
          <w:color w:val="000000" w:themeColor="text1"/>
          <w:lang w:val="en-GB"/>
        </w:rPr>
        <w:t xml:space="preserve">from the </w:t>
      </w:r>
      <w:r w:rsidRPr="000D3354">
        <w:rPr>
          <w:color w:val="000000" w:themeColor="text1"/>
          <w:lang w:val="en-GB"/>
        </w:rPr>
        <w:t xml:space="preserve">role of the </w:t>
      </w:r>
      <w:r w:rsidR="001846D7" w:rsidRPr="000D3354">
        <w:rPr>
          <w:color w:val="000000" w:themeColor="text1"/>
          <w:lang w:val="en-GB"/>
        </w:rPr>
        <w:t>chair of the board of d</w:t>
      </w:r>
      <w:r w:rsidR="002C7B2B" w:rsidRPr="000D3354">
        <w:rPr>
          <w:color w:val="000000" w:themeColor="text1"/>
          <w:lang w:val="en-GB"/>
        </w:rPr>
        <w:t xml:space="preserve">irectors. Felicity </w:t>
      </w:r>
      <w:proofErr w:type="spellStart"/>
      <w:r w:rsidR="002C7B2B" w:rsidRPr="000D3354">
        <w:rPr>
          <w:color w:val="000000" w:themeColor="text1"/>
          <w:lang w:val="en-GB"/>
        </w:rPr>
        <w:t>Acquah</w:t>
      </w:r>
      <w:proofErr w:type="spellEnd"/>
      <w:r w:rsidR="002C7B2B" w:rsidRPr="000D3354">
        <w:rPr>
          <w:color w:val="000000" w:themeColor="text1"/>
          <w:lang w:val="en-GB"/>
        </w:rPr>
        <w:t xml:space="preserve"> w</w:t>
      </w:r>
      <w:r w:rsidR="001846D7" w:rsidRPr="000D3354">
        <w:rPr>
          <w:color w:val="000000" w:themeColor="text1"/>
          <w:lang w:val="en-GB"/>
        </w:rPr>
        <w:t>as appointed as board c</w:t>
      </w:r>
      <w:r w:rsidR="002C7B2B" w:rsidRPr="000D3354">
        <w:rPr>
          <w:color w:val="000000" w:themeColor="text1"/>
          <w:lang w:val="en-GB"/>
        </w:rPr>
        <w:t xml:space="preserve">hair </w:t>
      </w:r>
      <w:r w:rsidR="001846D7" w:rsidRPr="000D3354">
        <w:rPr>
          <w:color w:val="000000" w:themeColor="text1"/>
          <w:lang w:val="en-GB"/>
        </w:rPr>
        <w:t>in November 2013. In 2013, the board had eight</w:t>
      </w:r>
      <w:r w:rsidR="002C7B2B" w:rsidRPr="000D3354">
        <w:rPr>
          <w:color w:val="000000" w:themeColor="text1"/>
          <w:lang w:val="en-GB"/>
        </w:rPr>
        <w:t xml:space="preserve"> directors</w:t>
      </w:r>
      <w:r w:rsidR="000347DB" w:rsidRPr="000D3354">
        <w:rPr>
          <w:color w:val="000000" w:themeColor="text1"/>
          <w:lang w:val="en-GB"/>
        </w:rPr>
        <w:t>,</w:t>
      </w:r>
      <w:r w:rsidR="002C7B2B" w:rsidRPr="000D3354">
        <w:rPr>
          <w:color w:val="000000" w:themeColor="text1"/>
          <w:lang w:val="en-GB"/>
        </w:rPr>
        <w:t xml:space="preserve"> one </w:t>
      </w:r>
      <w:r w:rsidR="000347DB" w:rsidRPr="000D3354">
        <w:rPr>
          <w:color w:val="000000" w:themeColor="text1"/>
          <w:lang w:val="en-GB"/>
        </w:rPr>
        <w:t xml:space="preserve">of which </w:t>
      </w:r>
      <w:r w:rsidR="002C7B2B" w:rsidRPr="000D3354">
        <w:rPr>
          <w:color w:val="000000" w:themeColor="text1"/>
          <w:lang w:val="en-GB"/>
        </w:rPr>
        <w:t>was an executive director</w:t>
      </w:r>
      <w:r w:rsidR="000347DB" w:rsidRPr="000D3354">
        <w:rPr>
          <w:rFonts w:eastAsia="Helvetica"/>
          <w:color w:val="000000" w:themeColor="text1"/>
          <w:lang w:val="en-GB"/>
        </w:rPr>
        <w:t>—</w:t>
      </w:r>
      <w:r w:rsidR="002C7B2B" w:rsidRPr="000D3354">
        <w:rPr>
          <w:color w:val="000000" w:themeColor="text1"/>
          <w:lang w:val="en-GB"/>
        </w:rPr>
        <w:t>the CEO (see Exhibit 4).</w:t>
      </w:r>
      <w:r w:rsidR="001846D7" w:rsidRPr="000D3354">
        <w:rPr>
          <w:color w:val="000000" w:themeColor="text1"/>
          <w:lang w:val="en-GB"/>
        </w:rPr>
        <w:t xml:space="preserve"> The b</w:t>
      </w:r>
      <w:r w:rsidR="002C7B2B" w:rsidRPr="000D3354">
        <w:rPr>
          <w:color w:val="000000" w:themeColor="text1"/>
          <w:lang w:val="en-GB"/>
        </w:rPr>
        <w:t>oard met quarterly to discuss issu</w:t>
      </w:r>
      <w:r w:rsidR="001846D7" w:rsidRPr="000D3354">
        <w:rPr>
          <w:color w:val="000000" w:themeColor="text1"/>
          <w:lang w:val="en-GB"/>
        </w:rPr>
        <w:t>es concerning the company. The b</w:t>
      </w:r>
      <w:r w:rsidR="002C7B2B" w:rsidRPr="000D3354">
        <w:rPr>
          <w:color w:val="000000" w:themeColor="text1"/>
          <w:lang w:val="en-GB"/>
        </w:rPr>
        <w:t>oard determi</w:t>
      </w:r>
      <w:r w:rsidR="009A5107" w:rsidRPr="000D3354">
        <w:rPr>
          <w:color w:val="000000" w:themeColor="text1"/>
          <w:lang w:val="en-GB"/>
        </w:rPr>
        <w:t xml:space="preserve">ned the remuneration of the CEO and other </w:t>
      </w:r>
      <w:r w:rsidR="002C7B2B" w:rsidRPr="000D3354">
        <w:rPr>
          <w:color w:val="000000" w:themeColor="text1"/>
          <w:lang w:val="en-GB"/>
        </w:rPr>
        <w:t>executive directors</w:t>
      </w:r>
      <w:r w:rsidR="000347DB" w:rsidRPr="000D3354">
        <w:rPr>
          <w:color w:val="000000" w:themeColor="text1"/>
          <w:lang w:val="en-GB"/>
        </w:rPr>
        <w:t>, whereas the</w:t>
      </w:r>
      <w:r w:rsidR="002C7B2B" w:rsidRPr="000D3354">
        <w:rPr>
          <w:color w:val="000000" w:themeColor="text1"/>
          <w:lang w:val="en-GB"/>
        </w:rPr>
        <w:t xml:space="preserve"> non-executive directors determined their own remuneration. Further, the company did not provide directors with shares or options to purchase shares. SIC did not have an employee stock ownership plan i</w:t>
      </w:r>
      <w:r w:rsidR="001846D7" w:rsidRPr="000D3354">
        <w:rPr>
          <w:color w:val="000000" w:themeColor="text1"/>
          <w:lang w:val="en-GB"/>
        </w:rPr>
        <w:t>n place. The b</w:t>
      </w:r>
      <w:r w:rsidR="002C7B2B" w:rsidRPr="000D3354">
        <w:rPr>
          <w:color w:val="000000" w:themeColor="text1"/>
          <w:lang w:val="en-GB"/>
        </w:rPr>
        <w:t xml:space="preserve">oard did not formally assess its performance </w:t>
      </w:r>
      <w:r w:rsidR="000347DB" w:rsidRPr="000D3354">
        <w:rPr>
          <w:color w:val="000000" w:themeColor="text1"/>
          <w:lang w:val="en-GB"/>
        </w:rPr>
        <w:t>or</w:t>
      </w:r>
      <w:r w:rsidR="002C7B2B" w:rsidRPr="000D3354">
        <w:rPr>
          <w:color w:val="000000" w:themeColor="text1"/>
          <w:lang w:val="en-GB"/>
        </w:rPr>
        <w:t xml:space="preserve"> the performance of the individual directors</w:t>
      </w:r>
      <w:bookmarkStart w:id="3" w:name="_Ref518350613"/>
      <w:r w:rsidR="000D3354">
        <w:rPr>
          <w:color w:val="000000" w:themeColor="text1"/>
          <w:lang w:val="en-GB"/>
        </w:rPr>
        <w:t>.</w:t>
      </w:r>
      <w:r w:rsidR="00DA3F4A">
        <w:rPr>
          <w:rStyle w:val="FootnoteReference"/>
          <w:color w:val="000000" w:themeColor="text1"/>
          <w:lang w:val="en-GB"/>
        </w:rPr>
        <w:footnoteReference w:id="11"/>
      </w:r>
      <w:bookmarkEnd w:id="3"/>
    </w:p>
    <w:p w14:paraId="32D82437" w14:textId="77777777" w:rsidR="002C7B2B" w:rsidRPr="000D3354" w:rsidRDefault="002C7B2B" w:rsidP="002C7B2B">
      <w:pPr>
        <w:pStyle w:val="BodyTextMain"/>
        <w:rPr>
          <w:color w:val="000000" w:themeColor="text1"/>
          <w:lang w:val="en-GB"/>
        </w:rPr>
      </w:pPr>
    </w:p>
    <w:p w14:paraId="28F23064" w14:textId="53595C69" w:rsidR="002C7B2B" w:rsidRPr="000D3354" w:rsidRDefault="002C7B2B" w:rsidP="002C7B2B">
      <w:pPr>
        <w:pStyle w:val="BodyTextMain"/>
        <w:rPr>
          <w:color w:val="000000" w:themeColor="text1"/>
          <w:spacing w:val="-2"/>
          <w:lang w:val="en-GB"/>
        </w:rPr>
      </w:pPr>
      <w:r w:rsidRPr="000D3354">
        <w:rPr>
          <w:color w:val="000000" w:themeColor="text1"/>
          <w:spacing w:val="-2"/>
          <w:lang w:val="en-GB"/>
        </w:rPr>
        <w:t>SIC had an internal audit department</w:t>
      </w:r>
      <w:r w:rsidR="000347DB" w:rsidRPr="000D3354">
        <w:rPr>
          <w:color w:val="000000" w:themeColor="text1"/>
          <w:spacing w:val="-2"/>
          <w:lang w:val="en-GB"/>
        </w:rPr>
        <w:t>,</w:t>
      </w:r>
      <w:r w:rsidRPr="000D3354">
        <w:rPr>
          <w:color w:val="000000" w:themeColor="text1"/>
          <w:spacing w:val="-2"/>
          <w:lang w:val="en-GB"/>
        </w:rPr>
        <w:t xml:space="preserve"> and its external auditors were </w:t>
      </w:r>
      <w:proofErr w:type="spellStart"/>
      <w:r w:rsidRPr="000D3354">
        <w:rPr>
          <w:color w:val="000000" w:themeColor="text1"/>
          <w:spacing w:val="-2"/>
          <w:lang w:val="en-GB"/>
        </w:rPr>
        <w:t>P</w:t>
      </w:r>
      <w:r w:rsidR="001846D7" w:rsidRPr="000D3354">
        <w:rPr>
          <w:color w:val="000000" w:themeColor="text1"/>
          <w:spacing w:val="-2"/>
          <w:lang w:val="en-GB"/>
        </w:rPr>
        <w:t>annel</w:t>
      </w:r>
      <w:proofErr w:type="spellEnd"/>
      <w:r w:rsidR="001846D7" w:rsidRPr="000D3354">
        <w:rPr>
          <w:color w:val="000000" w:themeColor="text1"/>
          <w:spacing w:val="-2"/>
          <w:lang w:val="en-GB"/>
        </w:rPr>
        <w:t xml:space="preserve"> </w:t>
      </w:r>
      <w:r w:rsidRPr="000D3354">
        <w:rPr>
          <w:color w:val="000000" w:themeColor="text1"/>
          <w:spacing w:val="-2"/>
          <w:lang w:val="en-GB"/>
        </w:rPr>
        <w:t>K</w:t>
      </w:r>
      <w:r w:rsidR="001846D7" w:rsidRPr="000D3354">
        <w:rPr>
          <w:color w:val="000000" w:themeColor="text1"/>
          <w:spacing w:val="-2"/>
          <w:lang w:val="en-GB"/>
        </w:rPr>
        <w:t xml:space="preserve">err </w:t>
      </w:r>
      <w:r w:rsidRPr="000D3354">
        <w:rPr>
          <w:color w:val="000000" w:themeColor="text1"/>
          <w:spacing w:val="-2"/>
          <w:lang w:val="en-GB"/>
        </w:rPr>
        <w:t>F</w:t>
      </w:r>
      <w:r w:rsidR="001846D7" w:rsidRPr="000D3354">
        <w:rPr>
          <w:color w:val="000000" w:themeColor="text1"/>
          <w:spacing w:val="-2"/>
          <w:lang w:val="en-GB"/>
        </w:rPr>
        <w:t>orster</w:t>
      </w:r>
      <w:r w:rsidRPr="000D3354">
        <w:rPr>
          <w:color w:val="000000" w:themeColor="text1"/>
          <w:spacing w:val="-2"/>
          <w:lang w:val="en-GB"/>
        </w:rPr>
        <w:t xml:space="preserve">. According to the company, its internal auditors were qualified and had </w:t>
      </w:r>
      <w:r w:rsidR="000347DB" w:rsidRPr="000D3354">
        <w:rPr>
          <w:color w:val="000000" w:themeColor="text1"/>
          <w:spacing w:val="-2"/>
          <w:lang w:val="en-GB"/>
        </w:rPr>
        <w:t xml:space="preserve">the </w:t>
      </w:r>
      <w:r w:rsidRPr="000D3354">
        <w:rPr>
          <w:color w:val="000000" w:themeColor="text1"/>
          <w:spacing w:val="-2"/>
          <w:lang w:val="en-GB"/>
        </w:rPr>
        <w:t xml:space="preserve">requisite experience. The internal auditors did not report solely to management </w:t>
      </w:r>
      <w:r w:rsidR="000347DB" w:rsidRPr="000D3354">
        <w:rPr>
          <w:color w:val="000000" w:themeColor="text1"/>
          <w:spacing w:val="-2"/>
          <w:lang w:val="en-GB"/>
        </w:rPr>
        <w:t xml:space="preserve">but </w:t>
      </w:r>
      <w:r w:rsidRPr="000D3354">
        <w:rPr>
          <w:color w:val="000000" w:themeColor="text1"/>
          <w:spacing w:val="-2"/>
          <w:lang w:val="en-GB"/>
        </w:rPr>
        <w:t>also</w:t>
      </w:r>
      <w:r w:rsidR="00D62FAB" w:rsidRPr="000D3354">
        <w:rPr>
          <w:color w:val="000000" w:themeColor="text1"/>
          <w:spacing w:val="-2"/>
          <w:lang w:val="en-GB"/>
        </w:rPr>
        <w:t xml:space="preserve"> reported</w:t>
      </w:r>
      <w:r w:rsidRPr="000D3354">
        <w:rPr>
          <w:color w:val="000000" w:themeColor="text1"/>
          <w:spacing w:val="-2"/>
          <w:lang w:val="en-GB"/>
        </w:rPr>
        <w:t xml:space="preserve"> to the </w:t>
      </w:r>
      <w:r w:rsidR="000347DB" w:rsidRPr="000D3354">
        <w:rPr>
          <w:color w:val="000000" w:themeColor="text1"/>
          <w:spacing w:val="-2"/>
          <w:lang w:val="en-GB"/>
        </w:rPr>
        <w:t>b</w:t>
      </w:r>
      <w:r w:rsidRPr="000D3354">
        <w:rPr>
          <w:color w:val="000000" w:themeColor="text1"/>
          <w:spacing w:val="-2"/>
          <w:lang w:val="en-GB"/>
        </w:rPr>
        <w:t xml:space="preserve">oard. </w:t>
      </w:r>
      <w:proofErr w:type="spellStart"/>
      <w:r w:rsidR="00D62FAB" w:rsidRPr="000D3354">
        <w:rPr>
          <w:color w:val="000000" w:themeColor="text1"/>
          <w:spacing w:val="-2"/>
          <w:lang w:val="en-GB"/>
        </w:rPr>
        <w:t>Pannel</w:t>
      </w:r>
      <w:proofErr w:type="spellEnd"/>
      <w:r w:rsidR="00D62FAB" w:rsidRPr="000D3354">
        <w:rPr>
          <w:color w:val="000000" w:themeColor="text1"/>
          <w:spacing w:val="-2"/>
          <w:lang w:val="en-GB"/>
        </w:rPr>
        <w:t xml:space="preserve"> Kerr Forster</w:t>
      </w:r>
      <w:r w:rsidRPr="000D3354">
        <w:rPr>
          <w:color w:val="000000" w:themeColor="text1"/>
          <w:spacing w:val="-2"/>
          <w:lang w:val="en-GB"/>
        </w:rPr>
        <w:t xml:space="preserve"> provided non-audit services to SIC when the need arose. The company had more than 14,000 shareholders. The 20 large</w:t>
      </w:r>
      <w:r w:rsidR="001846D7" w:rsidRPr="000D3354">
        <w:rPr>
          <w:color w:val="000000" w:themeColor="text1"/>
          <w:spacing w:val="-2"/>
          <w:lang w:val="en-GB"/>
        </w:rPr>
        <w:t xml:space="preserve">st shareholders held </w:t>
      </w:r>
      <w:r w:rsidR="000347DB" w:rsidRPr="000D3354">
        <w:rPr>
          <w:color w:val="000000" w:themeColor="text1"/>
          <w:spacing w:val="-2"/>
          <w:lang w:val="en-GB"/>
        </w:rPr>
        <w:t xml:space="preserve">approximately </w:t>
      </w:r>
      <w:r w:rsidR="001846D7" w:rsidRPr="000D3354">
        <w:rPr>
          <w:color w:val="000000" w:themeColor="text1"/>
          <w:spacing w:val="-2"/>
          <w:lang w:val="en-GB"/>
        </w:rPr>
        <w:t>81.4 per cent</w:t>
      </w:r>
      <w:r w:rsidRPr="000D3354">
        <w:rPr>
          <w:color w:val="000000" w:themeColor="text1"/>
          <w:spacing w:val="-2"/>
          <w:lang w:val="en-GB"/>
        </w:rPr>
        <w:t xml:space="preserve"> of the company</w:t>
      </w:r>
      <w:r w:rsidRPr="000D3354">
        <w:rPr>
          <w:rFonts w:eastAsia="Helvetica"/>
          <w:color w:val="000000" w:themeColor="text1"/>
          <w:spacing w:val="-2"/>
          <w:lang w:val="en-GB"/>
        </w:rPr>
        <w:t>’</w:t>
      </w:r>
      <w:r w:rsidRPr="000D3354">
        <w:rPr>
          <w:color w:val="000000" w:themeColor="text1"/>
          <w:spacing w:val="-2"/>
          <w:lang w:val="en-GB"/>
        </w:rPr>
        <w:t xml:space="preserve">s outstanding shares (see Exhibit 5). Most of these shareholders were institutional investors. The </w:t>
      </w:r>
      <w:r w:rsidR="00D62FAB" w:rsidRPr="000D3354">
        <w:rPr>
          <w:color w:val="000000" w:themeColor="text1"/>
          <w:spacing w:val="-2"/>
          <w:lang w:val="en-GB"/>
        </w:rPr>
        <w:t>g</w:t>
      </w:r>
      <w:r w:rsidRPr="000D3354">
        <w:rPr>
          <w:color w:val="000000" w:themeColor="text1"/>
          <w:spacing w:val="-2"/>
          <w:lang w:val="en-GB"/>
        </w:rPr>
        <w:t>overnment of Ghana played a key role in SIC, being one of its largest shareholders with a shareholding of</w:t>
      </w:r>
      <w:r w:rsidR="001846D7" w:rsidRPr="000D3354">
        <w:rPr>
          <w:color w:val="000000" w:themeColor="text1"/>
          <w:spacing w:val="-2"/>
          <w:lang w:val="en-GB"/>
        </w:rPr>
        <w:t xml:space="preserve"> 40 per cent</w:t>
      </w:r>
      <w:r w:rsidRPr="000D3354">
        <w:rPr>
          <w:color w:val="000000" w:themeColor="text1"/>
          <w:spacing w:val="-2"/>
          <w:lang w:val="en-GB"/>
        </w:rPr>
        <w:t>.</w:t>
      </w:r>
      <w:r w:rsidR="000225BE" w:rsidRPr="000D3354">
        <w:rPr>
          <w:color w:val="000000" w:themeColor="text1"/>
          <w:spacing w:val="-2"/>
          <w:lang w:val="en-GB"/>
        </w:rPr>
        <w:t xml:space="preserve"> Exhibit 6 provides an extract of the Securities and Exchange Commission of Ghana’s Guidelines on Best Practices in Corporate Governance (2010</w:t>
      </w:r>
      <w:r w:rsidR="000D3354">
        <w:rPr>
          <w:color w:val="000000" w:themeColor="text1"/>
          <w:spacing w:val="-2"/>
          <w:lang w:val="en-GB"/>
        </w:rPr>
        <w:t>)</w:t>
      </w:r>
      <w:r w:rsidR="00A17BA5" w:rsidRPr="000D3354">
        <w:rPr>
          <w:color w:val="000000" w:themeColor="text1"/>
          <w:spacing w:val="-2"/>
          <w:lang w:val="en-GB"/>
        </w:rPr>
        <w:t>.</w:t>
      </w:r>
      <w:r w:rsidR="00546661">
        <w:rPr>
          <w:rStyle w:val="FootnoteReference"/>
          <w:color w:val="000000" w:themeColor="text1"/>
          <w:spacing w:val="-2"/>
          <w:lang w:val="en-GB"/>
        </w:rPr>
        <w:footnoteReference w:id="12"/>
      </w:r>
    </w:p>
    <w:p w14:paraId="6E374112" w14:textId="77777777" w:rsidR="002C7B2B" w:rsidRPr="00A17BA5" w:rsidRDefault="002C7B2B" w:rsidP="002C7B2B">
      <w:pPr>
        <w:pStyle w:val="BodyTextMain"/>
        <w:rPr>
          <w:sz w:val="18"/>
          <w:szCs w:val="18"/>
          <w:lang w:val="en-GB"/>
        </w:rPr>
      </w:pPr>
    </w:p>
    <w:p w14:paraId="58C83A16" w14:textId="77777777" w:rsidR="002C7B2B" w:rsidRPr="00A17BA5" w:rsidRDefault="002C7B2B" w:rsidP="002C7B2B">
      <w:pPr>
        <w:pStyle w:val="BodyTextMain"/>
        <w:rPr>
          <w:sz w:val="18"/>
          <w:szCs w:val="18"/>
          <w:lang w:val="en-GB"/>
        </w:rPr>
      </w:pPr>
    </w:p>
    <w:p w14:paraId="14694339" w14:textId="77777777" w:rsidR="002C7B2B" w:rsidRPr="0075128C" w:rsidRDefault="002C7B2B" w:rsidP="002C7B2B">
      <w:pPr>
        <w:pStyle w:val="Casehead1"/>
        <w:rPr>
          <w:rFonts w:eastAsia="Calibri"/>
          <w:lang w:val="en-GB"/>
        </w:rPr>
      </w:pPr>
      <w:r w:rsidRPr="0075128C">
        <w:rPr>
          <w:rFonts w:eastAsia="Calibri"/>
          <w:lang w:val="en-GB"/>
        </w:rPr>
        <w:lastRenderedPageBreak/>
        <w:t>The Story of the Credit Guarantee Bond</w:t>
      </w:r>
    </w:p>
    <w:p w14:paraId="2544A465" w14:textId="77777777" w:rsidR="002C7B2B" w:rsidRPr="00A17BA5" w:rsidRDefault="002C7B2B" w:rsidP="002C7B2B">
      <w:pPr>
        <w:pStyle w:val="BodyTextMain"/>
        <w:rPr>
          <w:sz w:val="18"/>
          <w:szCs w:val="18"/>
          <w:lang w:val="en-GB"/>
        </w:rPr>
      </w:pPr>
    </w:p>
    <w:p w14:paraId="5563837E" w14:textId="2FD7EA86" w:rsidR="002C7B2B" w:rsidRPr="0075128C" w:rsidRDefault="002C7B2B" w:rsidP="002C7B2B">
      <w:pPr>
        <w:pStyle w:val="BodyTextMain"/>
        <w:rPr>
          <w:lang w:val="en-GB"/>
        </w:rPr>
      </w:pPr>
      <w:r w:rsidRPr="0075128C">
        <w:rPr>
          <w:lang w:val="en-GB"/>
        </w:rPr>
        <w:t>In March 2013, SIC issued a credit gua</w:t>
      </w:r>
      <w:r w:rsidR="001846D7" w:rsidRPr="0075128C">
        <w:rPr>
          <w:lang w:val="en-GB"/>
        </w:rPr>
        <w:t xml:space="preserve">rantee insurance bond worth </w:t>
      </w:r>
      <w:r w:rsidR="001846D7" w:rsidRPr="0075128C">
        <w:rPr>
          <w:rFonts w:ascii="Segoe UI" w:hAnsi="Segoe UI" w:cs="Segoe UI"/>
          <w:lang w:val="en-GB"/>
        </w:rPr>
        <w:t>₵</w:t>
      </w:r>
      <w:r w:rsidRPr="0075128C">
        <w:rPr>
          <w:lang w:val="en-GB"/>
        </w:rPr>
        <w:t xml:space="preserve">19,303,800 in </w:t>
      </w:r>
      <w:r w:rsidR="001846D7" w:rsidRPr="0075128C">
        <w:rPr>
          <w:lang w:val="en-GB"/>
        </w:rPr>
        <w:t>favour</w:t>
      </w:r>
      <w:r w:rsidRPr="0075128C">
        <w:rPr>
          <w:lang w:val="en-GB"/>
        </w:rPr>
        <w:t xml:space="preserve"> of Ivory Finance</w:t>
      </w:r>
      <w:r w:rsidR="000347DB">
        <w:rPr>
          <w:lang w:val="en-GB"/>
        </w:rPr>
        <w:t>, which</w:t>
      </w:r>
      <w:r w:rsidR="001846D7" w:rsidRPr="0075128C">
        <w:rPr>
          <w:lang w:val="en-GB"/>
        </w:rPr>
        <w:t xml:space="preserve"> was owned by</w:t>
      </w:r>
      <w:r w:rsidR="00D84FAF" w:rsidRPr="0075128C">
        <w:rPr>
          <w:lang w:val="en-GB"/>
        </w:rPr>
        <w:t xml:space="preserve"> </w:t>
      </w:r>
      <w:r w:rsidR="00D62FAB">
        <w:rPr>
          <w:lang w:val="en-GB"/>
        </w:rPr>
        <w:t xml:space="preserve">the </w:t>
      </w:r>
      <w:r w:rsidR="001846D7" w:rsidRPr="0075128C">
        <w:rPr>
          <w:lang w:val="en-GB"/>
        </w:rPr>
        <w:t>CDH</w:t>
      </w:r>
      <w:r w:rsidR="00D62FAB">
        <w:rPr>
          <w:lang w:val="en-GB"/>
        </w:rPr>
        <w:t xml:space="preserve"> Investments Group</w:t>
      </w:r>
      <w:r w:rsidRPr="0075128C">
        <w:rPr>
          <w:lang w:val="en-GB"/>
        </w:rPr>
        <w:t>. The bond was to enable a client of Ivory Finance, ITAL Construct International (ITAL)</w:t>
      </w:r>
      <w:r w:rsidR="007174EF">
        <w:rPr>
          <w:lang w:val="en-GB"/>
        </w:rPr>
        <w:t>,</w:t>
      </w:r>
      <w:r w:rsidRPr="0075128C">
        <w:rPr>
          <w:lang w:val="en-GB"/>
        </w:rPr>
        <w:t xml:space="preserve"> to acquire a loan from Ivory Finance. ITAL was a real estate company wholly owned by Ghanaians </w:t>
      </w:r>
      <w:r w:rsidR="000347DB">
        <w:rPr>
          <w:lang w:val="en-GB"/>
        </w:rPr>
        <w:t>and</w:t>
      </w:r>
      <w:r w:rsidR="000347DB" w:rsidRPr="0075128C">
        <w:rPr>
          <w:lang w:val="en-GB"/>
        </w:rPr>
        <w:t xml:space="preserve"> </w:t>
      </w:r>
      <w:r w:rsidRPr="0075128C">
        <w:rPr>
          <w:lang w:val="en-GB"/>
        </w:rPr>
        <w:t xml:space="preserve">was in the business of providing affordable housing and rental services. The loan taken by ITAL was intended to be used to finance a US$200 million </w:t>
      </w:r>
      <w:r w:rsidR="00764A7D">
        <w:rPr>
          <w:lang w:val="en-GB"/>
        </w:rPr>
        <w:t>g</w:t>
      </w:r>
      <w:r w:rsidRPr="0075128C">
        <w:rPr>
          <w:lang w:val="en-GB"/>
        </w:rPr>
        <w:t xml:space="preserve">overnment of Ghana contract to provide affordable housing units to accommodate public servants. The contract required ITAL to provide </w:t>
      </w:r>
      <w:r w:rsidR="000347DB">
        <w:rPr>
          <w:lang w:val="en-GB"/>
        </w:rPr>
        <w:t>approximately</w:t>
      </w:r>
      <w:r w:rsidR="000347DB" w:rsidRPr="0075128C">
        <w:rPr>
          <w:lang w:val="en-GB"/>
        </w:rPr>
        <w:t xml:space="preserve"> </w:t>
      </w:r>
      <w:r w:rsidRPr="0075128C">
        <w:rPr>
          <w:lang w:val="en-GB"/>
        </w:rPr>
        <w:t xml:space="preserve">4,120 housing units across all the regions of Ghana. The money for this project was partly to be provided by Barclays, </w:t>
      </w:r>
      <w:r w:rsidR="007174EF">
        <w:rPr>
          <w:lang w:val="en-GB"/>
        </w:rPr>
        <w:t xml:space="preserve">in </w:t>
      </w:r>
      <w:r w:rsidR="000347DB">
        <w:rPr>
          <w:lang w:val="en-GB"/>
        </w:rPr>
        <w:t xml:space="preserve">the </w:t>
      </w:r>
      <w:r w:rsidRPr="0075128C">
        <w:rPr>
          <w:lang w:val="en-GB"/>
        </w:rPr>
        <w:t>United Kingdom</w:t>
      </w:r>
      <w:r w:rsidR="000347DB">
        <w:rPr>
          <w:lang w:val="en-GB"/>
        </w:rPr>
        <w:t>,</w:t>
      </w:r>
      <w:r w:rsidRPr="0075128C">
        <w:rPr>
          <w:lang w:val="en-GB"/>
        </w:rPr>
        <w:t xml:space="preserve"> and the U</w:t>
      </w:r>
      <w:r w:rsidR="00B0318F">
        <w:rPr>
          <w:lang w:val="en-GB"/>
        </w:rPr>
        <w:t>.</w:t>
      </w:r>
      <w:r w:rsidRPr="0075128C">
        <w:rPr>
          <w:lang w:val="en-GB"/>
        </w:rPr>
        <w:t>K</w:t>
      </w:r>
      <w:r w:rsidR="00B0318F">
        <w:rPr>
          <w:lang w:val="en-GB"/>
        </w:rPr>
        <w:t>.</w:t>
      </w:r>
      <w:r w:rsidRPr="0075128C">
        <w:rPr>
          <w:lang w:val="en-GB"/>
        </w:rPr>
        <w:t xml:space="preserve"> government</w:t>
      </w:r>
      <w:r w:rsidRPr="0075128C">
        <w:rPr>
          <w:rFonts w:eastAsia="Helvetica"/>
          <w:lang w:val="en-GB"/>
        </w:rPr>
        <w:t>’</w:t>
      </w:r>
      <w:r w:rsidRPr="0075128C">
        <w:rPr>
          <w:lang w:val="en-GB"/>
        </w:rPr>
        <w:t xml:space="preserve">s </w:t>
      </w:r>
      <w:r w:rsidR="00B0318F">
        <w:rPr>
          <w:lang w:val="en-GB"/>
        </w:rPr>
        <w:t>Export Finance</w:t>
      </w:r>
      <w:r w:rsidR="00793904">
        <w:rPr>
          <w:lang w:val="en-GB"/>
        </w:rPr>
        <w:t xml:space="preserve"> Agency</w:t>
      </w:r>
      <w:r w:rsidR="00264A94">
        <w:rPr>
          <w:lang w:val="en-GB"/>
        </w:rPr>
        <w:t xml:space="preserve"> (UK Export Finance)</w:t>
      </w:r>
      <w:r w:rsidR="000D3354">
        <w:rPr>
          <w:lang w:val="en-GB"/>
        </w:rPr>
        <w:t>.</w:t>
      </w:r>
      <w:r w:rsidR="007B04F0">
        <w:rPr>
          <w:rStyle w:val="FootnoteReference"/>
          <w:lang w:val="en-GB"/>
        </w:rPr>
        <w:footnoteReference w:id="13"/>
      </w:r>
    </w:p>
    <w:p w14:paraId="65B85994" w14:textId="77777777" w:rsidR="002C7B2B" w:rsidRPr="00A17BA5" w:rsidRDefault="002C7B2B" w:rsidP="002C7B2B">
      <w:pPr>
        <w:pStyle w:val="BodyTextMain"/>
        <w:rPr>
          <w:sz w:val="18"/>
          <w:szCs w:val="18"/>
          <w:lang w:val="en-GB"/>
        </w:rPr>
      </w:pPr>
    </w:p>
    <w:p w14:paraId="6C5176AD" w14:textId="46ABC9FA" w:rsidR="002C7B2B" w:rsidRPr="0075128C" w:rsidRDefault="002C7B2B" w:rsidP="002C7B2B">
      <w:pPr>
        <w:pStyle w:val="BodyTextMain"/>
        <w:rPr>
          <w:lang w:val="en-GB"/>
        </w:rPr>
      </w:pPr>
      <w:r w:rsidRPr="0075128C">
        <w:rPr>
          <w:lang w:val="en-GB"/>
        </w:rPr>
        <w:t>The bond was to cover the period March 28, 2013</w:t>
      </w:r>
      <w:r w:rsidR="007174EF">
        <w:rPr>
          <w:lang w:val="en-GB"/>
        </w:rPr>
        <w:t>,</w:t>
      </w:r>
      <w:r w:rsidRPr="0075128C">
        <w:rPr>
          <w:lang w:val="en-GB"/>
        </w:rPr>
        <w:t xml:space="preserve"> to September 27, 2013. Ivory Finance and ITAL subsequently signed the loan agreement on which SIC had insured the bond on April 10, 2013. Th</w:t>
      </w:r>
      <w:r w:rsidR="001846D7" w:rsidRPr="0075128C">
        <w:rPr>
          <w:lang w:val="en-GB"/>
        </w:rPr>
        <w:t xml:space="preserve">e loan was a bullet loan of </w:t>
      </w:r>
      <w:r w:rsidR="001846D7" w:rsidRPr="0075128C">
        <w:rPr>
          <w:rFonts w:ascii="Segoe UI" w:hAnsi="Segoe UI" w:cs="Segoe UI"/>
          <w:lang w:val="en-GB"/>
        </w:rPr>
        <w:t>₵</w:t>
      </w:r>
      <w:r w:rsidRPr="0075128C">
        <w:rPr>
          <w:lang w:val="en-GB"/>
        </w:rPr>
        <w:t>14 million with an interest rate of 5.5 per cent per month from the period April 11, 2013</w:t>
      </w:r>
      <w:r w:rsidR="00FA3938">
        <w:rPr>
          <w:lang w:val="en-GB"/>
        </w:rPr>
        <w:t>,</w:t>
      </w:r>
      <w:r w:rsidRPr="0075128C">
        <w:rPr>
          <w:lang w:val="en-GB"/>
        </w:rPr>
        <w:t xml:space="preserve"> to October 10, 2013. According to the terms of the loan, in the event of default, a penal</w:t>
      </w:r>
      <w:r w:rsidR="00B0318F">
        <w:rPr>
          <w:lang w:val="en-GB"/>
        </w:rPr>
        <w:t>ty</w:t>
      </w:r>
      <w:r w:rsidRPr="0075128C">
        <w:rPr>
          <w:lang w:val="en-GB"/>
        </w:rPr>
        <w:t xml:space="preserve"> inter</w:t>
      </w:r>
      <w:r w:rsidR="001846D7" w:rsidRPr="0075128C">
        <w:rPr>
          <w:lang w:val="en-GB"/>
        </w:rPr>
        <w:t xml:space="preserve">est of </w:t>
      </w:r>
      <w:r w:rsidR="00B0318F">
        <w:rPr>
          <w:lang w:val="en-GB"/>
        </w:rPr>
        <w:t>8</w:t>
      </w:r>
      <w:r w:rsidR="00B0318F" w:rsidRPr="0075128C">
        <w:rPr>
          <w:lang w:val="en-GB"/>
        </w:rPr>
        <w:t xml:space="preserve"> </w:t>
      </w:r>
      <w:r w:rsidRPr="0075128C">
        <w:rPr>
          <w:lang w:val="en-GB"/>
        </w:rPr>
        <w:t xml:space="preserve">per cent per month would be charged on the outstanding balance until the loan was fully paid. Ivory </w:t>
      </w:r>
      <w:r w:rsidR="00CB6EC3">
        <w:rPr>
          <w:lang w:val="en-GB"/>
        </w:rPr>
        <w:t xml:space="preserve">Finance </w:t>
      </w:r>
      <w:r w:rsidRPr="0075128C">
        <w:rPr>
          <w:lang w:val="en-GB"/>
        </w:rPr>
        <w:t>als</w:t>
      </w:r>
      <w:r w:rsidR="001846D7" w:rsidRPr="0075128C">
        <w:rPr>
          <w:lang w:val="en-GB"/>
        </w:rPr>
        <w:t xml:space="preserve">o charged a processing fee of </w:t>
      </w:r>
      <w:r w:rsidR="00B0318F">
        <w:rPr>
          <w:lang w:val="en-GB"/>
        </w:rPr>
        <w:t>2</w:t>
      </w:r>
      <w:r w:rsidR="00B0318F" w:rsidRPr="0075128C">
        <w:rPr>
          <w:lang w:val="en-GB"/>
        </w:rPr>
        <w:t xml:space="preserve"> </w:t>
      </w:r>
      <w:r w:rsidRPr="0075128C">
        <w:rPr>
          <w:lang w:val="en-GB"/>
        </w:rPr>
        <w:t>per cent for the loan.</w:t>
      </w:r>
      <w:r w:rsidR="000D3354">
        <w:rPr>
          <w:rStyle w:val="FootnoteReference"/>
          <w:lang w:val="en-GB"/>
        </w:rPr>
        <w:footnoteReference w:id="14"/>
      </w:r>
    </w:p>
    <w:p w14:paraId="0C42CAFB" w14:textId="77777777" w:rsidR="002C7B2B" w:rsidRPr="00A17BA5" w:rsidRDefault="002C7B2B" w:rsidP="002C7B2B">
      <w:pPr>
        <w:pStyle w:val="BodyTextMain"/>
        <w:rPr>
          <w:sz w:val="18"/>
          <w:szCs w:val="18"/>
          <w:lang w:val="en-GB"/>
        </w:rPr>
      </w:pPr>
    </w:p>
    <w:p w14:paraId="7971A3AC" w14:textId="4F5B19F6" w:rsidR="002C7B2B" w:rsidRPr="0075128C" w:rsidRDefault="002C7B2B" w:rsidP="002C7B2B">
      <w:pPr>
        <w:pStyle w:val="BodyTextMain"/>
        <w:rPr>
          <w:rFonts w:eastAsia="Helvetica"/>
          <w:lang w:val="en-GB"/>
        </w:rPr>
      </w:pPr>
      <w:r w:rsidRPr="0075128C">
        <w:rPr>
          <w:lang w:val="en-GB"/>
        </w:rPr>
        <w:t>On October 1, 2013, Ivory Finance approached SIC</w:t>
      </w:r>
      <w:r w:rsidR="00B0318F">
        <w:rPr>
          <w:lang w:val="en-GB"/>
        </w:rPr>
        <w:t>,</w:t>
      </w:r>
      <w:r w:rsidRPr="0075128C">
        <w:rPr>
          <w:lang w:val="en-GB"/>
        </w:rPr>
        <w:t xml:space="preserve"> arguing that the loan it </w:t>
      </w:r>
      <w:r w:rsidR="00764A7D">
        <w:rPr>
          <w:lang w:val="en-GB"/>
        </w:rPr>
        <w:t xml:space="preserve">had </w:t>
      </w:r>
      <w:r w:rsidRPr="0075128C">
        <w:rPr>
          <w:lang w:val="en-GB"/>
        </w:rPr>
        <w:t>g</w:t>
      </w:r>
      <w:r w:rsidR="00764A7D">
        <w:rPr>
          <w:lang w:val="en-GB"/>
        </w:rPr>
        <w:t>iven</w:t>
      </w:r>
      <w:r w:rsidRPr="0075128C">
        <w:rPr>
          <w:lang w:val="en-GB"/>
        </w:rPr>
        <w:t xml:space="preserve"> to ITAL was in default. The amount outstanding as of September 30, 2</w:t>
      </w:r>
      <w:r w:rsidR="001846D7" w:rsidRPr="0075128C">
        <w:rPr>
          <w:lang w:val="en-GB"/>
        </w:rPr>
        <w:t>013</w:t>
      </w:r>
      <w:r w:rsidR="007174EF">
        <w:rPr>
          <w:lang w:val="en-GB"/>
        </w:rPr>
        <w:t>,</w:t>
      </w:r>
      <w:r w:rsidR="001846D7" w:rsidRPr="0075128C">
        <w:rPr>
          <w:lang w:val="en-GB"/>
        </w:rPr>
        <w:t xml:space="preserve"> was </w:t>
      </w:r>
      <w:r w:rsidR="001846D7" w:rsidRPr="0075128C">
        <w:rPr>
          <w:rFonts w:ascii="Segoe UI" w:hAnsi="Segoe UI" w:cs="Segoe UI"/>
          <w:lang w:val="en-GB"/>
        </w:rPr>
        <w:t>₵</w:t>
      </w:r>
      <w:r w:rsidR="009A5107">
        <w:rPr>
          <w:lang w:val="en-GB"/>
        </w:rPr>
        <w:t>18.96 million</w:t>
      </w:r>
      <w:r w:rsidRPr="0075128C">
        <w:rPr>
          <w:lang w:val="en-GB"/>
        </w:rPr>
        <w:t xml:space="preserve">. On October 18, 2013, it requested SIC to </w:t>
      </w:r>
      <w:proofErr w:type="spellStart"/>
      <w:r w:rsidR="00C11700" w:rsidRPr="0075128C">
        <w:rPr>
          <w:lang w:val="en-GB"/>
        </w:rPr>
        <w:t>fulfil</w:t>
      </w:r>
      <w:r w:rsidR="00764A7D">
        <w:rPr>
          <w:lang w:val="en-GB"/>
        </w:rPr>
        <w:t>l</w:t>
      </w:r>
      <w:proofErr w:type="spellEnd"/>
      <w:r w:rsidRPr="0075128C">
        <w:rPr>
          <w:lang w:val="en-GB"/>
        </w:rPr>
        <w:t xml:space="preserve"> its guarantee. On November 22, 2013, Ivory Finance proceeded to court to recover the loan and interest granted to ITAL. It sued SIC, ITAL</w:t>
      </w:r>
      <w:r w:rsidR="00B0318F">
        <w:rPr>
          <w:lang w:val="en-GB"/>
        </w:rPr>
        <w:t>,</w:t>
      </w:r>
      <w:r w:rsidRPr="0075128C">
        <w:rPr>
          <w:lang w:val="en-GB"/>
        </w:rPr>
        <w:t xml:space="preserve"> and two </w:t>
      </w:r>
      <w:r w:rsidR="00816324">
        <w:rPr>
          <w:lang w:val="en-GB"/>
        </w:rPr>
        <w:t xml:space="preserve">ITAL </w:t>
      </w:r>
      <w:r w:rsidRPr="0075128C">
        <w:rPr>
          <w:lang w:val="en-GB"/>
        </w:rPr>
        <w:t>directors</w:t>
      </w:r>
      <w:r w:rsidR="00B0318F">
        <w:rPr>
          <w:rFonts w:eastAsia="Helvetica"/>
          <w:lang w:val="en-GB"/>
        </w:rPr>
        <w:t>—</w:t>
      </w:r>
      <w:proofErr w:type="spellStart"/>
      <w:r w:rsidRPr="0075128C">
        <w:rPr>
          <w:lang w:val="en-GB"/>
        </w:rPr>
        <w:t>Kwesi</w:t>
      </w:r>
      <w:proofErr w:type="spellEnd"/>
      <w:r w:rsidRPr="0075128C">
        <w:rPr>
          <w:lang w:val="en-GB"/>
        </w:rPr>
        <w:t xml:space="preserve"> </w:t>
      </w:r>
      <w:proofErr w:type="spellStart"/>
      <w:r w:rsidRPr="0075128C">
        <w:rPr>
          <w:lang w:val="en-GB"/>
        </w:rPr>
        <w:t>Baidoo</w:t>
      </w:r>
      <w:proofErr w:type="spellEnd"/>
      <w:r w:rsidRPr="0075128C">
        <w:rPr>
          <w:lang w:val="en-GB"/>
        </w:rPr>
        <w:t xml:space="preserve"> and James </w:t>
      </w:r>
      <w:proofErr w:type="spellStart"/>
      <w:r w:rsidRPr="0075128C">
        <w:rPr>
          <w:lang w:val="en-GB"/>
        </w:rPr>
        <w:t>Kwegyir-Aggrey</w:t>
      </w:r>
      <w:proofErr w:type="spellEnd"/>
      <w:r w:rsidRPr="0075128C">
        <w:rPr>
          <w:lang w:val="en-GB"/>
        </w:rPr>
        <w:t>.</w:t>
      </w:r>
      <w:r w:rsidRPr="0075128C">
        <w:rPr>
          <w:rFonts w:eastAsia="Helvetica"/>
          <w:lang w:val="en-GB"/>
        </w:rPr>
        <w:t xml:space="preserve"> </w:t>
      </w:r>
      <w:r w:rsidRPr="0075128C">
        <w:rPr>
          <w:lang w:val="en-GB"/>
        </w:rPr>
        <w:t xml:space="preserve">According to SIC, </w:t>
      </w:r>
      <w:proofErr w:type="gramStart"/>
      <w:r w:rsidRPr="0075128C">
        <w:rPr>
          <w:lang w:val="en-GB"/>
        </w:rPr>
        <w:t>its</w:t>
      </w:r>
      <w:proofErr w:type="gramEnd"/>
      <w:r w:rsidRPr="0075128C">
        <w:rPr>
          <w:lang w:val="en-GB"/>
        </w:rPr>
        <w:t xml:space="preserve"> </w:t>
      </w:r>
      <w:r w:rsidR="00B0318F">
        <w:rPr>
          <w:lang w:val="en-GB"/>
        </w:rPr>
        <w:t>m</w:t>
      </w:r>
      <w:r w:rsidRPr="0075128C">
        <w:rPr>
          <w:lang w:val="en-GB"/>
        </w:rPr>
        <w:t xml:space="preserve">anaging </w:t>
      </w:r>
      <w:r w:rsidR="00B0318F">
        <w:rPr>
          <w:lang w:val="en-GB"/>
        </w:rPr>
        <w:t>d</w:t>
      </w:r>
      <w:r w:rsidRPr="0075128C">
        <w:rPr>
          <w:lang w:val="en-GB"/>
        </w:rPr>
        <w:t>irector, Ivory Finance</w:t>
      </w:r>
      <w:r w:rsidR="00CB6EC3">
        <w:rPr>
          <w:lang w:val="en-GB"/>
        </w:rPr>
        <w:t>,</w:t>
      </w:r>
      <w:r w:rsidRPr="0075128C">
        <w:rPr>
          <w:lang w:val="en-GB"/>
        </w:rPr>
        <w:t xml:space="preserve"> and ITAL agreed to settle Ivory Finance with </w:t>
      </w:r>
      <w:r w:rsidR="00764A7D">
        <w:rPr>
          <w:lang w:val="en-GB"/>
        </w:rPr>
        <w:t>the</w:t>
      </w:r>
      <w:r w:rsidRPr="0075128C">
        <w:rPr>
          <w:lang w:val="en-GB"/>
        </w:rPr>
        <w:t xml:space="preserve"> amoun</w:t>
      </w:r>
      <w:r w:rsidR="001846D7" w:rsidRPr="0075128C">
        <w:rPr>
          <w:lang w:val="en-GB"/>
        </w:rPr>
        <w:t xml:space="preserve">t of </w:t>
      </w:r>
      <w:r w:rsidR="001846D7" w:rsidRPr="0075128C">
        <w:rPr>
          <w:rFonts w:ascii="Segoe UI" w:hAnsi="Segoe UI" w:cs="Segoe UI"/>
          <w:lang w:val="en-GB"/>
        </w:rPr>
        <w:t>₵</w:t>
      </w:r>
      <w:r w:rsidRPr="0075128C">
        <w:rPr>
          <w:lang w:val="en-GB"/>
        </w:rPr>
        <w:t xml:space="preserve">91.90 million on November 24, 2014. This </w:t>
      </w:r>
      <w:r w:rsidR="00B0318F">
        <w:rPr>
          <w:lang w:val="en-GB"/>
        </w:rPr>
        <w:t xml:space="preserve">agreement </w:t>
      </w:r>
      <w:r w:rsidRPr="0075128C">
        <w:rPr>
          <w:lang w:val="en-GB"/>
        </w:rPr>
        <w:lastRenderedPageBreak/>
        <w:t>was entered by the parties in court on November 25, 2014</w:t>
      </w:r>
      <w:r w:rsidR="00B0318F">
        <w:rPr>
          <w:lang w:val="en-GB"/>
        </w:rPr>
        <w:t>,</w:t>
      </w:r>
      <w:r w:rsidRPr="0075128C">
        <w:rPr>
          <w:lang w:val="en-GB"/>
        </w:rPr>
        <w:t xml:space="preserve"> as consent judgment.</w:t>
      </w:r>
      <w:r w:rsidR="000D3354">
        <w:rPr>
          <w:rStyle w:val="FootnoteReference"/>
          <w:lang w:val="en-GB"/>
        </w:rPr>
        <w:footnoteReference w:id="15"/>
      </w:r>
      <w:r w:rsidR="000D3354" w:rsidRPr="0075128C">
        <w:rPr>
          <w:rFonts w:eastAsia="Helvetica"/>
          <w:lang w:val="en-GB"/>
        </w:rPr>
        <w:t xml:space="preserve"> </w:t>
      </w:r>
    </w:p>
    <w:p w14:paraId="1314DE96" w14:textId="760600EB" w:rsidR="002C7B2B" w:rsidRPr="0075128C" w:rsidRDefault="002C7B2B" w:rsidP="002C7B2B">
      <w:pPr>
        <w:pStyle w:val="BodyTextMain"/>
        <w:rPr>
          <w:lang w:val="en-GB"/>
        </w:rPr>
      </w:pPr>
      <w:r w:rsidRPr="0075128C">
        <w:rPr>
          <w:lang w:val="en-GB"/>
        </w:rPr>
        <w:t xml:space="preserve">Seven reinsurers joined SIC to guarantee the loan taken by ITAL. These companies refused liability because </w:t>
      </w:r>
      <w:r w:rsidR="00F134B0">
        <w:rPr>
          <w:lang w:val="en-GB"/>
        </w:rPr>
        <w:t>some</w:t>
      </w:r>
      <w:r w:rsidRPr="0075128C">
        <w:rPr>
          <w:lang w:val="en-GB"/>
        </w:rPr>
        <w:t xml:space="preserve"> of them had not been paid their premiums. They also argued that SIC misled them by indicating that it </w:t>
      </w:r>
      <w:r w:rsidR="007174EF">
        <w:rPr>
          <w:lang w:val="en-GB"/>
        </w:rPr>
        <w:t xml:space="preserve">had </w:t>
      </w:r>
      <w:r w:rsidRPr="0075128C">
        <w:rPr>
          <w:lang w:val="en-GB"/>
        </w:rPr>
        <w:t>provided an advanced mobilization product to ITAL instead of a credit guarantee bond. Finally, they argued that the credit guarantee bond was for a six-month period within which no default had occurred.</w:t>
      </w:r>
      <w:r w:rsidR="007B04F0">
        <w:rPr>
          <w:rStyle w:val="FootnoteReference"/>
          <w:lang w:val="en-GB"/>
        </w:rPr>
        <w:footnoteReference w:id="16"/>
      </w:r>
    </w:p>
    <w:p w14:paraId="22ABD817" w14:textId="77777777" w:rsidR="002C7B2B" w:rsidRPr="00A17BA5" w:rsidRDefault="002C7B2B" w:rsidP="002C7B2B">
      <w:pPr>
        <w:pStyle w:val="BodyTextMain"/>
        <w:rPr>
          <w:sz w:val="18"/>
          <w:szCs w:val="18"/>
          <w:lang w:val="en-GB"/>
        </w:rPr>
      </w:pPr>
    </w:p>
    <w:p w14:paraId="358DBBA7" w14:textId="0EA1C25E" w:rsidR="002C7B2B" w:rsidRPr="0075128C" w:rsidRDefault="002C7B2B" w:rsidP="002C7B2B">
      <w:pPr>
        <w:pStyle w:val="BodyTextMain"/>
        <w:rPr>
          <w:lang w:val="en-GB"/>
        </w:rPr>
      </w:pPr>
      <w:r w:rsidRPr="0075128C">
        <w:rPr>
          <w:lang w:val="en-GB"/>
        </w:rPr>
        <w:t xml:space="preserve">Two top executives, the </w:t>
      </w:r>
      <w:r w:rsidR="00F134B0">
        <w:rPr>
          <w:lang w:val="en-GB"/>
        </w:rPr>
        <w:t>d</w:t>
      </w:r>
      <w:r w:rsidRPr="0075128C">
        <w:rPr>
          <w:lang w:val="en-GB"/>
        </w:rPr>
        <w:t xml:space="preserve">eputy </w:t>
      </w:r>
      <w:r w:rsidR="00F134B0">
        <w:rPr>
          <w:lang w:val="en-GB"/>
        </w:rPr>
        <w:t>m</w:t>
      </w:r>
      <w:r w:rsidRPr="0075128C">
        <w:rPr>
          <w:lang w:val="en-GB"/>
        </w:rPr>
        <w:t xml:space="preserve">anaging </w:t>
      </w:r>
      <w:r w:rsidR="00F134B0">
        <w:rPr>
          <w:lang w:val="en-GB"/>
        </w:rPr>
        <w:t>d</w:t>
      </w:r>
      <w:r w:rsidR="009A5107">
        <w:rPr>
          <w:lang w:val="en-GB"/>
        </w:rPr>
        <w:t>irector (Finance and A</w:t>
      </w:r>
      <w:r w:rsidRPr="0075128C">
        <w:rPr>
          <w:lang w:val="en-GB"/>
        </w:rPr>
        <w:t xml:space="preserve">dministration) and the </w:t>
      </w:r>
      <w:r w:rsidR="00F134B0">
        <w:rPr>
          <w:lang w:val="en-GB"/>
        </w:rPr>
        <w:t>h</w:t>
      </w:r>
      <w:r w:rsidRPr="0075128C">
        <w:rPr>
          <w:lang w:val="en-GB"/>
        </w:rPr>
        <w:t>ead of Finance and Accounting</w:t>
      </w:r>
      <w:r w:rsidR="00F134B0">
        <w:rPr>
          <w:lang w:val="en-GB"/>
        </w:rPr>
        <w:t>,</w:t>
      </w:r>
      <w:r w:rsidRPr="0075128C">
        <w:rPr>
          <w:lang w:val="en-GB"/>
        </w:rPr>
        <w:t xml:space="preserve"> had also been accused of misappropriating funds </w:t>
      </w:r>
      <w:r w:rsidR="007174EF">
        <w:rPr>
          <w:lang w:val="en-GB"/>
        </w:rPr>
        <w:t>in the amounts</w:t>
      </w:r>
      <w:r w:rsidRPr="0075128C">
        <w:rPr>
          <w:lang w:val="en-GB"/>
        </w:rPr>
        <w:t xml:space="preserve"> of </w:t>
      </w:r>
      <w:r w:rsidR="00044931" w:rsidRPr="0075128C">
        <w:rPr>
          <w:lang w:val="en-GB"/>
        </w:rPr>
        <w:t>US$</w:t>
      </w:r>
      <w:r w:rsidRPr="0075128C">
        <w:rPr>
          <w:lang w:val="en-GB"/>
        </w:rPr>
        <w:t>1.1 million</w:t>
      </w:r>
      <w:r w:rsidR="00044931" w:rsidRPr="0075128C">
        <w:rPr>
          <w:lang w:val="en-GB"/>
        </w:rPr>
        <w:t xml:space="preserve"> </w:t>
      </w:r>
      <w:r w:rsidRPr="0075128C">
        <w:rPr>
          <w:lang w:val="en-GB"/>
        </w:rPr>
        <w:t xml:space="preserve">and </w:t>
      </w:r>
      <w:r w:rsidR="00044931" w:rsidRPr="0075128C">
        <w:rPr>
          <w:rFonts w:ascii="Segoe UI" w:hAnsi="Segoe UI" w:cs="Segoe UI"/>
          <w:lang w:val="en-GB"/>
        </w:rPr>
        <w:t>₵</w:t>
      </w:r>
      <w:r w:rsidRPr="0075128C">
        <w:rPr>
          <w:lang w:val="en-GB"/>
        </w:rPr>
        <w:t>700,000</w:t>
      </w:r>
      <w:r w:rsidR="007174EF">
        <w:rPr>
          <w:lang w:val="en-GB"/>
        </w:rPr>
        <w:t>,</w:t>
      </w:r>
      <w:r w:rsidRPr="0075128C">
        <w:rPr>
          <w:lang w:val="en-GB"/>
        </w:rPr>
        <w:t xml:space="preserve"> respectively. In January and February 2015, investors and traders began to panic</w:t>
      </w:r>
      <w:r w:rsidR="00F134B0">
        <w:rPr>
          <w:lang w:val="en-GB"/>
        </w:rPr>
        <w:t>,</w:t>
      </w:r>
      <w:r w:rsidRPr="0075128C">
        <w:rPr>
          <w:lang w:val="en-GB"/>
        </w:rPr>
        <w:t xml:space="preserve"> given the rumours of the events taking place at SIC. The high selling pressure caused the firm’s stock price to tumble (see Exhibit 1A). The SIC </w:t>
      </w:r>
      <w:r w:rsidR="00F134B0">
        <w:rPr>
          <w:lang w:val="en-GB"/>
        </w:rPr>
        <w:t xml:space="preserve">board members </w:t>
      </w:r>
      <w:r w:rsidRPr="0075128C">
        <w:rPr>
          <w:lang w:val="en-GB"/>
        </w:rPr>
        <w:t>convene</w:t>
      </w:r>
      <w:r w:rsidR="00AA6502">
        <w:rPr>
          <w:lang w:val="en-GB"/>
        </w:rPr>
        <w:t>d</w:t>
      </w:r>
      <w:r w:rsidRPr="0075128C">
        <w:rPr>
          <w:lang w:val="en-GB"/>
        </w:rPr>
        <w:t xml:space="preserve"> an emergency meeting to take appropriate action and determine the way forward.</w:t>
      </w:r>
      <w:r w:rsidR="007B04F0">
        <w:rPr>
          <w:rStyle w:val="FootnoteReference"/>
          <w:lang w:val="en-GB"/>
        </w:rPr>
        <w:footnoteReference w:id="17"/>
      </w:r>
    </w:p>
    <w:p w14:paraId="35D20E76" w14:textId="77777777" w:rsidR="00D84FAF" w:rsidRPr="00A17BA5" w:rsidRDefault="00D84FAF" w:rsidP="00A17BA5">
      <w:pPr>
        <w:pStyle w:val="BodyTextMain"/>
        <w:rPr>
          <w:sz w:val="18"/>
          <w:szCs w:val="18"/>
          <w:lang w:val="en-GB"/>
        </w:rPr>
      </w:pPr>
    </w:p>
    <w:p w14:paraId="77E3BE3D" w14:textId="77777777" w:rsidR="007D66BB" w:rsidRPr="00A17BA5" w:rsidRDefault="007D66BB" w:rsidP="00A17BA5">
      <w:pPr>
        <w:pStyle w:val="BodyTextMain"/>
        <w:rPr>
          <w:rFonts w:eastAsia="Calibri"/>
          <w:sz w:val="18"/>
          <w:szCs w:val="18"/>
          <w:lang w:val="en-GB"/>
        </w:rPr>
      </w:pPr>
    </w:p>
    <w:p w14:paraId="1964D295" w14:textId="77777777" w:rsidR="002C7B2B" w:rsidRPr="0075128C" w:rsidRDefault="002C7B2B" w:rsidP="002C7B2B">
      <w:pPr>
        <w:pStyle w:val="Casehead1"/>
        <w:rPr>
          <w:rFonts w:eastAsia="Calibri"/>
          <w:lang w:val="en-GB"/>
        </w:rPr>
      </w:pPr>
      <w:r w:rsidRPr="0075128C">
        <w:rPr>
          <w:rFonts w:eastAsia="Calibri"/>
          <w:lang w:val="en-GB"/>
        </w:rPr>
        <w:t>Decision Time</w:t>
      </w:r>
    </w:p>
    <w:p w14:paraId="4BEF5A98" w14:textId="77777777" w:rsidR="002C7B2B" w:rsidRPr="00A17BA5" w:rsidRDefault="002C7B2B" w:rsidP="002C7B2B">
      <w:pPr>
        <w:pStyle w:val="BodyTextMain"/>
        <w:rPr>
          <w:sz w:val="18"/>
          <w:szCs w:val="18"/>
          <w:lang w:val="en-GB"/>
        </w:rPr>
      </w:pPr>
    </w:p>
    <w:p w14:paraId="5C2183F5" w14:textId="46BD490E" w:rsidR="002C7B2B" w:rsidRPr="00A17BA5" w:rsidRDefault="002C7B2B" w:rsidP="00A17BA5">
      <w:pPr>
        <w:pStyle w:val="BodyTextMain"/>
        <w:rPr>
          <w:lang w:val="en-GB"/>
        </w:rPr>
      </w:pPr>
      <w:r w:rsidRPr="0075128C">
        <w:rPr>
          <w:lang w:val="en-GB"/>
        </w:rPr>
        <w:t xml:space="preserve">In February 2015, the SIC </w:t>
      </w:r>
      <w:r w:rsidR="00F134B0">
        <w:rPr>
          <w:lang w:val="en-GB"/>
        </w:rPr>
        <w:t xml:space="preserve">board </w:t>
      </w:r>
      <w:r w:rsidRPr="0075128C">
        <w:rPr>
          <w:lang w:val="en-GB"/>
        </w:rPr>
        <w:t>met to determine whet</w:t>
      </w:r>
      <w:r w:rsidR="00D46B13">
        <w:rPr>
          <w:lang w:val="en-GB"/>
        </w:rPr>
        <w:t>her to dismiss</w:t>
      </w:r>
      <w:r w:rsidRPr="0075128C">
        <w:rPr>
          <w:lang w:val="en-GB"/>
        </w:rPr>
        <w:t xml:space="preserve"> </w:t>
      </w:r>
      <w:proofErr w:type="spellStart"/>
      <w:r w:rsidR="00F134B0">
        <w:rPr>
          <w:lang w:val="en-GB"/>
        </w:rPr>
        <w:t>Nkani</w:t>
      </w:r>
      <w:proofErr w:type="spellEnd"/>
      <w:r w:rsidR="00D46B13">
        <w:rPr>
          <w:lang w:val="en-GB"/>
        </w:rPr>
        <w:t xml:space="preserve"> from her position</w:t>
      </w:r>
      <w:r w:rsidRPr="0075128C">
        <w:rPr>
          <w:lang w:val="en-GB"/>
        </w:rPr>
        <w:t xml:space="preserve">. The </w:t>
      </w:r>
      <w:r w:rsidR="00F134B0">
        <w:rPr>
          <w:lang w:val="en-GB"/>
        </w:rPr>
        <w:t>b</w:t>
      </w:r>
      <w:r w:rsidR="00F134B0" w:rsidRPr="0075128C">
        <w:rPr>
          <w:lang w:val="en-GB"/>
        </w:rPr>
        <w:t xml:space="preserve">oard </w:t>
      </w:r>
      <w:r w:rsidRPr="0075128C">
        <w:rPr>
          <w:lang w:val="en-GB"/>
        </w:rPr>
        <w:t>was also considering its own role in the events that had taken place at SIC</w:t>
      </w:r>
      <w:r w:rsidR="00F134B0">
        <w:rPr>
          <w:lang w:val="en-GB"/>
        </w:rPr>
        <w:t>,</w:t>
      </w:r>
      <w:r w:rsidRPr="0075128C">
        <w:rPr>
          <w:lang w:val="en-GB"/>
        </w:rPr>
        <w:t xml:space="preserve"> </w:t>
      </w:r>
      <w:r w:rsidR="00F134B0">
        <w:rPr>
          <w:lang w:val="en-GB"/>
        </w:rPr>
        <w:t>including</w:t>
      </w:r>
      <w:r w:rsidR="00F134B0" w:rsidRPr="0075128C">
        <w:rPr>
          <w:lang w:val="en-GB"/>
        </w:rPr>
        <w:t xml:space="preserve"> </w:t>
      </w:r>
      <w:r w:rsidRPr="0075128C">
        <w:rPr>
          <w:lang w:val="en-GB"/>
        </w:rPr>
        <w:t xml:space="preserve">whether it had </w:t>
      </w:r>
      <w:r w:rsidR="00816324" w:rsidRPr="0075128C">
        <w:rPr>
          <w:lang w:val="en-GB"/>
        </w:rPr>
        <w:t xml:space="preserve">satisfactorily </w:t>
      </w:r>
      <w:r w:rsidRPr="0075128C">
        <w:rPr>
          <w:lang w:val="en-GB"/>
        </w:rPr>
        <w:t xml:space="preserve">performed its supervisory function and </w:t>
      </w:r>
      <w:r w:rsidR="00816324">
        <w:rPr>
          <w:lang w:val="en-GB"/>
        </w:rPr>
        <w:t>how</w:t>
      </w:r>
      <w:r w:rsidRPr="0075128C">
        <w:rPr>
          <w:lang w:val="en-GB"/>
        </w:rPr>
        <w:t xml:space="preserve"> to prevent a </w:t>
      </w:r>
      <w:r w:rsidR="00F134B0">
        <w:rPr>
          <w:lang w:val="en-GB"/>
        </w:rPr>
        <w:t>recurrence</w:t>
      </w:r>
      <w:r w:rsidR="00F134B0" w:rsidRPr="0075128C">
        <w:rPr>
          <w:lang w:val="en-GB"/>
        </w:rPr>
        <w:t xml:space="preserve"> </w:t>
      </w:r>
      <w:r w:rsidRPr="0075128C">
        <w:rPr>
          <w:lang w:val="en-GB"/>
        </w:rPr>
        <w:t>of a similar failure in its risk management and governance systems.</w:t>
      </w:r>
      <w:r w:rsidRPr="0075128C">
        <w:rPr>
          <w:rFonts w:eastAsia="Calibri"/>
          <w:sz w:val="24"/>
          <w:szCs w:val="24"/>
          <w:lang w:val="en-GB"/>
        </w:rPr>
        <w:br w:type="page"/>
      </w:r>
    </w:p>
    <w:p w14:paraId="0CD03F86" w14:textId="0B213173" w:rsidR="002C7B2B" w:rsidRPr="0075128C" w:rsidRDefault="002C7B2B" w:rsidP="002C7B2B">
      <w:pPr>
        <w:pStyle w:val="ExhibitHeading"/>
        <w:rPr>
          <w:rFonts w:eastAsia="Calibri"/>
          <w:lang w:val="en-GB"/>
        </w:rPr>
      </w:pPr>
      <w:r w:rsidRPr="0075128C">
        <w:rPr>
          <w:rFonts w:eastAsia="Calibri"/>
          <w:lang w:val="en-GB"/>
        </w:rPr>
        <w:lastRenderedPageBreak/>
        <w:t xml:space="preserve">Exhibit 1A: Stock Price Data </w:t>
      </w:r>
      <w:r w:rsidR="0075128C">
        <w:rPr>
          <w:rFonts w:eastAsia="Calibri"/>
          <w:lang w:val="en-GB"/>
        </w:rPr>
        <w:t>for SIC Insurance company ltd., January–February 2015</w:t>
      </w:r>
    </w:p>
    <w:p w14:paraId="2C21B246" w14:textId="77777777" w:rsidR="002C7B2B" w:rsidRPr="0075128C" w:rsidRDefault="002C7B2B" w:rsidP="002C7B2B">
      <w:pPr>
        <w:pStyle w:val="ExhibitText"/>
        <w:rPr>
          <w:rFonts w:eastAsia="Calibri"/>
          <w:lang w:val="en-GB"/>
        </w:rPr>
      </w:pPr>
    </w:p>
    <w:p w14:paraId="23C102EB" w14:textId="77777777" w:rsidR="002C7B2B" w:rsidRPr="0075128C" w:rsidRDefault="002C7B2B" w:rsidP="002C7B2B">
      <w:pPr>
        <w:autoSpaceDE w:val="0"/>
        <w:autoSpaceDN w:val="0"/>
        <w:adjustRightInd w:val="0"/>
        <w:jc w:val="center"/>
        <w:outlineLvl w:val="0"/>
        <w:rPr>
          <w:rFonts w:eastAsia="Calibri"/>
          <w:b/>
          <w:bCs/>
          <w:color w:val="000000"/>
          <w:sz w:val="24"/>
          <w:szCs w:val="24"/>
          <w:u w:val="single"/>
          <w:lang w:val="en-GB"/>
        </w:rPr>
      </w:pPr>
      <w:r w:rsidRPr="0075128C">
        <w:rPr>
          <w:rFonts w:eastAsia="Calibri"/>
          <w:noProof/>
          <w:sz w:val="24"/>
          <w:szCs w:val="24"/>
        </w:rPr>
        <w:drawing>
          <wp:inline distT="0" distB="0" distL="0" distR="0" wp14:anchorId="133722C9" wp14:editId="3820D57B">
            <wp:extent cx="5742432" cy="3095625"/>
            <wp:effectExtent l="0" t="0" r="1079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99C2E5" w14:textId="77777777" w:rsidR="00300523" w:rsidRPr="0075128C" w:rsidRDefault="00300523" w:rsidP="00300523">
      <w:pPr>
        <w:pStyle w:val="ExhibitText"/>
        <w:rPr>
          <w:rFonts w:eastAsia="Calibri"/>
          <w:lang w:val="en-GB"/>
        </w:rPr>
      </w:pPr>
    </w:p>
    <w:p w14:paraId="1D995CF4" w14:textId="1DBD96F1" w:rsidR="0003436C" w:rsidRPr="005D2FC1" w:rsidRDefault="0003436C" w:rsidP="0003436C">
      <w:pPr>
        <w:pStyle w:val="Footnote"/>
        <w:rPr>
          <w:rFonts w:eastAsia="Calibri"/>
          <w:bCs/>
        </w:rPr>
      </w:pPr>
      <w:r w:rsidRPr="0075128C">
        <w:rPr>
          <w:rFonts w:eastAsia="Calibri"/>
          <w:lang w:val="en-GB"/>
        </w:rPr>
        <w:t xml:space="preserve">Source: </w:t>
      </w:r>
      <w:r w:rsidR="00546661">
        <w:rPr>
          <w:rFonts w:eastAsia="Calibri"/>
          <w:lang w:val="en-GB"/>
        </w:rPr>
        <w:t xml:space="preserve">Created by the authors based on </w:t>
      </w:r>
      <w:r>
        <w:rPr>
          <w:rFonts w:eastAsia="Calibri"/>
          <w:lang w:val="en-GB"/>
        </w:rPr>
        <w:t xml:space="preserve">Ghana Stock </w:t>
      </w:r>
      <w:proofErr w:type="gramStart"/>
      <w:r>
        <w:rPr>
          <w:rFonts w:eastAsia="Calibri"/>
          <w:lang w:val="en-GB"/>
        </w:rPr>
        <w:t>exchange.</w:t>
      </w:r>
      <w:r w:rsidRPr="0075128C">
        <w:rPr>
          <w:rFonts w:eastAsia="Calibri"/>
          <w:lang w:val="en-GB"/>
        </w:rPr>
        <w:t>,</w:t>
      </w:r>
      <w:proofErr w:type="gramEnd"/>
      <w:r w:rsidRPr="0075128C">
        <w:rPr>
          <w:rFonts w:eastAsia="Calibri"/>
          <w:lang w:val="en-GB"/>
        </w:rPr>
        <w:t xml:space="preserve"> “Daily </w:t>
      </w:r>
      <w:r>
        <w:rPr>
          <w:rFonts w:eastAsia="Calibri"/>
          <w:lang w:val="en-GB"/>
        </w:rPr>
        <w:t>S</w:t>
      </w:r>
      <w:r w:rsidRPr="0075128C">
        <w:rPr>
          <w:rFonts w:eastAsia="Calibri"/>
          <w:lang w:val="en-GB"/>
        </w:rPr>
        <w:t>hares and ETFs Trades</w:t>
      </w:r>
      <w:r>
        <w:rPr>
          <w:rFonts w:eastAsia="Calibri"/>
          <w:lang w:val="en-GB"/>
        </w:rPr>
        <w:t>,</w:t>
      </w:r>
      <w:r w:rsidRPr="0075128C">
        <w:rPr>
          <w:rFonts w:eastAsia="Calibri"/>
          <w:lang w:val="en-GB"/>
        </w:rPr>
        <w:t xml:space="preserve">” Ghana Stock </w:t>
      </w:r>
      <w:r>
        <w:rPr>
          <w:rFonts w:eastAsia="Calibri"/>
          <w:lang w:val="en-GB"/>
        </w:rPr>
        <w:t>E</w:t>
      </w:r>
      <w:r w:rsidRPr="0075128C">
        <w:rPr>
          <w:rFonts w:eastAsia="Calibri"/>
          <w:lang w:val="en-GB"/>
        </w:rPr>
        <w:t>xchange,</w:t>
      </w:r>
      <w:r>
        <w:rPr>
          <w:rFonts w:eastAsia="Calibri"/>
          <w:lang w:val="en-GB"/>
        </w:rPr>
        <w:t xml:space="preserve"> </w:t>
      </w:r>
      <w:proofErr w:type="spellStart"/>
      <w:r>
        <w:rPr>
          <w:rFonts w:eastAsia="Calibri"/>
          <w:lang w:val="en-GB"/>
        </w:rPr>
        <w:t>n.d</w:t>
      </w:r>
      <w:proofErr w:type="spellEnd"/>
      <w:r>
        <w:rPr>
          <w:rFonts w:eastAsia="Calibri"/>
          <w:lang w:val="en-GB"/>
        </w:rPr>
        <w:t>,</w:t>
      </w:r>
      <w:r w:rsidRPr="0075128C">
        <w:rPr>
          <w:rFonts w:eastAsia="Calibri"/>
          <w:lang w:val="en-GB"/>
        </w:rPr>
        <w:t xml:space="preserve"> accessed July 13, 2017</w:t>
      </w:r>
      <w:r>
        <w:rPr>
          <w:rFonts w:eastAsia="Calibri"/>
          <w:lang w:val="en-GB"/>
        </w:rPr>
        <w:t xml:space="preserve">, </w:t>
      </w:r>
      <w:hyperlink r:id="rId12" w:history="1">
        <w:r w:rsidRPr="003C6EA4">
          <w:rPr>
            <w:rStyle w:val="Hyperlink"/>
            <w:rFonts w:eastAsia="Calibri"/>
            <w:color w:val="auto"/>
            <w:u w:val="none"/>
            <w:lang w:val="en-GB"/>
          </w:rPr>
          <w:t>www.gse.com.gh/Market-Statistics/shares</w:t>
        </w:r>
      </w:hyperlink>
      <w:r w:rsidRPr="00B054FF">
        <w:rPr>
          <w:rFonts w:eastAsia="Calibri"/>
          <w:lang w:val="en-GB"/>
        </w:rPr>
        <w:t>.</w:t>
      </w:r>
    </w:p>
    <w:p w14:paraId="625E0E68" w14:textId="77777777" w:rsidR="002C7B2B" w:rsidRPr="0075128C" w:rsidRDefault="002C7B2B" w:rsidP="00300523">
      <w:pPr>
        <w:pStyle w:val="ExhibitText"/>
        <w:rPr>
          <w:rFonts w:eastAsia="Calibri"/>
          <w:lang w:val="en-GB"/>
        </w:rPr>
      </w:pPr>
    </w:p>
    <w:p w14:paraId="4D5B9D26" w14:textId="63A9DDB0" w:rsidR="009A5107" w:rsidRDefault="009A5107">
      <w:pPr>
        <w:spacing w:after="200" w:line="276" w:lineRule="auto"/>
        <w:rPr>
          <w:rFonts w:ascii="Arial" w:eastAsia="Calibri" w:hAnsi="Arial" w:cs="Arial"/>
          <w:lang w:val="en-GB"/>
        </w:rPr>
      </w:pPr>
      <w:r>
        <w:rPr>
          <w:rFonts w:eastAsia="Calibri"/>
          <w:lang w:val="en-GB"/>
        </w:rPr>
        <w:br w:type="page"/>
      </w:r>
    </w:p>
    <w:p w14:paraId="4EA88DD3" w14:textId="2EF12FB4" w:rsidR="002C7B2B" w:rsidRPr="0075128C" w:rsidRDefault="002C7B2B" w:rsidP="00300523">
      <w:pPr>
        <w:pStyle w:val="ExhibitHeading"/>
        <w:rPr>
          <w:rFonts w:eastAsia="Calibri"/>
          <w:lang w:val="en-GB"/>
        </w:rPr>
      </w:pPr>
      <w:r w:rsidRPr="0075128C">
        <w:rPr>
          <w:rFonts w:eastAsia="Calibri"/>
          <w:lang w:val="en-GB"/>
        </w:rPr>
        <w:lastRenderedPageBreak/>
        <w:t>Exhibit 1B: Trading Volume Data</w:t>
      </w:r>
      <w:r w:rsidR="0075128C">
        <w:rPr>
          <w:rFonts w:eastAsia="Calibri"/>
          <w:lang w:val="en-GB"/>
        </w:rPr>
        <w:t xml:space="preserve"> for SIC Insurance company ltd., January–February 2015</w:t>
      </w:r>
    </w:p>
    <w:p w14:paraId="3355BB62" w14:textId="77777777" w:rsidR="002C7B2B" w:rsidRPr="0075128C" w:rsidRDefault="002C7B2B" w:rsidP="00300523">
      <w:pPr>
        <w:pStyle w:val="ExhibitText"/>
        <w:rPr>
          <w:rFonts w:eastAsia="Calibri"/>
          <w:lang w:val="en-GB"/>
        </w:rPr>
      </w:pPr>
    </w:p>
    <w:p w14:paraId="7B026F5F" w14:textId="77777777" w:rsidR="002C7B2B" w:rsidRPr="0075128C" w:rsidRDefault="002C7B2B" w:rsidP="009A5107">
      <w:pPr>
        <w:autoSpaceDE w:val="0"/>
        <w:autoSpaceDN w:val="0"/>
        <w:adjustRightInd w:val="0"/>
        <w:jc w:val="center"/>
        <w:outlineLvl w:val="0"/>
        <w:rPr>
          <w:rFonts w:eastAsia="Calibri"/>
          <w:b/>
          <w:bCs/>
          <w:color w:val="000000"/>
          <w:sz w:val="24"/>
          <w:szCs w:val="24"/>
          <w:u w:val="single"/>
          <w:lang w:val="en-GB"/>
        </w:rPr>
      </w:pPr>
      <w:r w:rsidRPr="0075128C">
        <w:rPr>
          <w:rFonts w:eastAsia="Calibri"/>
          <w:noProof/>
          <w:sz w:val="24"/>
          <w:szCs w:val="24"/>
        </w:rPr>
        <w:drawing>
          <wp:inline distT="0" distB="0" distL="0" distR="0" wp14:anchorId="7FBED8F7" wp14:editId="45803CD0">
            <wp:extent cx="5808269" cy="4973955"/>
            <wp:effectExtent l="0" t="0" r="254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77885F" w14:textId="77777777" w:rsidR="00300523" w:rsidRPr="0075128C" w:rsidRDefault="00300523" w:rsidP="00300523">
      <w:pPr>
        <w:pStyle w:val="ExhibitText"/>
        <w:rPr>
          <w:rFonts w:eastAsia="Calibri"/>
          <w:lang w:val="en-GB"/>
        </w:rPr>
      </w:pPr>
    </w:p>
    <w:p w14:paraId="789E1B0D" w14:textId="61D07197" w:rsidR="0003436C" w:rsidRDefault="0003436C" w:rsidP="0003436C">
      <w:pPr>
        <w:pStyle w:val="Footnote"/>
        <w:rPr>
          <w:rFonts w:eastAsia="Calibri"/>
          <w:lang w:val="en-GB"/>
        </w:rPr>
      </w:pPr>
      <w:r w:rsidRPr="0075128C">
        <w:rPr>
          <w:rFonts w:eastAsia="Calibri"/>
          <w:lang w:val="en-GB"/>
        </w:rPr>
        <w:t xml:space="preserve">Source: </w:t>
      </w:r>
      <w:r w:rsidR="00546661">
        <w:rPr>
          <w:rFonts w:eastAsia="Calibri"/>
          <w:lang w:val="en-GB"/>
        </w:rPr>
        <w:t xml:space="preserve">Created by the authors based on </w:t>
      </w:r>
      <w:r>
        <w:rPr>
          <w:rFonts w:eastAsia="Calibri"/>
          <w:lang w:val="en-GB"/>
        </w:rPr>
        <w:t>Ghana Stock exchange,</w:t>
      </w:r>
      <w:r w:rsidRPr="0075128C">
        <w:rPr>
          <w:rFonts w:eastAsia="Calibri"/>
          <w:lang w:val="en-GB"/>
        </w:rPr>
        <w:t xml:space="preserve"> “Daily </w:t>
      </w:r>
      <w:r>
        <w:rPr>
          <w:rFonts w:eastAsia="Calibri"/>
          <w:lang w:val="en-GB"/>
        </w:rPr>
        <w:t>S</w:t>
      </w:r>
      <w:r w:rsidRPr="0075128C">
        <w:rPr>
          <w:rFonts w:eastAsia="Calibri"/>
          <w:lang w:val="en-GB"/>
        </w:rPr>
        <w:t>hares and ETFs Trades</w:t>
      </w:r>
      <w:r>
        <w:rPr>
          <w:rFonts w:eastAsia="Calibri"/>
          <w:lang w:val="en-GB"/>
        </w:rPr>
        <w:t>,</w:t>
      </w:r>
      <w:r w:rsidRPr="0075128C">
        <w:rPr>
          <w:rFonts w:eastAsia="Calibri"/>
          <w:lang w:val="en-GB"/>
        </w:rPr>
        <w:t xml:space="preserve">” Ghana Stock </w:t>
      </w:r>
      <w:proofErr w:type="spellStart"/>
      <w:r>
        <w:rPr>
          <w:rFonts w:eastAsia="Calibri"/>
          <w:lang w:val="en-GB"/>
        </w:rPr>
        <w:t>E</w:t>
      </w:r>
      <w:r w:rsidRPr="0075128C">
        <w:rPr>
          <w:rFonts w:eastAsia="Calibri"/>
          <w:lang w:val="en-GB"/>
        </w:rPr>
        <w:t>xchange</w:t>
      </w:r>
      <w:proofErr w:type="gramStart"/>
      <w:r w:rsidRPr="0075128C">
        <w:rPr>
          <w:rFonts w:eastAsia="Calibri"/>
          <w:lang w:val="en-GB"/>
        </w:rPr>
        <w:t>,</w:t>
      </w:r>
      <w:r>
        <w:rPr>
          <w:rFonts w:eastAsia="Calibri"/>
          <w:lang w:val="en-GB"/>
        </w:rPr>
        <w:t>n.d</w:t>
      </w:r>
      <w:proofErr w:type="spellEnd"/>
      <w:proofErr w:type="gramEnd"/>
      <w:r>
        <w:rPr>
          <w:rFonts w:eastAsia="Calibri"/>
          <w:lang w:val="en-GB"/>
        </w:rPr>
        <w:t>,</w:t>
      </w:r>
      <w:r w:rsidRPr="0075128C">
        <w:rPr>
          <w:rFonts w:eastAsia="Calibri"/>
          <w:lang w:val="en-GB"/>
        </w:rPr>
        <w:t xml:space="preserve"> accessed July 13, 2017</w:t>
      </w:r>
      <w:r>
        <w:rPr>
          <w:rFonts w:eastAsia="Calibri"/>
          <w:lang w:val="en-GB"/>
        </w:rPr>
        <w:t>, www</w:t>
      </w:r>
      <w:r w:rsidRPr="0075128C">
        <w:rPr>
          <w:rFonts w:eastAsia="Calibri"/>
          <w:lang w:val="en-GB"/>
        </w:rPr>
        <w:t>.</w:t>
      </w:r>
      <w:r w:rsidRPr="00957EF9">
        <w:rPr>
          <w:rFonts w:eastAsia="Calibri"/>
          <w:lang w:val="en-GB"/>
        </w:rPr>
        <w:t xml:space="preserve"> gse.com.gh/Market-Statistics/shares</w:t>
      </w:r>
      <w:r>
        <w:rPr>
          <w:rFonts w:eastAsia="Calibri"/>
          <w:lang w:val="en-GB"/>
        </w:rPr>
        <w:t>.</w:t>
      </w:r>
    </w:p>
    <w:p w14:paraId="59B7D7D0" w14:textId="77777777" w:rsidR="009A5107" w:rsidRDefault="009A5107" w:rsidP="009A5107">
      <w:pPr>
        <w:pStyle w:val="ExhibitText"/>
        <w:rPr>
          <w:rFonts w:eastAsia="Calibri"/>
          <w:lang w:val="en-GB"/>
        </w:rPr>
      </w:pPr>
    </w:p>
    <w:p w14:paraId="7CDF2BDD" w14:textId="18A2AD4E" w:rsidR="009A5107" w:rsidRDefault="009A5107">
      <w:pPr>
        <w:spacing w:after="200" w:line="276" w:lineRule="auto"/>
        <w:rPr>
          <w:rFonts w:ascii="Arial" w:eastAsia="Calibri" w:hAnsi="Arial" w:cs="Arial"/>
          <w:lang w:val="en-GB"/>
        </w:rPr>
      </w:pPr>
      <w:r>
        <w:rPr>
          <w:rFonts w:eastAsia="Calibri"/>
          <w:lang w:val="en-GB"/>
        </w:rPr>
        <w:br w:type="page"/>
      </w:r>
    </w:p>
    <w:p w14:paraId="720185BA" w14:textId="77777777" w:rsidR="0003436C" w:rsidRPr="0075128C" w:rsidRDefault="002C7B2B" w:rsidP="0003436C">
      <w:pPr>
        <w:pStyle w:val="ExhibitHeading"/>
        <w:rPr>
          <w:rFonts w:eastAsia="Calibri"/>
          <w:lang w:val="en-GB"/>
        </w:rPr>
      </w:pPr>
      <w:r w:rsidRPr="0075128C">
        <w:rPr>
          <w:rFonts w:eastAsia="Calibri"/>
          <w:lang w:val="en-GB"/>
        </w:rPr>
        <w:lastRenderedPageBreak/>
        <w:t xml:space="preserve">Exhibit 2A: </w:t>
      </w:r>
      <w:r w:rsidR="0003436C">
        <w:rPr>
          <w:rFonts w:eastAsia="Calibri"/>
          <w:lang w:val="en-GB"/>
        </w:rPr>
        <w:t>AVERAGE</w:t>
      </w:r>
      <w:r w:rsidR="0003436C" w:rsidRPr="0075128C">
        <w:rPr>
          <w:rFonts w:eastAsia="Calibri"/>
          <w:lang w:val="en-GB"/>
        </w:rPr>
        <w:t xml:space="preserve"> Insurance Penetration in selected African Countries</w:t>
      </w:r>
      <w:r w:rsidR="0003436C">
        <w:rPr>
          <w:rFonts w:eastAsia="Calibri"/>
          <w:lang w:val="en-GB"/>
        </w:rPr>
        <w:t xml:space="preserve"> (%),</w:t>
      </w:r>
      <w:r w:rsidR="0003436C" w:rsidRPr="0075128C">
        <w:rPr>
          <w:rFonts w:eastAsia="Calibri"/>
          <w:lang w:val="en-GB"/>
        </w:rPr>
        <w:t xml:space="preserve"> 2007</w:t>
      </w:r>
      <w:r w:rsidR="0003436C">
        <w:rPr>
          <w:rFonts w:eastAsia="Calibri"/>
          <w:lang w:val="en-GB"/>
        </w:rPr>
        <w:t>–</w:t>
      </w:r>
      <w:r w:rsidR="0003436C" w:rsidRPr="0075128C">
        <w:rPr>
          <w:rFonts w:eastAsia="Calibri"/>
          <w:lang w:val="en-GB"/>
        </w:rPr>
        <w:t>2012</w:t>
      </w:r>
    </w:p>
    <w:p w14:paraId="67DD2224" w14:textId="080D9E0E" w:rsidR="002C7B2B" w:rsidRPr="0075128C" w:rsidRDefault="002C7B2B" w:rsidP="00300523">
      <w:pPr>
        <w:pStyle w:val="ExhibitHeading"/>
        <w:rPr>
          <w:rFonts w:eastAsia="Calibri"/>
          <w:lang w:val="en-GB"/>
        </w:rPr>
      </w:pPr>
    </w:p>
    <w:p w14:paraId="29739FF6" w14:textId="6B07EB2A" w:rsidR="002C7B2B" w:rsidRDefault="0003436C" w:rsidP="000D3354">
      <w:pPr>
        <w:pStyle w:val="ExhibitText"/>
        <w:jc w:val="center"/>
        <w:rPr>
          <w:rFonts w:eastAsia="Calibri"/>
          <w:lang w:val="en-GB"/>
        </w:rPr>
      </w:pPr>
      <w:r w:rsidRPr="00490BB1">
        <w:rPr>
          <w:noProof/>
        </w:rPr>
        <w:drawing>
          <wp:inline distT="0" distB="0" distL="0" distR="0" wp14:anchorId="29D5AA3D" wp14:editId="78A5F6A9">
            <wp:extent cx="527685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360102" w14:textId="77777777" w:rsidR="00300523" w:rsidRPr="0075128C" w:rsidRDefault="00300523" w:rsidP="00300523">
      <w:pPr>
        <w:pStyle w:val="ExhibitText"/>
        <w:rPr>
          <w:rFonts w:eastAsia="Calibri"/>
          <w:lang w:val="en-GB"/>
        </w:rPr>
      </w:pPr>
    </w:p>
    <w:p w14:paraId="2F8CE6F5" w14:textId="77777777" w:rsidR="0003436C" w:rsidRDefault="0003436C" w:rsidP="0003436C">
      <w:pPr>
        <w:pStyle w:val="ExhibitText"/>
        <w:jc w:val="center"/>
        <w:rPr>
          <w:rFonts w:eastAsia="Calibri"/>
          <w:lang w:val="en-GB"/>
        </w:rPr>
      </w:pPr>
    </w:p>
    <w:p w14:paraId="4B850105" w14:textId="053A8086" w:rsidR="0003436C" w:rsidRPr="0075128C" w:rsidRDefault="0003436C" w:rsidP="0003436C">
      <w:pPr>
        <w:pStyle w:val="Footnote"/>
        <w:jc w:val="left"/>
        <w:rPr>
          <w:rFonts w:eastAsia="Calibri"/>
          <w:lang w:val="en-GB"/>
        </w:rPr>
      </w:pPr>
      <w:r>
        <w:rPr>
          <w:rFonts w:eastAsia="Calibri"/>
          <w:lang w:val="en-GB"/>
        </w:rPr>
        <w:t xml:space="preserve">Source: </w:t>
      </w:r>
      <w:r w:rsidR="00546661">
        <w:rPr>
          <w:rFonts w:eastAsia="Calibri"/>
          <w:lang w:val="en-GB"/>
        </w:rPr>
        <w:t xml:space="preserve">Created by the authors based on </w:t>
      </w:r>
      <w:r>
        <w:rPr>
          <w:rFonts w:eastAsia="Calibri"/>
          <w:lang w:val="en-GB"/>
        </w:rPr>
        <w:t xml:space="preserve">University of Ghana Business School, </w:t>
      </w:r>
      <w:r w:rsidRPr="0075128C">
        <w:rPr>
          <w:rFonts w:eastAsia="Calibri"/>
          <w:i/>
          <w:lang w:val="en-GB"/>
        </w:rPr>
        <w:t>Ghana Business Development Review</w:t>
      </w:r>
      <w:r>
        <w:rPr>
          <w:rFonts w:eastAsia="Calibri"/>
          <w:lang w:val="en-GB"/>
        </w:rPr>
        <w:t>,</w:t>
      </w:r>
      <w:r w:rsidRPr="0075128C">
        <w:rPr>
          <w:rFonts w:eastAsia="Calibri"/>
          <w:i/>
          <w:lang w:val="en-GB"/>
        </w:rPr>
        <w:t xml:space="preserve"> </w:t>
      </w:r>
      <w:r w:rsidRPr="0075128C">
        <w:rPr>
          <w:rFonts w:eastAsia="Calibri"/>
          <w:lang w:val="en-GB"/>
        </w:rPr>
        <w:t>1</w:t>
      </w:r>
      <w:r w:rsidRPr="00C72E4A">
        <w:rPr>
          <w:rFonts w:eastAsia="Calibri"/>
          <w:lang w:val="en-GB"/>
        </w:rPr>
        <w:t>st</w:t>
      </w:r>
      <w:r w:rsidRPr="0075128C">
        <w:rPr>
          <w:rFonts w:eastAsia="Calibri"/>
          <w:vertAlign w:val="superscript"/>
          <w:lang w:val="en-GB"/>
        </w:rPr>
        <w:t xml:space="preserve"> </w:t>
      </w:r>
      <w:r>
        <w:rPr>
          <w:rFonts w:eastAsia="Calibri"/>
          <w:lang w:val="en-GB"/>
        </w:rPr>
        <w:t>ed</w:t>
      </w:r>
      <w:r w:rsidRPr="0075128C">
        <w:rPr>
          <w:rFonts w:eastAsia="Calibri"/>
          <w:lang w:val="en-GB"/>
        </w:rPr>
        <w:t>.</w:t>
      </w:r>
      <w:r>
        <w:rPr>
          <w:rFonts w:eastAsia="Calibri"/>
          <w:lang w:val="en-GB"/>
        </w:rPr>
        <w:t xml:space="preserve"> (Accra, Ghana: University of </w:t>
      </w:r>
      <w:proofErr w:type="gramStart"/>
      <w:r>
        <w:rPr>
          <w:rFonts w:eastAsia="Calibri"/>
          <w:lang w:val="en-GB"/>
        </w:rPr>
        <w:t>Ghana ,</w:t>
      </w:r>
      <w:proofErr w:type="gramEnd"/>
      <w:r>
        <w:rPr>
          <w:rFonts w:eastAsia="Calibri"/>
          <w:lang w:val="en-GB"/>
        </w:rPr>
        <w:t xml:space="preserve"> 2016),134.</w:t>
      </w:r>
    </w:p>
    <w:p w14:paraId="1BF8399B" w14:textId="77777777" w:rsidR="009E1390" w:rsidRPr="0075128C" w:rsidRDefault="009E1390" w:rsidP="009E1390">
      <w:pPr>
        <w:pStyle w:val="ExhibitText"/>
        <w:rPr>
          <w:rFonts w:eastAsia="Calibri"/>
          <w:lang w:val="en-GB"/>
        </w:rPr>
      </w:pPr>
    </w:p>
    <w:p w14:paraId="00527321" w14:textId="0E0BAD6C" w:rsidR="002C7B2B" w:rsidRPr="0075128C" w:rsidRDefault="002C7B2B" w:rsidP="00300523">
      <w:pPr>
        <w:pStyle w:val="ExhibitText"/>
        <w:rPr>
          <w:rFonts w:eastAsia="Calibri"/>
          <w:lang w:val="en-GB"/>
        </w:rPr>
      </w:pPr>
    </w:p>
    <w:p w14:paraId="7617700F" w14:textId="77777777" w:rsidR="002C7B2B" w:rsidRPr="0075128C" w:rsidRDefault="002C7B2B" w:rsidP="00300523">
      <w:pPr>
        <w:pStyle w:val="ExhibitText"/>
        <w:rPr>
          <w:rFonts w:eastAsia="Calibri"/>
          <w:lang w:val="en-GB"/>
        </w:rPr>
      </w:pPr>
    </w:p>
    <w:p w14:paraId="7C32DCB1" w14:textId="184809A6" w:rsidR="002C7B2B" w:rsidRPr="0075128C" w:rsidRDefault="002C7B2B" w:rsidP="00300523">
      <w:pPr>
        <w:pStyle w:val="ExhibitHeading"/>
        <w:rPr>
          <w:rFonts w:eastAsia="Calibri"/>
          <w:lang w:val="en-GB"/>
        </w:rPr>
      </w:pPr>
      <w:r w:rsidRPr="0075128C">
        <w:rPr>
          <w:rFonts w:eastAsia="Calibri"/>
          <w:lang w:val="en-GB"/>
        </w:rPr>
        <w:t xml:space="preserve">Exhibit 2B: Players in the </w:t>
      </w:r>
      <w:r w:rsidR="002B21B6">
        <w:rPr>
          <w:rFonts w:eastAsia="Calibri"/>
          <w:lang w:val="en-GB"/>
        </w:rPr>
        <w:t xml:space="preserve">ghanaian </w:t>
      </w:r>
      <w:r w:rsidRPr="0075128C">
        <w:rPr>
          <w:rFonts w:eastAsia="Calibri"/>
          <w:lang w:val="en-GB"/>
        </w:rPr>
        <w:t>Insurance Market</w:t>
      </w:r>
      <w:r w:rsidR="002B21B6">
        <w:rPr>
          <w:rFonts w:eastAsia="Calibri"/>
          <w:lang w:val="en-GB"/>
        </w:rPr>
        <w:t>, 2007 and 2014</w:t>
      </w:r>
    </w:p>
    <w:p w14:paraId="46497A72" w14:textId="77777777" w:rsidR="002C7B2B" w:rsidRPr="0075128C" w:rsidRDefault="002C7B2B" w:rsidP="00300523">
      <w:pPr>
        <w:pStyle w:val="ExhibitText"/>
        <w:rPr>
          <w:rFonts w:eastAsia="Calibri"/>
          <w:lang w:val="en-GB"/>
        </w:rPr>
      </w:pPr>
    </w:p>
    <w:p w14:paraId="7533A72A" w14:textId="5F6F0159" w:rsidR="000307FA" w:rsidRDefault="0003436C" w:rsidP="000D3354">
      <w:pPr>
        <w:pStyle w:val="Footnote"/>
        <w:jc w:val="center"/>
        <w:rPr>
          <w:rFonts w:eastAsia="Calibri"/>
          <w:lang w:val="en-GB"/>
        </w:rPr>
      </w:pPr>
      <w:r w:rsidRPr="00490BB1">
        <w:rPr>
          <w:noProof/>
        </w:rPr>
        <w:drawing>
          <wp:inline distT="0" distB="0" distL="0" distR="0" wp14:anchorId="40939E68" wp14:editId="7A30C4E8">
            <wp:extent cx="527685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57F6C5" w14:textId="77777777" w:rsidR="002C7B2B" w:rsidRDefault="002C7B2B" w:rsidP="009A5107">
      <w:pPr>
        <w:pStyle w:val="ExhibitText"/>
        <w:rPr>
          <w:rFonts w:eastAsia="Calibri"/>
          <w:lang w:val="en-GB"/>
        </w:rPr>
      </w:pPr>
    </w:p>
    <w:p w14:paraId="354E924E" w14:textId="77777777" w:rsidR="0003436C" w:rsidRPr="0075128C" w:rsidRDefault="0003436C" w:rsidP="009A5107">
      <w:pPr>
        <w:pStyle w:val="ExhibitText"/>
        <w:rPr>
          <w:rFonts w:eastAsia="Calibri"/>
          <w:lang w:val="en-GB"/>
        </w:rPr>
      </w:pPr>
    </w:p>
    <w:p w14:paraId="641201AB" w14:textId="77777777" w:rsidR="0003436C" w:rsidRDefault="0003436C" w:rsidP="0003436C">
      <w:pPr>
        <w:pStyle w:val="ExhibitText"/>
        <w:jc w:val="center"/>
        <w:rPr>
          <w:rFonts w:eastAsia="Calibri"/>
          <w:lang w:val="en-GB"/>
        </w:rPr>
      </w:pPr>
    </w:p>
    <w:p w14:paraId="21D6DA56" w14:textId="6393A664" w:rsidR="0003436C" w:rsidRPr="0075128C" w:rsidRDefault="0003436C" w:rsidP="0003436C">
      <w:pPr>
        <w:pStyle w:val="Footnote"/>
        <w:jc w:val="left"/>
        <w:rPr>
          <w:rFonts w:eastAsia="Calibri"/>
          <w:lang w:val="en-GB"/>
        </w:rPr>
      </w:pPr>
      <w:r>
        <w:rPr>
          <w:rFonts w:eastAsia="Calibri"/>
          <w:lang w:val="en-GB"/>
        </w:rPr>
        <w:lastRenderedPageBreak/>
        <w:t xml:space="preserve">Source: </w:t>
      </w:r>
      <w:r w:rsidR="00546661">
        <w:rPr>
          <w:rFonts w:eastAsia="Calibri"/>
          <w:lang w:val="en-GB"/>
        </w:rPr>
        <w:t xml:space="preserve">Created by the authors based on </w:t>
      </w:r>
      <w:r>
        <w:rPr>
          <w:rFonts w:eastAsia="Calibri"/>
          <w:lang w:val="en-GB"/>
        </w:rPr>
        <w:t xml:space="preserve">University of Ghana Business School, </w:t>
      </w:r>
      <w:r w:rsidRPr="0075128C">
        <w:rPr>
          <w:rFonts w:eastAsia="Calibri"/>
          <w:i/>
          <w:lang w:val="en-GB"/>
        </w:rPr>
        <w:t>Ghana Business Development Review</w:t>
      </w:r>
      <w:r>
        <w:rPr>
          <w:rFonts w:eastAsia="Calibri"/>
          <w:lang w:val="en-GB"/>
        </w:rPr>
        <w:t>,</w:t>
      </w:r>
      <w:r w:rsidRPr="0075128C">
        <w:rPr>
          <w:rFonts w:eastAsia="Calibri"/>
          <w:i/>
          <w:lang w:val="en-GB"/>
        </w:rPr>
        <w:t xml:space="preserve"> </w:t>
      </w:r>
      <w:r w:rsidRPr="0075128C">
        <w:rPr>
          <w:rFonts w:eastAsia="Calibri"/>
          <w:lang w:val="en-GB"/>
        </w:rPr>
        <w:t>1</w:t>
      </w:r>
      <w:r w:rsidRPr="00C72E4A">
        <w:rPr>
          <w:rFonts w:eastAsia="Calibri"/>
          <w:lang w:val="en-GB"/>
        </w:rPr>
        <w:t>st</w:t>
      </w:r>
      <w:r w:rsidRPr="0075128C">
        <w:rPr>
          <w:rFonts w:eastAsia="Calibri"/>
          <w:vertAlign w:val="superscript"/>
          <w:lang w:val="en-GB"/>
        </w:rPr>
        <w:t xml:space="preserve"> </w:t>
      </w:r>
      <w:r>
        <w:rPr>
          <w:rFonts w:eastAsia="Calibri"/>
          <w:lang w:val="en-GB"/>
        </w:rPr>
        <w:t>ed</w:t>
      </w:r>
      <w:r w:rsidRPr="0075128C">
        <w:rPr>
          <w:rFonts w:eastAsia="Calibri"/>
          <w:lang w:val="en-GB"/>
        </w:rPr>
        <w:t>.</w:t>
      </w:r>
      <w:r>
        <w:rPr>
          <w:rFonts w:eastAsia="Calibri"/>
          <w:lang w:val="en-GB"/>
        </w:rPr>
        <w:t xml:space="preserve"> (Accra, Ghana: University of </w:t>
      </w:r>
      <w:proofErr w:type="gramStart"/>
      <w:r>
        <w:rPr>
          <w:rFonts w:eastAsia="Calibri"/>
          <w:lang w:val="en-GB"/>
        </w:rPr>
        <w:t>Ghana ,</w:t>
      </w:r>
      <w:proofErr w:type="gramEnd"/>
      <w:r>
        <w:rPr>
          <w:rFonts w:eastAsia="Calibri"/>
          <w:lang w:val="en-GB"/>
        </w:rPr>
        <w:t xml:space="preserve"> 2016),134.</w:t>
      </w:r>
    </w:p>
    <w:p w14:paraId="1E381CF9" w14:textId="195D2482" w:rsidR="00246D57" w:rsidRDefault="00246D57" w:rsidP="009A5107">
      <w:pPr>
        <w:pStyle w:val="ExhibitText"/>
        <w:rPr>
          <w:rFonts w:eastAsia="Calibri"/>
          <w:b/>
          <w:caps/>
          <w:lang w:val="en-GB"/>
        </w:rPr>
      </w:pPr>
    </w:p>
    <w:p w14:paraId="416B6364" w14:textId="48D1BCD8" w:rsidR="002C7B2B" w:rsidRPr="0075128C" w:rsidRDefault="002C7B2B" w:rsidP="00300523">
      <w:pPr>
        <w:pStyle w:val="ExhibitHeading"/>
        <w:rPr>
          <w:rFonts w:eastAsia="Calibri"/>
          <w:lang w:val="en-GB"/>
        </w:rPr>
      </w:pPr>
      <w:r w:rsidRPr="0075128C">
        <w:rPr>
          <w:rFonts w:eastAsia="Calibri"/>
          <w:lang w:val="en-GB"/>
        </w:rPr>
        <w:t xml:space="preserve">Exhibit 3A: Financial </w:t>
      </w:r>
      <w:r w:rsidR="00246D57">
        <w:rPr>
          <w:rFonts w:eastAsia="Calibri"/>
          <w:lang w:val="en-GB"/>
        </w:rPr>
        <w:t>highlights</w:t>
      </w:r>
      <w:r w:rsidR="00246D57" w:rsidRPr="0075128C">
        <w:rPr>
          <w:rFonts w:eastAsia="Calibri"/>
          <w:lang w:val="en-GB"/>
        </w:rPr>
        <w:t xml:space="preserve"> </w:t>
      </w:r>
      <w:r w:rsidR="00246D57">
        <w:rPr>
          <w:rFonts w:eastAsia="Calibri"/>
          <w:lang w:val="en-GB"/>
        </w:rPr>
        <w:t>for</w:t>
      </w:r>
      <w:r w:rsidR="00246D57" w:rsidRPr="0075128C">
        <w:rPr>
          <w:rFonts w:eastAsia="Calibri"/>
          <w:lang w:val="en-GB"/>
        </w:rPr>
        <w:t xml:space="preserve"> </w:t>
      </w:r>
      <w:r w:rsidRPr="0075128C">
        <w:rPr>
          <w:rFonts w:eastAsia="Calibri"/>
          <w:lang w:val="en-GB"/>
        </w:rPr>
        <w:t xml:space="preserve">SIC </w:t>
      </w:r>
      <w:r w:rsidR="00185376">
        <w:rPr>
          <w:rFonts w:eastAsia="Calibri"/>
          <w:lang w:val="en-GB"/>
        </w:rPr>
        <w:t xml:space="preserve">insurance company ltd., 2013–2015 </w:t>
      </w:r>
      <w:r w:rsidRPr="0075128C">
        <w:rPr>
          <w:rFonts w:eastAsia="Calibri"/>
          <w:lang w:val="en-GB"/>
        </w:rPr>
        <w:t>(</w:t>
      </w:r>
      <w:r w:rsidR="00185376">
        <w:rPr>
          <w:rFonts w:eastAsia="Calibri"/>
          <w:lang w:val="en-GB"/>
        </w:rPr>
        <w:t xml:space="preserve">in </w:t>
      </w:r>
      <w:r w:rsidRPr="0075128C">
        <w:rPr>
          <w:rFonts w:eastAsia="Calibri"/>
          <w:lang w:val="en-GB"/>
        </w:rPr>
        <w:t>Ghana Cedis)</w:t>
      </w:r>
    </w:p>
    <w:p w14:paraId="4FD0D27D" w14:textId="2A4653CE" w:rsidR="002C7B2B" w:rsidRPr="0075128C" w:rsidRDefault="0003436C" w:rsidP="000D3354">
      <w:pPr>
        <w:pStyle w:val="ExhibitText"/>
        <w:jc w:val="center"/>
        <w:rPr>
          <w:rFonts w:eastAsia="Calibri"/>
          <w:lang w:val="en-GB"/>
        </w:rPr>
      </w:pPr>
      <w:r>
        <w:rPr>
          <w:noProof/>
        </w:rPr>
        <w:drawing>
          <wp:inline distT="0" distB="0" distL="0" distR="0" wp14:anchorId="6709C034" wp14:editId="7C1F77D5">
            <wp:extent cx="52197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BCADB0" w14:textId="77777777" w:rsidR="00300523" w:rsidRPr="0075128C" w:rsidRDefault="00300523" w:rsidP="00300523">
      <w:pPr>
        <w:pStyle w:val="ExhibitText"/>
        <w:rPr>
          <w:rFonts w:eastAsia="Calibri"/>
          <w:lang w:val="en-GB"/>
        </w:rPr>
      </w:pPr>
    </w:p>
    <w:p w14:paraId="7A54B7B2" w14:textId="617D1860" w:rsidR="00185376" w:rsidRDefault="00185376" w:rsidP="00300523">
      <w:pPr>
        <w:pStyle w:val="Footnote"/>
        <w:rPr>
          <w:rFonts w:eastAsia="Calibri"/>
          <w:lang w:val="en-GB"/>
        </w:rPr>
      </w:pPr>
      <w:r>
        <w:rPr>
          <w:rFonts w:eastAsia="Calibri"/>
          <w:lang w:val="en-GB"/>
        </w:rPr>
        <w:t xml:space="preserve">Note: </w:t>
      </w:r>
      <w:r>
        <w:rPr>
          <w:rFonts w:ascii="Segoe UI" w:hAnsi="Segoe UI" w:cs="Segoe UI"/>
        </w:rPr>
        <w:t>₵</w:t>
      </w:r>
      <w:r>
        <w:t xml:space="preserve">= GHS = Ghanaian cedi; </w:t>
      </w:r>
      <w:r>
        <w:rPr>
          <w:rFonts w:ascii="Segoe UI" w:hAnsi="Segoe UI" w:cs="Segoe UI"/>
        </w:rPr>
        <w:t>₵</w:t>
      </w:r>
      <w:r>
        <w:t>1 = US$0.26 on March 31, 2015.</w:t>
      </w:r>
    </w:p>
    <w:p w14:paraId="76700F7E" w14:textId="1313D0E1" w:rsidR="0003436C" w:rsidRPr="0075128C" w:rsidRDefault="0003436C" w:rsidP="0003436C">
      <w:pPr>
        <w:pStyle w:val="Footnote"/>
        <w:jc w:val="left"/>
        <w:rPr>
          <w:rFonts w:eastAsia="Calibri"/>
          <w:lang w:val="en-GB"/>
        </w:rPr>
      </w:pPr>
      <w:r>
        <w:rPr>
          <w:rFonts w:eastAsia="Calibri"/>
          <w:lang w:val="en-GB"/>
        </w:rPr>
        <w:t xml:space="preserve">Source: </w:t>
      </w:r>
      <w:r w:rsidR="00546661">
        <w:rPr>
          <w:rFonts w:eastAsia="Calibri"/>
          <w:lang w:val="en-GB"/>
        </w:rPr>
        <w:t xml:space="preserve">Created by the authors based on </w:t>
      </w:r>
      <w:r>
        <w:rPr>
          <w:rFonts w:eastAsia="Calibri"/>
          <w:lang w:val="en-GB"/>
        </w:rPr>
        <w:t xml:space="preserve">University of Ghana Business School, </w:t>
      </w:r>
      <w:r w:rsidRPr="0075128C">
        <w:rPr>
          <w:rFonts w:eastAsia="Calibri"/>
          <w:i/>
          <w:lang w:val="en-GB"/>
        </w:rPr>
        <w:t>Ghana Business Development Review</w:t>
      </w:r>
      <w:r>
        <w:rPr>
          <w:rFonts w:eastAsia="Calibri"/>
          <w:lang w:val="en-GB"/>
        </w:rPr>
        <w:t>,</w:t>
      </w:r>
      <w:r w:rsidRPr="0075128C">
        <w:rPr>
          <w:rFonts w:eastAsia="Calibri"/>
          <w:i/>
          <w:lang w:val="en-GB"/>
        </w:rPr>
        <w:t xml:space="preserve"> </w:t>
      </w:r>
      <w:r w:rsidRPr="0075128C">
        <w:rPr>
          <w:rFonts w:eastAsia="Calibri"/>
          <w:lang w:val="en-GB"/>
        </w:rPr>
        <w:t>1</w:t>
      </w:r>
      <w:r w:rsidRPr="00C72E4A">
        <w:rPr>
          <w:rFonts w:eastAsia="Calibri"/>
          <w:lang w:val="en-GB"/>
        </w:rPr>
        <w:t>st</w:t>
      </w:r>
      <w:r w:rsidRPr="0075128C">
        <w:rPr>
          <w:rFonts w:eastAsia="Calibri"/>
          <w:vertAlign w:val="superscript"/>
          <w:lang w:val="en-GB"/>
        </w:rPr>
        <w:t xml:space="preserve"> </w:t>
      </w:r>
      <w:r>
        <w:rPr>
          <w:rFonts w:eastAsia="Calibri"/>
          <w:lang w:val="en-GB"/>
        </w:rPr>
        <w:t>ed</w:t>
      </w:r>
      <w:r w:rsidRPr="0075128C">
        <w:rPr>
          <w:rFonts w:eastAsia="Calibri"/>
          <w:lang w:val="en-GB"/>
        </w:rPr>
        <w:t>.</w:t>
      </w:r>
      <w:r>
        <w:rPr>
          <w:rFonts w:eastAsia="Calibri"/>
          <w:lang w:val="en-GB"/>
        </w:rPr>
        <w:t xml:space="preserve"> (Accra, Ghana: University of </w:t>
      </w:r>
      <w:proofErr w:type="gramStart"/>
      <w:r>
        <w:rPr>
          <w:rFonts w:eastAsia="Calibri"/>
          <w:lang w:val="en-GB"/>
        </w:rPr>
        <w:t>Ghana ,</w:t>
      </w:r>
      <w:proofErr w:type="gramEnd"/>
      <w:r>
        <w:rPr>
          <w:rFonts w:eastAsia="Calibri"/>
          <w:lang w:val="en-GB"/>
        </w:rPr>
        <w:t xml:space="preserve"> 2016),132.</w:t>
      </w:r>
    </w:p>
    <w:p w14:paraId="4A82C738" w14:textId="52504129" w:rsidR="0003436C" w:rsidRDefault="0003436C" w:rsidP="00300523">
      <w:pPr>
        <w:pStyle w:val="Footnote"/>
        <w:rPr>
          <w:rFonts w:eastAsia="Calibri"/>
          <w:lang w:val="en-GB"/>
        </w:rPr>
      </w:pPr>
    </w:p>
    <w:p w14:paraId="0A2F0AB0" w14:textId="77777777" w:rsidR="0003436C" w:rsidRPr="0075128C" w:rsidRDefault="0003436C" w:rsidP="00300523">
      <w:pPr>
        <w:pStyle w:val="Footnote"/>
        <w:rPr>
          <w:rFonts w:eastAsia="Calibri"/>
          <w:b/>
          <w:bCs/>
          <w:color w:val="000000"/>
          <w:sz w:val="24"/>
          <w:szCs w:val="24"/>
          <w:u w:val="single"/>
          <w:lang w:val="en-GB"/>
        </w:rPr>
      </w:pPr>
    </w:p>
    <w:p w14:paraId="691E102A" w14:textId="5A48C70A" w:rsidR="002C7B2B" w:rsidRPr="0075128C" w:rsidRDefault="002C7B2B" w:rsidP="00300523">
      <w:pPr>
        <w:pStyle w:val="ExhibitHeading"/>
        <w:rPr>
          <w:rFonts w:eastAsia="Calibri"/>
          <w:lang w:val="en-GB"/>
        </w:rPr>
      </w:pPr>
      <w:r w:rsidRPr="0075128C">
        <w:rPr>
          <w:rFonts w:eastAsia="Calibri"/>
          <w:lang w:val="en-GB"/>
        </w:rPr>
        <w:t xml:space="preserve">Exhibit 3B: Pictorial Representation of </w:t>
      </w:r>
      <w:r w:rsidR="00185376" w:rsidRPr="0075128C">
        <w:rPr>
          <w:rFonts w:eastAsia="Calibri"/>
          <w:lang w:val="en-GB"/>
        </w:rPr>
        <w:t xml:space="preserve">SIC </w:t>
      </w:r>
      <w:r w:rsidR="00185376">
        <w:rPr>
          <w:rFonts w:eastAsia="Calibri"/>
          <w:lang w:val="en-GB"/>
        </w:rPr>
        <w:t>insurance company ltd.’s</w:t>
      </w:r>
      <w:r w:rsidR="00185376" w:rsidRPr="0075128C">
        <w:rPr>
          <w:rFonts w:eastAsia="Calibri"/>
          <w:lang w:val="en-GB"/>
        </w:rPr>
        <w:t xml:space="preserve"> </w:t>
      </w:r>
      <w:r w:rsidRPr="0075128C">
        <w:rPr>
          <w:rFonts w:eastAsia="Calibri"/>
          <w:lang w:val="en-GB"/>
        </w:rPr>
        <w:t>Guarantee to Turnover and Assets</w:t>
      </w:r>
    </w:p>
    <w:p w14:paraId="415F177D" w14:textId="77777777" w:rsidR="002C7B2B" w:rsidRPr="0075128C" w:rsidRDefault="002C7B2B" w:rsidP="00300523">
      <w:pPr>
        <w:pStyle w:val="ExhibitText"/>
        <w:rPr>
          <w:rFonts w:eastAsia="Calibri"/>
          <w:lang w:val="en-GB"/>
        </w:rPr>
      </w:pPr>
    </w:p>
    <w:p w14:paraId="7814F664" w14:textId="77777777" w:rsidR="002C7B2B" w:rsidRPr="0075128C" w:rsidRDefault="002C7B2B" w:rsidP="002C7B2B">
      <w:pPr>
        <w:autoSpaceDE w:val="0"/>
        <w:autoSpaceDN w:val="0"/>
        <w:adjustRightInd w:val="0"/>
        <w:jc w:val="center"/>
        <w:outlineLvl w:val="0"/>
        <w:rPr>
          <w:rFonts w:eastAsia="Calibri"/>
          <w:b/>
          <w:bCs/>
          <w:color w:val="000000"/>
          <w:sz w:val="24"/>
          <w:szCs w:val="24"/>
          <w:u w:val="single"/>
          <w:lang w:val="en-GB"/>
        </w:rPr>
      </w:pPr>
      <w:r w:rsidRPr="0075128C">
        <w:rPr>
          <w:rFonts w:eastAsia="Calibri"/>
          <w:noProof/>
          <w:color w:val="FF0000"/>
          <w:sz w:val="24"/>
          <w:szCs w:val="24"/>
        </w:rPr>
        <w:drawing>
          <wp:inline distT="0" distB="0" distL="0" distR="0" wp14:anchorId="434E2F4C" wp14:editId="297956AB">
            <wp:extent cx="5727700" cy="3100495"/>
            <wp:effectExtent l="0" t="0" r="635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3D4E51" w14:textId="77777777" w:rsidR="00300523" w:rsidRPr="0075128C" w:rsidRDefault="00300523" w:rsidP="00300523">
      <w:pPr>
        <w:pStyle w:val="ExhibitText"/>
        <w:rPr>
          <w:rFonts w:eastAsia="Calibri"/>
          <w:lang w:val="en-GB"/>
        </w:rPr>
      </w:pPr>
    </w:p>
    <w:p w14:paraId="04E56E69" w14:textId="616EF10F" w:rsidR="0003436C" w:rsidRDefault="0003436C" w:rsidP="0003436C">
      <w:pPr>
        <w:pStyle w:val="Footnote"/>
        <w:rPr>
          <w:rFonts w:eastAsia="Calibri"/>
          <w:lang w:val="en-GB"/>
        </w:rPr>
      </w:pPr>
      <w:r w:rsidRPr="0075128C">
        <w:rPr>
          <w:rFonts w:eastAsia="Calibri"/>
          <w:lang w:val="en-GB"/>
        </w:rPr>
        <w:lastRenderedPageBreak/>
        <w:t xml:space="preserve">Source: </w:t>
      </w:r>
      <w:r w:rsidR="00546661">
        <w:rPr>
          <w:rFonts w:eastAsia="Calibri"/>
          <w:lang w:val="en-GB"/>
        </w:rPr>
        <w:t xml:space="preserve">Created by the authors based on </w:t>
      </w:r>
      <w:r w:rsidRPr="0075128C">
        <w:rPr>
          <w:rFonts w:eastAsia="Calibri"/>
          <w:lang w:val="en-GB"/>
        </w:rPr>
        <w:t xml:space="preserve">SIC </w:t>
      </w:r>
      <w:r>
        <w:rPr>
          <w:rFonts w:eastAsia="Calibri"/>
          <w:lang w:val="en-GB"/>
        </w:rPr>
        <w:t>Insurance C</w:t>
      </w:r>
      <w:r w:rsidRPr="0075128C">
        <w:rPr>
          <w:rFonts w:eastAsia="Calibri"/>
          <w:lang w:val="en-GB"/>
        </w:rPr>
        <w:t>ompany Ltd</w:t>
      </w:r>
      <w:r>
        <w:rPr>
          <w:rFonts w:eastAsia="Calibri"/>
          <w:lang w:val="en-GB"/>
        </w:rPr>
        <w:t>.</w:t>
      </w:r>
      <w:r w:rsidRPr="0075128C">
        <w:rPr>
          <w:rFonts w:eastAsia="Calibri"/>
          <w:lang w:val="en-GB"/>
        </w:rPr>
        <w:t xml:space="preserve">, </w:t>
      </w:r>
      <w:r w:rsidRPr="0075128C">
        <w:rPr>
          <w:rFonts w:eastAsia="Calibri"/>
          <w:i/>
          <w:lang w:val="en-GB"/>
        </w:rPr>
        <w:t>Annual Report and Financial Statements 2013</w:t>
      </w:r>
      <w:r>
        <w:rPr>
          <w:rFonts w:eastAsia="Calibri"/>
          <w:i/>
          <w:lang w:val="en-GB"/>
        </w:rPr>
        <w:t>–</w:t>
      </w:r>
      <w:r w:rsidRPr="0075128C">
        <w:rPr>
          <w:rFonts w:eastAsia="Calibri"/>
          <w:i/>
          <w:lang w:val="en-GB"/>
        </w:rPr>
        <w:t>2015</w:t>
      </w:r>
      <w:r w:rsidRPr="0075128C">
        <w:rPr>
          <w:rFonts w:eastAsia="Calibri"/>
          <w:lang w:val="en-GB"/>
        </w:rPr>
        <w:t>,</w:t>
      </w:r>
      <w:r>
        <w:rPr>
          <w:rFonts w:eastAsia="Calibri"/>
          <w:lang w:val="en-GB"/>
        </w:rPr>
        <w:t xml:space="preserve"> </w:t>
      </w:r>
      <w:proofErr w:type="spellStart"/>
      <w:r>
        <w:rPr>
          <w:rFonts w:eastAsia="Calibri"/>
          <w:lang w:val="en-GB"/>
        </w:rPr>
        <w:t>n.d</w:t>
      </w:r>
      <w:proofErr w:type="spellEnd"/>
      <w:r>
        <w:rPr>
          <w:rFonts w:eastAsia="Calibri"/>
          <w:lang w:val="en-GB"/>
        </w:rPr>
        <w:t>,</w:t>
      </w:r>
      <w:r w:rsidRPr="0075128C">
        <w:rPr>
          <w:rFonts w:eastAsia="Calibri"/>
          <w:lang w:val="en-GB"/>
        </w:rPr>
        <w:t xml:space="preserve"> accessed July 13, 2017, </w:t>
      </w:r>
      <w:r w:rsidR="00546661" w:rsidRPr="00546661">
        <w:rPr>
          <w:rFonts w:eastAsia="Calibri"/>
          <w:lang w:val="en-GB"/>
        </w:rPr>
        <w:t>www.sic-gh.com/subcat_select.cfm?prodcatID=5&amp;tblNewsCatID=24</w:t>
      </w:r>
      <w:r w:rsidRPr="0075128C">
        <w:rPr>
          <w:rFonts w:eastAsia="Calibri"/>
          <w:lang w:val="en-GB"/>
        </w:rPr>
        <w:t>.</w:t>
      </w:r>
    </w:p>
    <w:p w14:paraId="67138C78" w14:textId="77777777" w:rsidR="00546661" w:rsidRDefault="00546661" w:rsidP="0003436C">
      <w:pPr>
        <w:pStyle w:val="Footnote"/>
        <w:rPr>
          <w:rFonts w:eastAsia="Calibri"/>
          <w:lang w:val="en-GB"/>
        </w:rPr>
      </w:pPr>
    </w:p>
    <w:p w14:paraId="1D799D7B" w14:textId="77777777" w:rsidR="002C7B2B" w:rsidRPr="0075128C" w:rsidRDefault="002C7B2B" w:rsidP="008E0BB6">
      <w:pPr>
        <w:pStyle w:val="ExhibitText"/>
        <w:rPr>
          <w:rFonts w:eastAsia="Calibri"/>
          <w:lang w:val="en-GB"/>
        </w:rPr>
      </w:pPr>
    </w:p>
    <w:p w14:paraId="6CEFA966" w14:textId="6BE89B86" w:rsidR="00246D57" w:rsidRDefault="00246D57" w:rsidP="008E0BB6">
      <w:pPr>
        <w:pStyle w:val="ExhibitText"/>
        <w:rPr>
          <w:rFonts w:eastAsia="Calibri"/>
          <w:b/>
          <w:caps/>
          <w:lang w:val="en-GB"/>
        </w:rPr>
      </w:pPr>
    </w:p>
    <w:p w14:paraId="256ECE96" w14:textId="48B899C3" w:rsidR="002C7B2B" w:rsidRPr="0075128C" w:rsidRDefault="002C7B2B" w:rsidP="00300523">
      <w:pPr>
        <w:pStyle w:val="ExhibitHeading"/>
        <w:rPr>
          <w:rFonts w:eastAsia="Calibri"/>
          <w:lang w:val="en-GB"/>
        </w:rPr>
      </w:pPr>
      <w:r w:rsidRPr="0075128C">
        <w:rPr>
          <w:rFonts w:eastAsia="Calibri"/>
          <w:lang w:val="en-GB"/>
        </w:rPr>
        <w:t xml:space="preserve">Exhibit 4: </w:t>
      </w:r>
      <w:r w:rsidR="000347DB" w:rsidRPr="0075128C">
        <w:rPr>
          <w:rFonts w:eastAsia="Calibri"/>
          <w:lang w:val="en-GB"/>
        </w:rPr>
        <w:t xml:space="preserve">SIC </w:t>
      </w:r>
      <w:r w:rsidR="000347DB">
        <w:rPr>
          <w:rFonts w:eastAsia="Calibri"/>
          <w:lang w:val="en-GB"/>
        </w:rPr>
        <w:t>insurance company ltd.’s</w:t>
      </w:r>
      <w:r w:rsidR="000347DB" w:rsidRPr="0075128C">
        <w:rPr>
          <w:rFonts w:eastAsia="Calibri"/>
          <w:lang w:val="en-GB"/>
        </w:rPr>
        <w:t xml:space="preserve"> </w:t>
      </w:r>
      <w:r w:rsidRPr="0075128C">
        <w:rPr>
          <w:rFonts w:eastAsia="Calibri"/>
          <w:lang w:val="en-GB"/>
        </w:rPr>
        <w:t>Board of Directors</w:t>
      </w:r>
      <w:r w:rsidR="000347DB">
        <w:rPr>
          <w:rFonts w:eastAsia="Calibri"/>
          <w:lang w:val="en-GB"/>
        </w:rPr>
        <w:t>, 2013–2015</w:t>
      </w:r>
    </w:p>
    <w:p w14:paraId="31ED7819" w14:textId="77777777" w:rsidR="002C7B2B" w:rsidRPr="0075128C" w:rsidRDefault="002C7B2B" w:rsidP="002C7B2B">
      <w:pPr>
        <w:autoSpaceDE w:val="0"/>
        <w:autoSpaceDN w:val="0"/>
        <w:adjustRightInd w:val="0"/>
        <w:jc w:val="center"/>
        <w:outlineLvl w:val="0"/>
        <w:rPr>
          <w:rFonts w:eastAsia="Calibri"/>
          <w:bCs/>
          <w:sz w:val="24"/>
          <w:szCs w:val="24"/>
          <w:u w:val="single"/>
          <w:lang w:val="en-GB"/>
        </w:rPr>
      </w:pPr>
    </w:p>
    <w:tbl>
      <w:tblPr>
        <w:tblW w:w="8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1947"/>
        <w:gridCol w:w="1944"/>
        <w:gridCol w:w="1836"/>
      </w:tblGrid>
      <w:tr w:rsidR="00BF0BC8" w:rsidRPr="0075128C" w14:paraId="5DAC2B21" w14:textId="77777777" w:rsidTr="00DB278E">
        <w:trPr>
          <w:trHeight w:val="290"/>
          <w:jc w:val="center"/>
        </w:trPr>
        <w:tc>
          <w:tcPr>
            <w:tcW w:w="3208" w:type="dxa"/>
            <w:shd w:val="clear" w:color="auto" w:fill="auto"/>
            <w:noWrap/>
            <w:vAlign w:val="bottom"/>
            <w:hideMark/>
          </w:tcPr>
          <w:p w14:paraId="7E2522E8" w14:textId="77777777" w:rsidR="00BF0BC8" w:rsidRPr="0075128C" w:rsidRDefault="00BF0BC8" w:rsidP="00D46B13">
            <w:pPr>
              <w:pStyle w:val="ExhibitText"/>
              <w:jc w:val="center"/>
              <w:rPr>
                <w:rFonts w:eastAsia="Calibri"/>
                <w:b/>
                <w:lang w:val="en-GB" w:eastAsia="en-GB"/>
              </w:rPr>
            </w:pPr>
            <w:r w:rsidRPr="0075128C">
              <w:rPr>
                <w:rFonts w:eastAsia="Calibri"/>
                <w:b/>
                <w:lang w:val="en-GB" w:eastAsia="en-GB"/>
              </w:rPr>
              <w:t>Name</w:t>
            </w:r>
          </w:p>
        </w:tc>
        <w:tc>
          <w:tcPr>
            <w:tcW w:w="1947" w:type="dxa"/>
            <w:shd w:val="clear" w:color="auto" w:fill="auto"/>
            <w:noWrap/>
            <w:vAlign w:val="center"/>
            <w:hideMark/>
          </w:tcPr>
          <w:p w14:paraId="71B91796" w14:textId="77777777" w:rsidR="00BF0BC8" w:rsidRPr="0075128C" w:rsidRDefault="00BF0BC8" w:rsidP="00BF0BC8">
            <w:pPr>
              <w:pStyle w:val="ExhibitText"/>
              <w:jc w:val="center"/>
              <w:rPr>
                <w:rFonts w:eastAsia="Calibri"/>
                <w:b/>
                <w:lang w:val="en-GB" w:eastAsia="en-GB"/>
              </w:rPr>
            </w:pPr>
            <w:r w:rsidRPr="0075128C">
              <w:rPr>
                <w:rFonts w:eastAsia="Calibri"/>
                <w:b/>
                <w:lang w:val="en-GB" w:eastAsia="en-GB"/>
              </w:rPr>
              <w:t>Position (2013)</w:t>
            </w:r>
          </w:p>
        </w:tc>
        <w:tc>
          <w:tcPr>
            <w:tcW w:w="1944" w:type="dxa"/>
            <w:vAlign w:val="center"/>
          </w:tcPr>
          <w:p w14:paraId="64CAD8B1" w14:textId="77777777" w:rsidR="00BF0BC8" w:rsidRPr="0075128C" w:rsidRDefault="00BF0BC8" w:rsidP="00BF0BC8">
            <w:pPr>
              <w:pStyle w:val="ExhibitText"/>
              <w:jc w:val="center"/>
              <w:rPr>
                <w:rFonts w:eastAsia="Calibri"/>
                <w:b/>
                <w:lang w:val="en-GB" w:eastAsia="en-GB"/>
              </w:rPr>
            </w:pPr>
            <w:r w:rsidRPr="0075128C">
              <w:rPr>
                <w:rFonts w:eastAsia="Calibri"/>
                <w:b/>
                <w:lang w:val="en-GB" w:eastAsia="en-GB"/>
              </w:rPr>
              <w:t>Position (2014)</w:t>
            </w:r>
          </w:p>
        </w:tc>
        <w:tc>
          <w:tcPr>
            <w:tcW w:w="1836" w:type="dxa"/>
            <w:vAlign w:val="center"/>
          </w:tcPr>
          <w:p w14:paraId="54E7DA3D" w14:textId="77777777" w:rsidR="00BF0BC8" w:rsidRPr="0075128C" w:rsidRDefault="00BF0BC8" w:rsidP="00BF0BC8">
            <w:pPr>
              <w:pStyle w:val="ExhibitText"/>
              <w:jc w:val="center"/>
              <w:rPr>
                <w:rFonts w:eastAsia="Calibri"/>
                <w:b/>
                <w:lang w:val="en-GB" w:eastAsia="en-GB"/>
              </w:rPr>
            </w:pPr>
            <w:r w:rsidRPr="0075128C">
              <w:rPr>
                <w:rFonts w:eastAsia="Calibri"/>
                <w:b/>
                <w:lang w:val="en-GB" w:eastAsia="en-GB"/>
              </w:rPr>
              <w:t>Position (2015)</w:t>
            </w:r>
          </w:p>
        </w:tc>
      </w:tr>
      <w:tr w:rsidR="00BF0BC8" w:rsidRPr="0075128C" w14:paraId="470D6816" w14:textId="77777777" w:rsidTr="00DB278E">
        <w:trPr>
          <w:trHeight w:val="290"/>
          <w:jc w:val="center"/>
        </w:trPr>
        <w:tc>
          <w:tcPr>
            <w:tcW w:w="3208" w:type="dxa"/>
            <w:shd w:val="clear" w:color="auto" w:fill="auto"/>
            <w:noWrap/>
            <w:vAlign w:val="center"/>
          </w:tcPr>
          <w:p w14:paraId="30FF6A14" w14:textId="5A9CB782" w:rsidR="00BF0BC8" w:rsidRPr="0075128C" w:rsidRDefault="00BF0BC8" w:rsidP="00DB278E">
            <w:pPr>
              <w:pStyle w:val="ExhibitText"/>
              <w:jc w:val="left"/>
              <w:rPr>
                <w:rFonts w:eastAsia="Calibri"/>
                <w:lang w:val="en-GB" w:eastAsia="en-GB"/>
              </w:rPr>
            </w:pPr>
            <w:r w:rsidRPr="0075128C">
              <w:rPr>
                <w:rFonts w:eastAsia="Calibri"/>
                <w:lang w:val="en-GB" w:eastAsia="en-GB"/>
              </w:rPr>
              <w:t xml:space="preserve">Mike Allen </w:t>
            </w:r>
            <w:proofErr w:type="spellStart"/>
            <w:r w:rsidRPr="0075128C">
              <w:rPr>
                <w:rFonts w:eastAsia="Calibri"/>
                <w:lang w:val="en-GB" w:eastAsia="en-GB"/>
              </w:rPr>
              <w:t>Hammah</w:t>
            </w:r>
            <w:proofErr w:type="spellEnd"/>
          </w:p>
        </w:tc>
        <w:tc>
          <w:tcPr>
            <w:tcW w:w="1947" w:type="dxa"/>
            <w:shd w:val="clear" w:color="auto" w:fill="auto"/>
            <w:noWrap/>
            <w:vAlign w:val="center"/>
          </w:tcPr>
          <w:p w14:paraId="519559FB" w14:textId="438E7DD6" w:rsidR="00BF0BC8" w:rsidRPr="0075128C" w:rsidRDefault="007B3BBD" w:rsidP="00DB278E">
            <w:pPr>
              <w:pStyle w:val="ExhibitText"/>
              <w:jc w:val="left"/>
              <w:rPr>
                <w:rFonts w:eastAsia="Calibri"/>
                <w:lang w:val="en-GB" w:eastAsia="en-GB"/>
              </w:rPr>
            </w:pPr>
            <w:r>
              <w:rPr>
                <w:rFonts w:eastAsia="Calibri"/>
                <w:lang w:val="en-GB" w:eastAsia="en-GB"/>
              </w:rPr>
              <w:t>-</w:t>
            </w:r>
          </w:p>
        </w:tc>
        <w:tc>
          <w:tcPr>
            <w:tcW w:w="1944" w:type="dxa"/>
            <w:vAlign w:val="center"/>
          </w:tcPr>
          <w:p w14:paraId="69A9CE6B" w14:textId="4938E652" w:rsidR="00BF0BC8" w:rsidRPr="0075128C" w:rsidRDefault="00BF0BC8" w:rsidP="00694634">
            <w:pPr>
              <w:pStyle w:val="ExhibitText"/>
              <w:jc w:val="left"/>
              <w:rPr>
                <w:rFonts w:eastAsia="Calibri"/>
                <w:lang w:val="en-GB" w:eastAsia="en-GB"/>
              </w:rPr>
            </w:pPr>
            <w:r w:rsidRPr="0075128C">
              <w:rPr>
                <w:rFonts w:eastAsia="Calibri"/>
                <w:lang w:val="en-GB" w:eastAsia="en-GB"/>
              </w:rPr>
              <w:t>Chair</w:t>
            </w:r>
          </w:p>
        </w:tc>
        <w:tc>
          <w:tcPr>
            <w:tcW w:w="1836" w:type="dxa"/>
            <w:vAlign w:val="center"/>
          </w:tcPr>
          <w:p w14:paraId="3260CFB7" w14:textId="26E8A771" w:rsidR="00BF0BC8" w:rsidRPr="0075128C" w:rsidRDefault="00BF0BC8" w:rsidP="00694634">
            <w:pPr>
              <w:pStyle w:val="ExhibitText"/>
              <w:jc w:val="left"/>
              <w:rPr>
                <w:rFonts w:eastAsia="Calibri"/>
                <w:lang w:val="en-GB" w:eastAsia="en-GB"/>
              </w:rPr>
            </w:pPr>
            <w:r w:rsidRPr="0075128C">
              <w:rPr>
                <w:rFonts w:eastAsia="Calibri"/>
                <w:lang w:val="en-GB" w:eastAsia="en-GB"/>
              </w:rPr>
              <w:t>Chair</w:t>
            </w:r>
          </w:p>
        </w:tc>
      </w:tr>
      <w:tr w:rsidR="00BF0BC8" w:rsidRPr="0075128C" w14:paraId="45C96170" w14:textId="77777777" w:rsidTr="00DB278E">
        <w:trPr>
          <w:trHeight w:val="290"/>
          <w:jc w:val="center"/>
        </w:trPr>
        <w:tc>
          <w:tcPr>
            <w:tcW w:w="3208" w:type="dxa"/>
            <w:shd w:val="clear" w:color="auto" w:fill="auto"/>
            <w:noWrap/>
            <w:vAlign w:val="center"/>
            <w:hideMark/>
          </w:tcPr>
          <w:p w14:paraId="685EEE34" w14:textId="466C50C0" w:rsidR="00BF0BC8" w:rsidRPr="0075128C" w:rsidRDefault="00BF0BC8" w:rsidP="00DB278E">
            <w:pPr>
              <w:pStyle w:val="ExhibitText"/>
              <w:jc w:val="left"/>
              <w:rPr>
                <w:rFonts w:eastAsia="Calibri"/>
                <w:lang w:val="en-GB" w:eastAsia="en-GB"/>
              </w:rPr>
            </w:pPr>
            <w:r w:rsidRPr="0075128C">
              <w:rPr>
                <w:rFonts w:eastAsia="Calibri"/>
                <w:lang w:val="en-GB" w:eastAsia="en-GB"/>
              </w:rPr>
              <w:t xml:space="preserve">Felicity </w:t>
            </w:r>
            <w:proofErr w:type="spellStart"/>
            <w:r w:rsidRPr="0075128C">
              <w:rPr>
                <w:rFonts w:eastAsia="Calibri"/>
                <w:lang w:val="en-GB" w:eastAsia="en-GB"/>
              </w:rPr>
              <w:t>Acquah</w:t>
            </w:r>
            <w:proofErr w:type="spellEnd"/>
          </w:p>
        </w:tc>
        <w:tc>
          <w:tcPr>
            <w:tcW w:w="1947" w:type="dxa"/>
            <w:shd w:val="clear" w:color="auto" w:fill="auto"/>
            <w:noWrap/>
            <w:vAlign w:val="center"/>
            <w:hideMark/>
          </w:tcPr>
          <w:p w14:paraId="1CE53568" w14:textId="4462A027" w:rsidR="00BF0BC8" w:rsidRPr="0075128C" w:rsidRDefault="00BF0BC8" w:rsidP="00694634">
            <w:pPr>
              <w:pStyle w:val="ExhibitText"/>
              <w:jc w:val="left"/>
              <w:rPr>
                <w:rFonts w:eastAsia="Calibri"/>
                <w:lang w:val="en-GB" w:eastAsia="en-GB"/>
              </w:rPr>
            </w:pPr>
            <w:r w:rsidRPr="0075128C">
              <w:rPr>
                <w:rFonts w:eastAsia="Calibri"/>
                <w:lang w:val="en-GB" w:eastAsia="en-GB"/>
              </w:rPr>
              <w:t>Chair</w:t>
            </w:r>
          </w:p>
        </w:tc>
        <w:tc>
          <w:tcPr>
            <w:tcW w:w="1944" w:type="dxa"/>
            <w:vAlign w:val="center"/>
          </w:tcPr>
          <w:p w14:paraId="203E9B91" w14:textId="4C7E5F4C" w:rsidR="00BF0BC8" w:rsidRPr="0075128C" w:rsidRDefault="007B3BBD" w:rsidP="00DB278E">
            <w:pPr>
              <w:pStyle w:val="ExhibitText"/>
              <w:jc w:val="left"/>
              <w:rPr>
                <w:rFonts w:eastAsia="Calibri"/>
                <w:lang w:val="en-GB" w:eastAsia="en-GB"/>
              </w:rPr>
            </w:pPr>
            <w:r>
              <w:rPr>
                <w:rFonts w:eastAsia="Calibri"/>
                <w:lang w:val="en-GB" w:eastAsia="en-GB"/>
              </w:rPr>
              <w:t>-</w:t>
            </w:r>
          </w:p>
        </w:tc>
        <w:tc>
          <w:tcPr>
            <w:tcW w:w="1836" w:type="dxa"/>
            <w:vAlign w:val="center"/>
          </w:tcPr>
          <w:p w14:paraId="1CE2D9C7" w14:textId="271AB74F" w:rsidR="00BF0BC8" w:rsidRPr="0075128C" w:rsidRDefault="007B3BBD" w:rsidP="00DB278E">
            <w:pPr>
              <w:pStyle w:val="ExhibitText"/>
              <w:jc w:val="left"/>
              <w:rPr>
                <w:rFonts w:eastAsia="Calibri"/>
                <w:lang w:val="en-GB" w:eastAsia="en-GB"/>
              </w:rPr>
            </w:pPr>
            <w:r>
              <w:rPr>
                <w:rFonts w:eastAsia="Calibri"/>
                <w:lang w:val="en-GB" w:eastAsia="en-GB"/>
              </w:rPr>
              <w:t>-</w:t>
            </w:r>
          </w:p>
        </w:tc>
      </w:tr>
      <w:tr w:rsidR="00BF0BC8" w:rsidRPr="0075128C" w14:paraId="39E0EC0F" w14:textId="77777777" w:rsidTr="00DB278E">
        <w:trPr>
          <w:trHeight w:val="290"/>
          <w:jc w:val="center"/>
        </w:trPr>
        <w:tc>
          <w:tcPr>
            <w:tcW w:w="3208" w:type="dxa"/>
            <w:shd w:val="clear" w:color="auto" w:fill="auto"/>
            <w:noWrap/>
            <w:vAlign w:val="center"/>
            <w:hideMark/>
          </w:tcPr>
          <w:p w14:paraId="59ABDDBA" w14:textId="16A6E02C" w:rsidR="00BF0BC8" w:rsidRPr="0075128C" w:rsidRDefault="00BF0BC8" w:rsidP="00DB278E">
            <w:pPr>
              <w:pStyle w:val="ExhibitText"/>
              <w:jc w:val="left"/>
              <w:rPr>
                <w:rFonts w:eastAsia="Calibri"/>
                <w:lang w:val="en-GB" w:eastAsia="en-GB"/>
              </w:rPr>
            </w:pPr>
            <w:r w:rsidRPr="0075128C">
              <w:rPr>
                <w:rFonts w:eastAsia="Calibri"/>
                <w:lang w:val="en-GB" w:eastAsia="en-GB"/>
              </w:rPr>
              <w:t xml:space="preserve">Doris </w:t>
            </w:r>
            <w:proofErr w:type="spellStart"/>
            <w:r w:rsidRPr="0075128C">
              <w:rPr>
                <w:rFonts w:eastAsia="Calibri"/>
                <w:lang w:val="en-GB" w:eastAsia="en-GB"/>
              </w:rPr>
              <w:t>Awo</w:t>
            </w:r>
            <w:proofErr w:type="spellEnd"/>
            <w:r w:rsidRPr="0075128C">
              <w:rPr>
                <w:rFonts w:eastAsia="Calibri"/>
                <w:lang w:val="en-GB" w:eastAsia="en-GB"/>
              </w:rPr>
              <w:t xml:space="preserve"> </w:t>
            </w:r>
            <w:proofErr w:type="spellStart"/>
            <w:r w:rsidRPr="0075128C">
              <w:rPr>
                <w:rFonts w:eastAsia="Calibri"/>
                <w:lang w:val="en-GB" w:eastAsia="en-GB"/>
              </w:rPr>
              <w:t>Nkani</w:t>
            </w:r>
            <w:proofErr w:type="spellEnd"/>
          </w:p>
        </w:tc>
        <w:tc>
          <w:tcPr>
            <w:tcW w:w="1947" w:type="dxa"/>
            <w:shd w:val="clear" w:color="auto" w:fill="auto"/>
            <w:noWrap/>
            <w:vAlign w:val="center"/>
            <w:hideMark/>
          </w:tcPr>
          <w:p w14:paraId="316612D2" w14:textId="46F71D3A" w:rsidR="00BF0BC8" w:rsidRPr="0075128C" w:rsidRDefault="00BF0BC8" w:rsidP="00A55CB7">
            <w:pPr>
              <w:pStyle w:val="ExhibitText"/>
              <w:jc w:val="left"/>
              <w:rPr>
                <w:rFonts w:eastAsia="Calibri"/>
                <w:lang w:val="en-GB" w:eastAsia="en-GB"/>
              </w:rPr>
            </w:pPr>
            <w:r w:rsidRPr="0075128C">
              <w:rPr>
                <w:rFonts w:eastAsia="Calibri"/>
                <w:lang w:val="en-GB" w:eastAsia="en-GB"/>
              </w:rPr>
              <w:t xml:space="preserve">Managing </w:t>
            </w:r>
            <w:r w:rsidR="007B3BBD">
              <w:rPr>
                <w:rFonts w:eastAsia="Calibri"/>
                <w:lang w:val="en-GB" w:eastAsia="en-GB"/>
              </w:rPr>
              <w:t>D</w:t>
            </w:r>
            <w:r w:rsidRPr="0075128C">
              <w:rPr>
                <w:rFonts w:eastAsia="Calibri"/>
                <w:lang w:val="en-GB" w:eastAsia="en-GB"/>
              </w:rPr>
              <w:t>irector</w:t>
            </w:r>
          </w:p>
        </w:tc>
        <w:tc>
          <w:tcPr>
            <w:tcW w:w="1944" w:type="dxa"/>
            <w:vAlign w:val="center"/>
          </w:tcPr>
          <w:p w14:paraId="33ECCB7F" w14:textId="11291782" w:rsidR="00BF0BC8" w:rsidRPr="0075128C" w:rsidRDefault="007B3BBD" w:rsidP="00DB278E">
            <w:pPr>
              <w:pStyle w:val="ExhibitText"/>
              <w:jc w:val="left"/>
              <w:rPr>
                <w:rFonts w:eastAsia="Calibri"/>
                <w:lang w:val="en-GB" w:eastAsia="en-GB"/>
              </w:rPr>
            </w:pPr>
            <w:r>
              <w:rPr>
                <w:rFonts w:eastAsia="Calibri"/>
                <w:lang w:val="en-GB" w:eastAsia="en-GB"/>
              </w:rPr>
              <w:t>-</w:t>
            </w:r>
          </w:p>
        </w:tc>
        <w:tc>
          <w:tcPr>
            <w:tcW w:w="1836" w:type="dxa"/>
            <w:vAlign w:val="center"/>
          </w:tcPr>
          <w:p w14:paraId="1E478C5F" w14:textId="70779D1B" w:rsidR="00BF0BC8" w:rsidRPr="0075128C" w:rsidRDefault="007B3BBD" w:rsidP="00DB278E">
            <w:pPr>
              <w:pStyle w:val="ExhibitText"/>
              <w:jc w:val="left"/>
              <w:rPr>
                <w:rFonts w:eastAsia="Calibri"/>
                <w:lang w:val="en-GB" w:eastAsia="en-GB"/>
              </w:rPr>
            </w:pPr>
            <w:r>
              <w:rPr>
                <w:rFonts w:eastAsia="Calibri"/>
                <w:lang w:val="en-GB" w:eastAsia="en-GB"/>
              </w:rPr>
              <w:t>-</w:t>
            </w:r>
          </w:p>
        </w:tc>
      </w:tr>
      <w:tr w:rsidR="00BF0BC8" w:rsidRPr="0075128C" w14:paraId="7634762E" w14:textId="77777777" w:rsidTr="00DB278E">
        <w:trPr>
          <w:trHeight w:val="290"/>
          <w:jc w:val="center"/>
        </w:trPr>
        <w:tc>
          <w:tcPr>
            <w:tcW w:w="3208" w:type="dxa"/>
            <w:shd w:val="clear" w:color="auto" w:fill="auto"/>
            <w:noWrap/>
            <w:vAlign w:val="center"/>
            <w:hideMark/>
          </w:tcPr>
          <w:p w14:paraId="04CCC33C" w14:textId="1AF2AFF5" w:rsidR="00BF0BC8" w:rsidRPr="0075128C" w:rsidRDefault="00BF0BC8" w:rsidP="00DB278E">
            <w:pPr>
              <w:pStyle w:val="ExhibitText"/>
              <w:jc w:val="left"/>
              <w:rPr>
                <w:rFonts w:eastAsia="Calibri"/>
                <w:lang w:val="en-GB" w:eastAsia="en-GB"/>
              </w:rPr>
            </w:pPr>
            <w:r w:rsidRPr="0075128C">
              <w:rPr>
                <w:rFonts w:eastAsia="Calibri"/>
                <w:lang w:val="en-GB" w:eastAsia="en-GB"/>
              </w:rPr>
              <w:t xml:space="preserve">Justice Benjamin </w:t>
            </w:r>
            <w:proofErr w:type="spellStart"/>
            <w:r w:rsidRPr="0075128C">
              <w:rPr>
                <w:rFonts w:eastAsia="Calibri"/>
                <w:lang w:val="en-GB" w:eastAsia="en-GB"/>
              </w:rPr>
              <w:t>Okai</w:t>
            </w:r>
            <w:proofErr w:type="spellEnd"/>
            <w:r w:rsidRPr="0075128C">
              <w:rPr>
                <w:rFonts w:eastAsia="Calibri"/>
                <w:lang w:val="en-GB" w:eastAsia="en-GB"/>
              </w:rPr>
              <w:t xml:space="preserve"> </w:t>
            </w:r>
            <w:proofErr w:type="spellStart"/>
            <w:r w:rsidRPr="0075128C">
              <w:rPr>
                <w:rFonts w:eastAsia="Calibri"/>
                <w:lang w:val="en-GB" w:eastAsia="en-GB"/>
              </w:rPr>
              <w:t>Tetteh</w:t>
            </w:r>
            <w:proofErr w:type="spellEnd"/>
          </w:p>
        </w:tc>
        <w:tc>
          <w:tcPr>
            <w:tcW w:w="1947" w:type="dxa"/>
            <w:shd w:val="clear" w:color="auto" w:fill="auto"/>
            <w:noWrap/>
            <w:vAlign w:val="center"/>
            <w:hideMark/>
          </w:tcPr>
          <w:p w14:paraId="3E6A88B9"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944" w:type="dxa"/>
            <w:vAlign w:val="center"/>
          </w:tcPr>
          <w:p w14:paraId="180BF654"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836" w:type="dxa"/>
            <w:vAlign w:val="center"/>
          </w:tcPr>
          <w:p w14:paraId="1DF5B52E"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r>
      <w:tr w:rsidR="00BF0BC8" w:rsidRPr="0075128C" w14:paraId="01D53B71" w14:textId="77777777" w:rsidTr="00DB278E">
        <w:trPr>
          <w:trHeight w:val="290"/>
          <w:jc w:val="center"/>
        </w:trPr>
        <w:tc>
          <w:tcPr>
            <w:tcW w:w="3208" w:type="dxa"/>
            <w:shd w:val="clear" w:color="auto" w:fill="auto"/>
            <w:noWrap/>
            <w:vAlign w:val="center"/>
            <w:hideMark/>
          </w:tcPr>
          <w:p w14:paraId="55A6C60F" w14:textId="6B5517C7" w:rsidR="00BF0BC8" w:rsidRPr="0075128C" w:rsidRDefault="00BF0BC8" w:rsidP="00DB278E">
            <w:pPr>
              <w:pStyle w:val="ExhibitText"/>
              <w:jc w:val="left"/>
              <w:rPr>
                <w:rFonts w:eastAsia="Calibri"/>
                <w:lang w:val="en-GB" w:eastAsia="en-GB"/>
              </w:rPr>
            </w:pPr>
            <w:r w:rsidRPr="0075128C">
              <w:rPr>
                <w:rFonts w:eastAsia="Calibri"/>
                <w:lang w:val="en-GB" w:eastAsia="en-GB"/>
              </w:rPr>
              <w:t xml:space="preserve">Robert </w:t>
            </w:r>
            <w:proofErr w:type="spellStart"/>
            <w:r w:rsidRPr="0075128C">
              <w:rPr>
                <w:rFonts w:eastAsia="Calibri"/>
                <w:lang w:val="en-GB" w:eastAsia="en-GB"/>
              </w:rPr>
              <w:t>Afflah</w:t>
            </w:r>
            <w:proofErr w:type="spellEnd"/>
            <w:r w:rsidRPr="0075128C">
              <w:rPr>
                <w:rFonts w:eastAsia="Calibri"/>
                <w:lang w:val="en-GB" w:eastAsia="en-GB"/>
              </w:rPr>
              <w:t xml:space="preserve"> </w:t>
            </w:r>
            <w:proofErr w:type="spellStart"/>
            <w:r w:rsidRPr="0075128C">
              <w:rPr>
                <w:rFonts w:eastAsia="Calibri"/>
                <w:lang w:val="en-GB" w:eastAsia="en-GB"/>
              </w:rPr>
              <w:t>Sackey</w:t>
            </w:r>
            <w:proofErr w:type="spellEnd"/>
          </w:p>
        </w:tc>
        <w:tc>
          <w:tcPr>
            <w:tcW w:w="1947" w:type="dxa"/>
            <w:shd w:val="clear" w:color="auto" w:fill="auto"/>
            <w:noWrap/>
            <w:vAlign w:val="center"/>
            <w:hideMark/>
          </w:tcPr>
          <w:p w14:paraId="7A091752"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944" w:type="dxa"/>
            <w:vAlign w:val="center"/>
          </w:tcPr>
          <w:p w14:paraId="49D097E1"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836" w:type="dxa"/>
            <w:vAlign w:val="center"/>
          </w:tcPr>
          <w:p w14:paraId="625F6C93"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r>
      <w:tr w:rsidR="00BF0BC8" w:rsidRPr="0075128C" w14:paraId="54F84906" w14:textId="77777777" w:rsidTr="00DB278E">
        <w:trPr>
          <w:trHeight w:val="290"/>
          <w:jc w:val="center"/>
        </w:trPr>
        <w:tc>
          <w:tcPr>
            <w:tcW w:w="3208" w:type="dxa"/>
            <w:shd w:val="clear" w:color="auto" w:fill="auto"/>
            <w:noWrap/>
            <w:vAlign w:val="center"/>
            <w:hideMark/>
          </w:tcPr>
          <w:p w14:paraId="6C561113" w14:textId="77777777" w:rsidR="00BF0BC8" w:rsidRPr="0075128C" w:rsidRDefault="00BF0BC8" w:rsidP="00DB278E">
            <w:pPr>
              <w:pStyle w:val="ExhibitText"/>
              <w:jc w:val="left"/>
              <w:rPr>
                <w:rFonts w:eastAsia="Calibri"/>
                <w:lang w:val="en-GB" w:eastAsia="en-GB"/>
              </w:rPr>
            </w:pPr>
            <w:proofErr w:type="spellStart"/>
            <w:r w:rsidRPr="0075128C">
              <w:rPr>
                <w:rFonts w:eastAsia="Calibri"/>
                <w:lang w:val="en-GB" w:eastAsia="en-GB"/>
              </w:rPr>
              <w:t>Dr.</w:t>
            </w:r>
            <w:proofErr w:type="spellEnd"/>
            <w:r w:rsidRPr="0075128C">
              <w:rPr>
                <w:rFonts w:eastAsia="Calibri"/>
                <w:lang w:val="en-GB" w:eastAsia="en-GB"/>
              </w:rPr>
              <w:t xml:space="preserve"> Sydney </w:t>
            </w:r>
            <w:proofErr w:type="spellStart"/>
            <w:r w:rsidRPr="0075128C">
              <w:rPr>
                <w:rFonts w:eastAsia="Calibri"/>
                <w:lang w:val="en-GB" w:eastAsia="en-GB"/>
              </w:rPr>
              <w:t>Yayah</w:t>
            </w:r>
            <w:proofErr w:type="spellEnd"/>
            <w:r w:rsidRPr="0075128C">
              <w:rPr>
                <w:rFonts w:eastAsia="Calibri"/>
                <w:lang w:val="en-GB" w:eastAsia="en-GB"/>
              </w:rPr>
              <w:t xml:space="preserve"> </w:t>
            </w:r>
            <w:proofErr w:type="spellStart"/>
            <w:r w:rsidRPr="0075128C">
              <w:rPr>
                <w:rFonts w:eastAsia="Calibri"/>
                <w:lang w:val="en-GB" w:eastAsia="en-GB"/>
              </w:rPr>
              <w:t>Laryea</w:t>
            </w:r>
            <w:proofErr w:type="spellEnd"/>
          </w:p>
        </w:tc>
        <w:tc>
          <w:tcPr>
            <w:tcW w:w="1947" w:type="dxa"/>
            <w:shd w:val="clear" w:color="auto" w:fill="auto"/>
            <w:noWrap/>
            <w:vAlign w:val="center"/>
            <w:hideMark/>
          </w:tcPr>
          <w:p w14:paraId="3CD9FA7E"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944" w:type="dxa"/>
            <w:vAlign w:val="center"/>
          </w:tcPr>
          <w:p w14:paraId="116B969B"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836" w:type="dxa"/>
            <w:vAlign w:val="center"/>
          </w:tcPr>
          <w:p w14:paraId="677D8230"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r>
      <w:tr w:rsidR="00BF0BC8" w:rsidRPr="0075128C" w14:paraId="1B550CCD" w14:textId="77777777" w:rsidTr="00DB278E">
        <w:trPr>
          <w:trHeight w:val="290"/>
          <w:jc w:val="center"/>
        </w:trPr>
        <w:tc>
          <w:tcPr>
            <w:tcW w:w="3208" w:type="dxa"/>
            <w:shd w:val="clear" w:color="auto" w:fill="auto"/>
            <w:noWrap/>
            <w:vAlign w:val="center"/>
            <w:hideMark/>
          </w:tcPr>
          <w:p w14:paraId="54163FFF" w14:textId="3A7E1BF6" w:rsidR="00BF0BC8" w:rsidRPr="0075128C" w:rsidRDefault="00BF0BC8" w:rsidP="00DB278E">
            <w:pPr>
              <w:pStyle w:val="ExhibitText"/>
              <w:jc w:val="left"/>
              <w:rPr>
                <w:rFonts w:eastAsia="Calibri"/>
                <w:lang w:val="en-GB" w:eastAsia="en-GB"/>
              </w:rPr>
            </w:pPr>
            <w:r w:rsidRPr="0075128C">
              <w:rPr>
                <w:rFonts w:eastAsia="Calibri"/>
                <w:lang w:val="en-GB" w:eastAsia="en-GB"/>
              </w:rPr>
              <w:t xml:space="preserve">Nancy </w:t>
            </w:r>
            <w:proofErr w:type="spellStart"/>
            <w:r w:rsidRPr="0075128C">
              <w:rPr>
                <w:rFonts w:eastAsia="Calibri"/>
                <w:lang w:val="en-GB" w:eastAsia="en-GB"/>
              </w:rPr>
              <w:t>Dakwa</w:t>
            </w:r>
            <w:proofErr w:type="spellEnd"/>
            <w:r w:rsidRPr="0075128C">
              <w:rPr>
                <w:rFonts w:eastAsia="Calibri"/>
                <w:lang w:val="en-GB" w:eastAsia="en-GB"/>
              </w:rPr>
              <w:t xml:space="preserve"> </w:t>
            </w:r>
            <w:proofErr w:type="spellStart"/>
            <w:r w:rsidRPr="0075128C">
              <w:rPr>
                <w:rFonts w:eastAsia="Calibri"/>
                <w:lang w:val="en-GB" w:eastAsia="en-GB"/>
              </w:rPr>
              <w:t>Ampofo</w:t>
            </w:r>
            <w:proofErr w:type="spellEnd"/>
          </w:p>
        </w:tc>
        <w:tc>
          <w:tcPr>
            <w:tcW w:w="1947" w:type="dxa"/>
            <w:shd w:val="clear" w:color="auto" w:fill="auto"/>
            <w:noWrap/>
            <w:vAlign w:val="center"/>
            <w:hideMark/>
          </w:tcPr>
          <w:p w14:paraId="74A20B26"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944" w:type="dxa"/>
            <w:vAlign w:val="center"/>
          </w:tcPr>
          <w:p w14:paraId="0792B821"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836" w:type="dxa"/>
            <w:vAlign w:val="center"/>
          </w:tcPr>
          <w:p w14:paraId="22AE7F44" w14:textId="37D30E91" w:rsidR="00BF0BC8" w:rsidRPr="0075128C" w:rsidRDefault="007B3BBD" w:rsidP="00DB278E">
            <w:pPr>
              <w:pStyle w:val="ExhibitText"/>
              <w:jc w:val="left"/>
              <w:rPr>
                <w:rFonts w:eastAsia="Calibri"/>
                <w:lang w:val="en-GB" w:eastAsia="en-GB"/>
              </w:rPr>
            </w:pPr>
            <w:r>
              <w:rPr>
                <w:rFonts w:eastAsia="Calibri"/>
                <w:lang w:val="en-GB" w:eastAsia="en-GB"/>
              </w:rPr>
              <w:t>-</w:t>
            </w:r>
          </w:p>
        </w:tc>
      </w:tr>
      <w:tr w:rsidR="00BF0BC8" w:rsidRPr="0075128C" w14:paraId="6192FC92" w14:textId="77777777" w:rsidTr="00DB278E">
        <w:trPr>
          <w:trHeight w:val="290"/>
          <w:jc w:val="center"/>
        </w:trPr>
        <w:tc>
          <w:tcPr>
            <w:tcW w:w="3208" w:type="dxa"/>
            <w:shd w:val="clear" w:color="auto" w:fill="auto"/>
            <w:noWrap/>
            <w:vAlign w:val="center"/>
            <w:hideMark/>
          </w:tcPr>
          <w:p w14:paraId="28D8D7AF" w14:textId="13039126" w:rsidR="00BF0BC8" w:rsidRPr="0075128C" w:rsidRDefault="00BF0BC8" w:rsidP="00DB278E">
            <w:pPr>
              <w:pStyle w:val="ExhibitText"/>
              <w:jc w:val="left"/>
              <w:rPr>
                <w:rFonts w:eastAsia="Calibri"/>
                <w:lang w:val="en-GB" w:eastAsia="en-GB"/>
              </w:rPr>
            </w:pPr>
            <w:proofErr w:type="spellStart"/>
            <w:r w:rsidRPr="0075128C">
              <w:rPr>
                <w:rFonts w:eastAsia="Calibri"/>
                <w:lang w:val="en-GB" w:eastAsia="en-GB"/>
              </w:rPr>
              <w:t>Fiifi</w:t>
            </w:r>
            <w:proofErr w:type="spellEnd"/>
            <w:r w:rsidRPr="0075128C">
              <w:rPr>
                <w:rFonts w:eastAsia="Calibri"/>
                <w:lang w:val="en-GB" w:eastAsia="en-GB"/>
              </w:rPr>
              <w:t xml:space="preserve"> </w:t>
            </w:r>
            <w:proofErr w:type="spellStart"/>
            <w:r w:rsidRPr="0075128C">
              <w:rPr>
                <w:rFonts w:eastAsia="Calibri"/>
                <w:lang w:val="en-GB" w:eastAsia="en-GB"/>
              </w:rPr>
              <w:t>Gyabra-Forson</w:t>
            </w:r>
            <w:proofErr w:type="spellEnd"/>
          </w:p>
        </w:tc>
        <w:tc>
          <w:tcPr>
            <w:tcW w:w="1947" w:type="dxa"/>
            <w:shd w:val="clear" w:color="auto" w:fill="auto"/>
            <w:noWrap/>
            <w:vAlign w:val="center"/>
            <w:hideMark/>
          </w:tcPr>
          <w:p w14:paraId="21D72BCB"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944" w:type="dxa"/>
            <w:vAlign w:val="center"/>
          </w:tcPr>
          <w:p w14:paraId="56B7CEB4"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836" w:type="dxa"/>
            <w:vAlign w:val="center"/>
          </w:tcPr>
          <w:p w14:paraId="6481C5ED"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r>
      <w:tr w:rsidR="00BF0BC8" w:rsidRPr="0075128C" w14:paraId="69AEFA2A" w14:textId="77777777" w:rsidTr="00DB278E">
        <w:trPr>
          <w:trHeight w:val="241"/>
          <w:jc w:val="center"/>
        </w:trPr>
        <w:tc>
          <w:tcPr>
            <w:tcW w:w="3208" w:type="dxa"/>
            <w:shd w:val="clear" w:color="auto" w:fill="auto"/>
            <w:noWrap/>
            <w:vAlign w:val="center"/>
            <w:hideMark/>
          </w:tcPr>
          <w:p w14:paraId="5EF06752" w14:textId="0AE41E0C" w:rsidR="00BF0BC8" w:rsidRPr="0075128C" w:rsidRDefault="00BF0BC8" w:rsidP="00DB278E">
            <w:pPr>
              <w:pStyle w:val="ExhibitText"/>
              <w:jc w:val="left"/>
              <w:rPr>
                <w:rFonts w:eastAsia="Calibri"/>
                <w:lang w:val="en-GB" w:eastAsia="en-GB"/>
              </w:rPr>
            </w:pPr>
            <w:proofErr w:type="spellStart"/>
            <w:r w:rsidRPr="0075128C">
              <w:rPr>
                <w:rFonts w:eastAsia="Calibri"/>
                <w:lang w:val="en-GB" w:eastAsia="en-GB"/>
              </w:rPr>
              <w:t>Ato</w:t>
            </w:r>
            <w:proofErr w:type="spellEnd"/>
            <w:r w:rsidRPr="0075128C">
              <w:rPr>
                <w:rFonts w:eastAsia="Calibri"/>
                <w:lang w:val="en-GB" w:eastAsia="en-GB"/>
              </w:rPr>
              <w:t xml:space="preserve"> </w:t>
            </w:r>
            <w:proofErr w:type="spellStart"/>
            <w:r w:rsidRPr="0075128C">
              <w:rPr>
                <w:rFonts w:eastAsia="Calibri"/>
                <w:lang w:val="en-GB" w:eastAsia="en-GB"/>
              </w:rPr>
              <w:t>Pobee</w:t>
            </w:r>
            <w:proofErr w:type="spellEnd"/>
            <w:r w:rsidRPr="0075128C">
              <w:rPr>
                <w:rFonts w:eastAsia="Calibri"/>
                <w:lang w:val="en-GB" w:eastAsia="en-GB"/>
              </w:rPr>
              <w:t xml:space="preserve"> </w:t>
            </w:r>
            <w:proofErr w:type="spellStart"/>
            <w:r w:rsidRPr="0075128C">
              <w:rPr>
                <w:rFonts w:eastAsia="Calibri"/>
                <w:lang w:val="en-GB" w:eastAsia="en-GB"/>
              </w:rPr>
              <w:t>Ampiah</w:t>
            </w:r>
            <w:proofErr w:type="spellEnd"/>
          </w:p>
        </w:tc>
        <w:tc>
          <w:tcPr>
            <w:tcW w:w="1947" w:type="dxa"/>
            <w:shd w:val="clear" w:color="auto" w:fill="auto"/>
            <w:noWrap/>
            <w:vAlign w:val="center"/>
            <w:hideMark/>
          </w:tcPr>
          <w:p w14:paraId="47B89F69"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944" w:type="dxa"/>
            <w:vAlign w:val="center"/>
          </w:tcPr>
          <w:p w14:paraId="10C86B32"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836" w:type="dxa"/>
            <w:vAlign w:val="center"/>
          </w:tcPr>
          <w:p w14:paraId="73C50DCA"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r>
      <w:tr w:rsidR="00BF0BC8" w:rsidRPr="0075128C" w14:paraId="0446160C" w14:textId="77777777" w:rsidTr="00DB278E">
        <w:trPr>
          <w:trHeight w:val="241"/>
          <w:jc w:val="center"/>
        </w:trPr>
        <w:tc>
          <w:tcPr>
            <w:tcW w:w="3208" w:type="dxa"/>
            <w:shd w:val="clear" w:color="auto" w:fill="auto"/>
            <w:noWrap/>
            <w:vAlign w:val="center"/>
          </w:tcPr>
          <w:p w14:paraId="78BFF9CB" w14:textId="6C617186" w:rsidR="00BF0BC8" w:rsidRPr="0075128C" w:rsidRDefault="00BF0BC8" w:rsidP="00DB278E">
            <w:pPr>
              <w:pStyle w:val="ExhibitText"/>
              <w:jc w:val="left"/>
              <w:rPr>
                <w:rFonts w:eastAsia="Calibri"/>
                <w:lang w:val="en-GB" w:eastAsia="en-GB"/>
              </w:rPr>
            </w:pPr>
            <w:r w:rsidRPr="0075128C">
              <w:rPr>
                <w:rFonts w:eastAsia="Calibri"/>
                <w:lang w:val="en-GB" w:eastAsia="en-GB"/>
              </w:rPr>
              <w:t xml:space="preserve">Daniel </w:t>
            </w:r>
            <w:proofErr w:type="spellStart"/>
            <w:r w:rsidRPr="0075128C">
              <w:rPr>
                <w:rFonts w:eastAsia="Calibri"/>
                <w:lang w:val="en-GB" w:eastAsia="en-GB"/>
              </w:rPr>
              <w:t>Ofori</w:t>
            </w:r>
            <w:proofErr w:type="spellEnd"/>
          </w:p>
        </w:tc>
        <w:tc>
          <w:tcPr>
            <w:tcW w:w="1947" w:type="dxa"/>
            <w:shd w:val="clear" w:color="auto" w:fill="auto"/>
            <w:noWrap/>
            <w:vAlign w:val="center"/>
          </w:tcPr>
          <w:p w14:paraId="77DEC718" w14:textId="36E2B0F6" w:rsidR="00BF0BC8" w:rsidRPr="0075128C" w:rsidRDefault="007B3BBD" w:rsidP="00DB278E">
            <w:pPr>
              <w:pStyle w:val="ExhibitText"/>
              <w:jc w:val="left"/>
              <w:rPr>
                <w:rFonts w:eastAsia="Calibri"/>
                <w:lang w:val="en-GB" w:eastAsia="en-GB"/>
              </w:rPr>
            </w:pPr>
            <w:r>
              <w:rPr>
                <w:rFonts w:eastAsia="Calibri"/>
                <w:lang w:val="en-GB" w:eastAsia="en-GB"/>
              </w:rPr>
              <w:t>-</w:t>
            </w:r>
          </w:p>
        </w:tc>
        <w:tc>
          <w:tcPr>
            <w:tcW w:w="1944" w:type="dxa"/>
            <w:vAlign w:val="center"/>
          </w:tcPr>
          <w:p w14:paraId="3888E8B8"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c>
          <w:tcPr>
            <w:tcW w:w="1836" w:type="dxa"/>
            <w:vAlign w:val="center"/>
          </w:tcPr>
          <w:p w14:paraId="77549E34" w14:textId="77777777" w:rsidR="00BF0BC8" w:rsidRPr="0075128C" w:rsidRDefault="00BF0BC8" w:rsidP="00DB278E">
            <w:pPr>
              <w:pStyle w:val="ExhibitText"/>
              <w:jc w:val="left"/>
              <w:rPr>
                <w:rFonts w:eastAsia="Calibri"/>
                <w:lang w:val="en-GB" w:eastAsia="en-GB"/>
              </w:rPr>
            </w:pPr>
            <w:r w:rsidRPr="0075128C">
              <w:rPr>
                <w:rFonts w:eastAsia="Calibri"/>
                <w:lang w:val="en-GB" w:eastAsia="en-GB"/>
              </w:rPr>
              <w:t>Non-exec Director</w:t>
            </w:r>
          </w:p>
        </w:tc>
      </w:tr>
    </w:tbl>
    <w:p w14:paraId="0FC8863B" w14:textId="77777777" w:rsidR="00300523" w:rsidRPr="0075128C" w:rsidRDefault="00300523" w:rsidP="00300523">
      <w:pPr>
        <w:pStyle w:val="ExhibitText"/>
        <w:rPr>
          <w:rFonts w:eastAsia="Calibri"/>
          <w:lang w:val="en-GB"/>
        </w:rPr>
      </w:pPr>
    </w:p>
    <w:p w14:paraId="602D2A2E" w14:textId="4AF5C842" w:rsidR="0003436C" w:rsidRPr="00B054FF" w:rsidRDefault="0003436C" w:rsidP="0003436C">
      <w:pPr>
        <w:pStyle w:val="Footnote"/>
        <w:rPr>
          <w:rFonts w:eastAsia="Calibri"/>
          <w:lang w:val="en-GB"/>
        </w:rPr>
      </w:pPr>
      <w:r w:rsidRPr="0075128C">
        <w:rPr>
          <w:rFonts w:eastAsia="Calibri"/>
          <w:lang w:val="en-GB"/>
        </w:rPr>
        <w:t xml:space="preserve">Source: </w:t>
      </w:r>
      <w:r w:rsidR="00546661">
        <w:rPr>
          <w:rFonts w:eastAsia="Calibri"/>
          <w:lang w:val="en-GB"/>
        </w:rPr>
        <w:t xml:space="preserve">Created by the authors based on </w:t>
      </w:r>
      <w:r w:rsidRPr="0075128C">
        <w:rPr>
          <w:rFonts w:eastAsia="Calibri"/>
          <w:lang w:val="en-GB"/>
        </w:rPr>
        <w:t xml:space="preserve">SIC </w:t>
      </w:r>
      <w:r>
        <w:rPr>
          <w:rFonts w:eastAsia="Calibri"/>
          <w:lang w:val="en-GB"/>
        </w:rPr>
        <w:t>Insurance C</w:t>
      </w:r>
      <w:r w:rsidRPr="0075128C">
        <w:rPr>
          <w:rFonts w:eastAsia="Calibri"/>
          <w:lang w:val="en-GB"/>
        </w:rPr>
        <w:t>ompany Ltd</w:t>
      </w:r>
      <w:r>
        <w:rPr>
          <w:rFonts w:eastAsia="Calibri"/>
          <w:lang w:val="en-GB"/>
        </w:rPr>
        <w:t>.</w:t>
      </w:r>
      <w:r w:rsidRPr="0075128C">
        <w:rPr>
          <w:rFonts w:eastAsia="Calibri"/>
          <w:lang w:val="en-GB"/>
        </w:rPr>
        <w:t xml:space="preserve">, </w:t>
      </w:r>
      <w:r w:rsidRPr="0075128C">
        <w:rPr>
          <w:rFonts w:eastAsia="Calibri"/>
          <w:i/>
          <w:lang w:val="en-GB"/>
        </w:rPr>
        <w:t>Annual Report and Financial Statements 2013</w:t>
      </w:r>
      <w:r>
        <w:rPr>
          <w:rFonts w:eastAsia="Calibri"/>
          <w:i/>
          <w:lang w:val="en-GB"/>
        </w:rPr>
        <w:t>–</w:t>
      </w:r>
      <w:r w:rsidRPr="0075128C">
        <w:rPr>
          <w:rFonts w:eastAsia="Calibri"/>
          <w:i/>
          <w:lang w:val="en-GB"/>
        </w:rPr>
        <w:t>2015</w:t>
      </w:r>
      <w:r w:rsidRPr="0075128C">
        <w:rPr>
          <w:rFonts w:eastAsia="Calibri"/>
          <w:lang w:val="en-GB"/>
        </w:rPr>
        <w:t>,</w:t>
      </w:r>
      <w:r>
        <w:rPr>
          <w:rFonts w:eastAsia="Calibri"/>
          <w:lang w:val="en-GB"/>
        </w:rPr>
        <w:t xml:space="preserve"> </w:t>
      </w:r>
      <w:proofErr w:type="spellStart"/>
      <w:r>
        <w:rPr>
          <w:rFonts w:eastAsia="Calibri"/>
          <w:lang w:val="en-GB"/>
        </w:rPr>
        <w:t>n.d</w:t>
      </w:r>
      <w:proofErr w:type="spellEnd"/>
      <w:r>
        <w:rPr>
          <w:rFonts w:eastAsia="Calibri"/>
          <w:lang w:val="en-GB"/>
        </w:rPr>
        <w:t>,</w:t>
      </w:r>
      <w:r w:rsidRPr="0075128C">
        <w:rPr>
          <w:rFonts w:eastAsia="Calibri"/>
          <w:lang w:val="en-GB"/>
        </w:rPr>
        <w:t xml:space="preserve"> accessed July 13, 2017, </w:t>
      </w:r>
      <w:hyperlink r:id="rId18" w:history="1">
        <w:r w:rsidRPr="003C6EA4">
          <w:rPr>
            <w:rStyle w:val="Hyperlink"/>
            <w:rFonts w:eastAsia="Calibri"/>
            <w:color w:val="auto"/>
            <w:u w:val="none"/>
            <w:lang w:val="en-GB"/>
          </w:rPr>
          <w:t>www.sic-gh.com/subcat_select.cfm?prodcatID=5&amp;tblNewsCatID=24</w:t>
        </w:r>
      </w:hyperlink>
      <w:r w:rsidRPr="00B054FF">
        <w:rPr>
          <w:rFonts w:eastAsia="Calibri"/>
          <w:lang w:val="en-GB"/>
        </w:rPr>
        <w:t>.</w:t>
      </w:r>
    </w:p>
    <w:p w14:paraId="082870FF" w14:textId="66F10FA2" w:rsidR="00A17BA5" w:rsidRDefault="00A17BA5" w:rsidP="00DD4448">
      <w:pPr>
        <w:pStyle w:val="ExhibitText"/>
        <w:rPr>
          <w:rFonts w:eastAsia="Calibri"/>
          <w:lang w:val="en-GB"/>
        </w:rPr>
      </w:pPr>
      <w:bookmarkStart w:id="4" w:name="_GoBack"/>
      <w:bookmarkEnd w:id="4"/>
    </w:p>
    <w:p w14:paraId="7E66CE4E" w14:textId="3ABF7DBD" w:rsidR="008E0BB6" w:rsidRDefault="008E0BB6" w:rsidP="00DD4448">
      <w:pPr>
        <w:pStyle w:val="ExhibitText"/>
        <w:rPr>
          <w:rFonts w:eastAsia="Calibri"/>
          <w:lang w:val="en-GB"/>
        </w:rPr>
      </w:pPr>
    </w:p>
    <w:p w14:paraId="0E9EABA8" w14:textId="6574F12E" w:rsidR="002C7B2B" w:rsidRPr="0075128C" w:rsidRDefault="002C7B2B" w:rsidP="001E3BD1">
      <w:pPr>
        <w:pStyle w:val="ExhibitHeading"/>
        <w:rPr>
          <w:rFonts w:eastAsia="Calibri"/>
          <w:lang w:val="en-GB"/>
        </w:rPr>
      </w:pPr>
      <w:r w:rsidRPr="0075128C">
        <w:rPr>
          <w:rFonts w:eastAsia="Calibri"/>
          <w:lang w:val="en-GB"/>
        </w:rPr>
        <w:lastRenderedPageBreak/>
        <w:t xml:space="preserve">Exhibit 5: Shareholding Structure of SIC </w:t>
      </w:r>
      <w:r w:rsidR="000347DB">
        <w:rPr>
          <w:rFonts w:eastAsia="Calibri"/>
          <w:lang w:val="en-GB"/>
        </w:rPr>
        <w:t xml:space="preserve">insurance company ltd., </w:t>
      </w:r>
      <w:r w:rsidRPr="0075128C">
        <w:rPr>
          <w:rFonts w:eastAsia="Calibri"/>
          <w:lang w:val="en-GB"/>
        </w:rPr>
        <w:t>2013</w:t>
      </w:r>
      <w:r w:rsidR="000347DB">
        <w:rPr>
          <w:rFonts w:eastAsia="Calibri"/>
          <w:lang w:val="en-GB"/>
        </w:rPr>
        <w:t>–</w:t>
      </w:r>
      <w:r w:rsidRPr="0075128C">
        <w:rPr>
          <w:rFonts w:eastAsia="Calibri"/>
          <w:lang w:val="en-GB"/>
        </w:rPr>
        <w:t>2015</w:t>
      </w:r>
    </w:p>
    <w:p w14:paraId="4DD7C80A" w14:textId="77777777" w:rsidR="001C6970" w:rsidRDefault="001C6970" w:rsidP="002C7B2B">
      <w:pPr>
        <w:jc w:val="center"/>
        <w:rPr>
          <w:rFonts w:eastAsia="Calibri"/>
          <w:b/>
          <w:sz w:val="24"/>
          <w:szCs w:val="24"/>
          <w:lang w:val="en-GB"/>
        </w:rPr>
      </w:pPr>
    </w:p>
    <w:p w14:paraId="2BB50083" w14:textId="327C4228" w:rsidR="001C6970" w:rsidRDefault="00893D89" w:rsidP="002C7B2B">
      <w:pPr>
        <w:jc w:val="center"/>
        <w:rPr>
          <w:rFonts w:eastAsia="Calibri"/>
          <w:b/>
          <w:sz w:val="24"/>
          <w:szCs w:val="24"/>
          <w:lang w:val="en-GB"/>
        </w:rPr>
      </w:pPr>
      <w:r>
        <w:rPr>
          <w:noProof/>
        </w:rPr>
        <w:drawing>
          <wp:inline distT="0" distB="0" distL="0" distR="0" wp14:anchorId="6402C555" wp14:editId="6C87013B">
            <wp:extent cx="5943600" cy="3187700"/>
            <wp:effectExtent l="0" t="0" r="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92E1B8" w14:textId="77777777" w:rsidR="001E3BD1" w:rsidRPr="0075128C" w:rsidRDefault="001E3BD1" w:rsidP="001E3BD1">
      <w:pPr>
        <w:pStyle w:val="ExhibitText"/>
        <w:rPr>
          <w:rFonts w:eastAsia="Calibri"/>
          <w:lang w:val="en-GB"/>
        </w:rPr>
      </w:pPr>
    </w:p>
    <w:p w14:paraId="0906F445" w14:textId="401DE4AA" w:rsidR="0003436C" w:rsidRDefault="0003436C" w:rsidP="0003436C">
      <w:pPr>
        <w:pStyle w:val="Footnote"/>
        <w:rPr>
          <w:rFonts w:eastAsia="Calibri"/>
          <w:lang w:val="en-GB"/>
        </w:rPr>
      </w:pPr>
      <w:r w:rsidRPr="003916B3">
        <w:rPr>
          <w:rFonts w:eastAsia="Calibri"/>
          <w:lang w:val="en-GB"/>
        </w:rPr>
        <w:t xml:space="preserve">Source: </w:t>
      </w:r>
      <w:r w:rsidR="00546661">
        <w:rPr>
          <w:rFonts w:eastAsia="Calibri"/>
          <w:lang w:val="en-GB"/>
        </w:rPr>
        <w:t xml:space="preserve">Created by the authors based on </w:t>
      </w:r>
      <w:r w:rsidRPr="003916B3">
        <w:rPr>
          <w:rFonts w:eastAsia="Calibri"/>
          <w:lang w:val="en-GB"/>
        </w:rPr>
        <w:t xml:space="preserve">SIC Insurance Company Ltd., </w:t>
      </w:r>
      <w:r w:rsidRPr="003916B3">
        <w:rPr>
          <w:rFonts w:eastAsia="Calibri"/>
          <w:i/>
          <w:lang w:val="en-GB"/>
        </w:rPr>
        <w:t>Annual Report and Financial Statements 2013–2015</w:t>
      </w:r>
      <w:r w:rsidRPr="003916B3">
        <w:rPr>
          <w:rFonts w:eastAsia="Calibri"/>
          <w:lang w:val="en-GB"/>
        </w:rPr>
        <w:t>,</w:t>
      </w:r>
      <w:r>
        <w:rPr>
          <w:rFonts w:eastAsia="Calibri"/>
          <w:lang w:val="en-GB"/>
        </w:rPr>
        <w:t xml:space="preserve"> </w:t>
      </w:r>
      <w:proofErr w:type="spellStart"/>
      <w:r>
        <w:rPr>
          <w:rFonts w:eastAsia="Calibri"/>
          <w:lang w:val="en-GB"/>
        </w:rPr>
        <w:t>n.d</w:t>
      </w:r>
      <w:proofErr w:type="spellEnd"/>
      <w:r>
        <w:rPr>
          <w:rFonts w:eastAsia="Calibri"/>
          <w:lang w:val="en-GB"/>
        </w:rPr>
        <w:t>,</w:t>
      </w:r>
      <w:r w:rsidRPr="003916B3">
        <w:rPr>
          <w:rFonts w:eastAsia="Calibri"/>
          <w:lang w:val="en-GB"/>
        </w:rPr>
        <w:t xml:space="preserve"> accessed July 13, 2017, www.sic-gh.com/subcat_select.cfm?prodcatID=5&amp;tblNewsCatID=24.</w:t>
      </w:r>
    </w:p>
    <w:p w14:paraId="17514AFB" w14:textId="61BB336B" w:rsidR="00A17BA5" w:rsidRDefault="00A17BA5" w:rsidP="00A17BA5">
      <w:pPr>
        <w:pStyle w:val="Footnote"/>
        <w:rPr>
          <w:rFonts w:eastAsia="Calibri"/>
          <w:lang w:val="en-GB"/>
        </w:rPr>
      </w:pPr>
      <w:r>
        <w:rPr>
          <w:rFonts w:eastAsia="Calibri"/>
          <w:lang w:val="en-GB"/>
        </w:rPr>
        <w:br w:type="page"/>
      </w:r>
    </w:p>
    <w:p w14:paraId="08D8D189" w14:textId="31AB9081" w:rsidR="00CE7586" w:rsidRPr="00893632" w:rsidRDefault="00B30051" w:rsidP="00CE7586">
      <w:pPr>
        <w:pStyle w:val="ExhibitHeading"/>
        <w:rPr>
          <w:rFonts w:eastAsia="Calibri"/>
          <w:lang w:val="en-GB"/>
        </w:rPr>
      </w:pPr>
      <w:r w:rsidRPr="00893632">
        <w:rPr>
          <w:rFonts w:eastAsia="Calibri"/>
          <w:lang w:val="en-GB"/>
        </w:rPr>
        <w:lastRenderedPageBreak/>
        <w:t xml:space="preserve">EXHIBIT 6: EXTRACT OF </w:t>
      </w:r>
      <w:r w:rsidR="005629E3">
        <w:rPr>
          <w:rFonts w:eastAsia="Calibri"/>
          <w:lang w:val="en-GB"/>
        </w:rPr>
        <w:t xml:space="preserve">the </w:t>
      </w:r>
      <w:r w:rsidRPr="00893632">
        <w:rPr>
          <w:rFonts w:eastAsia="Calibri"/>
          <w:lang w:val="en-GB"/>
        </w:rPr>
        <w:t>S</w:t>
      </w:r>
      <w:r w:rsidR="00893632">
        <w:rPr>
          <w:rFonts w:eastAsia="Calibri"/>
          <w:lang w:val="en-GB"/>
        </w:rPr>
        <w:t>ecurit</w:t>
      </w:r>
      <w:r w:rsidR="00085FE1">
        <w:rPr>
          <w:rFonts w:eastAsia="Calibri"/>
          <w:lang w:val="en-GB"/>
        </w:rPr>
        <w:t>ies and</w:t>
      </w:r>
      <w:r w:rsidR="00893632">
        <w:rPr>
          <w:rFonts w:eastAsia="Calibri"/>
          <w:lang w:val="en-GB"/>
        </w:rPr>
        <w:t xml:space="preserve"> </w:t>
      </w:r>
      <w:r w:rsidRPr="00893632">
        <w:rPr>
          <w:rFonts w:eastAsia="Calibri"/>
          <w:lang w:val="en-GB"/>
        </w:rPr>
        <w:t>E</w:t>
      </w:r>
      <w:r w:rsidR="00893632">
        <w:rPr>
          <w:rFonts w:eastAsia="Calibri"/>
          <w:lang w:val="en-GB"/>
        </w:rPr>
        <w:t xml:space="preserve">xchange </w:t>
      </w:r>
      <w:r w:rsidRPr="00893632">
        <w:rPr>
          <w:rFonts w:eastAsia="Calibri"/>
          <w:lang w:val="en-GB"/>
        </w:rPr>
        <w:t>C</w:t>
      </w:r>
      <w:r w:rsidR="00893632">
        <w:rPr>
          <w:rFonts w:eastAsia="Calibri"/>
          <w:lang w:val="en-GB"/>
        </w:rPr>
        <w:t>ommission</w:t>
      </w:r>
      <w:r w:rsidR="00434800">
        <w:rPr>
          <w:rFonts w:eastAsia="Calibri"/>
          <w:lang w:val="en-GB"/>
        </w:rPr>
        <w:t xml:space="preserve"> </w:t>
      </w:r>
      <w:r w:rsidR="007B3BBD">
        <w:rPr>
          <w:rFonts w:eastAsia="Calibri"/>
          <w:lang w:val="en-GB"/>
        </w:rPr>
        <w:t xml:space="preserve">of </w:t>
      </w:r>
      <w:r w:rsidR="00434800">
        <w:rPr>
          <w:rFonts w:eastAsia="Calibri"/>
          <w:lang w:val="en-GB"/>
        </w:rPr>
        <w:t>Ghana’s</w:t>
      </w:r>
      <w:r w:rsidRPr="00893632">
        <w:rPr>
          <w:rFonts w:eastAsia="Calibri"/>
          <w:lang w:val="en-GB"/>
        </w:rPr>
        <w:t xml:space="preserve"> GUIDELINES ON BEST PRACTICES IN CORPORATE GOVERNANCE</w:t>
      </w:r>
      <w:r w:rsidR="000225BE">
        <w:rPr>
          <w:rFonts w:eastAsia="Calibri"/>
          <w:lang w:val="en-GB"/>
        </w:rPr>
        <w:t xml:space="preserve"> (2010)</w:t>
      </w:r>
    </w:p>
    <w:p w14:paraId="2E232D00" w14:textId="4902396C" w:rsidR="00A17BA5" w:rsidRDefault="00273C57" w:rsidP="00A17BA5">
      <w:pPr>
        <w:pStyle w:val="BodyTextMain"/>
      </w:pPr>
      <w:r w:rsidRPr="0075128C">
        <w:rPr>
          <w:rFonts w:eastAsia="Calibri"/>
          <w:noProof/>
        </w:rPr>
        <mc:AlternateContent>
          <mc:Choice Requires="wps">
            <w:drawing>
              <wp:anchor distT="0" distB="0" distL="114300" distR="114300" simplePos="0" relativeHeight="251656704" behindDoc="0" locked="0" layoutInCell="1" allowOverlap="1" wp14:anchorId="722A1C32" wp14:editId="2C2E0167">
                <wp:simplePos x="0" y="0"/>
                <wp:positionH relativeFrom="column">
                  <wp:posOffset>153619</wp:posOffset>
                </wp:positionH>
                <wp:positionV relativeFrom="paragraph">
                  <wp:posOffset>159283</wp:posOffset>
                </wp:positionV>
                <wp:extent cx="5705856" cy="6993332"/>
                <wp:effectExtent l="0" t="0" r="28575" b="17145"/>
                <wp:wrapNone/>
                <wp:docPr id="5" name="Text Box 5"/>
                <wp:cNvGraphicFramePr/>
                <a:graphic xmlns:a="http://schemas.openxmlformats.org/drawingml/2006/main">
                  <a:graphicData uri="http://schemas.microsoft.com/office/word/2010/wordprocessingShape">
                    <wps:wsp>
                      <wps:cNvSpPr txBox="1"/>
                      <wps:spPr>
                        <a:xfrm>
                          <a:off x="0" y="0"/>
                          <a:ext cx="5705856" cy="6993332"/>
                        </a:xfrm>
                        <a:prstGeom prst="rect">
                          <a:avLst/>
                        </a:prstGeom>
                        <a:solidFill>
                          <a:sysClr val="window" lastClr="FFFFFF"/>
                        </a:solidFill>
                        <a:ln w="6350">
                          <a:solidFill>
                            <a:prstClr val="black"/>
                          </a:solidFill>
                        </a:ln>
                        <a:effectLst/>
                      </wps:spPr>
                      <wps:txbx>
                        <w:txbxContent>
                          <w:p w14:paraId="631756AA" w14:textId="368CA804" w:rsidR="00A17BA5" w:rsidRPr="00273C57" w:rsidRDefault="00A17BA5" w:rsidP="00273C57">
                            <w:pPr>
                              <w:pStyle w:val="ExhibitText"/>
                              <w:rPr>
                                <w:b/>
                              </w:rPr>
                            </w:pPr>
                            <w:r w:rsidRPr="00273C57">
                              <w:rPr>
                                <w:b/>
                              </w:rPr>
                              <w:t xml:space="preserve">Section 1 – The </w:t>
                            </w:r>
                            <w:r w:rsidR="007B3BBD">
                              <w:rPr>
                                <w:b/>
                              </w:rPr>
                              <w:t>M</w:t>
                            </w:r>
                            <w:r w:rsidRPr="00273C57">
                              <w:rPr>
                                <w:b/>
                              </w:rPr>
                              <w:t>ission, Responsibilities and Accountability of the Board of Directors</w:t>
                            </w:r>
                          </w:p>
                          <w:p w14:paraId="1164B0B2" w14:textId="77777777" w:rsidR="00A17BA5" w:rsidRPr="00273C57" w:rsidRDefault="00A17BA5" w:rsidP="00273C57">
                            <w:pPr>
                              <w:pStyle w:val="ExhibitText"/>
                              <w:rPr>
                                <w:b/>
                                <w:i/>
                              </w:rPr>
                            </w:pPr>
                            <w:r w:rsidRPr="00273C57">
                              <w:rPr>
                                <w:b/>
                                <w:i/>
                              </w:rPr>
                              <w:t>The Size of the Board</w:t>
                            </w:r>
                          </w:p>
                          <w:p w14:paraId="5EDB5695" w14:textId="77777777" w:rsidR="00A17BA5" w:rsidRDefault="00A17BA5" w:rsidP="00273C57">
                            <w:pPr>
                              <w:pStyle w:val="ExhibitText"/>
                            </w:pPr>
                            <w:r w:rsidRPr="00CC6FB4">
                              <w:t>5. The size of the board of every corporate body should be arrived at with a view to promoting effectiveness and ensuring appropriate representational needs.</w:t>
                            </w:r>
                          </w:p>
                          <w:p w14:paraId="1F957BA1" w14:textId="77777777" w:rsidR="00A17BA5" w:rsidRPr="00CC6FB4" w:rsidRDefault="00A17BA5" w:rsidP="00273C57">
                            <w:pPr>
                              <w:pStyle w:val="ExhibitText"/>
                            </w:pPr>
                          </w:p>
                          <w:p w14:paraId="44B49FBD" w14:textId="331E0013" w:rsidR="00A17BA5" w:rsidRPr="00CC6FB4" w:rsidRDefault="00A17BA5" w:rsidP="00273C57">
                            <w:pPr>
                              <w:pStyle w:val="ExhibitText"/>
                            </w:pPr>
                            <w:r w:rsidRPr="00CC6FB4">
                              <w:t>6. No specific numbers are prescribed with regard to membership</w:t>
                            </w:r>
                            <w:r w:rsidR="007B3BBD">
                              <w:t>,</w:t>
                            </w:r>
                            <w:r w:rsidRPr="00CC6FB4">
                              <w:t xml:space="preserve"> however a board of between 8 – 16 members is considered ideal. </w:t>
                            </w:r>
                          </w:p>
                          <w:p w14:paraId="6060DDBD" w14:textId="77777777" w:rsidR="00A17BA5" w:rsidRPr="00CC6FB4" w:rsidRDefault="00A17BA5" w:rsidP="00273C57">
                            <w:pPr>
                              <w:pStyle w:val="ExhibitText"/>
                            </w:pPr>
                          </w:p>
                          <w:p w14:paraId="7F2791D2" w14:textId="77777777" w:rsidR="00A17BA5" w:rsidRPr="00273C57" w:rsidRDefault="00A17BA5" w:rsidP="00273C57">
                            <w:pPr>
                              <w:pStyle w:val="ExhibitText"/>
                              <w:rPr>
                                <w:b/>
                                <w:i/>
                              </w:rPr>
                            </w:pPr>
                            <w:r w:rsidRPr="00273C57">
                              <w:rPr>
                                <w:b/>
                                <w:i/>
                              </w:rPr>
                              <w:t>Composition</w:t>
                            </w:r>
                          </w:p>
                          <w:p w14:paraId="2C12104A" w14:textId="09533D2E" w:rsidR="00A17BA5" w:rsidRPr="00CC6FB4" w:rsidRDefault="00A17BA5" w:rsidP="00273C57">
                            <w:pPr>
                              <w:pStyle w:val="ExhibitText"/>
                            </w:pPr>
                            <w:r w:rsidRPr="00CC6FB4">
                              <w:t>21. The board should include a balance of executive and non-executive directors with the complement of independent non-executive directors being at least one third of the total membership of the board an</w:t>
                            </w:r>
                            <w:r w:rsidR="007B3BBD">
                              <w:t>d</w:t>
                            </w:r>
                            <w:r w:rsidRPr="00CC6FB4">
                              <w:t xml:space="preserve"> in any event not less than two.</w:t>
                            </w:r>
                          </w:p>
                          <w:p w14:paraId="4C07A90B" w14:textId="77777777" w:rsidR="00A17BA5" w:rsidRPr="00CC6FB4" w:rsidRDefault="00A17BA5" w:rsidP="00273C57">
                            <w:pPr>
                              <w:pStyle w:val="ExhibitText"/>
                            </w:pPr>
                          </w:p>
                          <w:p w14:paraId="5CECF3BF" w14:textId="77777777" w:rsidR="00A17BA5" w:rsidRPr="00273C57" w:rsidRDefault="00A17BA5" w:rsidP="00273C57">
                            <w:pPr>
                              <w:pStyle w:val="ExhibitText"/>
                              <w:rPr>
                                <w:b/>
                                <w:i/>
                              </w:rPr>
                            </w:pPr>
                            <w:r w:rsidRPr="00273C57">
                              <w:rPr>
                                <w:b/>
                                <w:i/>
                              </w:rPr>
                              <w:t>Separation between Chairman and Managing Director/CEO</w:t>
                            </w:r>
                          </w:p>
                          <w:p w14:paraId="094FBDAF" w14:textId="4D166D81" w:rsidR="00A17BA5" w:rsidRPr="00CC6FB4" w:rsidRDefault="00A17BA5" w:rsidP="00273C57">
                            <w:pPr>
                              <w:pStyle w:val="ExhibitText"/>
                            </w:pPr>
                            <w:r w:rsidRPr="00CC6FB4">
                              <w:t>14. There should ideally be a separation between the role of the chairman and managing director/chief executive officer particularly in listed companies</w:t>
                            </w:r>
                            <w:r w:rsidR="00A55CB7">
                              <w:t>,</w:t>
                            </w:r>
                            <w:r w:rsidRPr="00CC6FB4">
                              <w:t xml:space="preserve"> unless there are specific reason</w:t>
                            </w:r>
                            <w:r w:rsidR="00A55CB7">
                              <w:t>s</w:t>
                            </w:r>
                            <w:r w:rsidRPr="00CC6FB4">
                              <w:t xml:space="preserve"> which militate against such separation or</w:t>
                            </w:r>
                            <w:r w:rsidR="00A55CB7">
                              <w:t>,</w:t>
                            </w:r>
                            <w:r w:rsidRPr="00CC6FB4">
                              <w:t xml:space="preserve"> as may be in the case of smaller corporate bodies, the cost of separation is uneconomical.</w:t>
                            </w:r>
                          </w:p>
                          <w:p w14:paraId="532C8723" w14:textId="77777777" w:rsidR="00A17BA5" w:rsidRPr="00CC6FB4" w:rsidRDefault="00A17BA5" w:rsidP="00273C57">
                            <w:pPr>
                              <w:pStyle w:val="ExhibitText"/>
                            </w:pPr>
                          </w:p>
                          <w:p w14:paraId="6E493C21" w14:textId="440E8EA0" w:rsidR="00A17BA5" w:rsidRPr="00CC6FB4" w:rsidRDefault="00A17BA5" w:rsidP="00273C57">
                            <w:pPr>
                              <w:pStyle w:val="ExhibitText"/>
                            </w:pPr>
                            <w:r w:rsidRPr="00CC6FB4">
                              <w:t>15. If the two offices are combined in the case of the corporate bodies having their securities listed on a stock exchange</w:t>
                            </w:r>
                            <w:r w:rsidR="00A55CB7">
                              <w:t>,</w:t>
                            </w:r>
                            <w:r w:rsidRPr="00CC6FB4">
                              <w:t xml:space="preserve"> the rationalization behind the decision to combine the roles should be explained to shareholders and the board must enact procedures that ensure the independence of the board as a whole.</w:t>
                            </w:r>
                          </w:p>
                          <w:p w14:paraId="0A94A5D8" w14:textId="77777777" w:rsidR="00A17BA5" w:rsidRPr="00CC6FB4" w:rsidRDefault="00A17BA5" w:rsidP="00273C57">
                            <w:pPr>
                              <w:pStyle w:val="ExhibitText"/>
                            </w:pPr>
                          </w:p>
                          <w:p w14:paraId="03AAF9A8" w14:textId="7D827294" w:rsidR="00A17BA5" w:rsidRPr="00CC6FB4" w:rsidRDefault="00A17BA5" w:rsidP="00273C57">
                            <w:pPr>
                              <w:pStyle w:val="ExhibitText"/>
                            </w:pPr>
                            <w:r w:rsidRPr="00CC6FB4">
                              <w:t>16. In the event of a separation of the two offices</w:t>
                            </w:r>
                            <w:r w:rsidR="00A55CB7">
                              <w:t>,</w:t>
                            </w:r>
                            <w:r w:rsidRPr="00CC6FB4">
                              <w:t xml:space="preserve"> the relationship between the managing director/chief executive officer and the chairman and the board as a whole along with their respective responsibilities should be formally defined.</w:t>
                            </w:r>
                          </w:p>
                          <w:p w14:paraId="51385F9F" w14:textId="77777777" w:rsidR="00A17BA5" w:rsidRPr="00CC6FB4" w:rsidRDefault="00A17BA5" w:rsidP="00273C57">
                            <w:pPr>
                              <w:pStyle w:val="ExhibitText"/>
                            </w:pPr>
                          </w:p>
                          <w:p w14:paraId="7AB93C70" w14:textId="77777777" w:rsidR="00A17BA5" w:rsidRPr="00273C57" w:rsidRDefault="00A17BA5" w:rsidP="00273C57">
                            <w:pPr>
                              <w:pStyle w:val="ExhibitText"/>
                              <w:rPr>
                                <w:b/>
                                <w:i/>
                              </w:rPr>
                            </w:pPr>
                            <w:r w:rsidRPr="00273C57">
                              <w:rPr>
                                <w:b/>
                                <w:i/>
                              </w:rPr>
                              <w:t xml:space="preserve">Board Committee Meetings </w:t>
                            </w:r>
                          </w:p>
                          <w:p w14:paraId="2F50812F" w14:textId="77777777" w:rsidR="00A17BA5" w:rsidRPr="00CC6FB4" w:rsidRDefault="00A17BA5" w:rsidP="00273C57">
                            <w:pPr>
                              <w:pStyle w:val="ExhibitText"/>
                            </w:pPr>
                            <w:r w:rsidRPr="00CC6FB4">
                              <w:t xml:space="preserve">34. The board should meet regularly and in the case of listed corporate bodies at least six times a year. </w:t>
                            </w:r>
                          </w:p>
                          <w:p w14:paraId="3E78C283" w14:textId="77777777" w:rsidR="00A17BA5" w:rsidRPr="00CC6FB4" w:rsidRDefault="00A17BA5" w:rsidP="00273C57">
                            <w:pPr>
                              <w:pStyle w:val="ExhibitText"/>
                            </w:pPr>
                          </w:p>
                          <w:p w14:paraId="39CAFEA5" w14:textId="7073D5B6" w:rsidR="00A17BA5" w:rsidRPr="00273C57" w:rsidRDefault="00A17BA5" w:rsidP="00273C57">
                            <w:pPr>
                              <w:pStyle w:val="ExhibitText"/>
                              <w:rPr>
                                <w:b/>
                              </w:rPr>
                            </w:pPr>
                            <w:r w:rsidRPr="00273C57">
                              <w:rPr>
                                <w:b/>
                              </w:rPr>
                              <w:t xml:space="preserve">Section II - Committees of the </w:t>
                            </w:r>
                            <w:r w:rsidR="007B3BBD">
                              <w:rPr>
                                <w:b/>
                              </w:rPr>
                              <w:t>B</w:t>
                            </w:r>
                            <w:r w:rsidRPr="00273C57">
                              <w:rPr>
                                <w:b/>
                              </w:rPr>
                              <w:t xml:space="preserve">oard </w:t>
                            </w:r>
                          </w:p>
                          <w:p w14:paraId="3B97DEBA" w14:textId="26DA9DE1" w:rsidR="00A17BA5" w:rsidRPr="00273C57" w:rsidRDefault="00A17BA5" w:rsidP="00273C57">
                            <w:pPr>
                              <w:pStyle w:val="ExhibitText"/>
                              <w:rPr>
                                <w:b/>
                                <w:i/>
                              </w:rPr>
                            </w:pPr>
                            <w:r w:rsidRPr="00273C57">
                              <w:rPr>
                                <w:b/>
                                <w:i/>
                              </w:rPr>
                              <w:t xml:space="preserve">Remuneration </w:t>
                            </w:r>
                            <w:r w:rsidR="007B3BBD">
                              <w:rPr>
                                <w:b/>
                                <w:i/>
                              </w:rPr>
                              <w:t>P</w:t>
                            </w:r>
                            <w:r w:rsidRPr="00273C57">
                              <w:rPr>
                                <w:b/>
                                <w:i/>
                              </w:rPr>
                              <w:t>olicy</w:t>
                            </w:r>
                          </w:p>
                          <w:p w14:paraId="4C4856CB" w14:textId="77777777" w:rsidR="00A17BA5" w:rsidRPr="00CC6FB4" w:rsidRDefault="00A17BA5" w:rsidP="00273C57">
                            <w:pPr>
                              <w:pStyle w:val="ExhibitText"/>
                            </w:pPr>
                            <w:r w:rsidRPr="00CC6FB4">
                              <w:t xml:space="preserve">63. Stock options, employee share ownership schemes and other equity oriented plans should be considered as a means of linking management’s interest to that of shareholders. </w:t>
                            </w:r>
                          </w:p>
                          <w:p w14:paraId="0E367FB1" w14:textId="77777777" w:rsidR="00A17BA5" w:rsidRPr="00CC6FB4" w:rsidRDefault="00A17BA5" w:rsidP="00273C57">
                            <w:pPr>
                              <w:pStyle w:val="ExhibitText"/>
                            </w:pPr>
                          </w:p>
                          <w:p w14:paraId="5BCD69E3" w14:textId="77777777" w:rsidR="00A17BA5" w:rsidRPr="00273C57" w:rsidRDefault="00A17BA5" w:rsidP="00273C57">
                            <w:pPr>
                              <w:pStyle w:val="ExhibitText"/>
                              <w:rPr>
                                <w:b/>
                              </w:rPr>
                            </w:pPr>
                            <w:r w:rsidRPr="00273C57">
                              <w:rPr>
                                <w:b/>
                              </w:rPr>
                              <w:t>Section III – Relationship to Shareholders and Stakeholders</w:t>
                            </w:r>
                          </w:p>
                          <w:p w14:paraId="72641954" w14:textId="77777777" w:rsidR="00A17BA5" w:rsidRPr="00273C57" w:rsidRDefault="00A17BA5" w:rsidP="00273C57">
                            <w:pPr>
                              <w:pStyle w:val="ExhibitText"/>
                              <w:rPr>
                                <w:b/>
                                <w:i/>
                              </w:rPr>
                            </w:pPr>
                            <w:r w:rsidRPr="00273C57">
                              <w:rPr>
                                <w:b/>
                                <w:i/>
                              </w:rPr>
                              <w:t>Shareholders and Stakeholders</w:t>
                            </w:r>
                          </w:p>
                          <w:p w14:paraId="052CB2FD" w14:textId="77777777" w:rsidR="00A17BA5" w:rsidRPr="00CC6FB4" w:rsidRDefault="00A17BA5" w:rsidP="00273C57">
                            <w:pPr>
                              <w:pStyle w:val="ExhibitText"/>
                            </w:pPr>
                            <w:r w:rsidRPr="00CC6FB4">
                              <w:t xml:space="preserve">67. Corporate governance practices implemented by the board should not be aimed at benefiting stakeholders at the expense of shareholders but should endeavor to increase shareholder value by monitoring and maintaining stakeholder relationships effectively and professionally. </w:t>
                            </w:r>
                          </w:p>
                          <w:p w14:paraId="1EDB56F9" w14:textId="77777777" w:rsidR="00A17BA5" w:rsidRPr="00CC6FB4" w:rsidRDefault="00A17BA5" w:rsidP="00273C57">
                            <w:pPr>
                              <w:pStyle w:val="ExhibitText"/>
                            </w:pPr>
                          </w:p>
                          <w:p w14:paraId="5FA457BC" w14:textId="77777777" w:rsidR="00A17BA5" w:rsidRPr="00273C57" w:rsidRDefault="00A17BA5" w:rsidP="00273C57">
                            <w:pPr>
                              <w:pStyle w:val="ExhibitText"/>
                              <w:rPr>
                                <w:b/>
                              </w:rPr>
                            </w:pPr>
                            <w:r w:rsidRPr="00273C57">
                              <w:rPr>
                                <w:b/>
                              </w:rPr>
                              <w:t>Section IV – Financial Affairs and Auditing</w:t>
                            </w:r>
                          </w:p>
                          <w:p w14:paraId="3EC6B9DD" w14:textId="2BE796D5" w:rsidR="00A17BA5" w:rsidRPr="00CC6FB4" w:rsidRDefault="00A17BA5" w:rsidP="00273C57">
                            <w:pPr>
                              <w:pStyle w:val="ExhibitText"/>
                              <w:rPr>
                                <w:i/>
                              </w:rPr>
                            </w:pPr>
                            <w:r w:rsidRPr="00273C57">
                              <w:rPr>
                                <w:b/>
                                <w:i/>
                              </w:rPr>
                              <w:t xml:space="preserve">Role of the External </w:t>
                            </w:r>
                            <w:r w:rsidR="007B3BBD">
                              <w:rPr>
                                <w:b/>
                                <w:i/>
                              </w:rPr>
                              <w:t>A</w:t>
                            </w:r>
                            <w:r w:rsidRPr="00273C57">
                              <w:rPr>
                                <w:b/>
                                <w:i/>
                              </w:rPr>
                              <w:t>uditor</w:t>
                            </w:r>
                          </w:p>
                          <w:p w14:paraId="68D522B5" w14:textId="77777777" w:rsidR="00A17BA5" w:rsidRPr="00CC6FB4" w:rsidRDefault="00A17BA5" w:rsidP="00273C57">
                            <w:pPr>
                              <w:pStyle w:val="ExhibitText"/>
                            </w:pPr>
                            <w:r w:rsidRPr="00CC6FB4">
                              <w:t xml:space="preserve">85. The external auditor should be the primary source of an objective, independent and effective opinion on the financial statements of the corporate body.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A1C32" id="_x0000_t202" coordsize="21600,21600" o:spt="202" path="m,l,21600r21600,l21600,xe">
                <v:stroke joinstyle="miter"/>
                <v:path gradientshapeok="t" o:connecttype="rect"/>
              </v:shapetype>
              <v:shape id="Text Box 5" o:spid="_x0000_s1026" type="#_x0000_t202" style="position:absolute;left:0;text-align:left;margin-left:12.1pt;margin-top:12.55pt;width:449.3pt;height:550.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" fillcolor="window" strokeweight=".5pt">
                <v:textbox>
                  <w:txbxContent>
                    <w:p w14:paraId="631756AA" w14:textId="368CA804" w:rsidR="00A17BA5" w:rsidRPr="00273C57" w:rsidRDefault="00A17BA5" w:rsidP="00273C57">
                      <w:pPr>
                        <w:pStyle w:val="ExhibitText"/>
                        <w:rPr>
                          <w:b/>
                        </w:rPr>
                      </w:pPr>
                      <w:r w:rsidRPr="00273C57">
                        <w:rPr>
                          <w:b/>
                        </w:rPr>
                        <w:t xml:space="preserve">Section 1 – The </w:t>
                      </w:r>
                      <w:r w:rsidR="007B3BBD">
                        <w:rPr>
                          <w:b/>
                        </w:rPr>
                        <w:t>M</w:t>
                      </w:r>
                      <w:r w:rsidRPr="00273C57">
                        <w:rPr>
                          <w:b/>
                        </w:rPr>
                        <w:t>ission, Responsibilities and Accountability of the Board of Directors</w:t>
                      </w:r>
                    </w:p>
                    <w:p w14:paraId="1164B0B2" w14:textId="77777777" w:rsidR="00A17BA5" w:rsidRPr="00273C57" w:rsidRDefault="00A17BA5" w:rsidP="00273C57">
                      <w:pPr>
                        <w:pStyle w:val="ExhibitText"/>
                        <w:rPr>
                          <w:b/>
                          <w:i/>
                        </w:rPr>
                      </w:pPr>
                      <w:r w:rsidRPr="00273C57">
                        <w:rPr>
                          <w:b/>
                          <w:i/>
                        </w:rPr>
                        <w:t>The Size of the Board</w:t>
                      </w:r>
                    </w:p>
                    <w:p w14:paraId="5EDB5695" w14:textId="77777777" w:rsidR="00A17BA5" w:rsidRDefault="00A17BA5" w:rsidP="00273C57">
                      <w:pPr>
                        <w:pStyle w:val="ExhibitText"/>
                      </w:pPr>
                      <w:r w:rsidRPr="00CC6FB4">
                        <w:t>5. The size of the board of every corporate body should be arrived at with a view to promoting effectiveness and ensuring appropriate representational needs.</w:t>
                      </w:r>
                    </w:p>
                    <w:p w14:paraId="1F957BA1" w14:textId="77777777" w:rsidR="00A17BA5" w:rsidRPr="00CC6FB4" w:rsidRDefault="00A17BA5" w:rsidP="00273C57">
                      <w:pPr>
                        <w:pStyle w:val="ExhibitText"/>
                      </w:pPr>
                    </w:p>
                    <w:p w14:paraId="44B49FBD" w14:textId="331E0013" w:rsidR="00A17BA5" w:rsidRPr="00CC6FB4" w:rsidRDefault="00A17BA5" w:rsidP="00273C57">
                      <w:pPr>
                        <w:pStyle w:val="ExhibitText"/>
                      </w:pPr>
                      <w:r w:rsidRPr="00CC6FB4">
                        <w:t>6. No specific numbers are prescribed with regard to membership</w:t>
                      </w:r>
                      <w:r w:rsidR="007B3BBD">
                        <w:t>,</w:t>
                      </w:r>
                      <w:r w:rsidRPr="00CC6FB4">
                        <w:t xml:space="preserve"> however a board of between 8 – 16 members is considered ideal. </w:t>
                      </w:r>
                    </w:p>
                    <w:p w14:paraId="6060DDBD" w14:textId="77777777" w:rsidR="00A17BA5" w:rsidRPr="00CC6FB4" w:rsidRDefault="00A17BA5" w:rsidP="00273C57">
                      <w:pPr>
                        <w:pStyle w:val="ExhibitText"/>
                      </w:pPr>
                    </w:p>
                    <w:p w14:paraId="7F2791D2" w14:textId="77777777" w:rsidR="00A17BA5" w:rsidRPr="00273C57" w:rsidRDefault="00A17BA5" w:rsidP="00273C57">
                      <w:pPr>
                        <w:pStyle w:val="ExhibitText"/>
                        <w:rPr>
                          <w:b/>
                          <w:i/>
                        </w:rPr>
                      </w:pPr>
                      <w:r w:rsidRPr="00273C57">
                        <w:rPr>
                          <w:b/>
                          <w:i/>
                        </w:rPr>
                        <w:t>Composition</w:t>
                      </w:r>
                    </w:p>
                    <w:p w14:paraId="2C12104A" w14:textId="09533D2E" w:rsidR="00A17BA5" w:rsidRPr="00CC6FB4" w:rsidRDefault="00A17BA5" w:rsidP="00273C57">
                      <w:pPr>
                        <w:pStyle w:val="ExhibitText"/>
                      </w:pPr>
                      <w:r w:rsidRPr="00CC6FB4">
                        <w:t>21. The board should include a balance of executive and non-executive directors with the complement of independent non-executive directors being at least one third of the total membership of the board an</w:t>
                      </w:r>
                      <w:r w:rsidR="007B3BBD">
                        <w:t>d</w:t>
                      </w:r>
                      <w:r w:rsidRPr="00CC6FB4">
                        <w:t xml:space="preserve"> in any event not less than two.</w:t>
                      </w:r>
                    </w:p>
                    <w:p w14:paraId="4C07A90B" w14:textId="77777777" w:rsidR="00A17BA5" w:rsidRPr="00CC6FB4" w:rsidRDefault="00A17BA5" w:rsidP="00273C57">
                      <w:pPr>
                        <w:pStyle w:val="ExhibitText"/>
                      </w:pPr>
                    </w:p>
                    <w:p w14:paraId="5CECF3BF" w14:textId="77777777" w:rsidR="00A17BA5" w:rsidRPr="00273C57" w:rsidRDefault="00A17BA5" w:rsidP="00273C57">
                      <w:pPr>
                        <w:pStyle w:val="ExhibitText"/>
                        <w:rPr>
                          <w:b/>
                          <w:i/>
                        </w:rPr>
                      </w:pPr>
                      <w:r w:rsidRPr="00273C57">
                        <w:rPr>
                          <w:b/>
                          <w:i/>
                        </w:rPr>
                        <w:t>Separation between Chairman and Managing Director/CEO</w:t>
                      </w:r>
                    </w:p>
                    <w:p w14:paraId="094FBDAF" w14:textId="4D166D81" w:rsidR="00A17BA5" w:rsidRPr="00CC6FB4" w:rsidRDefault="00A17BA5" w:rsidP="00273C57">
                      <w:pPr>
                        <w:pStyle w:val="ExhibitText"/>
                      </w:pPr>
                      <w:r w:rsidRPr="00CC6FB4">
                        <w:t>14. There should ideally be a separation between the role of the chairman and managing director/chief executive officer particularly in listed companies</w:t>
                      </w:r>
                      <w:r w:rsidR="00A55CB7">
                        <w:t>,</w:t>
                      </w:r>
                      <w:r w:rsidRPr="00CC6FB4">
                        <w:t xml:space="preserve"> unless there are specific reason</w:t>
                      </w:r>
                      <w:r w:rsidR="00A55CB7">
                        <w:t>s</w:t>
                      </w:r>
                      <w:r w:rsidRPr="00CC6FB4">
                        <w:t xml:space="preserve"> which militate against such separation or</w:t>
                      </w:r>
                      <w:r w:rsidR="00A55CB7">
                        <w:t>,</w:t>
                      </w:r>
                      <w:r w:rsidRPr="00CC6FB4">
                        <w:t xml:space="preserve"> as may be in the case of smaller corporate bodies, the cost of separation is uneconomical.</w:t>
                      </w:r>
                    </w:p>
                    <w:p w14:paraId="532C8723" w14:textId="77777777" w:rsidR="00A17BA5" w:rsidRPr="00CC6FB4" w:rsidRDefault="00A17BA5" w:rsidP="00273C57">
                      <w:pPr>
                        <w:pStyle w:val="ExhibitText"/>
                      </w:pPr>
                    </w:p>
                    <w:p w14:paraId="6E493C21" w14:textId="440E8EA0" w:rsidR="00A17BA5" w:rsidRPr="00CC6FB4" w:rsidRDefault="00A17BA5" w:rsidP="00273C57">
                      <w:pPr>
                        <w:pStyle w:val="ExhibitText"/>
                      </w:pPr>
                      <w:r w:rsidRPr="00CC6FB4">
                        <w:t>15. If the two offices are combined in the case of the corporate bodies having their securities listed on a stock exchange</w:t>
                      </w:r>
                      <w:r w:rsidR="00A55CB7">
                        <w:t>,</w:t>
                      </w:r>
                      <w:r w:rsidRPr="00CC6FB4">
                        <w:t xml:space="preserve"> the rationalization behind the decision to combine the roles should be explained to shareholders and the board must enact procedures that ensure the independence of the board as a whole.</w:t>
                      </w:r>
                    </w:p>
                    <w:p w14:paraId="0A94A5D8" w14:textId="77777777" w:rsidR="00A17BA5" w:rsidRPr="00CC6FB4" w:rsidRDefault="00A17BA5" w:rsidP="00273C57">
                      <w:pPr>
                        <w:pStyle w:val="ExhibitText"/>
                      </w:pPr>
                    </w:p>
                    <w:p w14:paraId="03AAF9A8" w14:textId="7D827294" w:rsidR="00A17BA5" w:rsidRPr="00CC6FB4" w:rsidRDefault="00A17BA5" w:rsidP="00273C57">
                      <w:pPr>
                        <w:pStyle w:val="ExhibitText"/>
                      </w:pPr>
                      <w:r w:rsidRPr="00CC6FB4">
                        <w:t>16. In the event of a separation of the two offices</w:t>
                      </w:r>
                      <w:r w:rsidR="00A55CB7">
                        <w:t>,</w:t>
                      </w:r>
                      <w:r w:rsidRPr="00CC6FB4">
                        <w:t xml:space="preserve"> the relationship between the managing director/chief executive officer and the chairman and the board as a whole along with their respective responsibilities should be formally defined.</w:t>
                      </w:r>
                    </w:p>
                    <w:p w14:paraId="51385F9F" w14:textId="77777777" w:rsidR="00A17BA5" w:rsidRPr="00CC6FB4" w:rsidRDefault="00A17BA5" w:rsidP="00273C57">
                      <w:pPr>
                        <w:pStyle w:val="ExhibitText"/>
                      </w:pPr>
                    </w:p>
                    <w:p w14:paraId="7AB93C70" w14:textId="77777777" w:rsidR="00A17BA5" w:rsidRPr="00273C57" w:rsidRDefault="00A17BA5" w:rsidP="00273C57">
                      <w:pPr>
                        <w:pStyle w:val="ExhibitText"/>
                        <w:rPr>
                          <w:b/>
                          <w:i/>
                        </w:rPr>
                      </w:pPr>
                      <w:r w:rsidRPr="00273C57">
                        <w:rPr>
                          <w:b/>
                          <w:i/>
                        </w:rPr>
                        <w:t xml:space="preserve">Board Committee Meetings </w:t>
                      </w:r>
                    </w:p>
                    <w:p w14:paraId="2F50812F" w14:textId="77777777" w:rsidR="00A17BA5" w:rsidRPr="00CC6FB4" w:rsidRDefault="00A17BA5" w:rsidP="00273C57">
                      <w:pPr>
                        <w:pStyle w:val="ExhibitText"/>
                      </w:pPr>
                      <w:r w:rsidRPr="00CC6FB4">
                        <w:t xml:space="preserve">34. The board should meet regularly and in the case of listed corporate bodies at least six times a year. </w:t>
                      </w:r>
                    </w:p>
                    <w:p w14:paraId="3E78C283" w14:textId="77777777" w:rsidR="00A17BA5" w:rsidRPr="00CC6FB4" w:rsidRDefault="00A17BA5" w:rsidP="00273C57">
                      <w:pPr>
                        <w:pStyle w:val="ExhibitText"/>
                      </w:pPr>
                    </w:p>
                    <w:p w14:paraId="39CAFEA5" w14:textId="7073D5B6" w:rsidR="00A17BA5" w:rsidRPr="00273C57" w:rsidRDefault="00A17BA5" w:rsidP="00273C57">
                      <w:pPr>
                        <w:pStyle w:val="ExhibitText"/>
                        <w:rPr>
                          <w:b/>
                        </w:rPr>
                      </w:pPr>
                      <w:r w:rsidRPr="00273C57">
                        <w:rPr>
                          <w:b/>
                        </w:rPr>
                        <w:t xml:space="preserve">Section II - Committees of the </w:t>
                      </w:r>
                      <w:r w:rsidR="007B3BBD">
                        <w:rPr>
                          <w:b/>
                        </w:rPr>
                        <w:t>B</w:t>
                      </w:r>
                      <w:r w:rsidRPr="00273C57">
                        <w:rPr>
                          <w:b/>
                        </w:rPr>
                        <w:t xml:space="preserve">oard </w:t>
                      </w:r>
                    </w:p>
                    <w:p w14:paraId="3B97DEBA" w14:textId="26DA9DE1" w:rsidR="00A17BA5" w:rsidRPr="00273C57" w:rsidRDefault="00A17BA5" w:rsidP="00273C57">
                      <w:pPr>
                        <w:pStyle w:val="ExhibitText"/>
                        <w:rPr>
                          <w:b/>
                          <w:i/>
                        </w:rPr>
                      </w:pPr>
                      <w:r w:rsidRPr="00273C57">
                        <w:rPr>
                          <w:b/>
                          <w:i/>
                        </w:rPr>
                        <w:t xml:space="preserve">Remuneration </w:t>
                      </w:r>
                      <w:r w:rsidR="007B3BBD">
                        <w:rPr>
                          <w:b/>
                          <w:i/>
                        </w:rPr>
                        <w:t>P</w:t>
                      </w:r>
                      <w:r w:rsidRPr="00273C57">
                        <w:rPr>
                          <w:b/>
                          <w:i/>
                        </w:rPr>
                        <w:t>olicy</w:t>
                      </w:r>
                    </w:p>
                    <w:p w14:paraId="4C4856CB" w14:textId="77777777" w:rsidR="00A17BA5" w:rsidRPr="00CC6FB4" w:rsidRDefault="00A17BA5" w:rsidP="00273C57">
                      <w:pPr>
                        <w:pStyle w:val="ExhibitText"/>
                      </w:pPr>
                      <w:r w:rsidRPr="00CC6FB4">
                        <w:t xml:space="preserve">63. Stock options, employee share ownership schemes and other equity oriented plans should be considered as a means of linking management’s interest to that of shareholders. </w:t>
                      </w:r>
                    </w:p>
                    <w:p w14:paraId="0E367FB1" w14:textId="77777777" w:rsidR="00A17BA5" w:rsidRPr="00CC6FB4" w:rsidRDefault="00A17BA5" w:rsidP="00273C57">
                      <w:pPr>
                        <w:pStyle w:val="ExhibitText"/>
                      </w:pPr>
                    </w:p>
                    <w:p w14:paraId="5BCD69E3" w14:textId="77777777" w:rsidR="00A17BA5" w:rsidRPr="00273C57" w:rsidRDefault="00A17BA5" w:rsidP="00273C57">
                      <w:pPr>
                        <w:pStyle w:val="ExhibitText"/>
                        <w:rPr>
                          <w:b/>
                        </w:rPr>
                      </w:pPr>
                      <w:r w:rsidRPr="00273C57">
                        <w:rPr>
                          <w:b/>
                        </w:rPr>
                        <w:t>Section III – Relationship to Shareholders and Stakeholders</w:t>
                      </w:r>
                    </w:p>
                    <w:p w14:paraId="72641954" w14:textId="77777777" w:rsidR="00A17BA5" w:rsidRPr="00273C57" w:rsidRDefault="00A17BA5" w:rsidP="00273C57">
                      <w:pPr>
                        <w:pStyle w:val="ExhibitText"/>
                        <w:rPr>
                          <w:b/>
                          <w:i/>
                        </w:rPr>
                      </w:pPr>
                      <w:r w:rsidRPr="00273C57">
                        <w:rPr>
                          <w:b/>
                          <w:i/>
                        </w:rPr>
                        <w:t>Shareholders and Stakeholders</w:t>
                      </w:r>
                    </w:p>
                    <w:p w14:paraId="052CB2FD" w14:textId="77777777" w:rsidR="00A17BA5" w:rsidRPr="00CC6FB4" w:rsidRDefault="00A17BA5" w:rsidP="00273C57">
                      <w:pPr>
                        <w:pStyle w:val="ExhibitText"/>
                      </w:pPr>
                      <w:r w:rsidRPr="00CC6FB4">
                        <w:t xml:space="preserve">67. Corporate governance practices implemented by the board should not be aimed at benefiting stakeholders at the expense of shareholders but should endeavor to increase shareholder value by monitoring and maintaining stakeholder relationships effectively and professionally. </w:t>
                      </w:r>
                    </w:p>
                    <w:p w14:paraId="1EDB56F9" w14:textId="77777777" w:rsidR="00A17BA5" w:rsidRPr="00CC6FB4" w:rsidRDefault="00A17BA5" w:rsidP="00273C57">
                      <w:pPr>
                        <w:pStyle w:val="ExhibitText"/>
                      </w:pPr>
                    </w:p>
                    <w:p w14:paraId="5FA457BC" w14:textId="77777777" w:rsidR="00A17BA5" w:rsidRPr="00273C57" w:rsidRDefault="00A17BA5" w:rsidP="00273C57">
                      <w:pPr>
                        <w:pStyle w:val="ExhibitText"/>
                        <w:rPr>
                          <w:b/>
                        </w:rPr>
                      </w:pPr>
                      <w:r w:rsidRPr="00273C57">
                        <w:rPr>
                          <w:b/>
                        </w:rPr>
                        <w:t>Section IV – Financial Affairs and Auditing</w:t>
                      </w:r>
                    </w:p>
                    <w:p w14:paraId="3EC6B9DD" w14:textId="2BE796D5" w:rsidR="00A17BA5" w:rsidRPr="00CC6FB4" w:rsidRDefault="00A17BA5" w:rsidP="00273C57">
                      <w:pPr>
                        <w:pStyle w:val="ExhibitText"/>
                        <w:rPr>
                          <w:i/>
                        </w:rPr>
                      </w:pPr>
                      <w:r w:rsidRPr="00273C57">
                        <w:rPr>
                          <w:b/>
                          <w:i/>
                        </w:rPr>
                        <w:t xml:space="preserve">Role of the External </w:t>
                      </w:r>
                      <w:r w:rsidR="007B3BBD">
                        <w:rPr>
                          <w:b/>
                          <w:i/>
                        </w:rPr>
                        <w:t>A</w:t>
                      </w:r>
                      <w:r w:rsidRPr="00273C57">
                        <w:rPr>
                          <w:b/>
                          <w:i/>
                        </w:rPr>
                        <w:t>uditor</w:t>
                      </w:r>
                    </w:p>
                    <w:p w14:paraId="68D522B5" w14:textId="77777777" w:rsidR="00A17BA5" w:rsidRPr="00CC6FB4" w:rsidRDefault="00A17BA5" w:rsidP="00273C57">
                      <w:pPr>
                        <w:pStyle w:val="ExhibitText"/>
                      </w:pPr>
                      <w:r w:rsidRPr="00CC6FB4">
                        <w:t xml:space="preserve">85. The external auditor should be the primary source of an objective, independent and effective opinion on the financial statements of the corporate body. </w:t>
                      </w:r>
                    </w:p>
                  </w:txbxContent>
                </v:textbox>
              </v:shape>
            </w:pict>
          </mc:Fallback>
        </mc:AlternateContent>
      </w:r>
    </w:p>
    <w:p w14:paraId="518BD520" w14:textId="06FD9322" w:rsidR="00A17BA5" w:rsidRDefault="00A17BA5" w:rsidP="00A17BA5">
      <w:pPr>
        <w:pStyle w:val="BodyTextMain"/>
      </w:pPr>
    </w:p>
    <w:p w14:paraId="7C7C1226" w14:textId="77777777" w:rsidR="00A17BA5" w:rsidRDefault="00A17BA5" w:rsidP="00A17BA5">
      <w:pPr>
        <w:pStyle w:val="BodyTextMain"/>
      </w:pPr>
    </w:p>
    <w:p w14:paraId="168216E5" w14:textId="77777777" w:rsidR="00A17BA5" w:rsidRDefault="00A17BA5" w:rsidP="00A17BA5">
      <w:pPr>
        <w:pStyle w:val="BodyTextMain"/>
      </w:pPr>
    </w:p>
    <w:p w14:paraId="17B50405" w14:textId="77777777" w:rsidR="00A17BA5" w:rsidRDefault="00A17BA5" w:rsidP="00A17BA5">
      <w:pPr>
        <w:pStyle w:val="BodyTextMain"/>
      </w:pPr>
    </w:p>
    <w:p w14:paraId="1667E978" w14:textId="77777777" w:rsidR="00A17BA5" w:rsidRDefault="00A17BA5" w:rsidP="00A17BA5">
      <w:pPr>
        <w:pStyle w:val="BodyTextMain"/>
      </w:pPr>
    </w:p>
    <w:p w14:paraId="2B74562B" w14:textId="77777777" w:rsidR="00A17BA5" w:rsidRDefault="00A17BA5" w:rsidP="00A17BA5">
      <w:pPr>
        <w:pStyle w:val="BodyTextMain"/>
      </w:pPr>
    </w:p>
    <w:p w14:paraId="291A8497" w14:textId="77777777" w:rsidR="00A17BA5" w:rsidRDefault="00A17BA5" w:rsidP="00A17BA5">
      <w:pPr>
        <w:pStyle w:val="BodyTextMain"/>
      </w:pPr>
    </w:p>
    <w:p w14:paraId="795D6DF1" w14:textId="77777777" w:rsidR="00A17BA5" w:rsidRDefault="00A17BA5" w:rsidP="00A17BA5">
      <w:pPr>
        <w:pStyle w:val="BodyTextMain"/>
      </w:pPr>
    </w:p>
    <w:p w14:paraId="104FB5A2" w14:textId="77777777" w:rsidR="00A17BA5" w:rsidRDefault="00A17BA5" w:rsidP="00A17BA5">
      <w:pPr>
        <w:pStyle w:val="BodyTextMain"/>
      </w:pPr>
    </w:p>
    <w:p w14:paraId="5CF7BDB9" w14:textId="77777777" w:rsidR="00A17BA5" w:rsidRDefault="00A17BA5" w:rsidP="00A17BA5">
      <w:pPr>
        <w:pStyle w:val="BodyTextMain"/>
      </w:pPr>
    </w:p>
    <w:p w14:paraId="2736530D" w14:textId="77777777" w:rsidR="00A17BA5" w:rsidRDefault="00A17BA5" w:rsidP="00A17BA5">
      <w:pPr>
        <w:pStyle w:val="BodyTextMain"/>
      </w:pPr>
    </w:p>
    <w:p w14:paraId="6A1CE253" w14:textId="77777777" w:rsidR="00A17BA5" w:rsidRDefault="00A17BA5" w:rsidP="00A17BA5">
      <w:pPr>
        <w:pStyle w:val="BodyTextMain"/>
      </w:pPr>
    </w:p>
    <w:p w14:paraId="71238ABA" w14:textId="77777777" w:rsidR="00A17BA5" w:rsidRDefault="00A17BA5" w:rsidP="00A17BA5">
      <w:pPr>
        <w:pStyle w:val="BodyTextMain"/>
      </w:pPr>
    </w:p>
    <w:p w14:paraId="7B8DF615" w14:textId="77777777" w:rsidR="00A17BA5" w:rsidRDefault="00A17BA5" w:rsidP="00A17BA5">
      <w:pPr>
        <w:pStyle w:val="BodyTextMain"/>
      </w:pPr>
    </w:p>
    <w:p w14:paraId="10266EDB" w14:textId="77777777" w:rsidR="00A17BA5" w:rsidRDefault="00A17BA5" w:rsidP="00A17BA5">
      <w:pPr>
        <w:pStyle w:val="BodyTextMain"/>
      </w:pPr>
    </w:p>
    <w:p w14:paraId="2D777857" w14:textId="77777777" w:rsidR="00A17BA5" w:rsidRDefault="00A17BA5" w:rsidP="00A17BA5">
      <w:pPr>
        <w:pStyle w:val="BodyTextMain"/>
      </w:pPr>
    </w:p>
    <w:p w14:paraId="5B505E99" w14:textId="77777777" w:rsidR="00A17BA5" w:rsidRDefault="00A17BA5" w:rsidP="00A17BA5">
      <w:pPr>
        <w:pStyle w:val="BodyTextMain"/>
      </w:pPr>
    </w:p>
    <w:p w14:paraId="3549E7E1" w14:textId="77777777" w:rsidR="00A17BA5" w:rsidRDefault="00A17BA5" w:rsidP="00A17BA5">
      <w:pPr>
        <w:pStyle w:val="BodyTextMain"/>
      </w:pPr>
    </w:p>
    <w:p w14:paraId="6F516379" w14:textId="77777777" w:rsidR="00A17BA5" w:rsidRDefault="00A17BA5" w:rsidP="00A17BA5">
      <w:pPr>
        <w:pStyle w:val="BodyTextMain"/>
      </w:pPr>
    </w:p>
    <w:p w14:paraId="206216C4" w14:textId="77777777" w:rsidR="00A17BA5" w:rsidRDefault="00A17BA5" w:rsidP="00A17BA5">
      <w:pPr>
        <w:pStyle w:val="BodyTextMain"/>
      </w:pPr>
    </w:p>
    <w:p w14:paraId="6E100FC7" w14:textId="77777777" w:rsidR="00A17BA5" w:rsidRDefault="00A17BA5" w:rsidP="00A17BA5">
      <w:pPr>
        <w:pStyle w:val="BodyTextMain"/>
      </w:pPr>
    </w:p>
    <w:p w14:paraId="793A366E" w14:textId="77777777" w:rsidR="00A17BA5" w:rsidRDefault="00A17BA5" w:rsidP="00A17BA5">
      <w:pPr>
        <w:pStyle w:val="BodyTextMain"/>
      </w:pPr>
    </w:p>
    <w:p w14:paraId="494724F4" w14:textId="77777777" w:rsidR="00A17BA5" w:rsidRDefault="00A17BA5" w:rsidP="00A17BA5">
      <w:pPr>
        <w:pStyle w:val="BodyTextMain"/>
      </w:pPr>
    </w:p>
    <w:p w14:paraId="49617C62" w14:textId="77777777" w:rsidR="00A17BA5" w:rsidRDefault="00A17BA5" w:rsidP="00A17BA5">
      <w:pPr>
        <w:pStyle w:val="BodyTextMain"/>
      </w:pPr>
    </w:p>
    <w:p w14:paraId="3BED89FA" w14:textId="77777777" w:rsidR="00A17BA5" w:rsidRDefault="00A17BA5" w:rsidP="00A17BA5">
      <w:pPr>
        <w:pStyle w:val="BodyTextMain"/>
      </w:pPr>
    </w:p>
    <w:p w14:paraId="22D31583" w14:textId="77777777" w:rsidR="00A17BA5" w:rsidRDefault="00A17BA5" w:rsidP="00A17BA5">
      <w:pPr>
        <w:pStyle w:val="BodyTextMain"/>
      </w:pPr>
    </w:p>
    <w:p w14:paraId="16ED0654" w14:textId="77777777" w:rsidR="00A17BA5" w:rsidRDefault="00A17BA5" w:rsidP="00A17BA5">
      <w:pPr>
        <w:pStyle w:val="BodyTextMain"/>
      </w:pPr>
    </w:p>
    <w:p w14:paraId="1E187FC9" w14:textId="77777777" w:rsidR="00A17BA5" w:rsidRDefault="00A17BA5" w:rsidP="00A17BA5">
      <w:pPr>
        <w:pStyle w:val="BodyTextMain"/>
      </w:pPr>
    </w:p>
    <w:p w14:paraId="2CEB0F7F" w14:textId="77777777" w:rsidR="00A17BA5" w:rsidRDefault="00A17BA5" w:rsidP="00A17BA5">
      <w:pPr>
        <w:pStyle w:val="BodyTextMain"/>
      </w:pPr>
    </w:p>
    <w:p w14:paraId="50BE4DEF" w14:textId="77777777" w:rsidR="00A17BA5" w:rsidRDefault="00A17BA5" w:rsidP="00A17BA5">
      <w:pPr>
        <w:pStyle w:val="BodyTextMain"/>
      </w:pPr>
    </w:p>
    <w:p w14:paraId="2FC098A6" w14:textId="77777777" w:rsidR="00A17BA5" w:rsidRDefault="00A17BA5" w:rsidP="00A17BA5">
      <w:pPr>
        <w:pStyle w:val="BodyTextMain"/>
      </w:pPr>
    </w:p>
    <w:p w14:paraId="0AACF572" w14:textId="77777777" w:rsidR="00A17BA5" w:rsidRDefault="00A17BA5" w:rsidP="00A17BA5">
      <w:pPr>
        <w:pStyle w:val="BodyTextMain"/>
      </w:pPr>
    </w:p>
    <w:p w14:paraId="2850C16D" w14:textId="77777777" w:rsidR="00A17BA5" w:rsidRDefault="00A17BA5" w:rsidP="00A17BA5">
      <w:pPr>
        <w:pStyle w:val="BodyTextMain"/>
      </w:pPr>
    </w:p>
    <w:p w14:paraId="3D19301D" w14:textId="77777777" w:rsidR="00A17BA5" w:rsidRDefault="00A17BA5" w:rsidP="00A17BA5">
      <w:pPr>
        <w:pStyle w:val="BodyTextMain"/>
      </w:pPr>
    </w:p>
    <w:p w14:paraId="0A57A740" w14:textId="77777777" w:rsidR="00A17BA5" w:rsidRDefault="00A17BA5" w:rsidP="00A17BA5">
      <w:pPr>
        <w:pStyle w:val="BodyTextMain"/>
      </w:pPr>
    </w:p>
    <w:p w14:paraId="5FB7E624" w14:textId="77777777" w:rsidR="00A17BA5" w:rsidRDefault="00A17BA5" w:rsidP="00A17BA5">
      <w:pPr>
        <w:pStyle w:val="BodyTextMain"/>
      </w:pPr>
    </w:p>
    <w:p w14:paraId="2D04CD25" w14:textId="77777777" w:rsidR="00A17BA5" w:rsidRDefault="00A17BA5" w:rsidP="00A17BA5">
      <w:pPr>
        <w:pStyle w:val="BodyTextMain"/>
      </w:pPr>
    </w:p>
    <w:p w14:paraId="2C3EC4A8" w14:textId="77777777" w:rsidR="00A17BA5" w:rsidRDefault="00A17BA5" w:rsidP="00A17BA5">
      <w:pPr>
        <w:pStyle w:val="BodyTextMain"/>
      </w:pPr>
    </w:p>
    <w:p w14:paraId="7F0B2E0E" w14:textId="77777777" w:rsidR="00A17BA5" w:rsidRDefault="00A17BA5" w:rsidP="00A17BA5">
      <w:pPr>
        <w:pStyle w:val="BodyTextMain"/>
      </w:pPr>
    </w:p>
    <w:p w14:paraId="6AF2C4CC" w14:textId="77777777" w:rsidR="00A17BA5" w:rsidRDefault="00A17BA5" w:rsidP="00A17BA5">
      <w:pPr>
        <w:pStyle w:val="BodyTextMain"/>
      </w:pPr>
    </w:p>
    <w:p w14:paraId="7E74ADBB" w14:textId="77777777" w:rsidR="00A17BA5" w:rsidRDefault="00A17BA5" w:rsidP="00A17BA5">
      <w:pPr>
        <w:pStyle w:val="BodyTextMain"/>
      </w:pPr>
    </w:p>
    <w:p w14:paraId="5D39E73A" w14:textId="77777777" w:rsidR="00A17BA5" w:rsidRDefault="00A17BA5" w:rsidP="00A17BA5">
      <w:pPr>
        <w:pStyle w:val="BodyTextMain"/>
      </w:pPr>
    </w:p>
    <w:p w14:paraId="1168857F" w14:textId="77777777" w:rsidR="00A17BA5" w:rsidRDefault="00A17BA5" w:rsidP="00A17BA5">
      <w:pPr>
        <w:pStyle w:val="BodyTextMain"/>
      </w:pPr>
    </w:p>
    <w:p w14:paraId="71D6226A" w14:textId="77777777" w:rsidR="00A17BA5" w:rsidRDefault="00A17BA5" w:rsidP="00A17BA5">
      <w:pPr>
        <w:pStyle w:val="BodyTextMain"/>
      </w:pPr>
    </w:p>
    <w:p w14:paraId="1261BB68" w14:textId="77777777" w:rsidR="00A17BA5" w:rsidRDefault="00A17BA5" w:rsidP="00273C57">
      <w:pPr>
        <w:pStyle w:val="ExhibitText"/>
      </w:pPr>
    </w:p>
    <w:p w14:paraId="112D6FEC" w14:textId="144E4405" w:rsidR="0003436C" w:rsidRPr="00273C57" w:rsidRDefault="0003436C" w:rsidP="0003436C">
      <w:pPr>
        <w:pStyle w:val="Footnote"/>
        <w:rPr>
          <w:rFonts w:eastAsia="Calibri"/>
          <w:shd w:val="clear" w:color="auto" w:fill="FFFFFF"/>
          <w:lang w:val="en-GB"/>
        </w:rPr>
      </w:pPr>
      <w:r>
        <w:t xml:space="preserve">Source: </w:t>
      </w:r>
      <w:r w:rsidR="00546661">
        <w:t xml:space="preserve">Adapted by the authors from </w:t>
      </w:r>
      <w:r w:rsidRPr="00CE7586">
        <w:rPr>
          <w:rFonts w:eastAsia="Calibri"/>
          <w:shd w:val="clear" w:color="auto" w:fill="FFFFFF"/>
          <w:lang w:val="en-GB"/>
        </w:rPr>
        <w:t xml:space="preserve">Securities and Exchange Commission Ghana, </w:t>
      </w:r>
      <w:r w:rsidRPr="00CE7586">
        <w:rPr>
          <w:rFonts w:eastAsia="Calibri"/>
          <w:i/>
          <w:shd w:val="clear" w:color="auto" w:fill="FFFFFF"/>
          <w:lang w:val="en-GB"/>
        </w:rPr>
        <w:t xml:space="preserve">Corporate Governance: Guidelines on Best Practices </w:t>
      </w:r>
      <w:r w:rsidRPr="00CE7586">
        <w:rPr>
          <w:rFonts w:eastAsia="Calibri"/>
          <w:shd w:val="clear" w:color="auto" w:fill="FFFFFF"/>
          <w:lang w:val="en-GB"/>
        </w:rPr>
        <w:t>(</w:t>
      </w:r>
      <w:r w:rsidRPr="00CE7586">
        <w:rPr>
          <w:rFonts w:eastAsia="Calibri"/>
          <w:iCs/>
          <w:lang w:val="en-GB"/>
        </w:rPr>
        <w:t>Accra, Ghana: Securities and Exchange Commission of the Republic of Ghana, 2010)</w:t>
      </w:r>
      <w:r w:rsidR="00546661">
        <w:rPr>
          <w:rFonts w:eastAsia="Calibri"/>
          <w:iCs/>
          <w:lang w:val="en-GB"/>
        </w:rPr>
        <w:t>.</w:t>
      </w:r>
    </w:p>
    <w:p w14:paraId="3E3213CC" w14:textId="73A6AED6" w:rsidR="00337F63" w:rsidRPr="00273C57" w:rsidRDefault="00337F63" w:rsidP="00273C57">
      <w:pPr>
        <w:pStyle w:val="Footnote"/>
        <w:rPr>
          <w:rFonts w:eastAsia="Calibri"/>
          <w:shd w:val="clear" w:color="auto" w:fill="FFFFFF"/>
          <w:lang w:val="en-GB"/>
        </w:rPr>
      </w:pPr>
    </w:p>
    <w:sectPr w:rsidR="00337F63" w:rsidRPr="00273C57" w:rsidSect="00EF126A">
      <w:headerReference w:type="default" r:id="rId20"/>
      <w:endnotePr>
        <w:numFmt w:val="decimal"/>
      </w:endnotePr>
      <w:pgSz w:w="12240" w:h="15840"/>
      <w:pgMar w:top="1080" w:right="1440" w:bottom="993"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49C6A" w14:textId="77777777" w:rsidR="00525C4E" w:rsidRDefault="00525C4E" w:rsidP="00D75295">
      <w:r>
        <w:separator/>
      </w:r>
    </w:p>
  </w:endnote>
  <w:endnote w:type="continuationSeparator" w:id="0">
    <w:p w14:paraId="5CAD97E4" w14:textId="77777777" w:rsidR="00525C4E" w:rsidRDefault="00525C4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FA3C1" w14:textId="77777777" w:rsidR="00525C4E" w:rsidRDefault="00525C4E" w:rsidP="00D75295">
      <w:r>
        <w:separator/>
      </w:r>
    </w:p>
  </w:footnote>
  <w:footnote w:type="continuationSeparator" w:id="0">
    <w:p w14:paraId="29BC81A4" w14:textId="77777777" w:rsidR="00525C4E" w:rsidRDefault="00525C4E" w:rsidP="00D75295">
      <w:r>
        <w:continuationSeparator/>
      </w:r>
    </w:p>
  </w:footnote>
  <w:footnote w:id="1">
    <w:p w14:paraId="796C6529" w14:textId="4E84FA32" w:rsidR="004E3168" w:rsidRPr="00C557F9" w:rsidRDefault="004E3168" w:rsidP="002C7B2B">
      <w:pPr>
        <w:pStyle w:val="Footnote"/>
      </w:pPr>
      <w:r w:rsidRPr="00C557F9">
        <w:rPr>
          <w:rStyle w:val="FootnoteReference"/>
        </w:rPr>
        <w:footnoteRef/>
      </w:r>
      <w:r w:rsidRPr="00C557F9">
        <w:t xml:space="preserve"> </w:t>
      </w:r>
      <w:r w:rsidRPr="00C557F9">
        <w:rPr>
          <w:rStyle w:val="FootnoteChar"/>
        </w:rPr>
        <w:t>This case has been written on the basis of published sources only. Consequently, the interpretation and perspectives presented in th</w:t>
      </w:r>
      <w:r w:rsidR="00BF556D" w:rsidRPr="00C557F9">
        <w:rPr>
          <w:rStyle w:val="FootnoteChar"/>
        </w:rPr>
        <w:t>e</w:t>
      </w:r>
      <w:r w:rsidRPr="00C557F9">
        <w:rPr>
          <w:rStyle w:val="FootnoteChar"/>
        </w:rPr>
        <w:t xml:space="preserve"> case are not necessarily those of SIC Insurance Company Limited or any of its employees.</w:t>
      </w:r>
    </w:p>
  </w:footnote>
  <w:footnote w:id="2">
    <w:p w14:paraId="1310AED3" w14:textId="4991E688" w:rsidR="00546661" w:rsidRPr="00C557F9" w:rsidRDefault="00546661" w:rsidP="00546661">
      <w:pPr>
        <w:pStyle w:val="Footnote"/>
        <w:rPr>
          <w:lang w:val="en-GB"/>
        </w:rPr>
      </w:pPr>
      <w:r w:rsidRPr="00C557F9">
        <w:rPr>
          <w:rStyle w:val="FootnoteReference"/>
        </w:rPr>
        <w:footnoteRef/>
      </w:r>
      <w:r w:rsidRPr="00C557F9">
        <w:t xml:space="preserve"> SIC Insurance Company Ltd., “About Us,” accessed July 13, 2017, www.sic-gh.com/maincat_ </w:t>
      </w:r>
      <w:proofErr w:type="spellStart"/>
      <w:r w:rsidRPr="00C557F9">
        <w:t>select.cfm</w:t>
      </w:r>
      <w:proofErr w:type="spellEnd"/>
      <w:r w:rsidRPr="00C557F9">
        <w:t xml:space="preserve">? </w:t>
      </w:r>
      <w:proofErr w:type="spellStart"/>
      <w:r w:rsidRPr="00C557F9">
        <w:t>prodcatID</w:t>
      </w:r>
      <w:proofErr w:type="spellEnd"/>
      <w:r w:rsidRPr="00C557F9">
        <w:t>=1</w:t>
      </w:r>
      <w:r>
        <w:t xml:space="preserve">; </w:t>
      </w:r>
      <w:r w:rsidRPr="002E069A">
        <w:t xml:space="preserve">SIC Insurance Company Ltd., “Executive Management”, SIC Insurance Company Ltd, </w:t>
      </w:r>
      <w:proofErr w:type="spellStart"/>
      <w:r w:rsidRPr="002E069A">
        <w:t>n.d</w:t>
      </w:r>
      <w:proofErr w:type="spellEnd"/>
      <w:r w:rsidRPr="002E069A">
        <w:t>, accessed July 13, 2017, http://www.sic-gh.com/details.cfm?tblNewsCatID=22&amp;prodcatID=6&amp;tblNewsID=177</w:t>
      </w:r>
      <w:r>
        <w:t>.</w:t>
      </w:r>
    </w:p>
  </w:footnote>
  <w:footnote w:id="3">
    <w:p w14:paraId="007A0B78" w14:textId="2590940E" w:rsidR="004E3168" w:rsidRPr="00C557F9" w:rsidRDefault="004E3168" w:rsidP="007C726D">
      <w:pPr>
        <w:pStyle w:val="Footnote"/>
      </w:pPr>
      <w:r w:rsidRPr="00C557F9">
        <w:rPr>
          <w:rStyle w:val="FootnoteReference"/>
        </w:rPr>
        <w:footnoteRef/>
      </w:r>
      <w:r w:rsidRPr="00C557F9">
        <w:t xml:space="preserve"> </w:t>
      </w:r>
      <w:r w:rsidRPr="000D3354">
        <w:t>₵</w:t>
      </w:r>
      <w:r w:rsidRPr="00C557F9">
        <w:t xml:space="preserve">= GHS = Ghanaian cedi; </w:t>
      </w:r>
      <w:r w:rsidRPr="000D3354">
        <w:t>₵</w:t>
      </w:r>
      <w:r w:rsidRPr="00C557F9">
        <w:t>1 = US$0.26 on March 31, 2015.</w:t>
      </w:r>
    </w:p>
  </w:footnote>
  <w:footnote w:id="4">
    <w:p w14:paraId="4E289D45" w14:textId="50BBA410" w:rsidR="00921C1E" w:rsidRPr="000D3354" w:rsidRDefault="00921C1E">
      <w:pPr>
        <w:pStyle w:val="FootnoteText"/>
        <w:rPr>
          <w:rFonts w:ascii="Arial" w:hAnsi="Arial" w:cs="Arial"/>
          <w:sz w:val="17"/>
          <w:szCs w:val="17"/>
          <w:lang w:val="en-GB"/>
        </w:rPr>
      </w:pPr>
      <w:r w:rsidRPr="000D3354">
        <w:rPr>
          <w:rStyle w:val="FootnoteReference"/>
          <w:rFonts w:ascii="Arial" w:hAnsi="Arial" w:cs="Arial"/>
          <w:sz w:val="17"/>
          <w:szCs w:val="17"/>
        </w:rPr>
        <w:footnoteRef/>
      </w:r>
      <w:r w:rsidRPr="000D3354">
        <w:rPr>
          <w:rFonts w:ascii="Arial" w:hAnsi="Arial" w:cs="Arial"/>
          <w:sz w:val="17"/>
          <w:szCs w:val="17"/>
        </w:rPr>
        <w:t xml:space="preserve"> Samuel </w:t>
      </w:r>
      <w:proofErr w:type="spellStart"/>
      <w:r w:rsidRPr="000D3354">
        <w:rPr>
          <w:rFonts w:ascii="Arial" w:hAnsi="Arial" w:cs="Arial"/>
          <w:sz w:val="17"/>
          <w:szCs w:val="17"/>
        </w:rPr>
        <w:t>Boadi</w:t>
      </w:r>
      <w:proofErr w:type="spellEnd"/>
      <w:r w:rsidRPr="000D3354">
        <w:rPr>
          <w:rFonts w:ascii="Arial" w:hAnsi="Arial" w:cs="Arial"/>
          <w:sz w:val="17"/>
          <w:szCs w:val="17"/>
        </w:rPr>
        <w:t>, “SIC Insurance Explains Deal with Ivory Finance,” Daily Guide, January 9, 2017, accessed July 13, 2017, http://dailyguideafrica.com/sic-insurance-explains-deal-ivory-finance/</w:t>
      </w:r>
      <w:r w:rsidR="00546661">
        <w:rPr>
          <w:rFonts w:ascii="Arial" w:hAnsi="Arial" w:cs="Arial"/>
          <w:sz w:val="17"/>
          <w:szCs w:val="17"/>
        </w:rPr>
        <w:t>.</w:t>
      </w:r>
    </w:p>
  </w:footnote>
  <w:footnote w:id="5">
    <w:p w14:paraId="6E79D306" w14:textId="5B83BBE3" w:rsidR="00921C1E" w:rsidRPr="000D3354" w:rsidRDefault="00921C1E">
      <w:pPr>
        <w:pStyle w:val="FootnoteText"/>
        <w:rPr>
          <w:rFonts w:ascii="Arial" w:hAnsi="Arial" w:cs="Arial"/>
          <w:spacing w:val="-4"/>
          <w:kern w:val="17"/>
          <w:sz w:val="17"/>
          <w:szCs w:val="17"/>
        </w:rPr>
      </w:pPr>
      <w:r w:rsidRPr="000D3354">
        <w:rPr>
          <w:rStyle w:val="FootnoteReference"/>
          <w:rFonts w:ascii="Arial" w:hAnsi="Arial" w:cs="Arial"/>
          <w:spacing w:val="-4"/>
          <w:kern w:val="17"/>
          <w:sz w:val="17"/>
          <w:szCs w:val="17"/>
        </w:rPr>
        <w:footnoteRef/>
      </w:r>
      <w:r w:rsidRPr="000D3354">
        <w:rPr>
          <w:rFonts w:ascii="Arial" w:hAnsi="Arial" w:cs="Arial"/>
          <w:spacing w:val="-4"/>
          <w:kern w:val="17"/>
          <w:sz w:val="17"/>
          <w:szCs w:val="17"/>
        </w:rPr>
        <w:t xml:space="preserve"> University of Ghana Business School, Ghana Business Development Review, 1st ed. (Accra, Ghana: University of </w:t>
      </w:r>
      <w:proofErr w:type="gramStart"/>
      <w:r w:rsidRPr="000D3354">
        <w:rPr>
          <w:rFonts w:ascii="Arial" w:hAnsi="Arial" w:cs="Arial"/>
          <w:spacing w:val="-4"/>
          <w:kern w:val="17"/>
          <w:sz w:val="17"/>
          <w:szCs w:val="17"/>
        </w:rPr>
        <w:t>Ghana ,</w:t>
      </w:r>
      <w:proofErr w:type="gramEnd"/>
      <w:r w:rsidRPr="000D3354">
        <w:rPr>
          <w:rFonts w:ascii="Arial" w:hAnsi="Arial" w:cs="Arial"/>
          <w:spacing w:val="-4"/>
          <w:kern w:val="17"/>
          <w:sz w:val="17"/>
          <w:szCs w:val="17"/>
        </w:rPr>
        <w:t xml:space="preserve"> 2016),134</w:t>
      </w:r>
      <w:r w:rsidR="000D3354" w:rsidRPr="000D3354">
        <w:rPr>
          <w:rFonts w:ascii="Arial" w:hAnsi="Arial" w:cs="Arial"/>
          <w:spacing w:val="-4"/>
          <w:kern w:val="17"/>
          <w:sz w:val="17"/>
          <w:szCs w:val="17"/>
        </w:rPr>
        <w:t xml:space="preserve">; </w:t>
      </w:r>
      <w:r w:rsidR="000D3354" w:rsidRPr="000D3354">
        <w:rPr>
          <w:rFonts w:ascii="Arial" w:hAnsi="Arial" w:cs="Arial"/>
          <w:spacing w:val="-4"/>
          <w:kern w:val="17"/>
          <w:sz w:val="17"/>
          <w:szCs w:val="17"/>
        </w:rPr>
        <w:t>Insurance Act, 2006 (Act 729), accessed July 13, 2017, http://nicgh.org/acts-regulations/insurance-act-2006-act-724/</w:t>
      </w:r>
      <w:r w:rsidR="000D3354" w:rsidRPr="000D3354">
        <w:rPr>
          <w:rFonts w:ascii="Arial" w:hAnsi="Arial" w:cs="Arial"/>
          <w:spacing w:val="-4"/>
          <w:kern w:val="17"/>
          <w:sz w:val="17"/>
          <w:szCs w:val="17"/>
        </w:rPr>
        <w:t>.</w:t>
      </w:r>
    </w:p>
  </w:footnote>
  <w:footnote w:id="6">
    <w:p w14:paraId="68D902DE" w14:textId="7D8CE592" w:rsidR="00546661" w:rsidRDefault="00546661" w:rsidP="00546661">
      <w:pPr>
        <w:pStyle w:val="Footnote"/>
      </w:pPr>
      <w:r>
        <w:rPr>
          <w:rStyle w:val="FootnoteReference"/>
        </w:rPr>
        <w:footnoteRef/>
      </w:r>
      <w:r>
        <w:t xml:space="preserve"> </w:t>
      </w:r>
      <w:r w:rsidRPr="00546661">
        <w:t xml:space="preserve">SIC Insurance Company Ltd., “History of SIC,” SIC Insurance Company Ltd, </w:t>
      </w:r>
      <w:proofErr w:type="spellStart"/>
      <w:r w:rsidRPr="00546661">
        <w:t>n.d</w:t>
      </w:r>
      <w:proofErr w:type="spellEnd"/>
      <w:r w:rsidRPr="00546661">
        <w:t xml:space="preserve">, accessed July 13, 2017, http://www.sic-gh.com/subcat_ </w:t>
      </w:r>
      <w:proofErr w:type="spellStart"/>
      <w:r w:rsidRPr="00546661">
        <w:t>select.cfm</w:t>
      </w:r>
      <w:proofErr w:type="spellEnd"/>
      <w:r w:rsidRPr="00546661">
        <w:t xml:space="preserve">? </w:t>
      </w:r>
      <w:proofErr w:type="spellStart"/>
      <w:r w:rsidRPr="00546661">
        <w:t>prodcat</w:t>
      </w:r>
      <w:proofErr w:type="spellEnd"/>
      <w:r w:rsidRPr="00546661">
        <w:t xml:space="preserve"> ID=1&amp;tblNewsCatID=1; </w:t>
      </w:r>
      <w:r w:rsidRPr="00546661">
        <w:t xml:space="preserve">SIC Insurance Company Ltd., Annual Report and Financial Statements 2013–2015, </w:t>
      </w:r>
      <w:proofErr w:type="spellStart"/>
      <w:r w:rsidRPr="00546661">
        <w:t>n.d</w:t>
      </w:r>
      <w:proofErr w:type="spellEnd"/>
      <w:r w:rsidRPr="00546661">
        <w:t>, accessed July 13, 2017, www.sic-gh.com/subcat_select.cfm?prodcatID=5&amp;tblNewsCatID=24. (Created by the authors based on data extracted from SIC’s annual reports)</w:t>
      </w:r>
      <w:r w:rsidRPr="00546661">
        <w:t xml:space="preserve">; </w:t>
      </w:r>
      <w:r w:rsidRPr="00546661">
        <w:rPr>
          <w:lang w:val="en-GB"/>
        </w:rPr>
        <w:t xml:space="preserve">Ghana Stock exchange, “Listed </w:t>
      </w:r>
      <w:proofErr w:type="spellStart"/>
      <w:r w:rsidRPr="00546661">
        <w:rPr>
          <w:lang w:val="en-GB"/>
        </w:rPr>
        <w:t>Companies”,Ghana</w:t>
      </w:r>
      <w:proofErr w:type="spellEnd"/>
      <w:r w:rsidRPr="00546661">
        <w:rPr>
          <w:lang w:val="en-GB"/>
        </w:rPr>
        <w:t xml:space="preserve"> Stock exchange, </w:t>
      </w:r>
      <w:proofErr w:type="spellStart"/>
      <w:r w:rsidRPr="00546661">
        <w:rPr>
          <w:lang w:val="en-GB"/>
        </w:rPr>
        <w:t>n.d</w:t>
      </w:r>
      <w:proofErr w:type="spellEnd"/>
      <w:r w:rsidRPr="00546661">
        <w:rPr>
          <w:lang w:val="en-GB"/>
        </w:rPr>
        <w:t>, accessed July 13, 2017,</w:t>
      </w:r>
      <w:r w:rsidRPr="00546661">
        <w:t xml:space="preserve"> </w:t>
      </w:r>
      <w:r w:rsidRPr="00546661">
        <w:rPr>
          <w:lang w:val="en-GB"/>
        </w:rPr>
        <w:t>https://gse.com.gh/listing/listed-companies.</w:t>
      </w:r>
    </w:p>
  </w:footnote>
  <w:footnote w:id="7">
    <w:p w14:paraId="7340FFC0" w14:textId="54D94EA4" w:rsidR="00921C1E" w:rsidRPr="000D3354" w:rsidRDefault="00921C1E">
      <w:pPr>
        <w:pStyle w:val="FootnoteText"/>
        <w:rPr>
          <w:rFonts w:ascii="Arial" w:hAnsi="Arial" w:cs="Arial"/>
          <w:sz w:val="17"/>
          <w:szCs w:val="17"/>
          <w:lang w:val="en-GB"/>
        </w:rPr>
      </w:pPr>
      <w:r w:rsidRPr="000D3354">
        <w:rPr>
          <w:rStyle w:val="FootnoteReference"/>
          <w:rFonts w:ascii="Arial" w:hAnsi="Arial" w:cs="Arial"/>
          <w:sz w:val="17"/>
          <w:szCs w:val="17"/>
        </w:rPr>
        <w:footnoteRef/>
      </w:r>
      <w:r w:rsidR="00546661">
        <w:rPr>
          <w:rFonts w:ascii="Arial" w:hAnsi="Arial" w:cs="Arial"/>
          <w:sz w:val="17"/>
          <w:szCs w:val="17"/>
        </w:rPr>
        <w:t xml:space="preserve"> Ibid.</w:t>
      </w:r>
    </w:p>
  </w:footnote>
  <w:footnote w:id="8">
    <w:p w14:paraId="11BAE631" w14:textId="77777777" w:rsidR="00A83C18" w:rsidRPr="000D3354" w:rsidRDefault="00A83C18" w:rsidP="00A83C18">
      <w:pPr>
        <w:pStyle w:val="FootnoteText"/>
        <w:rPr>
          <w:rFonts w:ascii="Arial" w:hAnsi="Arial" w:cs="Arial"/>
          <w:sz w:val="17"/>
          <w:szCs w:val="17"/>
          <w:lang w:val="en-GB"/>
        </w:rPr>
      </w:pPr>
      <w:r w:rsidRPr="000D3354">
        <w:rPr>
          <w:rStyle w:val="FootnoteReference"/>
          <w:rFonts w:ascii="Arial" w:hAnsi="Arial" w:cs="Arial"/>
          <w:sz w:val="17"/>
          <w:szCs w:val="17"/>
        </w:rPr>
        <w:footnoteRef/>
      </w:r>
      <w:r w:rsidRPr="000D3354">
        <w:rPr>
          <w:rFonts w:ascii="Arial" w:hAnsi="Arial" w:cs="Arial"/>
          <w:sz w:val="17"/>
          <w:szCs w:val="17"/>
        </w:rPr>
        <w:t xml:space="preserve"> </w:t>
      </w:r>
      <w:r w:rsidRPr="00C557F9">
        <w:rPr>
          <w:rFonts w:ascii="Arial" w:hAnsi="Arial" w:cs="Arial"/>
          <w:sz w:val="17"/>
          <w:szCs w:val="17"/>
        </w:rPr>
        <w:t>SIC Company Limited, “GSE Market Information Archive”, Annual Reports Ghana, accessed July 13, 2017.</w:t>
      </w:r>
    </w:p>
  </w:footnote>
  <w:footnote w:id="9">
    <w:p w14:paraId="10908053" w14:textId="61DFC54E" w:rsidR="00546661" w:rsidRDefault="00546661" w:rsidP="00546661">
      <w:pPr>
        <w:pStyle w:val="Footnote"/>
      </w:pPr>
      <w:r>
        <w:rPr>
          <w:rStyle w:val="FootnoteReference"/>
        </w:rPr>
        <w:footnoteRef/>
      </w:r>
      <w:r>
        <w:t xml:space="preserve"> </w:t>
      </w:r>
      <w:r w:rsidRPr="00546661">
        <w:t>SIC Insurance Company Ltd., “About Us,”</w:t>
      </w:r>
      <w:r>
        <w:t xml:space="preserve"> op. cit. </w:t>
      </w:r>
    </w:p>
  </w:footnote>
  <w:footnote w:id="10">
    <w:p w14:paraId="2384B204" w14:textId="0C8F5DDA" w:rsidR="00546661" w:rsidRDefault="00546661" w:rsidP="00546661">
      <w:pPr>
        <w:pStyle w:val="Footnote"/>
      </w:pPr>
      <w:r>
        <w:rPr>
          <w:rStyle w:val="FootnoteReference"/>
        </w:rPr>
        <w:footnoteRef/>
      </w:r>
      <w:r>
        <w:t xml:space="preserve"> Ibid. </w:t>
      </w:r>
    </w:p>
  </w:footnote>
  <w:footnote w:id="11">
    <w:p w14:paraId="78A3A9E7" w14:textId="6EEE8D9D" w:rsidR="00DA3F4A" w:rsidRPr="000D3354" w:rsidRDefault="00DA3F4A" w:rsidP="000D3354">
      <w:pPr>
        <w:pStyle w:val="Footnote"/>
        <w:rPr>
          <w:lang w:val="en-GB"/>
        </w:rPr>
      </w:pPr>
      <w:r w:rsidRPr="000D3354">
        <w:rPr>
          <w:rStyle w:val="FootnoteReference"/>
        </w:rPr>
        <w:footnoteRef/>
      </w:r>
      <w:r w:rsidRPr="000D3354">
        <w:t xml:space="preserve"> </w:t>
      </w:r>
      <w:r w:rsidRPr="00C557F9">
        <w:t>University of Ghana Business School, Ghana Business Development Review, 1st ed. (Ac</w:t>
      </w:r>
      <w:r w:rsidR="00546661">
        <w:t>cra, Ghana: University of Ghana</w:t>
      </w:r>
      <w:r w:rsidRPr="00C557F9">
        <w:t>, 2016)</w:t>
      </w:r>
      <w:proofErr w:type="gramStart"/>
      <w:r w:rsidRPr="00C557F9">
        <w:t>,139</w:t>
      </w:r>
      <w:proofErr w:type="gramEnd"/>
      <w:r w:rsidR="00546661">
        <w:t>.</w:t>
      </w:r>
    </w:p>
  </w:footnote>
  <w:footnote w:id="12">
    <w:p w14:paraId="263B153E" w14:textId="7131A9A1" w:rsidR="00546661" w:rsidRDefault="00546661" w:rsidP="00546661">
      <w:pPr>
        <w:pStyle w:val="Footnote"/>
      </w:pPr>
      <w:r>
        <w:rPr>
          <w:rStyle w:val="FootnoteReference"/>
        </w:rPr>
        <w:footnoteRef/>
      </w:r>
      <w:r>
        <w:t xml:space="preserve"> </w:t>
      </w:r>
      <w:r w:rsidR="007B04F0" w:rsidRPr="00546661">
        <w:rPr>
          <w:lang w:val="en-GB"/>
        </w:rPr>
        <w:t>Ital Co</w:t>
      </w:r>
      <w:r w:rsidR="00A83C18" w:rsidRPr="00546661">
        <w:rPr>
          <w:lang w:val="en-GB"/>
        </w:rPr>
        <w:t xml:space="preserve">nstruct International </w:t>
      </w:r>
      <w:proofErr w:type="spellStart"/>
      <w:r w:rsidR="00A83C18" w:rsidRPr="00546661">
        <w:rPr>
          <w:lang w:val="en-GB"/>
        </w:rPr>
        <w:t>Limted</w:t>
      </w:r>
      <w:proofErr w:type="spellEnd"/>
      <w:r w:rsidR="00A83C18" w:rsidRPr="00546661">
        <w:rPr>
          <w:lang w:val="en-GB"/>
        </w:rPr>
        <w:t>, “A</w:t>
      </w:r>
      <w:r w:rsidR="007B04F0" w:rsidRPr="00546661">
        <w:rPr>
          <w:lang w:val="en-GB"/>
        </w:rPr>
        <w:t xml:space="preserve">bout Us”, Ital Construct International Limited, </w:t>
      </w:r>
      <w:proofErr w:type="spellStart"/>
      <w:r w:rsidR="007B04F0" w:rsidRPr="00546661">
        <w:rPr>
          <w:lang w:val="en-GB"/>
        </w:rPr>
        <w:t>n.d</w:t>
      </w:r>
      <w:proofErr w:type="spellEnd"/>
      <w:r w:rsidR="007B04F0" w:rsidRPr="00546661">
        <w:rPr>
          <w:lang w:val="en-GB"/>
        </w:rPr>
        <w:t>, accessed July 13, 2017,</w:t>
      </w:r>
      <w:r w:rsidR="007B04F0" w:rsidRPr="00546661">
        <w:t xml:space="preserve"> </w:t>
      </w:r>
      <w:r w:rsidR="000D3354" w:rsidRPr="00546661">
        <w:rPr>
          <w:lang w:val="en-GB"/>
        </w:rPr>
        <w:t xml:space="preserve">http://italconstruct.com/index.php/about-us; ITAL Construct International Limited, “$200 Million Affordable Housing Project Rolls Out by December 2014,” ITAL Construct International Limited, </w:t>
      </w:r>
      <w:proofErr w:type="spellStart"/>
      <w:r w:rsidR="000D3354" w:rsidRPr="00546661">
        <w:rPr>
          <w:lang w:val="en-GB"/>
        </w:rPr>
        <w:t>n.d</w:t>
      </w:r>
      <w:proofErr w:type="spellEnd"/>
      <w:r w:rsidR="000D3354" w:rsidRPr="00546661">
        <w:rPr>
          <w:lang w:val="en-GB"/>
        </w:rPr>
        <w:t>, accessed July 13, 2017, www.italconstruct.com/index.php/company-news/207-200-million-affordable-housing-project-rolls-out-by-december-2014.</w:t>
      </w:r>
    </w:p>
  </w:footnote>
  <w:footnote w:id="13">
    <w:p w14:paraId="18B92044" w14:textId="6CB255F3" w:rsidR="007B04F0" w:rsidRPr="000D3354" w:rsidRDefault="007B04F0" w:rsidP="000D3354">
      <w:pPr>
        <w:pStyle w:val="Footnote"/>
        <w:rPr>
          <w:lang w:val="en-GB"/>
        </w:rPr>
      </w:pPr>
      <w:r w:rsidRPr="000D3354">
        <w:rPr>
          <w:rStyle w:val="FootnoteReference"/>
        </w:rPr>
        <w:footnoteRef/>
      </w:r>
      <w:r w:rsidRPr="000D3354">
        <w:t xml:space="preserve"> </w:t>
      </w:r>
      <w:r w:rsidR="00546661">
        <w:rPr>
          <w:lang w:val="en-GB"/>
        </w:rPr>
        <w:t>Ibid.</w:t>
      </w:r>
    </w:p>
  </w:footnote>
  <w:footnote w:id="14">
    <w:p w14:paraId="477051B0" w14:textId="577CA86C" w:rsidR="000D3354" w:rsidRDefault="000D3354" w:rsidP="000D3354">
      <w:pPr>
        <w:pStyle w:val="Footnote"/>
      </w:pPr>
      <w:r>
        <w:rPr>
          <w:rStyle w:val="FootnoteReference"/>
        </w:rPr>
        <w:footnoteRef/>
      </w:r>
      <w:r>
        <w:t xml:space="preserve"> </w:t>
      </w:r>
      <w:r w:rsidRPr="000D3354">
        <w:t>University of Ghana Business School</w:t>
      </w:r>
      <w:r>
        <w:t>, op. cit.</w:t>
      </w:r>
    </w:p>
  </w:footnote>
  <w:footnote w:id="15">
    <w:p w14:paraId="74FFCF20" w14:textId="4307B86A" w:rsidR="000D3354" w:rsidRDefault="000D3354" w:rsidP="000D3354">
      <w:pPr>
        <w:pStyle w:val="Footnote"/>
      </w:pPr>
      <w:r>
        <w:rPr>
          <w:rStyle w:val="FootnoteReference"/>
        </w:rPr>
        <w:footnoteRef/>
      </w:r>
      <w:r>
        <w:t xml:space="preserve"> Ibid.</w:t>
      </w:r>
    </w:p>
  </w:footnote>
  <w:footnote w:id="16">
    <w:p w14:paraId="45D5324C" w14:textId="109832E8" w:rsidR="007B04F0" w:rsidRPr="000D3354" w:rsidRDefault="007B04F0">
      <w:pPr>
        <w:pStyle w:val="FootnoteText"/>
        <w:rPr>
          <w:rFonts w:ascii="Arial" w:hAnsi="Arial" w:cs="Arial"/>
          <w:sz w:val="17"/>
          <w:szCs w:val="17"/>
        </w:rPr>
      </w:pPr>
      <w:r w:rsidRPr="000D3354">
        <w:rPr>
          <w:rStyle w:val="FootnoteReference"/>
          <w:rFonts w:ascii="Arial" w:hAnsi="Arial" w:cs="Arial"/>
          <w:sz w:val="17"/>
          <w:szCs w:val="17"/>
        </w:rPr>
        <w:footnoteRef/>
      </w:r>
      <w:r w:rsidRPr="000D3354">
        <w:rPr>
          <w:rFonts w:ascii="Arial" w:hAnsi="Arial" w:cs="Arial"/>
          <w:sz w:val="17"/>
          <w:szCs w:val="17"/>
        </w:rPr>
        <w:t xml:space="preserve"> News Ghana, “SIC Misled Us on Credit Guarantee Bond – Insurance Companies,” News Ghana, March 3, 2015, accessed July 13, 2017, </w:t>
      </w:r>
      <w:hyperlink r:id="rId1" w:history="1">
        <w:r w:rsidRPr="000D3354">
          <w:rPr>
            <w:rStyle w:val="Hyperlink"/>
            <w:rFonts w:ascii="Arial" w:hAnsi="Arial" w:cs="Arial"/>
            <w:color w:val="auto"/>
            <w:sz w:val="17"/>
            <w:szCs w:val="17"/>
            <w:u w:val="none"/>
          </w:rPr>
          <w:t>https://www.newsghana.com.gh/sic-misled-us-on-credit-guarantee-bond-insurance-companies/</w:t>
        </w:r>
      </w:hyperlink>
      <w:r w:rsidR="00546661">
        <w:rPr>
          <w:rFonts w:ascii="Arial" w:hAnsi="Arial" w:cs="Arial"/>
          <w:sz w:val="17"/>
          <w:szCs w:val="17"/>
        </w:rPr>
        <w:t>.</w:t>
      </w:r>
    </w:p>
  </w:footnote>
  <w:footnote w:id="17">
    <w:p w14:paraId="6EAA52C2" w14:textId="39E5A9DA" w:rsidR="007B04F0" w:rsidRPr="000D3354" w:rsidRDefault="007B04F0">
      <w:pPr>
        <w:pStyle w:val="FootnoteText"/>
        <w:rPr>
          <w:rFonts w:ascii="Arial" w:hAnsi="Arial" w:cs="Arial"/>
          <w:sz w:val="17"/>
          <w:szCs w:val="17"/>
          <w:lang w:val="en-GB"/>
        </w:rPr>
      </w:pPr>
      <w:r w:rsidRPr="000D3354">
        <w:rPr>
          <w:rStyle w:val="FootnoteReference"/>
          <w:rFonts w:ascii="Arial" w:hAnsi="Arial" w:cs="Arial"/>
          <w:sz w:val="17"/>
          <w:szCs w:val="17"/>
        </w:rPr>
        <w:footnoteRef/>
      </w:r>
      <w:r w:rsidRPr="000D3354">
        <w:rPr>
          <w:rFonts w:ascii="Arial" w:hAnsi="Arial" w:cs="Arial"/>
          <w:sz w:val="17"/>
          <w:szCs w:val="17"/>
        </w:rPr>
        <w:t xml:space="preserve"> </w:t>
      </w:r>
      <w:r w:rsidRPr="00C557F9">
        <w:rPr>
          <w:rFonts w:ascii="Arial" w:hAnsi="Arial" w:cs="Arial"/>
          <w:sz w:val="17"/>
          <w:szCs w:val="17"/>
          <w:lang w:val="en-GB"/>
        </w:rPr>
        <w:t>Modern Ghana, “SIC Bosses Busted for ₵4m Theft”, Modern Ghana, December 20, 2014, accessed July 13, 2</w:t>
      </w:r>
      <w:r w:rsidRPr="000D3354">
        <w:rPr>
          <w:rFonts w:ascii="Arial" w:hAnsi="Arial" w:cs="Arial"/>
          <w:sz w:val="17"/>
          <w:szCs w:val="17"/>
          <w:lang w:val="en-GB"/>
        </w:rPr>
        <w:t>017,</w:t>
      </w:r>
      <w:r w:rsidRPr="000D3354">
        <w:rPr>
          <w:rFonts w:ascii="Arial" w:hAnsi="Arial" w:cs="Arial"/>
          <w:sz w:val="17"/>
          <w:szCs w:val="17"/>
        </w:rPr>
        <w:t xml:space="preserve"> </w:t>
      </w:r>
      <w:hyperlink r:id="rId2" w:history="1">
        <w:r w:rsidRPr="000D3354">
          <w:rPr>
            <w:rStyle w:val="Hyperlink"/>
            <w:rFonts w:ascii="Arial" w:hAnsi="Arial" w:cs="Arial"/>
            <w:color w:val="auto"/>
            <w:sz w:val="17"/>
            <w:szCs w:val="17"/>
            <w:u w:val="none"/>
            <w:lang w:val="en-GB"/>
          </w:rPr>
          <w:t>https://www.modernghana</w:t>
        </w:r>
      </w:hyperlink>
      <w:r w:rsidRPr="00C557F9">
        <w:rPr>
          <w:rFonts w:ascii="Arial" w:hAnsi="Arial" w:cs="Arial"/>
          <w:sz w:val="17"/>
          <w:szCs w:val="17"/>
          <w:lang w:val="en-GB"/>
        </w:rPr>
        <w:t xml:space="preserve"> .com /news/587730/sic-bosses-busted-for-gh4m-theft.html</w:t>
      </w:r>
      <w:r w:rsidR="00546661">
        <w:rPr>
          <w:rFonts w:ascii="Arial" w:hAnsi="Arial" w:cs="Arial"/>
          <w:sz w:val="17"/>
          <w:szCs w:val="17"/>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E0A8F" w14:textId="0CF03753" w:rsidR="004E3168" w:rsidRDefault="004E316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4448">
      <w:rPr>
        <w:rFonts w:ascii="Arial" w:hAnsi="Arial"/>
        <w:b/>
        <w:noProof/>
      </w:rPr>
      <w:t>10</w:t>
    </w:r>
    <w:r>
      <w:rPr>
        <w:rFonts w:ascii="Arial" w:hAnsi="Arial"/>
        <w:b/>
      </w:rPr>
      <w:fldChar w:fldCharType="end"/>
    </w:r>
    <w:r>
      <w:rPr>
        <w:rFonts w:ascii="Arial" w:hAnsi="Arial"/>
        <w:b/>
      </w:rPr>
      <w:tab/>
    </w:r>
    <w:r w:rsidR="00A66D2B">
      <w:rPr>
        <w:rFonts w:ascii="Arial" w:hAnsi="Arial"/>
        <w:b/>
      </w:rPr>
      <w:t>9B18N007</w:t>
    </w:r>
  </w:p>
  <w:p w14:paraId="5507D1BC" w14:textId="77777777" w:rsidR="004E3168" w:rsidRPr="00C92CC4" w:rsidRDefault="004E3168">
    <w:pPr>
      <w:pStyle w:val="Header"/>
      <w:rPr>
        <w:sz w:val="18"/>
        <w:szCs w:val="18"/>
      </w:rPr>
    </w:pPr>
  </w:p>
  <w:p w14:paraId="28060592" w14:textId="77777777" w:rsidR="004E3168" w:rsidRPr="00C92CC4" w:rsidRDefault="004E316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82614A4"/>
    <w:multiLevelType w:val="hybridMultilevel"/>
    <w:tmpl w:val="F40273F4"/>
    <w:lvl w:ilvl="0" w:tplc="C92E62F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2813"/>
    <w:rsid w:val="00013360"/>
    <w:rsid w:val="00015D40"/>
    <w:rsid w:val="000216CE"/>
    <w:rsid w:val="000225BE"/>
    <w:rsid w:val="00025DC7"/>
    <w:rsid w:val="00026486"/>
    <w:rsid w:val="000307FA"/>
    <w:rsid w:val="0003436C"/>
    <w:rsid w:val="000347DB"/>
    <w:rsid w:val="00044931"/>
    <w:rsid w:val="00044ECC"/>
    <w:rsid w:val="000531D3"/>
    <w:rsid w:val="0005646B"/>
    <w:rsid w:val="0008102D"/>
    <w:rsid w:val="00085FE1"/>
    <w:rsid w:val="00094C0E"/>
    <w:rsid w:val="000C6A0C"/>
    <w:rsid w:val="000D3354"/>
    <w:rsid w:val="000D60D1"/>
    <w:rsid w:val="000F0C22"/>
    <w:rsid w:val="000F6B09"/>
    <w:rsid w:val="000F6FDC"/>
    <w:rsid w:val="00104567"/>
    <w:rsid w:val="00116283"/>
    <w:rsid w:val="0012732D"/>
    <w:rsid w:val="001516F1"/>
    <w:rsid w:val="00154FC9"/>
    <w:rsid w:val="00176A44"/>
    <w:rsid w:val="001846D7"/>
    <w:rsid w:val="00185376"/>
    <w:rsid w:val="00186703"/>
    <w:rsid w:val="0019241A"/>
    <w:rsid w:val="00194C1B"/>
    <w:rsid w:val="001A19EE"/>
    <w:rsid w:val="001A5335"/>
    <w:rsid w:val="001A752D"/>
    <w:rsid w:val="001C57A9"/>
    <w:rsid w:val="001C6970"/>
    <w:rsid w:val="001E3BD1"/>
    <w:rsid w:val="00203AA1"/>
    <w:rsid w:val="00213E98"/>
    <w:rsid w:val="00246D57"/>
    <w:rsid w:val="00264A94"/>
    <w:rsid w:val="00265D55"/>
    <w:rsid w:val="00273C57"/>
    <w:rsid w:val="002A1E00"/>
    <w:rsid w:val="002B21B6"/>
    <w:rsid w:val="002C715A"/>
    <w:rsid w:val="002C7B2B"/>
    <w:rsid w:val="002E32F0"/>
    <w:rsid w:val="002E5B7A"/>
    <w:rsid w:val="002F3BE0"/>
    <w:rsid w:val="002F460C"/>
    <w:rsid w:val="002F48D6"/>
    <w:rsid w:val="00300523"/>
    <w:rsid w:val="00337F63"/>
    <w:rsid w:val="00343565"/>
    <w:rsid w:val="00354899"/>
    <w:rsid w:val="00354BD8"/>
    <w:rsid w:val="00355FD6"/>
    <w:rsid w:val="00361C8E"/>
    <w:rsid w:val="00364A5C"/>
    <w:rsid w:val="00373FB1"/>
    <w:rsid w:val="003916B3"/>
    <w:rsid w:val="003B30D8"/>
    <w:rsid w:val="003B7EF2"/>
    <w:rsid w:val="003C3FA4"/>
    <w:rsid w:val="003D5072"/>
    <w:rsid w:val="003D76F9"/>
    <w:rsid w:val="003F2B0C"/>
    <w:rsid w:val="003F7A6B"/>
    <w:rsid w:val="00410EEB"/>
    <w:rsid w:val="004221E4"/>
    <w:rsid w:val="00434800"/>
    <w:rsid w:val="00471088"/>
    <w:rsid w:val="00483AF9"/>
    <w:rsid w:val="004856D1"/>
    <w:rsid w:val="004B1CCB"/>
    <w:rsid w:val="004D73A5"/>
    <w:rsid w:val="004E3168"/>
    <w:rsid w:val="004E6004"/>
    <w:rsid w:val="004F48DA"/>
    <w:rsid w:val="00525C4E"/>
    <w:rsid w:val="00532CF5"/>
    <w:rsid w:val="00546661"/>
    <w:rsid w:val="005528CB"/>
    <w:rsid w:val="005629E3"/>
    <w:rsid w:val="00566771"/>
    <w:rsid w:val="00581E2E"/>
    <w:rsid w:val="00584F15"/>
    <w:rsid w:val="005F3DF5"/>
    <w:rsid w:val="005F46E7"/>
    <w:rsid w:val="006163F7"/>
    <w:rsid w:val="00652606"/>
    <w:rsid w:val="00671F12"/>
    <w:rsid w:val="00672A90"/>
    <w:rsid w:val="00682754"/>
    <w:rsid w:val="00694634"/>
    <w:rsid w:val="006A0650"/>
    <w:rsid w:val="006A097F"/>
    <w:rsid w:val="006A58A9"/>
    <w:rsid w:val="006A606D"/>
    <w:rsid w:val="006B7F7A"/>
    <w:rsid w:val="006C0371"/>
    <w:rsid w:val="006C08B6"/>
    <w:rsid w:val="006C0B1A"/>
    <w:rsid w:val="006C4384"/>
    <w:rsid w:val="006C6065"/>
    <w:rsid w:val="006C7F9F"/>
    <w:rsid w:val="006E2F6D"/>
    <w:rsid w:val="006E58F6"/>
    <w:rsid w:val="006E77E1"/>
    <w:rsid w:val="006F131D"/>
    <w:rsid w:val="007174EF"/>
    <w:rsid w:val="0072238F"/>
    <w:rsid w:val="00736C02"/>
    <w:rsid w:val="0075128C"/>
    <w:rsid w:val="00752BCD"/>
    <w:rsid w:val="00764A7D"/>
    <w:rsid w:val="00766DA1"/>
    <w:rsid w:val="0077208F"/>
    <w:rsid w:val="007866A6"/>
    <w:rsid w:val="007923EC"/>
    <w:rsid w:val="00793904"/>
    <w:rsid w:val="007A130D"/>
    <w:rsid w:val="007A29E2"/>
    <w:rsid w:val="007A77BE"/>
    <w:rsid w:val="007B04F0"/>
    <w:rsid w:val="007B3BBD"/>
    <w:rsid w:val="007C726D"/>
    <w:rsid w:val="007D4102"/>
    <w:rsid w:val="007D66BB"/>
    <w:rsid w:val="007E5921"/>
    <w:rsid w:val="007F51FC"/>
    <w:rsid w:val="00801881"/>
    <w:rsid w:val="00811502"/>
    <w:rsid w:val="00816324"/>
    <w:rsid w:val="008211C4"/>
    <w:rsid w:val="00821FFC"/>
    <w:rsid w:val="008271CA"/>
    <w:rsid w:val="008467D5"/>
    <w:rsid w:val="00856D9F"/>
    <w:rsid w:val="008575B3"/>
    <w:rsid w:val="00866F6D"/>
    <w:rsid w:val="00893632"/>
    <w:rsid w:val="00893D89"/>
    <w:rsid w:val="008A4DC4"/>
    <w:rsid w:val="008A5083"/>
    <w:rsid w:val="008E0BB6"/>
    <w:rsid w:val="008E22EF"/>
    <w:rsid w:val="009067A4"/>
    <w:rsid w:val="0090722E"/>
    <w:rsid w:val="00912E75"/>
    <w:rsid w:val="00915FB9"/>
    <w:rsid w:val="00921C1E"/>
    <w:rsid w:val="009340DB"/>
    <w:rsid w:val="00946816"/>
    <w:rsid w:val="00953029"/>
    <w:rsid w:val="00953B23"/>
    <w:rsid w:val="00957EF9"/>
    <w:rsid w:val="00972498"/>
    <w:rsid w:val="00974CC6"/>
    <w:rsid w:val="00976AD4"/>
    <w:rsid w:val="009817CF"/>
    <w:rsid w:val="009A042E"/>
    <w:rsid w:val="009A0644"/>
    <w:rsid w:val="009A312F"/>
    <w:rsid w:val="009A5107"/>
    <w:rsid w:val="009A5348"/>
    <w:rsid w:val="009A67BB"/>
    <w:rsid w:val="009B2256"/>
    <w:rsid w:val="009C76D5"/>
    <w:rsid w:val="009E1390"/>
    <w:rsid w:val="009F78A8"/>
    <w:rsid w:val="009F7AA4"/>
    <w:rsid w:val="00A17BA5"/>
    <w:rsid w:val="00A559DB"/>
    <w:rsid w:val="00A55CB7"/>
    <w:rsid w:val="00A66D2B"/>
    <w:rsid w:val="00A826F3"/>
    <w:rsid w:val="00A83C18"/>
    <w:rsid w:val="00AA6502"/>
    <w:rsid w:val="00AB0DEC"/>
    <w:rsid w:val="00AB7BFE"/>
    <w:rsid w:val="00AD5044"/>
    <w:rsid w:val="00AF35FC"/>
    <w:rsid w:val="00B0318F"/>
    <w:rsid w:val="00B03639"/>
    <w:rsid w:val="00B0652A"/>
    <w:rsid w:val="00B07128"/>
    <w:rsid w:val="00B10B6A"/>
    <w:rsid w:val="00B30051"/>
    <w:rsid w:val="00B34B87"/>
    <w:rsid w:val="00B3757D"/>
    <w:rsid w:val="00B40937"/>
    <w:rsid w:val="00B423EF"/>
    <w:rsid w:val="00B453DE"/>
    <w:rsid w:val="00B4742F"/>
    <w:rsid w:val="00B57E21"/>
    <w:rsid w:val="00B71984"/>
    <w:rsid w:val="00B901F9"/>
    <w:rsid w:val="00BD12CF"/>
    <w:rsid w:val="00BD30BF"/>
    <w:rsid w:val="00BD525A"/>
    <w:rsid w:val="00BD6EFB"/>
    <w:rsid w:val="00BE14AE"/>
    <w:rsid w:val="00BF0419"/>
    <w:rsid w:val="00BF0BC8"/>
    <w:rsid w:val="00BF556D"/>
    <w:rsid w:val="00C11700"/>
    <w:rsid w:val="00C15BE2"/>
    <w:rsid w:val="00C22219"/>
    <w:rsid w:val="00C3447F"/>
    <w:rsid w:val="00C557F9"/>
    <w:rsid w:val="00C72E4A"/>
    <w:rsid w:val="00C81491"/>
    <w:rsid w:val="00C81676"/>
    <w:rsid w:val="00C92CC4"/>
    <w:rsid w:val="00CA0AFB"/>
    <w:rsid w:val="00CA2CE1"/>
    <w:rsid w:val="00CA3976"/>
    <w:rsid w:val="00CA757B"/>
    <w:rsid w:val="00CB6EC3"/>
    <w:rsid w:val="00CC1787"/>
    <w:rsid w:val="00CC182C"/>
    <w:rsid w:val="00CC6FB4"/>
    <w:rsid w:val="00CD0824"/>
    <w:rsid w:val="00CD2908"/>
    <w:rsid w:val="00CE7586"/>
    <w:rsid w:val="00D03A82"/>
    <w:rsid w:val="00D15344"/>
    <w:rsid w:val="00D236D7"/>
    <w:rsid w:val="00D31BEC"/>
    <w:rsid w:val="00D43052"/>
    <w:rsid w:val="00D46B13"/>
    <w:rsid w:val="00D5136C"/>
    <w:rsid w:val="00D51DAD"/>
    <w:rsid w:val="00D54D04"/>
    <w:rsid w:val="00D62FAB"/>
    <w:rsid w:val="00D63150"/>
    <w:rsid w:val="00D636F5"/>
    <w:rsid w:val="00D648FF"/>
    <w:rsid w:val="00D64A32"/>
    <w:rsid w:val="00D64EFC"/>
    <w:rsid w:val="00D75295"/>
    <w:rsid w:val="00D76CE9"/>
    <w:rsid w:val="00D84FAF"/>
    <w:rsid w:val="00D97F12"/>
    <w:rsid w:val="00DA3F4A"/>
    <w:rsid w:val="00DB278E"/>
    <w:rsid w:val="00DB42E7"/>
    <w:rsid w:val="00DD4448"/>
    <w:rsid w:val="00DF32C2"/>
    <w:rsid w:val="00E36D16"/>
    <w:rsid w:val="00E471A7"/>
    <w:rsid w:val="00E635CF"/>
    <w:rsid w:val="00E7095A"/>
    <w:rsid w:val="00EB5410"/>
    <w:rsid w:val="00EC6E0A"/>
    <w:rsid w:val="00ED4E18"/>
    <w:rsid w:val="00ED6844"/>
    <w:rsid w:val="00EE1F37"/>
    <w:rsid w:val="00EF126A"/>
    <w:rsid w:val="00F0159C"/>
    <w:rsid w:val="00F105B7"/>
    <w:rsid w:val="00F113F8"/>
    <w:rsid w:val="00F134B0"/>
    <w:rsid w:val="00F17A21"/>
    <w:rsid w:val="00F254D6"/>
    <w:rsid w:val="00F27884"/>
    <w:rsid w:val="00F40D62"/>
    <w:rsid w:val="00F50E91"/>
    <w:rsid w:val="00F57D29"/>
    <w:rsid w:val="00F82285"/>
    <w:rsid w:val="00F92053"/>
    <w:rsid w:val="00F92A99"/>
    <w:rsid w:val="00F961F1"/>
    <w:rsid w:val="00F96201"/>
    <w:rsid w:val="00FA3938"/>
    <w:rsid w:val="00FC21E2"/>
    <w:rsid w:val="00FC30E9"/>
    <w:rsid w:val="00FD0B18"/>
    <w:rsid w:val="00FD0F82"/>
    <w:rsid w:val="00FD3D65"/>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FFA117C"/>
  <w15:docId w15:val="{21589492-2932-47B7-A334-4227D203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39"/>
    <w:rsid w:val="002C7B2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664706">
      <w:bodyDiv w:val="1"/>
      <w:marLeft w:val="0"/>
      <w:marRight w:val="0"/>
      <w:marTop w:val="0"/>
      <w:marBottom w:val="0"/>
      <w:divBdr>
        <w:top w:val="none" w:sz="0" w:space="0" w:color="auto"/>
        <w:left w:val="none" w:sz="0" w:space="0" w:color="auto"/>
        <w:bottom w:val="none" w:sz="0" w:space="0" w:color="auto"/>
        <w:right w:val="none" w:sz="0" w:space="0" w:color="auto"/>
      </w:divBdr>
    </w:div>
    <w:div w:id="144592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hyperlink" Target="http://www.sic-gh.com/subcat_select.cfm?prodcatID=5&amp;tblNewsCatID=2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se.com.gh/Market-Statistics/shares" TargetMode="Externa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http://www.iveycases.com" TargetMode="Externa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modernghana" TargetMode="External"/><Relationship Id="rId1" Type="http://schemas.openxmlformats.org/officeDocument/2006/relationships/hyperlink" Target="https://www.newsghana.com.gh/sic-misled-us-on-credit-guarantee-bond-insurance-companies/"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28575" cap="rnd">
              <a:solidFill>
                <a:schemeClr val="bg2">
                  <a:lumMod val="75000"/>
                </a:schemeClr>
              </a:solidFill>
              <a:round/>
            </a:ln>
            <a:effectLst/>
          </c:spPr>
          <c:marker>
            <c:symbol val="none"/>
          </c:marker>
          <c:cat>
            <c:numRef>
              <c:f>'[SIC report.xlsx]Sheet1'!$A$64:$A$93</c:f>
              <c:numCache>
                <c:formatCode>[$-409]d\-mmm\-yy;@</c:formatCode>
                <c:ptCount val="30"/>
                <c:pt idx="0">
                  <c:v>42062</c:v>
                </c:pt>
                <c:pt idx="1">
                  <c:v>42061</c:v>
                </c:pt>
                <c:pt idx="2">
                  <c:v>42060</c:v>
                </c:pt>
                <c:pt idx="3">
                  <c:v>42059</c:v>
                </c:pt>
                <c:pt idx="4">
                  <c:v>42058</c:v>
                </c:pt>
                <c:pt idx="5">
                  <c:v>42055</c:v>
                </c:pt>
                <c:pt idx="6">
                  <c:v>42054</c:v>
                </c:pt>
                <c:pt idx="7">
                  <c:v>42053</c:v>
                </c:pt>
                <c:pt idx="8">
                  <c:v>42052</c:v>
                </c:pt>
                <c:pt idx="9">
                  <c:v>42051</c:v>
                </c:pt>
                <c:pt idx="10">
                  <c:v>42048</c:v>
                </c:pt>
                <c:pt idx="11">
                  <c:v>42047</c:v>
                </c:pt>
                <c:pt idx="12">
                  <c:v>42046</c:v>
                </c:pt>
                <c:pt idx="13">
                  <c:v>42045</c:v>
                </c:pt>
                <c:pt idx="14">
                  <c:v>42044</c:v>
                </c:pt>
                <c:pt idx="15">
                  <c:v>42041</c:v>
                </c:pt>
                <c:pt idx="16">
                  <c:v>42040</c:v>
                </c:pt>
                <c:pt idx="17">
                  <c:v>42039</c:v>
                </c:pt>
                <c:pt idx="18">
                  <c:v>42038</c:v>
                </c:pt>
                <c:pt idx="19">
                  <c:v>42037</c:v>
                </c:pt>
                <c:pt idx="20">
                  <c:v>42034</c:v>
                </c:pt>
                <c:pt idx="21">
                  <c:v>42033</c:v>
                </c:pt>
                <c:pt idx="22">
                  <c:v>42032</c:v>
                </c:pt>
                <c:pt idx="23">
                  <c:v>42031</c:v>
                </c:pt>
                <c:pt idx="24">
                  <c:v>42030</c:v>
                </c:pt>
                <c:pt idx="25">
                  <c:v>42025</c:v>
                </c:pt>
                <c:pt idx="26">
                  <c:v>42023</c:v>
                </c:pt>
                <c:pt idx="27">
                  <c:v>42016</c:v>
                </c:pt>
                <c:pt idx="28">
                  <c:v>42009</c:v>
                </c:pt>
                <c:pt idx="29">
                  <c:v>42006</c:v>
                </c:pt>
              </c:numCache>
            </c:numRef>
          </c:cat>
          <c:val>
            <c:numRef>
              <c:f>'[SIC report.xlsx]Sheet1'!$B$64:$B$93</c:f>
              <c:numCache>
                <c:formatCode>General</c:formatCode>
                <c:ptCount val="30"/>
                <c:pt idx="0">
                  <c:v>0.22</c:v>
                </c:pt>
                <c:pt idx="1">
                  <c:v>0.22</c:v>
                </c:pt>
                <c:pt idx="2">
                  <c:v>0.24</c:v>
                </c:pt>
                <c:pt idx="3">
                  <c:v>0.24</c:v>
                </c:pt>
                <c:pt idx="4">
                  <c:v>0.24</c:v>
                </c:pt>
                <c:pt idx="5">
                  <c:v>0.19</c:v>
                </c:pt>
                <c:pt idx="6">
                  <c:v>0.19</c:v>
                </c:pt>
                <c:pt idx="7">
                  <c:v>0.18</c:v>
                </c:pt>
                <c:pt idx="8">
                  <c:v>0.17</c:v>
                </c:pt>
                <c:pt idx="9">
                  <c:v>0.15</c:v>
                </c:pt>
                <c:pt idx="10">
                  <c:v>0.15</c:v>
                </c:pt>
                <c:pt idx="11">
                  <c:v>0.14000000000000001</c:v>
                </c:pt>
                <c:pt idx="12">
                  <c:v>0.14000000000000001</c:v>
                </c:pt>
                <c:pt idx="13">
                  <c:v>0.16</c:v>
                </c:pt>
                <c:pt idx="14">
                  <c:v>0.17</c:v>
                </c:pt>
                <c:pt idx="15">
                  <c:v>0.2</c:v>
                </c:pt>
                <c:pt idx="16">
                  <c:v>0.2</c:v>
                </c:pt>
                <c:pt idx="17">
                  <c:v>0.22</c:v>
                </c:pt>
                <c:pt idx="18">
                  <c:v>0.23</c:v>
                </c:pt>
                <c:pt idx="19">
                  <c:v>0.24</c:v>
                </c:pt>
                <c:pt idx="20">
                  <c:v>0.25</c:v>
                </c:pt>
                <c:pt idx="21">
                  <c:v>0.26</c:v>
                </c:pt>
                <c:pt idx="22">
                  <c:v>0.27</c:v>
                </c:pt>
                <c:pt idx="23">
                  <c:v>0.27</c:v>
                </c:pt>
                <c:pt idx="24">
                  <c:v>0.28000000000000003</c:v>
                </c:pt>
                <c:pt idx="25">
                  <c:v>0.3</c:v>
                </c:pt>
                <c:pt idx="26">
                  <c:v>0.35</c:v>
                </c:pt>
                <c:pt idx="27">
                  <c:v>0.36</c:v>
                </c:pt>
                <c:pt idx="28">
                  <c:v>0.37</c:v>
                </c:pt>
                <c:pt idx="29">
                  <c:v>0.37</c:v>
                </c:pt>
              </c:numCache>
            </c:numRef>
          </c:val>
          <c:smooth val="0"/>
        </c:ser>
        <c:dLbls>
          <c:showLegendKey val="0"/>
          <c:showVal val="0"/>
          <c:showCatName val="0"/>
          <c:showSerName val="0"/>
          <c:showPercent val="0"/>
          <c:showBubbleSize val="0"/>
        </c:dLbls>
        <c:smooth val="0"/>
        <c:axId val="149812688"/>
        <c:axId val="4685112"/>
      </c:lineChart>
      <c:dateAx>
        <c:axId val="149812688"/>
        <c:scaling>
          <c:orientation val="minMax"/>
        </c:scaling>
        <c:delete val="0"/>
        <c:axPos val="b"/>
        <c:numFmt formatCode="[$-409]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112"/>
        <c:crosses val="autoZero"/>
        <c:auto val="1"/>
        <c:lblOffset val="100"/>
        <c:baseTimeUnit val="days"/>
      </c:dateAx>
      <c:valAx>
        <c:axId val="4685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1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919378002278"/>
          <c:y val="2.2432181682823699E-2"/>
          <c:w val="0.87317513269674896"/>
          <c:h val="0.86032972139458697"/>
        </c:manualLayout>
      </c:layout>
      <c:lineChart>
        <c:grouping val="standard"/>
        <c:varyColors val="0"/>
        <c:ser>
          <c:idx val="0"/>
          <c:order val="0"/>
          <c:spPr>
            <a:ln w="28575" cap="rnd">
              <a:solidFill>
                <a:schemeClr val="accent3"/>
              </a:solidFill>
              <a:round/>
            </a:ln>
            <a:effectLst/>
          </c:spPr>
          <c:marker>
            <c:symbol val="none"/>
          </c:marker>
          <c:cat>
            <c:numRef>
              <c:f>Sheet2!$A$2:$A$31</c:f>
              <c:numCache>
                <c:formatCode>[$-409]d\-mmm\-yy;@</c:formatCode>
                <c:ptCount val="30"/>
                <c:pt idx="0">
                  <c:v>42062</c:v>
                </c:pt>
                <c:pt idx="1">
                  <c:v>42061</c:v>
                </c:pt>
                <c:pt idx="2">
                  <c:v>42060</c:v>
                </c:pt>
                <c:pt idx="3">
                  <c:v>42059</c:v>
                </c:pt>
                <c:pt idx="4">
                  <c:v>42058</c:v>
                </c:pt>
                <c:pt idx="5">
                  <c:v>42055</c:v>
                </c:pt>
                <c:pt idx="6">
                  <c:v>42054</c:v>
                </c:pt>
                <c:pt idx="7">
                  <c:v>42053</c:v>
                </c:pt>
                <c:pt idx="8">
                  <c:v>42052</c:v>
                </c:pt>
                <c:pt idx="9">
                  <c:v>42051</c:v>
                </c:pt>
                <c:pt idx="10">
                  <c:v>42048</c:v>
                </c:pt>
                <c:pt idx="11">
                  <c:v>42047</c:v>
                </c:pt>
                <c:pt idx="12">
                  <c:v>42046</c:v>
                </c:pt>
                <c:pt idx="13">
                  <c:v>42045</c:v>
                </c:pt>
                <c:pt idx="14">
                  <c:v>42044</c:v>
                </c:pt>
                <c:pt idx="15">
                  <c:v>42041</c:v>
                </c:pt>
                <c:pt idx="16">
                  <c:v>42040</c:v>
                </c:pt>
                <c:pt idx="17">
                  <c:v>42039</c:v>
                </c:pt>
                <c:pt idx="18">
                  <c:v>42038</c:v>
                </c:pt>
                <c:pt idx="19">
                  <c:v>42037</c:v>
                </c:pt>
                <c:pt idx="20">
                  <c:v>42034</c:v>
                </c:pt>
                <c:pt idx="21">
                  <c:v>42033</c:v>
                </c:pt>
                <c:pt idx="22">
                  <c:v>42032</c:v>
                </c:pt>
                <c:pt idx="23">
                  <c:v>42031</c:v>
                </c:pt>
                <c:pt idx="24">
                  <c:v>42030</c:v>
                </c:pt>
                <c:pt idx="25">
                  <c:v>42025</c:v>
                </c:pt>
                <c:pt idx="26">
                  <c:v>42023</c:v>
                </c:pt>
                <c:pt idx="27">
                  <c:v>42016</c:v>
                </c:pt>
                <c:pt idx="28">
                  <c:v>42009</c:v>
                </c:pt>
                <c:pt idx="29">
                  <c:v>42006</c:v>
                </c:pt>
              </c:numCache>
            </c:numRef>
          </c:cat>
          <c:val>
            <c:numRef>
              <c:f>Sheet2!$B$2:$B$31</c:f>
              <c:numCache>
                <c:formatCode>#,##0</c:formatCode>
                <c:ptCount val="30"/>
                <c:pt idx="0">
                  <c:v>5000</c:v>
                </c:pt>
                <c:pt idx="1">
                  <c:v>0</c:v>
                </c:pt>
                <c:pt idx="2">
                  <c:v>0</c:v>
                </c:pt>
                <c:pt idx="3">
                  <c:v>5500</c:v>
                </c:pt>
                <c:pt idx="4">
                  <c:v>25200</c:v>
                </c:pt>
                <c:pt idx="5">
                  <c:v>4500</c:v>
                </c:pt>
                <c:pt idx="6">
                  <c:v>4500</c:v>
                </c:pt>
                <c:pt idx="7">
                  <c:v>10000</c:v>
                </c:pt>
                <c:pt idx="8">
                  <c:v>14600</c:v>
                </c:pt>
                <c:pt idx="9">
                  <c:v>70500</c:v>
                </c:pt>
                <c:pt idx="10">
                  <c:v>149700</c:v>
                </c:pt>
                <c:pt idx="11">
                  <c:v>1400</c:v>
                </c:pt>
                <c:pt idx="12">
                  <c:v>13000</c:v>
                </c:pt>
                <c:pt idx="13">
                  <c:v>31500</c:v>
                </c:pt>
                <c:pt idx="14">
                  <c:v>14300</c:v>
                </c:pt>
                <c:pt idx="15">
                  <c:v>100</c:v>
                </c:pt>
                <c:pt idx="16">
                  <c:v>11700</c:v>
                </c:pt>
                <c:pt idx="17">
                  <c:v>13500</c:v>
                </c:pt>
                <c:pt idx="18">
                  <c:v>700</c:v>
                </c:pt>
                <c:pt idx="19">
                  <c:v>4000</c:v>
                </c:pt>
                <c:pt idx="20">
                  <c:v>10000</c:v>
                </c:pt>
                <c:pt idx="21">
                  <c:v>8500</c:v>
                </c:pt>
                <c:pt idx="22">
                  <c:v>200</c:v>
                </c:pt>
                <c:pt idx="23">
                  <c:v>5000</c:v>
                </c:pt>
                <c:pt idx="24">
                  <c:v>0</c:v>
                </c:pt>
                <c:pt idx="25">
                  <c:v>3600</c:v>
                </c:pt>
                <c:pt idx="26">
                  <c:v>0</c:v>
                </c:pt>
                <c:pt idx="27">
                  <c:v>400</c:v>
                </c:pt>
                <c:pt idx="28">
                  <c:v>0</c:v>
                </c:pt>
                <c:pt idx="29">
                  <c:v>1300</c:v>
                </c:pt>
              </c:numCache>
            </c:numRef>
          </c:val>
          <c:smooth val="0"/>
        </c:ser>
        <c:dLbls>
          <c:showLegendKey val="0"/>
          <c:showVal val="0"/>
          <c:showCatName val="0"/>
          <c:showSerName val="0"/>
          <c:showPercent val="0"/>
          <c:showBubbleSize val="0"/>
        </c:dLbls>
        <c:smooth val="0"/>
        <c:axId val="152041472"/>
        <c:axId val="121204816"/>
      </c:lineChart>
      <c:dateAx>
        <c:axId val="152041472"/>
        <c:scaling>
          <c:orientation val="minMax"/>
        </c:scaling>
        <c:delete val="0"/>
        <c:axPos val="b"/>
        <c:numFmt formatCode="[$-409]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04816"/>
        <c:crosses val="autoZero"/>
        <c:auto val="1"/>
        <c:lblOffset val="100"/>
        <c:baseTimeUnit val="days"/>
      </c:dateAx>
      <c:valAx>
        <c:axId val="121204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41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Sheet1!$C$65</c:f>
              <c:strCache>
                <c:ptCount val="1"/>
                <c:pt idx="0">
                  <c:v>Nigeria</c:v>
                </c:pt>
              </c:strCache>
            </c:strRef>
          </c:tx>
          <c:spPr>
            <a:pattFill prst="zigZag">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Sheet1!$D$65</c:f>
              <c:numCache>
                <c:formatCode>General</c:formatCode>
                <c:ptCount val="1"/>
                <c:pt idx="0">
                  <c:v>0.63339999999999996</c:v>
                </c:pt>
              </c:numCache>
            </c:numRef>
          </c:val>
        </c:ser>
        <c:ser>
          <c:idx val="1"/>
          <c:order val="1"/>
          <c:tx>
            <c:strRef>
              <c:f>Sheet1!$C$66</c:f>
              <c:strCache>
                <c:ptCount val="1"/>
                <c:pt idx="0">
                  <c:v>Ghana</c:v>
                </c:pt>
              </c:strCache>
            </c:strRef>
          </c:tx>
          <c:spPr>
            <a:pattFill prst="smCheck">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Sheet1!$D$66</c:f>
              <c:numCache>
                <c:formatCode>General</c:formatCode>
                <c:ptCount val="1"/>
                <c:pt idx="0">
                  <c:v>0.95760000000000001</c:v>
                </c:pt>
              </c:numCache>
            </c:numRef>
          </c:val>
        </c:ser>
        <c:ser>
          <c:idx val="2"/>
          <c:order val="2"/>
          <c:tx>
            <c:strRef>
              <c:f>Sheet1!$C$67</c:f>
              <c:strCache>
                <c:ptCount val="1"/>
                <c:pt idx="0">
                  <c:v>Côte d’Ivoire</c:v>
                </c:pt>
              </c:strCache>
            </c:strRef>
          </c:tx>
          <c:spPr>
            <a:pattFill prst="openDmnd">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Sheet1!$D$67</c:f>
              <c:numCache>
                <c:formatCode>General</c:formatCode>
                <c:ptCount val="1"/>
                <c:pt idx="0">
                  <c:v>1.3267</c:v>
                </c:pt>
              </c:numCache>
            </c:numRef>
          </c:val>
        </c:ser>
        <c:ser>
          <c:idx val="3"/>
          <c:order val="3"/>
          <c:tx>
            <c:strRef>
              <c:f>Sheet1!$C$68</c:f>
              <c:strCache>
                <c:ptCount val="1"/>
                <c:pt idx="0">
                  <c:v>Tunisia</c:v>
                </c:pt>
              </c:strCache>
            </c:strRef>
          </c:tx>
          <c:spPr>
            <a:pattFill prst="wdDnDiag">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Sheet1!$D$68</c:f>
              <c:numCache>
                <c:formatCode>General</c:formatCode>
                <c:ptCount val="1"/>
                <c:pt idx="0">
                  <c:v>1.532</c:v>
                </c:pt>
              </c:numCache>
            </c:numRef>
          </c:val>
        </c:ser>
        <c:ser>
          <c:idx val="4"/>
          <c:order val="4"/>
          <c:tx>
            <c:strRef>
              <c:f>Sheet1!$C$69</c:f>
              <c:strCache>
                <c:ptCount val="1"/>
                <c:pt idx="0">
                  <c:v>Malawi</c:v>
                </c:pt>
              </c:strCache>
            </c:strRef>
          </c:tx>
          <c:spPr>
            <a:pattFill prst="ltHorz">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Sheet1!$D$69</c:f>
              <c:numCache>
                <c:formatCode>General</c:formatCode>
                <c:ptCount val="1"/>
                <c:pt idx="0">
                  <c:v>1.8962000000000001</c:v>
                </c:pt>
              </c:numCache>
            </c:numRef>
          </c:val>
        </c:ser>
        <c:ser>
          <c:idx val="5"/>
          <c:order val="5"/>
          <c:tx>
            <c:strRef>
              <c:f>Sheet1!$C$70</c:f>
              <c:strCache>
                <c:ptCount val="1"/>
                <c:pt idx="0">
                  <c:v>South Africa</c:v>
                </c:pt>
              </c:strCache>
            </c:strRef>
          </c:tx>
          <c:spPr>
            <a:pattFill prst="pct20">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Sheet1!$D$70</c:f>
              <c:numCache>
                <c:formatCode>General</c:formatCode>
                <c:ptCount val="1"/>
                <c:pt idx="0">
                  <c:v>13.3218</c:v>
                </c:pt>
              </c:numCache>
            </c:numRef>
          </c:val>
        </c:ser>
        <c:dLbls>
          <c:dLblPos val="outEnd"/>
          <c:showLegendKey val="0"/>
          <c:showVal val="1"/>
          <c:showCatName val="0"/>
          <c:showSerName val="0"/>
          <c:showPercent val="0"/>
          <c:showBubbleSize val="0"/>
        </c:dLbls>
        <c:gapWidth val="219"/>
        <c:overlap val="-27"/>
        <c:axId val="121203640"/>
        <c:axId val="150163928"/>
      </c:barChart>
      <c:catAx>
        <c:axId val="121203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63928"/>
        <c:crosses val="autoZero"/>
        <c:auto val="1"/>
        <c:lblAlgn val="ctr"/>
        <c:lblOffset val="100"/>
        <c:noMultiLvlLbl val="0"/>
      </c:catAx>
      <c:valAx>
        <c:axId val="150163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03640"/>
        <c:crosses val="autoZero"/>
        <c:crossBetween val="between"/>
      </c:valAx>
      <c:spPr>
        <a:noFill/>
        <a:ln>
          <a:noFill/>
        </a:ln>
        <a:effectLst/>
      </c:spPr>
    </c:plotArea>
    <c:legend>
      <c:legendPos val="b"/>
      <c:layout>
        <c:manualLayout>
          <c:xMode val="edge"/>
          <c:yMode val="edge"/>
          <c:x val="6.9786361610459063E-2"/>
          <c:y val="0.89409667541557303"/>
          <c:w val="0.89816312583568558"/>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Sheet1!$C$65</c:f>
              <c:strCache>
                <c:ptCount val="1"/>
                <c:pt idx="0">
                  <c:v>Nigeria</c:v>
                </c:pt>
              </c:strCache>
            </c:strRef>
          </c:tx>
          <c:spPr>
            <a:pattFill prst="zigZag">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Sheet1!$D$65</c:f>
              <c:numCache>
                <c:formatCode>General</c:formatCode>
                <c:ptCount val="1"/>
                <c:pt idx="0">
                  <c:v>0.63339999999999996</c:v>
                </c:pt>
              </c:numCache>
            </c:numRef>
          </c:val>
        </c:ser>
        <c:ser>
          <c:idx val="1"/>
          <c:order val="1"/>
          <c:tx>
            <c:strRef>
              <c:f>Sheet1!$C$66</c:f>
              <c:strCache>
                <c:ptCount val="1"/>
                <c:pt idx="0">
                  <c:v>Ghana</c:v>
                </c:pt>
              </c:strCache>
            </c:strRef>
          </c:tx>
          <c:spPr>
            <a:pattFill prst="smCheck">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Sheet1!$D$66</c:f>
              <c:numCache>
                <c:formatCode>General</c:formatCode>
                <c:ptCount val="1"/>
                <c:pt idx="0">
                  <c:v>0.95760000000000001</c:v>
                </c:pt>
              </c:numCache>
            </c:numRef>
          </c:val>
        </c:ser>
        <c:ser>
          <c:idx val="2"/>
          <c:order val="2"/>
          <c:tx>
            <c:strRef>
              <c:f>Sheet1!$C$67</c:f>
              <c:strCache>
                <c:ptCount val="1"/>
                <c:pt idx="0">
                  <c:v>Côte d’Ivoire</c:v>
                </c:pt>
              </c:strCache>
            </c:strRef>
          </c:tx>
          <c:spPr>
            <a:pattFill prst="openDmnd">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Sheet1!$D$67</c:f>
              <c:numCache>
                <c:formatCode>General</c:formatCode>
                <c:ptCount val="1"/>
                <c:pt idx="0">
                  <c:v>1.3267</c:v>
                </c:pt>
              </c:numCache>
            </c:numRef>
          </c:val>
        </c:ser>
        <c:ser>
          <c:idx val="3"/>
          <c:order val="3"/>
          <c:tx>
            <c:strRef>
              <c:f>Sheet1!$C$68</c:f>
              <c:strCache>
                <c:ptCount val="1"/>
                <c:pt idx="0">
                  <c:v>Tunisia</c:v>
                </c:pt>
              </c:strCache>
            </c:strRef>
          </c:tx>
          <c:spPr>
            <a:pattFill prst="wdDnDiag">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Sheet1!$D$68</c:f>
              <c:numCache>
                <c:formatCode>General</c:formatCode>
                <c:ptCount val="1"/>
                <c:pt idx="0">
                  <c:v>1.532</c:v>
                </c:pt>
              </c:numCache>
            </c:numRef>
          </c:val>
        </c:ser>
        <c:ser>
          <c:idx val="4"/>
          <c:order val="4"/>
          <c:tx>
            <c:strRef>
              <c:f>Sheet1!$C$69</c:f>
              <c:strCache>
                <c:ptCount val="1"/>
                <c:pt idx="0">
                  <c:v>Malawi</c:v>
                </c:pt>
              </c:strCache>
            </c:strRef>
          </c:tx>
          <c:spPr>
            <a:pattFill prst="ltHorz">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Sheet1!$D$69</c:f>
              <c:numCache>
                <c:formatCode>General</c:formatCode>
                <c:ptCount val="1"/>
                <c:pt idx="0">
                  <c:v>1.8962000000000001</c:v>
                </c:pt>
              </c:numCache>
            </c:numRef>
          </c:val>
        </c:ser>
        <c:ser>
          <c:idx val="5"/>
          <c:order val="5"/>
          <c:tx>
            <c:strRef>
              <c:f>Sheet1!$C$70</c:f>
              <c:strCache>
                <c:ptCount val="1"/>
                <c:pt idx="0">
                  <c:v>South Africa</c:v>
                </c:pt>
              </c:strCache>
            </c:strRef>
          </c:tx>
          <c:spPr>
            <a:pattFill prst="pct20">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Sheet1!$D$64</c:f>
              <c:strCache>
                <c:ptCount val="1"/>
                <c:pt idx="0">
                  <c:v>Average</c:v>
                </c:pt>
              </c:strCache>
            </c:strRef>
          </c:cat>
          <c:val>
            <c:numRef>
              <c:f>Sheet1!$D$70</c:f>
              <c:numCache>
                <c:formatCode>General</c:formatCode>
                <c:ptCount val="1"/>
                <c:pt idx="0">
                  <c:v>13.3218</c:v>
                </c:pt>
              </c:numCache>
            </c:numRef>
          </c:val>
        </c:ser>
        <c:dLbls>
          <c:dLblPos val="outEnd"/>
          <c:showLegendKey val="0"/>
          <c:showVal val="1"/>
          <c:showCatName val="0"/>
          <c:showSerName val="0"/>
          <c:showPercent val="0"/>
          <c:showBubbleSize val="0"/>
        </c:dLbls>
        <c:gapWidth val="219"/>
        <c:overlap val="-27"/>
        <c:axId val="286456320"/>
        <c:axId val="286456712"/>
      </c:barChart>
      <c:catAx>
        <c:axId val="28645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456712"/>
        <c:crosses val="autoZero"/>
        <c:auto val="1"/>
        <c:lblAlgn val="ctr"/>
        <c:lblOffset val="100"/>
        <c:noMultiLvlLbl val="0"/>
      </c:catAx>
      <c:valAx>
        <c:axId val="286456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456320"/>
        <c:crosses val="autoZero"/>
        <c:crossBetween val="between"/>
      </c:valAx>
      <c:spPr>
        <a:noFill/>
        <a:ln>
          <a:noFill/>
        </a:ln>
        <a:effectLst/>
      </c:spPr>
    </c:plotArea>
    <c:legend>
      <c:legendPos val="b"/>
      <c:layout>
        <c:manualLayout>
          <c:xMode val="edge"/>
          <c:yMode val="edge"/>
          <c:x val="6.9786361610459063E-2"/>
          <c:y val="0.89409667541557303"/>
          <c:w val="0.89816312583568558"/>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Sheet1!$B$23</c:f>
              <c:strCache>
                <c:ptCount val="1"/>
                <c:pt idx="0">
                  <c:v>2007</c:v>
                </c:pt>
              </c:strCache>
            </c:strRef>
          </c:tx>
          <c:spPr>
            <a:pattFill prst="pct40">
              <a:fgClr>
                <a:schemeClr val="tx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Sheet1!$A$24:$A$29</c:f>
              <c:strCache>
                <c:ptCount val="6"/>
                <c:pt idx="0">
                  <c:v>Non-life firms</c:v>
                </c:pt>
                <c:pt idx="1">
                  <c:v>Life firms</c:v>
                </c:pt>
                <c:pt idx="2">
                  <c:v>Reinsurance firms </c:v>
                </c:pt>
                <c:pt idx="3">
                  <c:v>Insurance brokerage firms </c:v>
                </c:pt>
                <c:pt idx="4">
                  <c:v>Reinsurance brokerage firms </c:v>
                </c:pt>
                <c:pt idx="5">
                  <c:v>Loss adjusters</c:v>
                </c:pt>
              </c:strCache>
            </c:strRef>
          </c:cat>
          <c:val>
            <c:numRef>
              <c:f>Sheet1!$B$24:$B$29</c:f>
              <c:numCache>
                <c:formatCode>General</c:formatCode>
                <c:ptCount val="6"/>
                <c:pt idx="0">
                  <c:v>18</c:v>
                </c:pt>
                <c:pt idx="1">
                  <c:v>16</c:v>
                </c:pt>
                <c:pt idx="2">
                  <c:v>2</c:v>
                </c:pt>
                <c:pt idx="3">
                  <c:v>36</c:v>
                </c:pt>
                <c:pt idx="4">
                  <c:v>1</c:v>
                </c:pt>
                <c:pt idx="5">
                  <c:v>1</c:v>
                </c:pt>
              </c:numCache>
            </c:numRef>
          </c:val>
        </c:ser>
        <c:ser>
          <c:idx val="1"/>
          <c:order val="1"/>
          <c:tx>
            <c:strRef>
              <c:f>Sheet1!$C$23</c:f>
              <c:strCache>
                <c:ptCount val="1"/>
                <c:pt idx="0">
                  <c:v>2014</c:v>
                </c:pt>
              </c:strCache>
            </c:strRef>
          </c:tx>
          <c:spPr>
            <a:pattFill prst="narHorz">
              <a:fgClr>
                <a:schemeClr val="tx1">
                  <a:lumMod val="50000"/>
                  <a:lumOff val="50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Sheet1!$A$24:$A$29</c:f>
              <c:strCache>
                <c:ptCount val="6"/>
                <c:pt idx="0">
                  <c:v>Non-life firms</c:v>
                </c:pt>
                <c:pt idx="1">
                  <c:v>Life firms</c:v>
                </c:pt>
                <c:pt idx="2">
                  <c:v>Reinsurance firms </c:v>
                </c:pt>
                <c:pt idx="3">
                  <c:v>Insurance brokerage firms </c:v>
                </c:pt>
                <c:pt idx="4">
                  <c:v>Reinsurance brokerage firms </c:v>
                </c:pt>
                <c:pt idx="5">
                  <c:v>Loss adjusters</c:v>
                </c:pt>
              </c:strCache>
            </c:strRef>
          </c:cat>
          <c:val>
            <c:numRef>
              <c:f>Sheet1!$C$24:$C$29</c:f>
              <c:numCache>
                <c:formatCode>General</c:formatCode>
                <c:ptCount val="6"/>
                <c:pt idx="0">
                  <c:v>26</c:v>
                </c:pt>
                <c:pt idx="1">
                  <c:v>22</c:v>
                </c:pt>
                <c:pt idx="2">
                  <c:v>3</c:v>
                </c:pt>
                <c:pt idx="3">
                  <c:v>69</c:v>
                </c:pt>
                <c:pt idx="4">
                  <c:v>1</c:v>
                </c:pt>
                <c:pt idx="5">
                  <c:v>1</c:v>
                </c:pt>
              </c:numCache>
            </c:numRef>
          </c:val>
        </c:ser>
        <c:dLbls>
          <c:dLblPos val="outEnd"/>
          <c:showLegendKey val="0"/>
          <c:showVal val="1"/>
          <c:showCatName val="0"/>
          <c:showSerName val="0"/>
          <c:showPercent val="0"/>
          <c:showBubbleSize val="0"/>
        </c:dLbls>
        <c:gapWidth val="219"/>
        <c:overlap val="-27"/>
        <c:axId val="286457496"/>
        <c:axId val="286457888"/>
      </c:barChart>
      <c:catAx>
        <c:axId val="286457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457888"/>
        <c:crosses val="autoZero"/>
        <c:auto val="1"/>
        <c:lblAlgn val="ctr"/>
        <c:lblOffset val="100"/>
        <c:noMultiLvlLbl val="0"/>
      </c:catAx>
      <c:valAx>
        <c:axId val="28645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4574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Sheet1!$A$16</c:f>
              <c:strCache>
                <c:ptCount val="1"/>
                <c:pt idx="0">
                  <c:v>Value of guarantee to turnover</c:v>
                </c:pt>
              </c:strCache>
            </c:strRef>
          </c:tx>
          <c:spPr>
            <a:ln w="28575" cap="rnd">
              <a:solidFill>
                <a:schemeClr val="tx1"/>
              </a:solidFill>
              <a:prstDash val="dash"/>
              <a:round/>
            </a:ln>
            <a:effectLst/>
          </c:spPr>
          <c:marker>
            <c:symbol val="circle"/>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Sheet1!$B$15:$D$15</c:f>
              <c:numCache>
                <c:formatCode>General</c:formatCode>
                <c:ptCount val="3"/>
                <c:pt idx="0">
                  <c:v>2013</c:v>
                </c:pt>
                <c:pt idx="1">
                  <c:v>2014</c:v>
                </c:pt>
                <c:pt idx="2">
                  <c:v>2015</c:v>
                </c:pt>
              </c:numCache>
            </c:numRef>
          </c:cat>
          <c:val>
            <c:numRef>
              <c:f>Sheet1!$B$16:$D$16</c:f>
              <c:numCache>
                <c:formatCode>0.00</c:formatCode>
                <c:ptCount val="3"/>
                <c:pt idx="0">
                  <c:v>0.19661295436533899</c:v>
                </c:pt>
                <c:pt idx="1">
                  <c:v>0.16683962138422101</c:v>
                </c:pt>
                <c:pt idx="2">
                  <c:v>0.16683962138422101</c:v>
                </c:pt>
              </c:numCache>
            </c:numRef>
          </c:val>
          <c:smooth val="0"/>
        </c:ser>
        <c:ser>
          <c:idx val="1"/>
          <c:order val="1"/>
          <c:tx>
            <c:strRef>
              <c:f>Sheet1!$A$17</c:f>
              <c:strCache>
                <c:ptCount val="1"/>
                <c:pt idx="0">
                  <c:v>Value of guarantee to assets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Sheet1!$B$15:$D$15</c:f>
              <c:numCache>
                <c:formatCode>General</c:formatCode>
                <c:ptCount val="3"/>
                <c:pt idx="0">
                  <c:v>2013</c:v>
                </c:pt>
                <c:pt idx="1">
                  <c:v>2014</c:v>
                </c:pt>
                <c:pt idx="2">
                  <c:v>2015</c:v>
                </c:pt>
              </c:numCache>
            </c:numRef>
          </c:cat>
          <c:val>
            <c:numRef>
              <c:f>Sheet1!$B$17:$D$17</c:f>
              <c:numCache>
                <c:formatCode>0.00</c:formatCode>
                <c:ptCount val="3"/>
                <c:pt idx="0">
                  <c:v>0.12715711528369</c:v>
                </c:pt>
                <c:pt idx="1">
                  <c:v>0.11006028286048</c:v>
                </c:pt>
                <c:pt idx="2">
                  <c:v>9.2610874797838597E-2</c:v>
                </c:pt>
              </c:numCache>
            </c:numRef>
          </c:val>
          <c:smooth val="0"/>
        </c:ser>
        <c:dLbls>
          <c:dLblPos val="t"/>
          <c:showLegendKey val="0"/>
          <c:showVal val="1"/>
          <c:showCatName val="0"/>
          <c:showSerName val="0"/>
          <c:showPercent val="0"/>
          <c:showBubbleSize val="0"/>
        </c:dLbls>
        <c:marker val="1"/>
        <c:smooth val="0"/>
        <c:axId val="152556432"/>
        <c:axId val="152556824"/>
      </c:lineChart>
      <c:catAx>
        <c:axId val="15255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6824"/>
        <c:crosses val="autoZero"/>
        <c:auto val="1"/>
        <c:lblAlgn val="ctr"/>
        <c:lblOffset val="100"/>
        <c:noMultiLvlLbl val="0"/>
      </c:catAx>
      <c:valAx>
        <c:axId val="1525568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64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Sheet2!$B$2</c:f>
              <c:strCache>
                <c:ptCount val="1"/>
                <c:pt idx="0">
                  <c:v>2015</c:v>
                </c:pt>
              </c:strCache>
            </c:strRef>
          </c:tx>
          <c:spPr>
            <a:solidFill>
              <a:schemeClr val="tx1"/>
            </a:solidFill>
            <a:ln>
              <a:noFill/>
            </a:ln>
            <a:effectLst/>
          </c:spPr>
          <c:invertIfNegative val="0"/>
          <c:cat>
            <c:strRef>
              <c:f>Sheet2!$A$3:$A$6</c:f>
              <c:strCache>
                <c:ptCount val="4"/>
                <c:pt idx="0">
                  <c:v>Government of Ghana C/O Minisry of Finance</c:v>
                </c:pt>
                <c:pt idx="1">
                  <c:v>Social Security and National Insurance Trust</c:v>
                </c:pt>
                <c:pt idx="2">
                  <c:v>SCGN/Banque Pictet &amp; CIE SA RE Non Tax 6275J</c:v>
                </c:pt>
                <c:pt idx="3">
                  <c:v>Other </c:v>
                </c:pt>
              </c:strCache>
            </c:strRef>
          </c:cat>
          <c:val>
            <c:numRef>
              <c:f>Sheet2!$B$3:$B$6</c:f>
              <c:numCache>
                <c:formatCode>0.00%</c:formatCode>
                <c:ptCount val="4"/>
                <c:pt idx="0" formatCode="0%">
                  <c:v>0.4</c:v>
                </c:pt>
                <c:pt idx="1">
                  <c:v>0.11799999999999999</c:v>
                </c:pt>
                <c:pt idx="2">
                  <c:v>4.9399999999999999E-2</c:v>
                </c:pt>
                <c:pt idx="3" formatCode="0%">
                  <c:v>0.43260000000000004</c:v>
                </c:pt>
              </c:numCache>
            </c:numRef>
          </c:val>
        </c:ser>
        <c:ser>
          <c:idx val="1"/>
          <c:order val="1"/>
          <c:tx>
            <c:strRef>
              <c:f>Sheet2!$C$2</c:f>
              <c:strCache>
                <c:ptCount val="1"/>
                <c:pt idx="0">
                  <c:v>2014</c:v>
                </c:pt>
              </c:strCache>
            </c:strRef>
          </c:tx>
          <c:spPr>
            <a:pattFill prst="pct30">
              <a:fgClr>
                <a:schemeClr val="tx1"/>
              </a:fgClr>
              <a:bgClr>
                <a:schemeClr val="bg1"/>
              </a:bgClr>
            </a:pattFill>
            <a:ln>
              <a:noFill/>
            </a:ln>
            <a:effectLst/>
          </c:spPr>
          <c:invertIfNegative val="0"/>
          <c:cat>
            <c:strRef>
              <c:f>Sheet2!$A$3:$A$6</c:f>
              <c:strCache>
                <c:ptCount val="4"/>
                <c:pt idx="0">
                  <c:v>Government of Ghana C/O Minisry of Finance</c:v>
                </c:pt>
                <c:pt idx="1">
                  <c:v>Social Security and National Insurance Trust</c:v>
                </c:pt>
                <c:pt idx="2">
                  <c:v>SCGN/Banque Pictet &amp; CIE SA RE Non Tax 6275J</c:v>
                </c:pt>
                <c:pt idx="3">
                  <c:v>Other </c:v>
                </c:pt>
              </c:strCache>
            </c:strRef>
          </c:cat>
          <c:val>
            <c:numRef>
              <c:f>Sheet2!$C$3:$C$6</c:f>
              <c:numCache>
                <c:formatCode>0.00%</c:formatCode>
                <c:ptCount val="4"/>
                <c:pt idx="0">
                  <c:v>0.4</c:v>
                </c:pt>
                <c:pt idx="1">
                  <c:v>0.11802</c:v>
                </c:pt>
                <c:pt idx="2">
                  <c:v>9.8820000000000005E-2</c:v>
                </c:pt>
                <c:pt idx="3">
                  <c:v>0.38313000000000003</c:v>
                </c:pt>
              </c:numCache>
            </c:numRef>
          </c:val>
        </c:ser>
        <c:ser>
          <c:idx val="2"/>
          <c:order val="2"/>
          <c:tx>
            <c:strRef>
              <c:f>Sheet2!$D$2</c:f>
              <c:strCache>
                <c:ptCount val="1"/>
                <c:pt idx="0">
                  <c:v>2013</c:v>
                </c:pt>
              </c:strCache>
            </c:strRef>
          </c:tx>
          <c:spPr>
            <a:pattFill prst="horzBrick">
              <a:fgClr>
                <a:schemeClr val="tx1"/>
              </a:fgClr>
              <a:bgClr>
                <a:schemeClr val="bg1"/>
              </a:bgClr>
            </a:pattFill>
            <a:ln>
              <a:noFill/>
            </a:ln>
            <a:effectLst/>
          </c:spPr>
          <c:invertIfNegative val="0"/>
          <c:cat>
            <c:strRef>
              <c:f>Sheet2!$A$3:$A$6</c:f>
              <c:strCache>
                <c:ptCount val="4"/>
                <c:pt idx="0">
                  <c:v>Government of Ghana C/O Minisry of Finance</c:v>
                </c:pt>
                <c:pt idx="1">
                  <c:v>Social Security and National Insurance Trust</c:v>
                </c:pt>
                <c:pt idx="2">
                  <c:v>SCGN/Banque Pictet &amp; CIE SA RE Non Tax 6275J</c:v>
                </c:pt>
                <c:pt idx="3">
                  <c:v>Other </c:v>
                </c:pt>
              </c:strCache>
            </c:strRef>
          </c:cat>
          <c:val>
            <c:numRef>
              <c:f>Sheet2!$D$3:$D$6</c:f>
              <c:numCache>
                <c:formatCode>0.00%</c:formatCode>
                <c:ptCount val="4"/>
                <c:pt idx="0" formatCode="0%">
                  <c:v>0.4</c:v>
                </c:pt>
                <c:pt idx="1">
                  <c:v>0.11802</c:v>
                </c:pt>
                <c:pt idx="2">
                  <c:v>9.8820000000000005E-2</c:v>
                </c:pt>
                <c:pt idx="3" formatCode="0%">
                  <c:v>0.38783000000000001</c:v>
                </c:pt>
              </c:numCache>
            </c:numRef>
          </c:val>
        </c:ser>
        <c:dLbls>
          <c:showLegendKey val="0"/>
          <c:showVal val="0"/>
          <c:showCatName val="0"/>
          <c:showSerName val="0"/>
          <c:showPercent val="0"/>
          <c:showBubbleSize val="0"/>
        </c:dLbls>
        <c:gapWidth val="219"/>
        <c:overlap val="-27"/>
        <c:axId val="152557608"/>
        <c:axId val="152558000"/>
      </c:barChart>
      <c:catAx>
        <c:axId val="15255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8000"/>
        <c:crosses val="autoZero"/>
        <c:auto val="1"/>
        <c:lblAlgn val="ctr"/>
        <c:lblOffset val="100"/>
        <c:noMultiLvlLbl val="0"/>
      </c:catAx>
      <c:valAx>
        <c:axId val="1525580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76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673EE-8403-474F-AE45-3E15AF26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2018-01-05T19:43:00Z</cp:lastPrinted>
  <dcterms:created xsi:type="dcterms:W3CDTF">2018-07-06T13:43:00Z</dcterms:created>
  <dcterms:modified xsi:type="dcterms:W3CDTF">2018-07-06T13:52:00Z</dcterms:modified>
</cp:coreProperties>
</file>