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B3F74" w14:textId="77777777" w:rsidR="00382931" w:rsidRPr="00A67A76" w:rsidRDefault="00382931" w:rsidP="00382931">
      <w:pPr>
        <w:pBdr>
          <w:bottom w:val="single" w:sz="18" w:space="1" w:color="auto"/>
        </w:pBdr>
        <w:tabs>
          <w:tab w:val="left" w:pos="-1440"/>
          <w:tab w:val="left" w:pos="-720"/>
          <w:tab w:val="left" w:pos="1"/>
        </w:tabs>
        <w:rPr>
          <w:rFonts w:ascii="Arial" w:hAnsi="Arial"/>
          <w:b/>
          <w:sz w:val="2"/>
          <w:szCs w:val="2"/>
        </w:rPr>
      </w:pPr>
      <w:r w:rsidRPr="00A67A76">
        <w:rPr>
          <w:rFonts w:ascii="Arial" w:hAnsi="Arial"/>
          <w:b/>
          <w:noProof/>
          <w:sz w:val="2"/>
          <w:szCs w:val="2"/>
        </w:rPr>
        <w:drawing>
          <wp:anchor distT="0" distB="0" distL="114300" distR="114300" simplePos="0" relativeHeight="251659264" behindDoc="0" locked="1" layoutInCell="1" allowOverlap="1" wp14:anchorId="3E4790EB" wp14:editId="5A8F6CAC">
            <wp:simplePos x="0" y="0"/>
            <wp:positionH relativeFrom="column">
              <wp:posOffset>9525</wp:posOffset>
            </wp:positionH>
            <wp:positionV relativeFrom="page">
              <wp:posOffset>657225</wp:posOffset>
            </wp:positionV>
            <wp:extent cx="2614930" cy="548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rPr>
        <w:drawing>
          <wp:anchor distT="0" distB="0" distL="114300" distR="114300" simplePos="0" relativeHeight="251660288" behindDoc="0" locked="1" layoutInCell="1" allowOverlap="1" wp14:anchorId="4B48F280" wp14:editId="488C078B">
            <wp:simplePos x="5372100" y="685800"/>
            <wp:positionH relativeFrom="column">
              <wp:align>right</wp:align>
            </wp:positionH>
            <wp:positionV relativeFrom="paragraph">
              <wp:posOffset>0</wp:posOffset>
            </wp:positionV>
            <wp:extent cx="1481328" cy="493776"/>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328" cy="493776"/>
                    </a:xfrm>
                    <a:prstGeom prst="rect">
                      <a:avLst/>
                    </a:prstGeom>
                    <a:noFill/>
                  </pic:spPr>
                </pic:pic>
              </a:graphicData>
            </a:graphic>
            <wp14:sizeRelH relativeFrom="margin">
              <wp14:pctWidth>0</wp14:pctWidth>
            </wp14:sizeRelH>
            <wp14:sizeRelV relativeFrom="margin">
              <wp14:pctHeight>0</wp14:pctHeight>
            </wp14:sizeRelV>
          </wp:anchor>
        </w:drawing>
      </w:r>
    </w:p>
    <w:p w14:paraId="48BE0EB8" w14:textId="2341049B" w:rsidR="00382931" w:rsidRDefault="002C18AF" w:rsidP="00382931">
      <w:pPr>
        <w:pStyle w:val="ProductNumber"/>
      </w:pPr>
      <w:r>
        <w:t>9B18N009</w:t>
      </w:r>
    </w:p>
    <w:p w14:paraId="4E057522" w14:textId="77777777" w:rsidR="00D75295" w:rsidRPr="003920D7" w:rsidRDefault="00D75295" w:rsidP="00D75295">
      <w:pPr>
        <w:jc w:val="right"/>
        <w:rPr>
          <w:rFonts w:ascii="Arial" w:hAnsi="Arial"/>
          <w:b/>
          <w:sz w:val="28"/>
          <w:szCs w:val="28"/>
          <w:lang w:val="en-GB"/>
        </w:rPr>
      </w:pPr>
    </w:p>
    <w:p w14:paraId="426B7211" w14:textId="77777777" w:rsidR="00013360" w:rsidRPr="003920D7" w:rsidRDefault="00013360" w:rsidP="00D75295">
      <w:pPr>
        <w:jc w:val="right"/>
        <w:rPr>
          <w:rFonts w:ascii="Arial" w:hAnsi="Arial"/>
          <w:b/>
          <w:sz w:val="28"/>
          <w:szCs w:val="28"/>
          <w:lang w:val="en-GB"/>
        </w:rPr>
      </w:pPr>
    </w:p>
    <w:p w14:paraId="2F03D26A" w14:textId="19DC3256" w:rsidR="00013360" w:rsidRPr="003920D7" w:rsidRDefault="00C91503" w:rsidP="00013360">
      <w:pPr>
        <w:pStyle w:val="CaseTitle"/>
        <w:spacing w:after="0" w:line="240" w:lineRule="auto"/>
        <w:rPr>
          <w:sz w:val="20"/>
          <w:szCs w:val="20"/>
          <w:lang w:val="en-GB"/>
        </w:rPr>
      </w:pPr>
      <w:r w:rsidRPr="003920D7">
        <w:rPr>
          <w:rFonts w:eastAsia="Arial"/>
          <w:lang w:val="en-GB"/>
        </w:rPr>
        <w:t xml:space="preserve">Stelco Inc.: </w:t>
      </w:r>
      <w:r w:rsidR="00ED7922" w:rsidRPr="003920D7">
        <w:rPr>
          <w:rFonts w:eastAsia="Arial"/>
          <w:lang w:val="en-GB"/>
        </w:rPr>
        <w:t>BANKRUPTCY AND RESTRUCTURING</w:t>
      </w:r>
      <w:r w:rsidR="007A2EE5" w:rsidRPr="003920D7">
        <w:rPr>
          <w:rStyle w:val="FootnoteReference"/>
          <w:rFonts w:eastAsia="Arial"/>
          <w:lang w:val="en-GB"/>
        </w:rPr>
        <w:footnoteReference w:id="1"/>
      </w:r>
    </w:p>
    <w:p w14:paraId="40ABF6FD" w14:textId="77777777" w:rsidR="00CA3976" w:rsidRPr="003920D7" w:rsidRDefault="00CA3976" w:rsidP="00013360">
      <w:pPr>
        <w:pStyle w:val="CaseTitle"/>
        <w:spacing w:after="0" w:line="240" w:lineRule="auto"/>
        <w:rPr>
          <w:sz w:val="20"/>
          <w:szCs w:val="20"/>
          <w:lang w:val="en-GB"/>
        </w:rPr>
      </w:pPr>
    </w:p>
    <w:p w14:paraId="202F1085" w14:textId="77777777" w:rsidR="00013360" w:rsidRPr="003920D7" w:rsidRDefault="00013360" w:rsidP="00013360">
      <w:pPr>
        <w:pStyle w:val="CaseTitle"/>
        <w:spacing w:after="0" w:line="240" w:lineRule="auto"/>
        <w:rPr>
          <w:sz w:val="20"/>
          <w:szCs w:val="20"/>
          <w:lang w:val="en-GB"/>
        </w:rPr>
      </w:pPr>
    </w:p>
    <w:p w14:paraId="58B0C73F" w14:textId="0D708861" w:rsidR="00086B26" w:rsidRPr="003920D7" w:rsidRDefault="00ED7922" w:rsidP="00086B26">
      <w:pPr>
        <w:pStyle w:val="StyleCopyrightStatementAfter0ptBottomSinglesolidline1"/>
        <w:rPr>
          <w:lang w:val="en-GB"/>
        </w:rPr>
      </w:pPr>
      <w:r w:rsidRPr="003920D7">
        <w:rPr>
          <w:rFonts w:cs="Arial"/>
          <w:szCs w:val="16"/>
          <w:lang w:val="en-GB"/>
        </w:rPr>
        <w:t xml:space="preserve">Professor Michael R. King </w:t>
      </w:r>
      <w:r w:rsidR="008467D8">
        <w:rPr>
          <w:rFonts w:cs="Arial"/>
          <w:szCs w:val="16"/>
          <w:lang w:val="en-GB"/>
        </w:rPr>
        <w:t xml:space="preserve">and Erika Chamberlain </w:t>
      </w:r>
      <w:r w:rsidR="00086B26" w:rsidRPr="003920D7">
        <w:rPr>
          <w:lang w:val="en-GB"/>
        </w:rPr>
        <w:t>wrote this case solely to provide material for class discussion. The author do</w:t>
      </w:r>
      <w:r w:rsidR="00D708F0" w:rsidRPr="003920D7">
        <w:rPr>
          <w:lang w:val="en-GB"/>
        </w:rPr>
        <w:t>es</w:t>
      </w:r>
      <w:r w:rsidR="00086B26" w:rsidRPr="003920D7">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3920D7" w:rsidRDefault="00086B26" w:rsidP="00086B26">
      <w:pPr>
        <w:pStyle w:val="StyleCopyrightStatementAfter0ptBottomSinglesolidline1"/>
        <w:rPr>
          <w:lang w:val="en-GB"/>
        </w:rPr>
      </w:pPr>
    </w:p>
    <w:p w14:paraId="120810C9" w14:textId="77777777" w:rsidR="00382931" w:rsidRPr="00C02410" w:rsidRDefault="00382931" w:rsidP="0038293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1" w:history="1">
        <w:r w:rsidRPr="00C02410">
          <w:rPr>
            <w:rFonts w:ascii="Arial" w:hAnsi="Arial"/>
            <w:i/>
            <w:iCs/>
            <w:color w:val="000000"/>
            <w:sz w:val="16"/>
          </w:rPr>
          <w:t>www.iveycases.com</w:t>
        </w:r>
      </w:hyperlink>
      <w:r w:rsidRPr="00C02410">
        <w:rPr>
          <w:rFonts w:ascii="Arial" w:hAnsi="Arial"/>
          <w:i/>
          <w:iCs/>
          <w:color w:val="000000"/>
          <w:sz w:val="16"/>
        </w:rPr>
        <w:t>.</w:t>
      </w:r>
    </w:p>
    <w:p w14:paraId="5A789DEC" w14:textId="77777777" w:rsidR="00382931" w:rsidRPr="00C02410" w:rsidRDefault="00382931" w:rsidP="0038293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7F0308D6" w:rsidR="00751E0B" w:rsidRPr="003920D7" w:rsidRDefault="00382931" w:rsidP="00382931">
      <w:pPr>
        <w:pStyle w:val="StyleStyleCopyrightStatementAfter0ptBottomSinglesolid"/>
        <w:rPr>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w:t>
      </w:r>
      <w:r w:rsidR="00F72BE7">
        <w:rPr>
          <w:rFonts w:cs="Arial"/>
          <w:iCs w:val="0"/>
          <w:color w:val="auto"/>
          <w:szCs w:val="16"/>
        </w:rPr>
        <w:t>06-0</w:t>
      </w:r>
      <w:r w:rsidR="00916954">
        <w:rPr>
          <w:rFonts w:cs="Arial"/>
          <w:iCs w:val="0"/>
          <w:color w:val="auto"/>
          <w:szCs w:val="16"/>
        </w:rPr>
        <w:t>8</w:t>
      </w:r>
    </w:p>
    <w:p w14:paraId="0A2A54E4" w14:textId="77777777" w:rsidR="00751E0B" w:rsidRPr="003920D7" w:rsidRDefault="00751E0B" w:rsidP="00751E0B">
      <w:pPr>
        <w:pStyle w:val="StyleCopyrightStatementAfter0ptBottomSinglesolidline1"/>
        <w:rPr>
          <w:rFonts w:ascii="Times New Roman" w:hAnsi="Times New Roman"/>
          <w:sz w:val="20"/>
          <w:lang w:val="en-GB"/>
        </w:rPr>
      </w:pPr>
    </w:p>
    <w:p w14:paraId="1507635B" w14:textId="77777777" w:rsidR="004B632F" w:rsidRPr="003920D7" w:rsidRDefault="004B632F" w:rsidP="004B632F">
      <w:pPr>
        <w:pStyle w:val="StyleCopyrightStatementAfter0ptBottomSinglesolidline1"/>
        <w:rPr>
          <w:rFonts w:ascii="Times New Roman" w:hAnsi="Times New Roman"/>
          <w:sz w:val="20"/>
          <w:lang w:val="en-GB"/>
        </w:rPr>
      </w:pPr>
    </w:p>
    <w:p w14:paraId="49A68011" w14:textId="268E1572" w:rsidR="00ED7922" w:rsidRPr="003920D7" w:rsidRDefault="00ED7922" w:rsidP="00ED7922">
      <w:pPr>
        <w:pStyle w:val="BodyTextMain"/>
        <w:rPr>
          <w:color w:val="000000"/>
          <w:spacing w:val="-2"/>
          <w:lang w:val="en-GB"/>
        </w:rPr>
      </w:pPr>
      <w:r w:rsidRPr="003920D7">
        <w:rPr>
          <w:spacing w:val="-2"/>
          <w:lang w:val="en-GB"/>
        </w:rPr>
        <w:t xml:space="preserve">In late 2003, Jonathan Peters and Christine Martin, </w:t>
      </w:r>
      <w:r w:rsidR="00D708F0" w:rsidRPr="003920D7">
        <w:rPr>
          <w:spacing w:val="-2"/>
          <w:lang w:val="en-GB"/>
        </w:rPr>
        <w:t>m</w:t>
      </w:r>
      <w:r w:rsidRPr="003920D7">
        <w:rPr>
          <w:spacing w:val="-2"/>
          <w:lang w:val="en-GB"/>
        </w:rPr>
        <w:t xml:space="preserve">anaging </w:t>
      </w:r>
      <w:r w:rsidR="00D708F0" w:rsidRPr="003920D7">
        <w:rPr>
          <w:spacing w:val="-2"/>
          <w:lang w:val="en-GB"/>
        </w:rPr>
        <w:t>d</w:t>
      </w:r>
      <w:r w:rsidRPr="003920D7">
        <w:rPr>
          <w:spacing w:val="-2"/>
          <w:lang w:val="en-GB"/>
        </w:rPr>
        <w:t>irectors of Quantum Investors Inc. (Quantum), were reviewing the file on the Hamilton</w:t>
      </w:r>
      <w:r w:rsidR="00D708F0" w:rsidRPr="003920D7">
        <w:rPr>
          <w:spacing w:val="-2"/>
          <w:lang w:val="en-GB"/>
        </w:rPr>
        <w:t>, Ontario</w:t>
      </w:r>
      <w:r w:rsidRPr="003920D7">
        <w:rPr>
          <w:spacing w:val="-2"/>
          <w:lang w:val="en-GB"/>
        </w:rPr>
        <w:t xml:space="preserve">-based steel company, </w:t>
      </w:r>
      <w:proofErr w:type="spellStart"/>
      <w:r w:rsidRPr="003920D7">
        <w:rPr>
          <w:spacing w:val="-2"/>
          <w:lang w:val="en-GB"/>
        </w:rPr>
        <w:t>Stelco</w:t>
      </w:r>
      <w:proofErr w:type="spellEnd"/>
      <w:r w:rsidRPr="003920D7">
        <w:rPr>
          <w:spacing w:val="-2"/>
          <w:lang w:val="en-GB"/>
        </w:rPr>
        <w:t xml:space="preserve"> Inc. (</w:t>
      </w:r>
      <w:proofErr w:type="spellStart"/>
      <w:r w:rsidRPr="003920D7">
        <w:rPr>
          <w:spacing w:val="-2"/>
          <w:lang w:val="en-GB"/>
        </w:rPr>
        <w:t>Stelco</w:t>
      </w:r>
      <w:proofErr w:type="spellEnd"/>
      <w:r w:rsidRPr="003920D7">
        <w:rPr>
          <w:spacing w:val="-2"/>
          <w:lang w:val="en-GB"/>
        </w:rPr>
        <w:t>). Quantum was a Toronto-based private equity firm that specialized in distressed investing. Quantum raised its first fund in 2002</w:t>
      </w:r>
      <w:r w:rsidR="00D708F0" w:rsidRPr="003920D7">
        <w:rPr>
          <w:spacing w:val="-2"/>
          <w:lang w:val="en-GB"/>
        </w:rPr>
        <w:t>,</w:t>
      </w:r>
      <w:r w:rsidRPr="003920D7">
        <w:rPr>
          <w:spacing w:val="-2"/>
          <w:lang w:val="en-GB"/>
        </w:rPr>
        <w:t xml:space="preserve"> and </w:t>
      </w:r>
      <w:r w:rsidR="00B229CB" w:rsidRPr="003920D7">
        <w:rPr>
          <w:spacing w:val="-2"/>
          <w:lang w:val="en-GB"/>
        </w:rPr>
        <w:t xml:space="preserve">since then </w:t>
      </w:r>
      <w:r w:rsidRPr="003920D7">
        <w:rPr>
          <w:spacing w:val="-2"/>
          <w:lang w:val="en-GB"/>
        </w:rPr>
        <w:t xml:space="preserve">Peters and Martin had been studying various restructuring opportunities as a precursor to making an investment. They were currently focused on opportunities in the North American steel industry, which was undergoing a cyclical downturn. </w:t>
      </w:r>
      <w:proofErr w:type="spellStart"/>
      <w:r w:rsidRPr="003920D7">
        <w:rPr>
          <w:spacing w:val="-2"/>
          <w:lang w:val="en-GB"/>
        </w:rPr>
        <w:t>Stelco</w:t>
      </w:r>
      <w:proofErr w:type="spellEnd"/>
      <w:r w:rsidRPr="003920D7">
        <w:rPr>
          <w:spacing w:val="-2"/>
          <w:lang w:val="en-GB"/>
        </w:rPr>
        <w:t xml:space="preserve"> was Canada</w:t>
      </w:r>
      <w:r w:rsidR="00B229CB" w:rsidRPr="003920D7">
        <w:rPr>
          <w:spacing w:val="-2"/>
          <w:lang w:val="en-GB"/>
        </w:rPr>
        <w:t>’</w:t>
      </w:r>
      <w:r w:rsidRPr="003920D7">
        <w:rPr>
          <w:spacing w:val="-2"/>
          <w:lang w:val="en-GB"/>
        </w:rPr>
        <w:t xml:space="preserve">s largest and most diversified steel producer with fiscal 2002 sales of </w:t>
      </w:r>
      <w:r w:rsidR="00B229CB" w:rsidRPr="003920D7">
        <w:rPr>
          <w:spacing w:val="-2"/>
          <w:lang w:val="en-GB"/>
        </w:rPr>
        <w:t>CA</w:t>
      </w:r>
      <w:r w:rsidRPr="003920D7">
        <w:rPr>
          <w:spacing w:val="-2"/>
          <w:lang w:val="en-GB"/>
        </w:rPr>
        <w:t>$2.8 billion.</w:t>
      </w:r>
      <w:r w:rsidRPr="003920D7">
        <w:rPr>
          <w:rStyle w:val="FootnoteReference"/>
          <w:spacing w:val="-2"/>
          <w:lang w:val="en-GB"/>
        </w:rPr>
        <w:footnoteReference w:id="2"/>
      </w:r>
      <w:r w:rsidRPr="003920D7">
        <w:rPr>
          <w:spacing w:val="-2"/>
          <w:lang w:val="en-GB"/>
        </w:rPr>
        <w:t xml:space="preserve"> Despite being a Canadian giant, </w:t>
      </w:r>
      <w:proofErr w:type="spellStart"/>
      <w:r w:rsidRPr="003920D7">
        <w:rPr>
          <w:spacing w:val="-2"/>
          <w:lang w:val="en-GB"/>
        </w:rPr>
        <w:t>Stelco</w:t>
      </w:r>
      <w:proofErr w:type="spellEnd"/>
      <w:r w:rsidRPr="003920D7">
        <w:rPr>
          <w:spacing w:val="-2"/>
          <w:lang w:val="en-GB"/>
        </w:rPr>
        <w:t xml:space="preserve"> was in trouble</w:t>
      </w:r>
      <w:r w:rsidR="00B229CB" w:rsidRPr="003920D7">
        <w:rPr>
          <w:spacing w:val="-2"/>
          <w:lang w:val="en-GB"/>
        </w:rPr>
        <w:t>,</w:t>
      </w:r>
      <w:r w:rsidRPr="003920D7">
        <w:rPr>
          <w:spacing w:val="-2"/>
          <w:lang w:val="en-GB"/>
        </w:rPr>
        <w:t xml:space="preserve"> with </w:t>
      </w:r>
      <w:r w:rsidRPr="003920D7">
        <w:rPr>
          <w:color w:val="000000"/>
          <w:spacing w:val="-2"/>
          <w:lang w:val="en-GB"/>
        </w:rPr>
        <w:t>a high</w:t>
      </w:r>
      <w:r w:rsidR="00A06F18" w:rsidRPr="003920D7">
        <w:rPr>
          <w:color w:val="000000"/>
          <w:spacing w:val="-2"/>
          <w:lang w:val="en-GB"/>
        </w:rPr>
        <w:t xml:space="preserve"> </w:t>
      </w:r>
      <w:r w:rsidRPr="003920D7">
        <w:rPr>
          <w:color w:val="000000"/>
          <w:spacing w:val="-2"/>
          <w:lang w:val="en-GB"/>
        </w:rPr>
        <w:t xml:space="preserve">cost structure, a unionized workforce, a large pension liability, and a deteriorating cash position. It was clear </w:t>
      </w:r>
      <w:r w:rsidR="003920D7">
        <w:rPr>
          <w:color w:val="000000"/>
          <w:spacing w:val="-2"/>
          <w:lang w:val="en-GB"/>
        </w:rPr>
        <w:t xml:space="preserve">that </w:t>
      </w:r>
      <w:proofErr w:type="spellStart"/>
      <w:r w:rsidRPr="003920D7">
        <w:rPr>
          <w:color w:val="000000"/>
          <w:spacing w:val="-2"/>
          <w:lang w:val="en-GB"/>
        </w:rPr>
        <w:t>Stelco</w:t>
      </w:r>
      <w:proofErr w:type="spellEnd"/>
      <w:r w:rsidRPr="003920D7">
        <w:rPr>
          <w:color w:val="000000"/>
          <w:spacing w:val="-2"/>
          <w:lang w:val="en-GB"/>
        </w:rPr>
        <w:t xml:space="preserve"> needed to restructure to remain viable, </w:t>
      </w:r>
      <w:r w:rsidR="003920D7">
        <w:rPr>
          <w:color w:val="000000"/>
          <w:spacing w:val="-2"/>
          <w:lang w:val="en-GB"/>
        </w:rPr>
        <w:t>and</w:t>
      </w:r>
      <w:r w:rsidR="003920D7" w:rsidRPr="003920D7">
        <w:rPr>
          <w:color w:val="000000"/>
          <w:spacing w:val="-2"/>
          <w:lang w:val="en-GB"/>
        </w:rPr>
        <w:t xml:space="preserve"> </w:t>
      </w:r>
      <w:r w:rsidRPr="003920D7">
        <w:rPr>
          <w:color w:val="000000"/>
          <w:spacing w:val="-2"/>
          <w:lang w:val="en-GB"/>
        </w:rPr>
        <w:t xml:space="preserve">the company’s leadership </w:t>
      </w:r>
      <w:r w:rsidR="003920D7">
        <w:rPr>
          <w:color w:val="000000"/>
          <w:spacing w:val="-2"/>
          <w:lang w:val="en-GB"/>
        </w:rPr>
        <w:t xml:space="preserve">was </w:t>
      </w:r>
      <w:r w:rsidRPr="003920D7">
        <w:rPr>
          <w:color w:val="000000"/>
          <w:spacing w:val="-2"/>
          <w:lang w:val="en-GB"/>
        </w:rPr>
        <w:t xml:space="preserve">initiating a strategic review of all operations. The price of </w:t>
      </w:r>
      <w:proofErr w:type="spellStart"/>
      <w:r w:rsidRPr="003920D7">
        <w:rPr>
          <w:color w:val="000000"/>
          <w:spacing w:val="-2"/>
          <w:lang w:val="en-GB"/>
        </w:rPr>
        <w:t>Stelco’s</w:t>
      </w:r>
      <w:proofErr w:type="spellEnd"/>
      <w:r w:rsidRPr="003920D7">
        <w:rPr>
          <w:color w:val="000000"/>
          <w:spacing w:val="-2"/>
          <w:lang w:val="en-GB"/>
        </w:rPr>
        <w:t xml:space="preserve"> shares listed on the Toronto Stock Exchange (TSX) </w:t>
      </w:r>
      <w:r w:rsidRPr="003920D7">
        <w:rPr>
          <w:spacing w:val="-2"/>
          <w:lang w:val="en-GB"/>
        </w:rPr>
        <w:t>had declined</w:t>
      </w:r>
      <w:r w:rsidRPr="003920D7">
        <w:rPr>
          <w:color w:val="000000"/>
          <w:spacing w:val="-2"/>
          <w:lang w:val="en-GB"/>
        </w:rPr>
        <w:t xml:space="preserve"> sharply in recent months, suggesting the company </w:t>
      </w:r>
      <w:r w:rsidRPr="003920D7">
        <w:rPr>
          <w:spacing w:val="-2"/>
          <w:lang w:val="en-GB"/>
        </w:rPr>
        <w:t xml:space="preserve">was running out of time. </w:t>
      </w:r>
    </w:p>
    <w:p w14:paraId="138BD89B" w14:textId="77777777" w:rsidR="00ED7922" w:rsidRPr="003920D7" w:rsidRDefault="00ED7922" w:rsidP="00ED7922">
      <w:pPr>
        <w:pStyle w:val="BodyTextMain"/>
        <w:rPr>
          <w:color w:val="000000"/>
          <w:sz w:val="20"/>
          <w:lang w:val="en-GB"/>
        </w:rPr>
      </w:pPr>
    </w:p>
    <w:p w14:paraId="77017045" w14:textId="2E69F14F" w:rsidR="00ED7922" w:rsidRPr="00382931" w:rsidRDefault="00ED7922" w:rsidP="00ED7922">
      <w:pPr>
        <w:pStyle w:val="BodyTextMain"/>
        <w:rPr>
          <w:spacing w:val="-2"/>
          <w:lang w:val="en-GB"/>
        </w:rPr>
      </w:pPr>
      <w:r w:rsidRPr="00382931">
        <w:rPr>
          <w:spacing w:val="-2"/>
          <w:lang w:val="en-GB"/>
        </w:rPr>
        <w:t xml:space="preserve">Peters and Martin </w:t>
      </w:r>
      <w:r w:rsidRPr="00382931">
        <w:rPr>
          <w:rStyle w:val="Strong"/>
          <w:b w:val="0"/>
          <w:bCs w:val="0"/>
          <w:spacing w:val="-2"/>
          <w:lang w:val="en-GB"/>
        </w:rPr>
        <w:t xml:space="preserve">anticipated </w:t>
      </w:r>
      <w:proofErr w:type="spellStart"/>
      <w:r w:rsidRPr="00382931">
        <w:rPr>
          <w:rStyle w:val="Strong"/>
          <w:b w:val="0"/>
          <w:bCs w:val="0"/>
          <w:spacing w:val="-2"/>
          <w:lang w:val="en-GB"/>
        </w:rPr>
        <w:t>Stelco</w:t>
      </w:r>
      <w:proofErr w:type="spellEnd"/>
      <w:r w:rsidRPr="00382931">
        <w:rPr>
          <w:rStyle w:val="Strong"/>
          <w:b w:val="0"/>
          <w:bCs w:val="0"/>
          <w:spacing w:val="-2"/>
          <w:lang w:val="en-GB"/>
        </w:rPr>
        <w:t xml:space="preserve"> would file for bankruptcy imminently under the </w:t>
      </w:r>
      <w:r w:rsidRPr="00382931">
        <w:rPr>
          <w:rStyle w:val="Strong"/>
          <w:b w:val="0"/>
          <w:bCs w:val="0"/>
          <w:i/>
          <w:spacing w:val="-2"/>
          <w:lang w:val="en-GB"/>
        </w:rPr>
        <w:t xml:space="preserve">Companies’ Creditors Arrangement Act </w:t>
      </w:r>
      <w:r w:rsidRPr="00382931">
        <w:rPr>
          <w:rStyle w:val="Strong"/>
          <w:b w:val="0"/>
          <w:bCs w:val="0"/>
          <w:spacing w:val="-2"/>
          <w:lang w:val="en-GB"/>
        </w:rPr>
        <w:t>(CCAA)</w:t>
      </w:r>
      <w:r w:rsidR="00B47A8C" w:rsidRPr="00382931">
        <w:rPr>
          <w:rStyle w:val="Strong"/>
          <w:b w:val="0"/>
          <w:bCs w:val="0"/>
          <w:spacing w:val="-2"/>
          <w:lang w:val="en-GB"/>
        </w:rPr>
        <w:t>—</w:t>
      </w:r>
      <w:r w:rsidRPr="00382931">
        <w:rPr>
          <w:rStyle w:val="Strong"/>
          <w:b w:val="0"/>
          <w:bCs w:val="0"/>
          <w:spacing w:val="-2"/>
          <w:lang w:val="en-GB"/>
        </w:rPr>
        <w:t>Canada’s bankruptcy and insolvency law.</w:t>
      </w:r>
      <w:r w:rsidR="00C91503" w:rsidRPr="00382931">
        <w:rPr>
          <w:rStyle w:val="FootnoteReference"/>
          <w:spacing w:val="-2"/>
          <w:lang w:val="en-GB"/>
        </w:rPr>
        <w:footnoteReference w:id="3"/>
      </w:r>
      <w:r w:rsidRPr="00382931">
        <w:rPr>
          <w:rStyle w:val="Strong"/>
          <w:b w:val="0"/>
          <w:bCs w:val="0"/>
          <w:spacing w:val="-2"/>
          <w:lang w:val="en-GB"/>
        </w:rPr>
        <w:t xml:space="preserve"> </w:t>
      </w:r>
      <w:r w:rsidRPr="00382931">
        <w:rPr>
          <w:spacing w:val="-2"/>
          <w:lang w:val="en-GB"/>
        </w:rPr>
        <w:t xml:space="preserve">The Quantum founders </w:t>
      </w:r>
      <w:r w:rsidR="003920D7" w:rsidRPr="00382931">
        <w:rPr>
          <w:spacing w:val="-2"/>
          <w:lang w:val="en-GB"/>
        </w:rPr>
        <w:t xml:space="preserve">needed </w:t>
      </w:r>
      <w:r w:rsidRPr="00382931">
        <w:rPr>
          <w:spacing w:val="-2"/>
          <w:lang w:val="en-GB"/>
        </w:rPr>
        <w:t xml:space="preserve">to decide whether to take a position in </w:t>
      </w:r>
      <w:proofErr w:type="spellStart"/>
      <w:r w:rsidRPr="00382931">
        <w:rPr>
          <w:spacing w:val="-2"/>
          <w:lang w:val="en-GB"/>
        </w:rPr>
        <w:t>Stelco</w:t>
      </w:r>
      <w:proofErr w:type="spellEnd"/>
      <w:r w:rsidRPr="00382931">
        <w:rPr>
          <w:spacing w:val="-2"/>
          <w:lang w:val="en-GB"/>
        </w:rPr>
        <w:t xml:space="preserve">. If Quantum were to take a position, </w:t>
      </w:r>
      <w:r w:rsidR="00B47A8C" w:rsidRPr="00382931">
        <w:rPr>
          <w:spacing w:val="-2"/>
          <w:lang w:val="en-GB"/>
        </w:rPr>
        <w:t>Peters and Martin</w:t>
      </w:r>
      <w:r w:rsidRPr="00382931">
        <w:rPr>
          <w:spacing w:val="-2"/>
          <w:lang w:val="en-GB"/>
        </w:rPr>
        <w:t xml:space="preserve"> </w:t>
      </w:r>
      <w:r w:rsidR="003920D7" w:rsidRPr="00382931">
        <w:rPr>
          <w:spacing w:val="-2"/>
          <w:lang w:val="en-GB"/>
        </w:rPr>
        <w:t xml:space="preserve">would need </w:t>
      </w:r>
      <w:r w:rsidRPr="00382931">
        <w:rPr>
          <w:spacing w:val="-2"/>
          <w:lang w:val="en-GB"/>
        </w:rPr>
        <w:t xml:space="preserve">to decide </w:t>
      </w:r>
      <w:r w:rsidR="003920D7" w:rsidRPr="00382931">
        <w:rPr>
          <w:spacing w:val="-2"/>
          <w:lang w:val="en-GB"/>
        </w:rPr>
        <w:t xml:space="preserve">which </w:t>
      </w:r>
      <w:r w:rsidRPr="00382931">
        <w:rPr>
          <w:spacing w:val="-2"/>
          <w:lang w:val="en-GB"/>
        </w:rPr>
        <w:t xml:space="preserve">securities to purchase and </w:t>
      </w:r>
      <w:r w:rsidR="00AE33BC" w:rsidRPr="00382931">
        <w:rPr>
          <w:spacing w:val="-2"/>
          <w:lang w:val="en-GB"/>
        </w:rPr>
        <w:t xml:space="preserve">the </w:t>
      </w:r>
      <w:r w:rsidRPr="00382931">
        <w:rPr>
          <w:spacing w:val="-2"/>
          <w:lang w:val="en-GB"/>
        </w:rPr>
        <w:t xml:space="preserve">strategy to pursue with the various stakeholders to ensure a </w:t>
      </w:r>
      <w:proofErr w:type="gramStart"/>
      <w:r w:rsidRPr="00382931">
        <w:rPr>
          <w:spacing w:val="-2"/>
          <w:lang w:val="en-GB"/>
        </w:rPr>
        <w:t>successful</w:t>
      </w:r>
      <w:proofErr w:type="gramEnd"/>
      <w:r w:rsidRPr="00382931">
        <w:rPr>
          <w:spacing w:val="-2"/>
          <w:lang w:val="en-GB"/>
        </w:rPr>
        <w:t xml:space="preserve"> outcome for their investment. In particular</w:t>
      </w:r>
      <w:r w:rsidR="00B47A8C" w:rsidRPr="00382931">
        <w:rPr>
          <w:spacing w:val="-2"/>
          <w:lang w:val="en-GB"/>
        </w:rPr>
        <w:t>,</w:t>
      </w:r>
      <w:r w:rsidRPr="00382931">
        <w:rPr>
          <w:spacing w:val="-2"/>
          <w:lang w:val="en-GB"/>
        </w:rPr>
        <w:t xml:space="preserve"> they needed to identify the </w:t>
      </w:r>
      <w:r w:rsidR="00B47A8C" w:rsidRPr="00382931">
        <w:rPr>
          <w:spacing w:val="-2"/>
          <w:lang w:val="en-GB"/>
        </w:rPr>
        <w:t>“</w:t>
      </w:r>
      <w:r w:rsidRPr="00382931">
        <w:rPr>
          <w:spacing w:val="-2"/>
          <w:lang w:val="en-GB"/>
        </w:rPr>
        <w:t>fulcrum</w:t>
      </w:r>
      <w:r w:rsidR="00B47A8C" w:rsidRPr="00382931">
        <w:rPr>
          <w:spacing w:val="-2"/>
          <w:lang w:val="en-GB"/>
        </w:rPr>
        <w:t>”</w:t>
      </w:r>
      <w:r w:rsidRPr="00382931">
        <w:rPr>
          <w:spacing w:val="-2"/>
          <w:lang w:val="en-GB"/>
        </w:rPr>
        <w:t xml:space="preserve"> security in </w:t>
      </w:r>
      <w:proofErr w:type="spellStart"/>
      <w:r w:rsidRPr="00382931">
        <w:rPr>
          <w:spacing w:val="-2"/>
          <w:lang w:val="en-GB"/>
        </w:rPr>
        <w:t>Stelco’s</w:t>
      </w:r>
      <w:proofErr w:type="spellEnd"/>
      <w:r w:rsidRPr="00382931">
        <w:rPr>
          <w:spacing w:val="-2"/>
          <w:lang w:val="en-GB"/>
        </w:rPr>
        <w:t xml:space="preserve"> capital structure</w:t>
      </w:r>
      <w:r w:rsidR="00B47A8C" w:rsidRPr="00382931">
        <w:rPr>
          <w:spacing w:val="-2"/>
          <w:lang w:val="en-GB"/>
        </w:rPr>
        <w:t>—</w:t>
      </w:r>
      <w:r w:rsidR="003920D7" w:rsidRPr="00382931">
        <w:rPr>
          <w:spacing w:val="-2"/>
          <w:lang w:val="en-GB"/>
        </w:rPr>
        <w:t xml:space="preserve">that is, </w:t>
      </w:r>
      <w:r w:rsidRPr="00382931">
        <w:rPr>
          <w:spacing w:val="-2"/>
          <w:lang w:val="en-GB"/>
        </w:rPr>
        <w:t xml:space="preserve">the class of securities that would most likely control both the legal process and the go-forward value proposition in a restructuring. They also needed to identify the key stakeholders in the restructuring, understand their bargaining positions, and assess the feasibility of a future exit. Peters and Martin had asked their team to look into </w:t>
      </w:r>
      <w:proofErr w:type="spellStart"/>
      <w:r w:rsidRPr="00382931">
        <w:rPr>
          <w:spacing w:val="-2"/>
          <w:lang w:val="en-GB"/>
        </w:rPr>
        <w:t>Stelco’s</w:t>
      </w:r>
      <w:proofErr w:type="spellEnd"/>
      <w:r w:rsidRPr="00382931">
        <w:rPr>
          <w:spacing w:val="-2"/>
          <w:lang w:val="en-GB"/>
        </w:rPr>
        <w:t xml:space="preserve"> financial and operating situation, its capitalization, and its assets and liabilities. With a CCAA filing imminent, they needed to make a decision soon. </w:t>
      </w:r>
    </w:p>
    <w:p w14:paraId="0D3D0F97" w14:textId="77777777" w:rsidR="00ED7922" w:rsidRPr="003920D7" w:rsidRDefault="00ED7922" w:rsidP="00ED7922">
      <w:pPr>
        <w:pStyle w:val="BodyTextMain"/>
        <w:rPr>
          <w:sz w:val="20"/>
          <w:lang w:val="en-GB"/>
        </w:rPr>
      </w:pPr>
    </w:p>
    <w:p w14:paraId="7A8BC588" w14:textId="77777777" w:rsidR="00ED7922" w:rsidRPr="003920D7" w:rsidRDefault="00ED7922" w:rsidP="00D339E8">
      <w:pPr>
        <w:pStyle w:val="Casehead1"/>
        <w:keepNext/>
        <w:rPr>
          <w:rStyle w:val="Strong"/>
          <w:b/>
          <w:bCs w:val="0"/>
          <w:szCs w:val="22"/>
          <w:lang w:val="en-GB"/>
        </w:rPr>
      </w:pPr>
      <w:r w:rsidRPr="003920D7">
        <w:rPr>
          <w:rStyle w:val="Strong"/>
          <w:b/>
          <w:bCs w:val="0"/>
          <w:szCs w:val="22"/>
          <w:lang w:val="en-GB"/>
        </w:rPr>
        <w:lastRenderedPageBreak/>
        <w:t>The STEEL INDUSTRY</w:t>
      </w:r>
    </w:p>
    <w:p w14:paraId="5F25DCA7" w14:textId="77777777" w:rsidR="00ED7922" w:rsidRPr="003920D7" w:rsidRDefault="00ED7922" w:rsidP="00D339E8">
      <w:pPr>
        <w:pStyle w:val="BodyTextMain"/>
        <w:keepNext/>
        <w:rPr>
          <w:lang w:val="en-GB"/>
        </w:rPr>
      </w:pPr>
    </w:p>
    <w:p w14:paraId="4A8EE263" w14:textId="3F2E9EE4" w:rsidR="00ED7922" w:rsidRPr="003920D7" w:rsidRDefault="00ED7922" w:rsidP="00D339E8">
      <w:pPr>
        <w:pStyle w:val="BodyTextMain"/>
        <w:keepNext/>
        <w:rPr>
          <w:lang w:val="en-GB"/>
        </w:rPr>
      </w:pPr>
      <w:r w:rsidRPr="003920D7">
        <w:rPr>
          <w:color w:val="000000"/>
          <w:lang w:val="en-GB"/>
        </w:rPr>
        <w:t xml:space="preserve">The North American steel industry was highly cyclical and had undergone many booms and busts over the years. The industry was in the midst of </w:t>
      </w:r>
      <w:r w:rsidRPr="003920D7">
        <w:rPr>
          <w:lang w:val="en-GB"/>
        </w:rPr>
        <w:t>another downturn</w:t>
      </w:r>
      <w:r w:rsidR="00376D6C" w:rsidRPr="003920D7">
        <w:rPr>
          <w:lang w:val="en-GB"/>
        </w:rPr>
        <w:t>,</w:t>
      </w:r>
      <w:r w:rsidRPr="003920D7">
        <w:rPr>
          <w:lang w:val="en-GB"/>
        </w:rPr>
        <w:t xml:space="preserve"> </w:t>
      </w:r>
      <w:r w:rsidR="00376D6C" w:rsidRPr="003920D7">
        <w:rPr>
          <w:lang w:val="en-GB"/>
        </w:rPr>
        <w:t>which</w:t>
      </w:r>
      <w:r w:rsidRPr="003920D7">
        <w:rPr>
          <w:lang w:val="en-GB"/>
        </w:rPr>
        <w:t xml:space="preserve"> had seen the bankruptcy and restructuring of </w:t>
      </w:r>
      <w:r w:rsidR="003920D7">
        <w:rPr>
          <w:color w:val="000000"/>
          <w:lang w:val="en-GB"/>
        </w:rPr>
        <w:t>numerous</w:t>
      </w:r>
      <w:r w:rsidRPr="003920D7">
        <w:rPr>
          <w:lang w:val="en-GB"/>
        </w:rPr>
        <w:t xml:space="preserve"> U.S. and Canadian steel companies: LTV Steel</w:t>
      </w:r>
      <w:r w:rsidR="00376D6C" w:rsidRPr="003920D7">
        <w:rPr>
          <w:lang w:val="en-GB"/>
        </w:rPr>
        <w:t xml:space="preserve"> Corporation</w:t>
      </w:r>
      <w:r w:rsidRPr="003920D7">
        <w:rPr>
          <w:lang w:val="en-GB"/>
        </w:rPr>
        <w:t xml:space="preserve"> (2000), Bethlehem Steel </w:t>
      </w:r>
      <w:r w:rsidR="00376D6C" w:rsidRPr="003920D7">
        <w:rPr>
          <w:lang w:val="en-GB"/>
        </w:rPr>
        <w:t xml:space="preserve">Corporation </w:t>
      </w:r>
      <w:r w:rsidRPr="003920D7">
        <w:rPr>
          <w:lang w:val="en-GB"/>
        </w:rPr>
        <w:t xml:space="preserve">(2001), National Steel </w:t>
      </w:r>
      <w:r w:rsidR="00376D6C" w:rsidRPr="003920D7">
        <w:rPr>
          <w:lang w:val="en-GB"/>
        </w:rPr>
        <w:t xml:space="preserve">Corporation </w:t>
      </w:r>
      <w:r w:rsidRPr="003920D7">
        <w:rPr>
          <w:lang w:val="en-GB"/>
        </w:rPr>
        <w:t>(2002)</w:t>
      </w:r>
      <w:r w:rsidR="00376D6C" w:rsidRPr="003920D7">
        <w:rPr>
          <w:lang w:val="en-GB"/>
        </w:rPr>
        <w:t>,</w:t>
      </w:r>
      <w:r w:rsidRPr="003920D7">
        <w:rPr>
          <w:lang w:val="en-GB"/>
        </w:rPr>
        <w:t xml:space="preserve"> and Weirton Steel</w:t>
      </w:r>
      <w:r w:rsidR="00376D6C" w:rsidRPr="003920D7">
        <w:rPr>
          <w:lang w:val="en-GB"/>
        </w:rPr>
        <w:t xml:space="preserve"> Corporation</w:t>
      </w:r>
      <w:r w:rsidRPr="003920D7">
        <w:rPr>
          <w:lang w:val="en-GB"/>
        </w:rPr>
        <w:t xml:space="preserve"> (2003) in the United States; and Algoma Steel (2001), </w:t>
      </w:r>
      <w:proofErr w:type="spellStart"/>
      <w:r w:rsidRPr="003920D7">
        <w:rPr>
          <w:lang w:val="en-GB"/>
        </w:rPr>
        <w:t>Ivaco</w:t>
      </w:r>
      <w:proofErr w:type="spellEnd"/>
      <w:r w:rsidRPr="003920D7">
        <w:rPr>
          <w:lang w:val="en-GB"/>
        </w:rPr>
        <w:t xml:space="preserve"> Inc. (2003)</w:t>
      </w:r>
      <w:r w:rsidR="007A61CF" w:rsidRPr="003920D7">
        <w:rPr>
          <w:lang w:val="en-GB"/>
        </w:rPr>
        <w:t>,</w:t>
      </w:r>
      <w:r w:rsidRPr="003920D7">
        <w:rPr>
          <w:lang w:val="en-GB"/>
        </w:rPr>
        <w:t xml:space="preserve"> and Slater Steel</w:t>
      </w:r>
      <w:r w:rsidR="007A61CF" w:rsidRPr="003920D7">
        <w:rPr>
          <w:lang w:val="en-GB"/>
        </w:rPr>
        <w:t xml:space="preserve"> Inc.</w:t>
      </w:r>
      <w:r w:rsidRPr="003920D7">
        <w:rPr>
          <w:lang w:val="en-GB"/>
        </w:rPr>
        <w:t xml:space="preserve"> (2003) in Canada. These steel companies used court-supervised restructurings to reduce their debt, labour costs, and liabilities. This turmoil also led to industry consolidation</w:t>
      </w:r>
      <w:r w:rsidR="009027BF">
        <w:rPr>
          <w:lang w:val="en-GB"/>
        </w:rPr>
        <w:t>,</w:t>
      </w:r>
      <w:r w:rsidRPr="003920D7">
        <w:rPr>
          <w:lang w:val="en-GB"/>
        </w:rPr>
        <w:t xml:space="preserve"> as stronger competitors acquired struggling rivals through horizontal mergers designed to capture economies of scale and scope. International Steel Group</w:t>
      </w:r>
      <w:r w:rsidR="009B494B" w:rsidRPr="003920D7">
        <w:rPr>
          <w:lang w:val="en-GB"/>
        </w:rPr>
        <w:t xml:space="preserve"> Inc.</w:t>
      </w:r>
      <w:r w:rsidRPr="003920D7">
        <w:rPr>
          <w:lang w:val="en-GB"/>
        </w:rPr>
        <w:t xml:space="preserve"> was formed in March 2002</w:t>
      </w:r>
      <w:r w:rsidR="009027BF">
        <w:rPr>
          <w:lang w:val="en-GB"/>
        </w:rPr>
        <w:t>,</w:t>
      </w:r>
      <w:r w:rsidRPr="003920D7">
        <w:rPr>
          <w:lang w:val="en-GB"/>
        </w:rPr>
        <w:t xml:space="preserve"> following the merger of bankrupt firms LTV Steel</w:t>
      </w:r>
      <w:r w:rsidR="009B494B" w:rsidRPr="003920D7">
        <w:rPr>
          <w:lang w:val="en-GB"/>
        </w:rPr>
        <w:t xml:space="preserve"> Corporation</w:t>
      </w:r>
      <w:r w:rsidRPr="003920D7">
        <w:rPr>
          <w:lang w:val="en-GB"/>
        </w:rPr>
        <w:t>, Acme Steel</w:t>
      </w:r>
      <w:r w:rsidR="009B494B" w:rsidRPr="003920D7">
        <w:rPr>
          <w:lang w:val="en-GB"/>
        </w:rPr>
        <w:t xml:space="preserve"> Co.,</w:t>
      </w:r>
      <w:r w:rsidRPr="003920D7">
        <w:rPr>
          <w:lang w:val="en-GB"/>
        </w:rPr>
        <w:t xml:space="preserve"> and Bethlehem Steel</w:t>
      </w:r>
      <w:r w:rsidR="009B494B" w:rsidRPr="003920D7">
        <w:rPr>
          <w:lang w:val="en-GB"/>
        </w:rPr>
        <w:t xml:space="preserve"> Corporation</w:t>
      </w:r>
      <w:r w:rsidRPr="003920D7">
        <w:rPr>
          <w:lang w:val="en-GB"/>
        </w:rPr>
        <w:t>. I</w:t>
      </w:r>
      <w:r w:rsidR="00DA4B4E" w:rsidRPr="003920D7">
        <w:rPr>
          <w:lang w:val="en-GB"/>
        </w:rPr>
        <w:t xml:space="preserve">nternational </w:t>
      </w:r>
      <w:r w:rsidRPr="003920D7">
        <w:rPr>
          <w:lang w:val="en-GB"/>
        </w:rPr>
        <w:t>S</w:t>
      </w:r>
      <w:r w:rsidR="00DA4B4E" w:rsidRPr="003920D7">
        <w:rPr>
          <w:lang w:val="en-GB"/>
        </w:rPr>
        <w:t xml:space="preserve">teel </w:t>
      </w:r>
      <w:r w:rsidRPr="003920D7">
        <w:rPr>
          <w:lang w:val="en-GB"/>
        </w:rPr>
        <w:t>G</w:t>
      </w:r>
      <w:r w:rsidR="00DA4B4E" w:rsidRPr="003920D7">
        <w:rPr>
          <w:lang w:val="en-GB"/>
        </w:rPr>
        <w:t>roup Inc.</w:t>
      </w:r>
      <w:r w:rsidRPr="003920D7">
        <w:rPr>
          <w:lang w:val="en-GB"/>
        </w:rPr>
        <w:t xml:space="preserve"> had become the second</w:t>
      </w:r>
      <w:r w:rsidR="00DA4B4E" w:rsidRPr="003920D7">
        <w:rPr>
          <w:lang w:val="en-GB"/>
        </w:rPr>
        <w:t>-</w:t>
      </w:r>
      <w:r w:rsidRPr="003920D7">
        <w:rPr>
          <w:lang w:val="en-GB"/>
        </w:rPr>
        <w:t xml:space="preserve">largest U.S. steel manufacturer and a price leader. These restructured steel companies re-emerged </w:t>
      </w:r>
      <w:r w:rsidRPr="003920D7">
        <w:rPr>
          <w:color w:val="000000"/>
          <w:lang w:val="en-GB"/>
        </w:rPr>
        <w:t>from creditor protection</w:t>
      </w:r>
      <w:r w:rsidRPr="003920D7">
        <w:rPr>
          <w:lang w:val="en-GB"/>
        </w:rPr>
        <w:t xml:space="preserve"> as leaner, more cost-efficient competitors.</w:t>
      </w:r>
    </w:p>
    <w:p w14:paraId="6A3A3E82" w14:textId="77777777" w:rsidR="007A61CF" w:rsidRPr="003920D7" w:rsidRDefault="007A61CF" w:rsidP="00ED7922">
      <w:pPr>
        <w:pStyle w:val="BodyTextMain"/>
        <w:rPr>
          <w:lang w:val="en-GB"/>
        </w:rPr>
      </w:pPr>
    </w:p>
    <w:p w14:paraId="343DE105" w14:textId="67542456" w:rsidR="00ED7922" w:rsidRPr="003920D7" w:rsidRDefault="009B494B" w:rsidP="00ED7922">
      <w:pPr>
        <w:pStyle w:val="BodyTextMain"/>
        <w:rPr>
          <w:color w:val="000000"/>
          <w:lang w:val="en-GB"/>
        </w:rPr>
      </w:pPr>
      <w:r w:rsidRPr="003920D7">
        <w:rPr>
          <w:lang w:val="en-GB"/>
        </w:rPr>
        <w:t>However,</w:t>
      </w:r>
      <w:r w:rsidR="00ED7922" w:rsidRPr="003920D7">
        <w:rPr>
          <w:color w:val="000000"/>
          <w:lang w:val="en-GB"/>
        </w:rPr>
        <w:t xml:space="preserve"> the steel industry continued to face challenges. In the first nine</w:t>
      </w:r>
      <w:r w:rsidRPr="003920D7">
        <w:rPr>
          <w:color w:val="000000"/>
          <w:lang w:val="en-GB"/>
        </w:rPr>
        <w:t xml:space="preserve"> </w:t>
      </w:r>
      <w:r w:rsidR="00ED7922" w:rsidRPr="003920D7">
        <w:rPr>
          <w:color w:val="000000"/>
          <w:lang w:val="en-GB"/>
        </w:rPr>
        <w:t>months of 2003, world steel production had increased by 7.1 per cent v</w:t>
      </w:r>
      <w:r w:rsidRPr="003920D7">
        <w:rPr>
          <w:color w:val="000000"/>
          <w:lang w:val="en-GB"/>
        </w:rPr>
        <w:t>ersu</w:t>
      </w:r>
      <w:r w:rsidR="00ED7922" w:rsidRPr="003920D7">
        <w:rPr>
          <w:color w:val="000000"/>
          <w:lang w:val="en-GB"/>
        </w:rPr>
        <w:t>s the same period a year earlier, driven by higher production in Asia. This increased supply met with weak market demand, leading to declining steel prices. After peaking at US$273 per ton, the price benchmark of U.S. hot-rolled sheet steel declined to US$240</w:t>
      </w:r>
      <w:r w:rsidRPr="003920D7">
        <w:rPr>
          <w:color w:val="000000"/>
          <w:lang w:val="en-GB"/>
        </w:rPr>
        <w:t>–</w:t>
      </w:r>
      <w:r w:rsidR="00ED7922" w:rsidRPr="003920D7">
        <w:rPr>
          <w:color w:val="000000"/>
          <w:lang w:val="en-GB"/>
        </w:rPr>
        <w:t>US$250 per ton in September 2003.</w:t>
      </w:r>
    </w:p>
    <w:p w14:paraId="6E414975" w14:textId="77777777" w:rsidR="00ED7922" w:rsidRPr="003920D7" w:rsidRDefault="00ED7922" w:rsidP="00ED7922">
      <w:pPr>
        <w:pStyle w:val="BodyTextMain"/>
        <w:rPr>
          <w:lang w:val="en-GB"/>
        </w:rPr>
      </w:pPr>
    </w:p>
    <w:p w14:paraId="44EE4559" w14:textId="77777777" w:rsidR="00ED7922" w:rsidRPr="003920D7" w:rsidRDefault="00ED7922" w:rsidP="00ED7922">
      <w:pPr>
        <w:pStyle w:val="BodyTextMain"/>
        <w:rPr>
          <w:rStyle w:val="Strong"/>
          <w:b w:val="0"/>
          <w:bCs w:val="0"/>
          <w:lang w:val="en-GB"/>
        </w:rPr>
      </w:pPr>
    </w:p>
    <w:p w14:paraId="03E73A95" w14:textId="59AC125A" w:rsidR="00ED7922" w:rsidRPr="003920D7" w:rsidRDefault="00ED7922" w:rsidP="00ED7922">
      <w:pPr>
        <w:pStyle w:val="Casehead1"/>
        <w:rPr>
          <w:rStyle w:val="Strong"/>
          <w:b/>
          <w:bCs w:val="0"/>
          <w:szCs w:val="22"/>
          <w:lang w:val="en-GB"/>
        </w:rPr>
      </w:pPr>
      <w:r w:rsidRPr="003920D7">
        <w:rPr>
          <w:rStyle w:val="Strong"/>
          <w:b/>
          <w:bCs w:val="0"/>
          <w:szCs w:val="22"/>
          <w:lang w:val="en-GB"/>
        </w:rPr>
        <w:t>ABOUT STELCO Inc.</w:t>
      </w:r>
      <w:r w:rsidRPr="003920D7">
        <w:rPr>
          <w:rStyle w:val="FootnoteReference"/>
          <w:szCs w:val="22"/>
          <w:lang w:val="en-GB"/>
        </w:rPr>
        <w:footnoteReference w:id="4"/>
      </w:r>
    </w:p>
    <w:p w14:paraId="58BF1209" w14:textId="77777777" w:rsidR="00ED7922" w:rsidRPr="003920D7" w:rsidRDefault="00ED7922" w:rsidP="00ED7922">
      <w:pPr>
        <w:pStyle w:val="BodyTextMain"/>
        <w:rPr>
          <w:lang w:val="en-GB"/>
        </w:rPr>
      </w:pPr>
    </w:p>
    <w:p w14:paraId="3523CE0B" w14:textId="2202E923" w:rsidR="00ED7922" w:rsidRPr="003920D7" w:rsidRDefault="00ED7922" w:rsidP="00ED7922">
      <w:pPr>
        <w:pStyle w:val="BodyTextMain"/>
        <w:rPr>
          <w:lang w:val="en-GB"/>
        </w:rPr>
      </w:pPr>
      <w:r w:rsidRPr="003920D7">
        <w:rPr>
          <w:lang w:val="en-GB"/>
        </w:rPr>
        <w:t>The Steel Company of Canada Limited was incorporated on June 8, 1910</w:t>
      </w:r>
      <w:r w:rsidR="009B494B" w:rsidRPr="003920D7">
        <w:rPr>
          <w:lang w:val="en-GB"/>
        </w:rPr>
        <w:t>,</w:t>
      </w:r>
      <w:r w:rsidRPr="003920D7">
        <w:rPr>
          <w:lang w:val="en-GB"/>
        </w:rPr>
        <w:t xml:space="preserve"> in Hamilton, Ontario. In 1946, </w:t>
      </w:r>
      <w:proofErr w:type="spellStart"/>
      <w:r w:rsidRPr="003920D7">
        <w:rPr>
          <w:lang w:val="en-GB"/>
        </w:rPr>
        <w:t>Stelco</w:t>
      </w:r>
      <w:proofErr w:type="spellEnd"/>
      <w:r w:rsidRPr="003920D7">
        <w:rPr>
          <w:lang w:val="en-GB"/>
        </w:rPr>
        <w:t xml:space="preserve"> was unionized after a bitter and lengthy strike, with 10,000 residents of Hamilton marching in support, led by the city’s mayor. The name was changed to </w:t>
      </w:r>
      <w:proofErr w:type="spellStart"/>
      <w:r w:rsidRPr="003920D7">
        <w:rPr>
          <w:lang w:val="en-GB"/>
        </w:rPr>
        <w:t>Stelco</w:t>
      </w:r>
      <w:proofErr w:type="spellEnd"/>
      <w:r w:rsidRPr="003920D7">
        <w:rPr>
          <w:lang w:val="en-GB"/>
        </w:rPr>
        <w:t xml:space="preserve"> Inc. as of mid-1980. By 2003</w:t>
      </w:r>
      <w:r w:rsidR="009B494B" w:rsidRPr="003920D7">
        <w:rPr>
          <w:lang w:val="en-GB"/>
        </w:rPr>
        <w:t>,</w:t>
      </w:r>
      <w:r w:rsidRPr="003920D7">
        <w:rPr>
          <w:lang w:val="en-GB"/>
        </w:rPr>
        <w:t xml:space="preserve"> </w:t>
      </w:r>
      <w:proofErr w:type="spellStart"/>
      <w:r w:rsidRPr="003920D7">
        <w:rPr>
          <w:lang w:val="en-GB"/>
        </w:rPr>
        <w:t>Stelco</w:t>
      </w:r>
      <w:proofErr w:type="spellEnd"/>
      <w:r w:rsidRPr="003920D7">
        <w:rPr>
          <w:lang w:val="en-GB"/>
        </w:rPr>
        <w:t xml:space="preserve"> was Canada’s largest steel producer with combined annual production of 5.9 million tons and 8,400 employees. </w:t>
      </w:r>
      <w:r w:rsidR="00547ADF" w:rsidRPr="003920D7">
        <w:rPr>
          <w:lang w:val="en-GB"/>
        </w:rPr>
        <w:t xml:space="preserve">(See </w:t>
      </w:r>
      <w:r w:rsidRPr="003920D7">
        <w:rPr>
          <w:lang w:val="en-GB"/>
        </w:rPr>
        <w:t xml:space="preserve">Exhibit 1 </w:t>
      </w:r>
      <w:r w:rsidR="00547ADF" w:rsidRPr="003920D7">
        <w:rPr>
          <w:lang w:val="en-GB"/>
        </w:rPr>
        <w:t>for</w:t>
      </w:r>
      <w:r w:rsidRPr="003920D7">
        <w:rPr>
          <w:lang w:val="en-GB"/>
        </w:rPr>
        <w:t xml:space="preserve"> an overview of </w:t>
      </w:r>
      <w:proofErr w:type="spellStart"/>
      <w:r w:rsidRPr="003920D7">
        <w:rPr>
          <w:lang w:val="en-GB"/>
        </w:rPr>
        <w:t>Stelco</w:t>
      </w:r>
      <w:proofErr w:type="spellEnd"/>
      <w:r w:rsidRPr="003920D7">
        <w:rPr>
          <w:lang w:val="en-GB"/>
        </w:rPr>
        <w:t xml:space="preserve"> and its principal subsidiaries.</w:t>
      </w:r>
      <w:r w:rsidR="00547ADF" w:rsidRPr="003920D7">
        <w:rPr>
          <w:lang w:val="en-GB"/>
        </w:rPr>
        <w:t>)</w:t>
      </w:r>
    </w:p>
    <w:p w14:paraId="39A44F9E" w14:textId="77777777" w:rsidR="00ED7922" w:rsidRPr="003920D7" w:rsidRDefault="00ED7922" w:rsidP="00ED7922">
      <w:pPr>
        <w:pStyle w:val="BodyTextMain"/>
        <w:rPr>
          <w:lang w:val="en-GB"/>
        </w:rPr>
      </w:pPr>
    </w:p>
    <w:p w14:paraId="6F8F2F25" w14:textId="6837587A" w:rsidR="00ED7922" w:rsidRPr="003920D7" w:rsidRDefault="00ED7922" w:rsidP="00ED7922">
      <w:pPr>
        <w:pStyle w:val="BodyTextMain"/>
        <w:rPr>
          <w:lang w:val="en-GB"/>
        </w:rPr>
      </w:pPr>
      <w:proofErr w:type="spellStart"/>
      <w:r w:rsidRPr="003920D7">
        <w:rPr>
          <w:lang w:val="en-GB"/>
        </w:rPr>
        <w:t>Stelco</w:t>
      </w:r>
      <w:proofErr w:type="spellEnd"/>
      <w:r w:rsidRPr="003920D7">
        <w:rPr>
          <w:lang w:val="en-GB"/>
        </w:rPr>
        <w:t xml:space="preserve"> operated through three segments: (</w:t>
      </w:r>
      <w:r w:rsidR="009B494B" w:rsidRPr="003920D7">
        <w:rPr>
          <w:lang w:val="en-GB"/>
        </w:rPr>
        <w:t>1</w:t>
      </w:r>
      <w:r w:rsidRPr="003920D7">
        <w:rPr>
          <w:lang w:val="en-GB"/>
        </w:rPr>
        <w:t xml:space="preserve">) </w:t>
      </w:r>
      <w:r w:rsidR="009B494B" w:rsidRPr="003920D7">
        <w:rPr>
          <w:lang w:val="en-GB"/>
        </w:rPr>
        <w:t>i</w:t>
      </w:r>
      <w:r w:rsidRPr="003920D7">
        <w:rPr>
          <w:lang w:val="en-GB"/>
        </w:rPr>
        <w:t xml:space="preserve">ntegrated </w:t>
      </w:r>
      <w:r w:rsidR="009B494B" w:rsidRPr="003920D7">
        <w:rPr>
          <w:lang w:val="en-GB"/>
        </w:rPr>
        <w:t>s</w:t>
      </w:r>
      <w:r w:rsidRPr="003920D7">
        <w:rPr>
          <w:lang w:val="en-GB"/>
        </w:rPr>
        <w:t>teel, (</w:t>
      </w:r>
      <w:r w:rsidR="009B494B" w:rsidRPr="003920D7">
        <w:rPr>
          <w:lang w:val="en-GB"/>
        </w:rPr>
        <w:t>2</w:t>
      </w:r>
      <w:r w:rsidRPr="003920D7">
        <w:rPr>
          <w:lang w:val="en-GB"/>
        </w:rPr>
        <w:t xml:space="preserve">) </w:t>
      </w:r>
      <w:r w:rsidR="009B494B" w:rsidRPr="003920D7">
        <w:rPr>
          <w:lang w:val="en-GB"/>
        </w:rPr>
        <w:t>m</w:t>
      </w:r>
      <w:r w:rsidRPr="003920D7">
        <w:rPr>
          <w:lang w:val="en-GB"/>
        </w:rPr>
        <w:t>ini-</w:t>
      </w:r>
      <w:r w:rsidR="009B494B" w:rsidRPr="003920D7">
        <w:rPr>
          <w:lang w:val="en-GB"/>
        </w:rPr>
        <w:t>m</w:t>
      </w:r>
      <w:r w:rsidRPr="003920D7">
        <w:rPr>
          <w:lang w:val="en-GB"/>
        </w:rPr>
        <w:t>ills, and (</w:t>
      </w:r>
      <w:r w:rsidR="009B494B" w:rsidRPr="003920D7">
        <w:rPr>
          <w:lang w:val="en-GB"/>
        </w:rPr>
        <w:t>3</w:t>
      </w:r>
      <w:r w:rsidRPr="003920D7">
        <w:rPr>
          <w:lang w:val="en-GB"/>
        </w:rPr>
        <w:t xml:space="preserve">) </w:t>
      </w:r>
      <w:r w:rsidR="009B494B" w:rsidRPr="003920D7">
        <w:rPr>
          <w:lang w:val="en-GB"/>
        </w:rPr>
        <w:t>m</w:t>
      </w:r>
      <w:r w:rsidRPr="003920D7">
        <w:rPr>
          <w:lang w:val="en-GB"/>
        </w:rPr>
        <w:t xml:space="preserve">anufactured </w:t>
      </w:r>
      <w:r w:rsidR="009B494B" w:rsidRPr="003920D7">
        <w:rPr>
          <w:lang w:val="en-GB"/>
        </w:rPr>
        <w:t>p</w:t>
      </w:r>
      <w:r w:rsidRPr="003920D7">
        <w:rPr>
          <w:lang w:val="en-GB"/>
        </w:rPr>
        <w:t xml:space="preserve">roducts. </w:t>
      </w:r>
    </w:p>
    <w:p w14:paraId="63109AF8" w14:textId="77777777" w:rsidR="00ED7922" w:rsidRPr="003920D7" w:rsidRDefault="00ED7922" w:rsidP="00ED7922">
      <w:pPr>
        <w:pStyle w:val="BodyTextMain"/>
        <w:rPr>
          <w:lang w:val="en-GB"/>
        </w:rPr>
      </w:pPr>
    </w:p>
    <w:p w14:paraId="0F16181A" w14:textId="7A92639F" w:rsidR="00ED7922" w:rsidRPr="003920D7" w:rsidRDefault="00ED7922" w:rsidP="00ED7922">
      <w:pPr>
        <w:pStyle w:val="BodyTextMain"/>
        <w:rPr>
          <w:lang w:val="en-GB"/>
        </w:rPr>
      </w:pPr>
      <w:r w:rsidRPr="003920D7">
        <w:rPr>
          <w:lang w:val="en-GB"/>
        </w:rPr>
        <w:t xml:space="preserve">The </w:t>
      </w:r>
      <w:r w:rsidR="009B494B" w:rsidRPr="003920D7">
        <w:rPr>
          <w:lang w:val="en-GB"/>
        </w:rPr>
        <w:t>i</w:t>
      </w:r>
      <w:r w:rsidRPr="003920D7">
        <w:rPr>
          <w:lang w:val="en-GB"/>
        </w:rPr>
        <w:t xml:space="preserve">ntegrated </w:t>
      </w:r>
      <w:r w:rsidR="009B494B" w:rsidRPr="003920D7">
        <w:rPr>
          <w:lang w:val="en-GB"/>
        </w:rPr>
        <w:t>s</w:t>
      </w:r>
      <w:r w:rsidRPr="003920D7">
        <w:rPr>
          <w:lang w:val="en-GB"/>
        </w:rPr>
        <w:t xml:space="preserve">teel </w:t>
      </w:r>
      <w:r w:rsidR="009B494B" w:rsidRPr="003920D7">
        <w:rPr>
          <w:lang w:val="en-GB"/>
        </w:rPr>
        <w:t>s</w:t>
      </w:r>
      <w:r w:rsidRPr="003920D7">
        <w:rPr>
          <w:lang w:val="en-GB"/>
        </w:rPr>
        <w:t xml:space="preserve">egment was </w:t>
      </w:r>
      <w:proofErr w:type="spellStart"/>
      <w:r w:rsidRPr="003920D7">
        <w:rPr>
          <w:lang w:val="en-GB"/>
        </w:rPr>
        <w:t>Stelco’s</w:t>
      </w:r>
      <w:proofErr w:type="spellEnd"/>
      <w:r w:rsidRPr="003920D7">
        <w:rPr>
          <w:lang w:val="en-GB"/>
        </w:rPr>
        <w:t xml:space="preserve"> primary business and generated 76.3 per cent of total revenue for the </w:t>
      </w:r>
      <w:r w:rsidR="009B494B" w:rsidRPr="003920D7">
        <w:rPr>
          <w:lang w:val="en-GB"/>
        </w:rPr>
        <w:t xml:space="preserve">nine </w:t>
      </w:r>
      <w:r w:rsidRPr="003920D7">
        <w:rPr>
          <w:lang w:val="en-GB"/>
        </w:rPr>
        <w:t xml:space="preserve">months </w:t>
      </w:r>
      <w:r w:rsidR="009027BF">
        <w:rPr>
          <w:lang w:val="en-GB"/>
        </w:rPr>
        <w:t xml:space="preserve">from January 2003 </w:t>
      </w:r>
      <w:r w:rsidRPr="003920D7">
        <w:rPr>
          <w:lang w:val="en-GB"/>
        </w:rPr>
        <w:t xml:space="preserve">to September 2003. Integrated </w:t>
      </w:r>
      <w:r w:rsidR="00547ADF" w:rsidRPr="003920D7">
        <w:rPr>
          <w:lang w:val="en-GB"/>
        </w:rPr>
        <w:t>s</w:t>
      </w:r>
      <w:r w:rsidRPr="003920D7">
        <w:rPr>
          <w:lang w:val="en-GB"/>
        </w:rPr>
        <w:t xml:space="preserve">teel was </w:t>
      </w:r>
      <w:proofErr w:type="spellStart"/>
      <w:r w:rsidRPr="003920D7">
        <w:rPr>
          <w:lang w:val="en-GB"/>
        </w:rPr>
        <w:t>Stelco’s</w:t>
      </w:r>
      <w:proofErr w:type="spellEnd"/>
      <w:r w:rsidRPr="003920D7">
        <w:rPr>
          <w:lang w:val="en-GB"/>
        </w:rPr>
        <w:t xml:space="preserve"> least profitable business, posting negative earnings before interest, taxes, depreciation</w:t>
      </w:r>
      <w:r w:rsidR="00547ADF" w:rsidRPr="003920D7">
        <w:rPr>
          <w:lang w:val="en-GB"/>
        </w:rPr>
        <w:t>,</w:t>
      </w:r>
      <w:r w:rsidRPr="003920D7">
        <w:rPr>
          <w:lang w:val="en-GB"/>
        </w:rPr>
        <w:t xml:space="preserve"> and amortization (EBITDA) of </w:t>
      </w:r>
      <w:r w:rsidR="009B494B" w:rsidRPr="003920D7">
        <w:rPr>
          <w:lang w:val="en-GB"/>
        </w:rPr>
        <w:t>−</w:t>
      </w:r>
      <w:r w:rsidRPr="003920D7">
        <w:rPr>
          <w:lang w:val="en-GB"/>
        </w:rPr>
        <w:t xml:space="preserve">$71 million over this period. </w:t>
      </w:r>
      <w:proofErr w:type="spellStart"/>
      <w:r w:rsidRPr="003920D7">
        <w:rPr>
          <w:lang w:val="en-GB"/>
        </w:rPr>
        <w:t>Stelco</w:t>
      </w:r>
      <w:r w:rsidR="00D465BB" w:rsidRPr="003920D7">
        <w:rPr>
          <w:lang w:val="en-GB"/>
        </w:rPr>
        <w:t>’s</w:t>
      </w:r>
      <w:proofErr w:type="spellEnd"/>
      <w:r w:rsidRPr="003920D7">
        <w:rPr>
          <w:lang w:val="en-GB"/>
        </w:rPr>
        <w:t xml:space="preserve"> two steel</w:t>
      </w:r>
      <w:r w:rsidR="006639E1" w:rsidRPr="003920D7">
        <w:rPr>
          <w:lang w:val="en-GB"/>
        </w:rPr>
        <w:t>-</w:t>
      </w:r>
      <w:r w:rsidRPr="003920D7">
        <w:rPr>
          <w:lang w:val="en-GB"/>
        </w:rPr>
        <w:t xml:space="preserve">making facilities, </w:t>
      </w:r>
      <w:proofErr w:type="spellStart"/>
      <w:r w:rsidRPr="003920D7">
        <w:rPr>
          <w:lang w:val="en-GB"/>
        </w:rPr>
        <w:t>Stelco</w:t>
      </w:r>
      <w:proofErr w:type="spellEnd"/>
      <w:r w:rsidRPr="003920D7">
        <w:rPr>
          <w:lang w:val="en-GB"/>
        </w:rPr>
        <w:t xml:space="preserve"> Hamilton </w:t>
      </w:r>
      <w:r w:rsidR="00D567EC" w:rsidRPr="003920D7">
        <w:rPr>
          <w:lang w:val="en-GB"/>
        </w:rPr>
        <w:t xml:space="preserve">Works </w:t>
      </w:r>
      <w:r w:rsidRPr="003920D7">
        <w:rPr>
          <w:lang w:val="en-GB"/>
        </w:rPr>
        <w:t xml:space="preserve">and </w:t>
      </w:r>
      <w:proofErr w:type="spellStart"/>
      <w:r w:rsidRPr="003920D7">
        <w:rPr>
          <w:lang w:val="en-GB"/>
        </w:rPr>
        <w:t>Stelco</w:t>
      </w:r>
      <w:proofErr w:type="spellEnd"/>
      <w:r w:rsidRPr="003920D7">
        <w:rPr>
          <w:lang w:val="en-GB"/>
        </w:rPr>
        <w:t xml:space="preserve"> Lake Erie</w:t>
      </w:r>
      <w:r w:rsidR="00D567EC" w:rsidRPr="003920D7">
        <w:rPr>
          <w:lang w:val="en-GB"/>
        </w:rPr>
        <w:t xml:space="preserve"> Works</w:t>
      </w:r>
      <w:r w:rsidRPr="003920D7">
        <w:rPr>
          <w:lang w:val="en-GB"/>
        </w:rPr>
        <w:t xml:space="preserve"> used blast furnace technology, whereby a towering cylinder lined with heat-resistant bricks was used to smelt iron from its ore. A </w:t>
      </w:r>
      <w:r w:rsidR="00D465BB" w:rsidRPr="003920D7">
        <w:rPr>
          <w:lang w:val="en-GB"/>
        </w:rPr>
        <w:t>“</w:t>
      </w:r>
      <w:r w:rsidRPr="003920D7">
        <w:rPr>
          <w:lang w:val="en-GB"/>
        </w:rPr>
        <w:t>blast</w:t>
      </w:r>
      <w:r w:rsidR="00D465BB" w:rsidRPr="003920D7">
        <w:rPr>
          <w:lang w:val="en-GB"/>
        </w:rPr>
        <w:t>”</w:t>
      </w:r>
      <w:r w:rsidRPr="003920D7">
        <w:rPr>
          <w:lang w:val="en-GB"/>
        </w:rPr>
        <w:t xml:space="preserve"> of hot air and gases was forced up through the iron ore, coke</w:t>
      </w:r>
      <w:r w:rsidR="00D465BB" w:rsidRPr="003920D7">
        <w:rPr>
          <w:lang w:val="en-GB"/>
        </w:rPr>
        <w:t>,</w:t>
      </w:r>
      <w:r w:rsidRPr="003920D7">
        <w:rPr>
          <w:lang w:val="en-GB"/>
        </w:rPr>
        <w:t xml:space="preserve"> and limestone that loaded the furnace. In a bid to turn it</w:t>
      </w:r>
      <w:r w:rsidR="00D465BB" w:rsidRPr="003920D7">
        <w:rPr>
          <w:lang w:val="en-GB"/>
        </w:rPr>
        <w:t>self</w:t>
      </w:r>
      <w:r w:rsidRPr="003920D7">
        <w:rPr>
          <w:lang w:val="en-GB"/>
        </w:rPr>
        <w:t xml:space="preserve"> around, </w:t>
      </w:r>
      <w:proofErr w:type="spellStart"/>
      <w:r w:rsidRPr="003920D7">
        <w:rPr>
          <w:lang w:val="en-GB"/>
        </w:rPr>
        <w:t>Stelco</w:t>
      </w:r>
      <w:proofErr w:type="spellEnd"/>
      <w:r w:rsidRPr="003920D7">
        <w:rPr>
          <w:lang w:val="en-GB"/>
        </w:rPr>
        <w:t xml:space="preserve"> had announced the integration of the Hamilton and Lake Erie operations. This integration was expected to reduce operating costs by $15 million in the first </w:t>
      </w:r>
      <w:r w:rsidR="00D465BB" w:rsidRPr="003920D7">
        <w:rPr>
          <w:lang w:val="en-GB"/>
        </w:rPr>
        <w:t xml:space="preserve">nine </w:t>
      </w:r>
      <w:r w:rsidRPr="003920D7">
        <w:rPr>
          <w:lang w:val="en-GB"/>
        </w:rPr>
        <w:t xml:space="preserve">months of 2003 and a further $6 million in the final quarter of 2003. </w:t>
      </w:r>
      <w:proofErr w:type="spellStart"/>
      <w:r w:rsidRPr="003920D7">
        <w:rPr>
          <w:lang w:val="en-GB"/>
        </w:rPr>
        <w:t>Stelco</w:t>
      </w:r>
      <w:proofErr w:type="spellEnd"/>
      <w:r w:rsidRPr="003920D7">
        <w:rPr>
          <w:lang w:val="en-GB"/>
        </w:rPr>
        <w:t xml:space="preserve"> also planned to upgrade its hot</w:t>
      </w:r>
      <w:r w:rsidR="00D567EC" w:rsidRPr="003920D7">
        <w:rPr>
          <w:lang w:val="en-GB"/>
        </w:rPr>
        <w:t>-</w:t>
      </w:r>
      <w:r w:rsidRPr="003920D7">
        <w:rPr>
          <w:lang w:val="en-GB"/>
        </w:rPr>
        <w:t xml:space="preserve">strip mill at Lake Erie and construct a new pickling line at Hamilton, allowing it to close higher-cost production facilities in Hamilton. </w:t>
      </w:r>
    </w:p>
    <w:p w14:paraId="5DA76886" w14:textId="77777777" w:rsidR="00ED7922" w:rsidRPr="003920D7" w:rsidRDefault="00ED7922" w:rsidP="00ED7922">
      <w:pPr>
        <w:pStyle w:val="BodyTextMain"/>
        <w:rPr>
          <w:lang w:val="en-GB"/>
        </w:rPr>
      </w:pPr>
    </w:p>
    <w:p w14:paraId="7A61B6AA" w14:textId="2FAD1630" w:rsidR="00ED7922" w:rsidRPr="00382931" w:rsidRDefault="00ED7922" w:rsidP="00ED7922">
      <w:pPr>
        <w:pStyle w:val="BodyTextMain"/>
        <w:rPr>
          <w:spacing w:val="-2"/>
          <w:lang w:val="en-GB"/>
        </w:rPr>
      </w:pPr>
      <w:proofErr w:type="spellStart"/>
      <w:r w:rsidRPr="00382931">
        <w:rPr>
          <w:spacing w:val="-2"/>
          <w:lang w:val="en-GB"/>
        </w:rPr>
        <w:t>Stelco’s</w:t>
      </w:r>
      <w:proofErr w:type="spellEnd"/>
      <w:r w:rsidRPr="00382931">
        <w:rPr>
          <w:spacing w:val="-2"/>
          <w:lang w:val="en-GB"/>
        </w:rPr>
        <w:t xml:space="preserve"> </w:t>
      </w:r>
      <w:r w:rsidR="00D567EC" w:rsidRPr="00382931">
        <w:rPr>
          <w:spacing w:val="-2"/>
          <w:lang w:val="en-GB"/>
        </w:rPr>
        <w:t>m</w:t>
      </w:r>
      <w:r w:rsidRPr="00382931">
        <w:rPr>
          <w:spacing w:val="-2"/>
          <w:lang w:val="en-GB"/>
        </w:rPr>
        <w:t xml:space="preserve">ini-mill </w:t>
      </w:r>
      <w:r w:rsidR="00D567EC" w:rsidRPr="00382931">
        <w:rPr>
          <w:spacing w:val="-2"/>
          <w:lang w:val="en-GB"/>
        </w:rPr>
        <w:t>s</w:t>
      </w:r>
      <w:r w:rsidRPr="00382931">
        <w:rPr>
          <w:spacing w:val="-2"/>
          <w:lang w:val="en-GB"/>
        </w:rPr>
        <w:t xml:space="preserve">egment contributed 9.6 per cent to total revenue for the first </w:t>
      </w:r>
      <w:r w:rsidR="00D567EC" w:rsidRPr="00382931">
        <w:rPr>
          <w:spacing w:val="-2"/>
          <w:lang w:val="en-GB"/>
        </w:rPr>
        <w:t xml:space="preserve">nine </w:t>
      </w:r>
      <w:r w:rsidRPr="00382931">
        <w:rPr>
          <w:spacing w:val="-2"/>
          <w:lang w:val="en-GB"/>
        </w:rPr>
        <w:t>months of 2003. The mini-mill segment was profitable, generating positive EBITDA of $11 million in the same period. Mini-mill steelmakers used electric arc furnace technology, where scrap metal was generally 100</w:t>
      </w:r>
      <w:r w:rsidR="00D567EC" w:rsidRPr="00382931">
        <w:rPr>
          <w:spacing w:val="-2"/>
          <w:lang w:val="en-GB"/>
        </w:rPr>
        <w:t xml:space="preserve"> per cent</w:t>
      </w:r>
      <w:r w:rsidRPr="00382931">
        <w:rPr>
          <w:spacing w:val="-2"/>
          <w:lang w:val="en-GB"/>
        </w:rPr>
        <w:t xml:space="preserve"> of the input. </w:t>
      </w:r>
      <w:r w:rsidRPr="00382931">
        <w:rPr>
          <w:spacing w:val="-2"/>
          <w:lang w:val="en-GB"/>
        </w:rPr>
        <w:lastRenderedPageBreak/>
        <w:t xml:space="preserve">Heat was supplied from electricity that “arced” from the graphite electrodes to the metal bath. </w:t>
      </w:r>
      <w:proofErr w:type="spellStart"/>
      <w:r w:rsidRPr="00382931">
        <w:rPr>
          <w:spacing w:val="-2"/>
          <w:lang w:val="en-GB"/>
        </w:rPr>
        <w:t>Stelco</w:t>
      </w:r>
      <w:proofErr w:type="spellEnd"/>
      <w:r w:rsidRPr="00382931">
        <w:rPr>
          <w:spacing w:val="-2"/>
          <w:lang w:val="en-GB"/>
        </w:rPr>
        <w:t xml:space="preserve"> had two principal subsidiaries, </w:t>
      </w:r>
      <w:proofErr w:type="spellStart"/>
      <w:r w:rsidRPr="00382931">
        <w:rPr>
          <w:spacing w:val="-2"/>
          <w:lang w:val="en-GB"/>
        </w:rPr>
        <w:t>Stelco</w:t>
      </w:r>
      <w:proofErr w:type="spellEnd"/>
      <w:r w:rsidRPr="00382931">
        <w:rPr>
          <w:spacing w:val="-2"/>
          <w:lang w:val="en-GB"/>
        </w:rPr>
        <w:t>-McMaster</w:t>
      </w:r>
      <w:r w:rsidR="00D15B7B" w:rsidRPr="00382931">
        <w:rPr>
          <w:spacing w:val="-2"/>
          <w:lang w:val="en-GB"/>
        </w:rPr>
        <w:t xml:space="preserve"> </w:t>
      </w:r>
      <w:proofErr w:type="spellStart"/>
      <w:r w:rsidR="00D15B7B" w:rsidRPr="00382931">
        <w:rPr>
          <w:spacing w:val="-2"/>
          <w:lang w:val="en-GB"/>
        </w:rPr>
        <w:t>Ltée</w:t>
      </w:r>
      <w:proofErr w:type="spellEnd"/>
      <w:r w:rsidR="00D252A3" w:rsidRPr="00382931">
        <w:rPr>
          <w:spacing w:val="-2"/>
          <w:lang w:val="en-GB"/>
        </w:rPr>
        <w:t>.</w:t>
      </w:r>
      <w:r w:rsidRPr="00382931">
        <w:rPr>
          <w:spacing w:val="-2"/>
          <w:lang w:val="en-GB"/>
        </w:rPr>
        <w:t xml:space="preserve"> </w:t>
      </w:r>
      <w:proofErr w:type="gramStart"/>
      <w:r w:rsidRPr="00382931">
        <w:rPr>
          <w:spacing w:val="-2"/>
          <w:lang w:val="en-GB"/>
        </w:rPr>
        <w:t>in</w:t>
      </w:r>
      <w:proofErr w:type="gramEnd"/>
      <w:r w:rsidRPr="00382931">
        <w:rPr>
          <w:spacing w:val="-2"/>
          <w:lang w:val="en-GB"/>
        </w:rPr>
        <w:t xml:space="preserve"> Quebec and </w:t>
      </w:r>
      <w:proofErr w:type="spellStart"/>
      <w:r w:rsidRPr="00382931">
        <w:rPr>
          <w:spacing w:val="-2"/>
          <w:lang w:val="en-GB"/>
        </w:rPr>
        <w:t>AltaSteel</w:t>
      </w:r>
      <w:proofErr w:type="spellEnd"/>
      <w:r w:rsidR="00897DC6" w:rsidRPr="00382931">
        <w:rPr>
          <w:spacing w:val="-2"/>
          <w:lang w:val="en-GB"/>
        </w:rPr>
        <w:t xml:space="preserve"> Ltd.</w:t>
      </w:r>
      <w:r w:rsidRPr="00382931">
        <w:rPr>
          <w:spacing w:val="-2"/>
          <w:lang w:val="en-GB"/>
        </w:rPr>
        <w:t xml:space="preserve"> in Alberta. This segment owned interests in two scrap providers, which provided a stable supply of scrap needed for steel production</w:t>
      </w:r>
      <w:r w:rsidR="007A2EE5" w:rsidRPr="00382931">
        <w:rPr>
          <w:spacing w:val="-2"/>
          <w:lang w:val="en-GB"/>
        </w:rPr>
        <w:t>.</w:t>
      </w:r>
    </w:p>
    <w:p w14:paraId="4282D188" w14:textId="77777777" w:rsidR="007A2EE5" w:rsidRPr="003920D7" w:rsidRDefault="007A2EE5" w:rsidP="00ED7922">
      <w:pPr>
        <w:pStyle w:val="BodyTextMain"/>
        <w:rPr>
          <w:lang w:val="en-GB"/>
        </w:rPr>
      </w:pPr>
    </w:p>
    <w:p w14:paraId="3314E015" w14:textId="06C3A91B" w:rsidR="00ED7922" w:rsidRPr="003920D7" w:rsidRDefault="00ED7922" w:rsidP="00ED7922">
      <w:pPr>
        <w:pStyle w:val="BodyTextMain"/>
        <w:rPr>
          <w:lang w:val="en-GB"/>
        </w:rPr>
      </w:pPr>
      <w:proofErr w:type="spellStart"/>
      <w:r w:rsidRPr="003920D7">
        <w:rPr>
          <w:lang w:val="en-GB"/>
        </w:rPr>
        <w:t>Stelco’s</w:t>
      </w:r>
      <w:proofErr w:type="spellEnd"/>
      <w:r w:rsidRPr="003920D7">
        <w:rPr>
          <w:lang w:val="en-GB"/>
        </w:rPr>
        <w:t xml:space="preserve"> </w:t>
      </w:r>
      <w:r w:rsidR="00D567EC" w:rsidRPr="003920D7">
        <w:rPr>
          <w:lang w:val="en-GB"/>
        </w:rPr>
        <w:t>m</w:t>
      </w:r>
      <w:r w:rsidRPr="003920D7">
        <w:rPr>
          <w:lang w:val="en-GB"/>
        </w:rPr>
        <w:t xml:space="preserve">anufactured </w:t>
      </w:r>
      <w:r w:rsidR="00D567EC" w:rsidRPr="003920D7">
        <w:rPr>
          <w:lang w:val="en-GB"/>
        </w:rPr>
        <w:t>p</w:t>
      </w:r>
      <w:r w:rsidRPr="003920D7">
        <w:rPr>
          <w:lang w:val="en-GB"/>
        </w:rPr>
        <w:t xml:space="preserve">roducts </w:t>
      </w:r>
      <w:r w:rsidR="00D567EC" w:rsidRPr="003920D7">
        <w:rPr>
          <w:lang w:val="en-GB"/>
        </w:rPr>
        <w:t>s</w:t>
      </w:r>
      <w:r w:rsidRPr="003920D7">
        <w:rPr>
          <w:lang w:val="en-GB"/>
        </w:rPr>
        <w:t xml:space="preserve">egment represented 14.1 per cent of total revenue for the first </w:t>
      </w:r>
      <w:r w:rsidR="00D15B7B" w:rsidRPr="003920D7">
        <w:rPr>
          <w:lang w:val="en-GB"/>
        </w:rPr>
        <w:t xml:space="preserve">nine </w:t>
      </w:r>
      <w:r w:rsidRPr="003920D7">
        <w:rPr>
          <w:lang w:val="en-GB"/>
        </w:rPr>
        <w:t xml:space="preserve">months of 2003, and generated EBITDA of </w:t>
      </w:r>
      <w:r w:rsidR="00D15B7B" w:rsidRPr="003920D7">
        <w:rPr>
          <w:lang w:val="en-GB"/>
        </w:rPr>
        <w:t>−</w:t>
      </w:r>
      <w:r w:rsidRPr="003920D7">
        <w:rPr>
          <w:lang w:val="en-GB"/>
        </w:rPr>
        <w:t>$14 million over the same period. This segment manufactured products such as wire, pipe, tube</w:t>
      </w:r>
      <w:r w:rsidR="00D15B7B" w:rsidRPr="003920D7">
        <w:rPr>
          <w:lang w:val="en-GB"/>
        </w:rPr>
        <w:t>,</w:t>
      </w:r>
      <w:r w:rsidRPr="003920D7">
        <w:rPr>
          <w:lang w:val="en-GB"/>
        </w:rPr>
        <w:t xml:space="preserve"> and grinding balls. Most of the steel used in this segment was supplied from </w:t>
      </w:r>
      <w:proofErr w:type="spellStart"/>
      <w:r w:rsidRPr="003920D7">
        <w:rPr>
          <w:lang w:val="en-GB"/>
        </w:rPr>
        <w:t>Stelco’s</w:t>
      </w:r>
      <w:proofErr w:type="spellEnd"/>
      <w:r w:rsidRPr="003920D7">
        <w:rPr>
          <w:lang w:val="en-GB"/>
        </w:rPr>
        <w:t xml:space="preserve"> two other segments, providing cost synergies. </w:t>
      </w:r>
    </w:p>
    <w:p w14:paraId="42E5549A" w14:textId="77777777" w:rsidR="00ED7922" w:rsidRPr="003920D7" w:rsidRDefault="00ED7922" w:rsidP="00ED7922">
      <w:pPr>
        <w:pStyle w:val="BodyTextMain"/>
        <w:rPr>
          <w:lang w:val="en-GB"/>
        </w:rPr>
      </w:pPr>
    </w:p>
    <w:p w14:paraId="72EB8304" w14:textId="1A44AA6A" w:rsidR="00ED7922" w:rsidRPr="003920D7" w:rsidRDefault="00ED7922" w:rsidP="00ED7922">
      <w:pPr>
        <w:pStyle w:val="BodyTextMain"/>
        <w:rPr>
          <w:lang w:val="en-GB"/>
        </w:rPr>
      </w:pPr>
      <w:proofErr w:type="spellStart"/>
      <w:r w:rsidRPr="003920D7">
        <w:rPr>
          <w:lang w:val="en-GB"/>
        </w:rPr>
        <w:t>Stelco’s</w:t>
      </w:r>
      <w:proofErr w:type="spellEnd"/>
      <w:r w:rsidRPr="003920D7">
        <w:rPr>
          <w:lang w:val="en-GB"/>
        </w:rPr>
        <w:t xml:space="preserve"> main products were hot</w:t>
      </w:r>
      <w:r w:rsidR="00D15B7B" w:rsidRPr="003920D7">
        <w:rPr>
          <w:lang w:val="en-GB"/>
        </w:rPr>
        <w:t>-</w:t>
      </w:r>
      <w:r w:rsidRPr="003920D7">
        <w:rPr>
          <w:lang w:val="en-GB"/>
        </w:rPr>
        <w:t>rolled sheet (35 per cent of sales), coated sheet (20 per cent), and cold</w:t>
      </w:r>
      <w:r w:rsidR="00D15B7B" w:rsidRPr="003920D7">
        <w:rPr>
          <w:lang w:val="en-GB"/>
        </w:rPr>
        <w:t>-</w:t>
      </w:r>
      <w:r w:rsidRPr="003920D7">
        <w:rPr>
          <w:lang w:val="en-GB"/>
        </w:rPr>
        <w:t xml:space="preserve">rolled sheet (8 per cent); plate steel (4 per cent); bars and wire rod (16 per cent); and manufactured products, such as wire and wire products (7 per cent), pipe and tubular products (7 per cent), and other products (3 per cent). </w:t>
      </w:r>
      <w:proofErr w:type="spellStart"/>
      <w:r w:rsidRPr="003920D7">
        <w:rPr>
          <w:lang w:val="en-GB"/>
        </w:rPr>
        <w:t>Stelco’s</w:t>
      </w:r>
      <w:proofErr w:type="spellEnd"/>
      <w:r w:rsidRPr="003920D7">
        <w:rPr>
          <w:lang w:val="en-GB"/>
        </w:rPr>
        <w:t xml:space="preserve"> main customers were the auto sector (36 per cent of sales), steel service centres (20 per cent), the construction sector, and the oil and gas sectors. According to </w:t>
      </w:r>
      <w:r w:rsidR="000729EA" w:rsidRPr="003920D7">
        <w:rPr>
          <w:lang w:val="en-GB"/>
        </w:rPr>
        <w:t>its</w:t>
      </w:r>
      <w:r w:rsidRPr="003920D7">
        <w:rPr>
          <w:lang w:val="en-GB"/>
        </w:rPr>
        <w:t xml:space="preserve"> </w:t>
      </w:r>
      <w:r w:rsidRPr="003920D7">
        <w:rPr>
          <w:i/>
          <w:lang w:val="en-GB"/>
        </w:rPr>
        <w:t>Annual Report</w:t>
      </w:r>
      <w:r w:rsidR="00923C0B" w:rsidRPr="003920D7">
        <w:rPr>
          <w:i/>
          <w:lang w:val="en-GB"/>
        </w:rPr>
        <w:t xml:space="preserve"> 2002</w:t>
      </w:r>
      <w:r w:rsidRPr="003920D7">
        <w:rPr>
          <w:lang w:val="en-GB"/>
        </w:rPr>
        <w:t xml:space="preserve">, </w:t>
      </w:r>
      <w:proofErr w:type="spellStart"/>
      <w:r w:rsidRPr="003920D7">
        <w:rPr>
          <w:lang w:val="en-GB"/>
        </w:rPr>
        <w:t>Stelco</w:t>
      </w:r>
      <w:proofErr w:type="spellEnd"/>
      <w:r w:rsidRPr="003920D7">
        <w:rPr>
          <w:lang w:val="en-GB"/>
        </w:rPr>
        <w:t xml:space="preserve"> sold approximately half of its products on a contract basis (</w:t>
      </w:r>
      <w:r w:rsidR="00617901">
        <w:rPr>
          <w:lang w:val="en-GB"/>
        </w:rPr>
        <w:t>at</w:t>
      </w:r>
      <w:r w:rsidR="00617901" w:rsidRPr="003920D7">
        <w:rPr>
          <w:lang w:val="en-GB"/>
        </w:rPr>
        <w:t xml:space="preserve"> </w:t>
      </w:r>
      <w:r w:rsidRPr="003920D7">
        <w:rPr>
          <w:lang w:val="en-GB"/>
        </w:rPr>
        <w:t>fixed prices) and half on the spot market (</w:t>
      </w:r>
      <w:r w:rsidR="00617901">
        <w:rPr>
          <w:lang w:val="en-GB"/>
        </w:rPr>
        <w:t>at</w:t>
      </w:r>
      <w:r w:rsidR="00617901" w:rsidRPr="003920D7">
        <w:rPr>
          <w:lang w:val="en-GB"/>
        </w:rPr>
        <w:t xml:space="preserve"> </w:t>
      </w:r>
      <w:r w:rsidRPr="003920D7">
        <w:rPr>
          <w:lang w:val="en-GB"/>
        </w:rPr>
        <w:t>variable prices). Sales to the auto sector, for example, were largely based on annual contracts</w:t>
      </w:r>
      <w:r w:rsidR="00617901">
        <w:rPr>
          <w:lang w:val="en-GB"/>
        </w:rPr>
        <w:t>,</w:t>
      </w:r>
      <w:r w:rsidRPr="003920D7">
        <w:rPr>
          <w:lang w:val="en-GB"/>
        </w:rPr>
        <w:t xml:space="preserve"> providing greater predictability of cash flows. Sales to steel service centres, however, were on a spot basis and were thus more susceptible to intra-year swings in market prices for steel. Geographically, </w:t>
      </w:r>
      <w:proofErr w:type="spellStart"/>
      <w:r w:rsidRPr="003920D7">
        <w:rPr>
          <w:lang w:val="en-GB"/>
        </w:rPr>
        <w:t>Stelco</w:t>
      </w:r>
      <w:proofErr w:type="spellEnd"/>
      <w:r w:rsidRPr="003920D7">
        <w:rPr>
          <w:lang w:val="en-GB"/>
        </w:rPr>
        <w:t xml:space="preserve"> was concentrated on the North American market</w:t>
      </w:r>
      <w:r w:rsidR="000729EA" w:rsidRPr="003920D7">
        <w:rPr>
          <w:lang w:val="en-GB"/>
        </w:rPr>
        <w:t>,</w:t>
      </w:r>
      <w:r w:rsidRPr="003920D7">
        <w:rPr>
          <w:lang w:val="en-GB"/>
        </w:rPr>
        <w:t xml:space="preserve"> with 83 per cent of sales in Canada and 15 per cent in the United States.</w:t>
      </w:r>
      <w:r w:rsidR="00D15B7B" w:rsidRPr="003920D7">
        <w:rPr>
          <w:lang w:val="en-GB"/>
        </w:rPr>
        <w:t xml:space="preserve"> (</w:t>
      </w:r>
      <w:r w:rsidR="000729EA" w:rsidRPr="003920D7">
        <w:rPr>
          <w:lang w:val="en-GB"/>
        </w:rPr>
        <w:t>S</w:t>
      </w:r>
      <w:r w:rsidR="00D15B7B" w:rsidRPr="003920D7">
        <w:rPr>
          <w:lang w:val="en-GB"/>
        </w:rPr>
        <w:t xml:space="preserve">ee Exhibit 2 for an overview of </w:t>
      </w:r>
      <w:proofErr w:type="spellStart"/>
      <w:r w:rsidR="00D15B7B" w:rsidRPr="003920D7">
        <w:rPr>
          <w:lang w:val="en-GB"/>
        </w:rPr>
        <w:t>Stelco’s</w:t>
      </w:r>
      <w:proofErr w:type="spellEnd"/>
      <w:r w:rsidR="00D15B7B" w:rsidRPr="003920D7">
        <w:rPr>
          <w:lang w:val="en-GB"/>
        </w:rPr>
        <w:t xml:space="preserve"> production by facility, its product mix, its principal customers by industry, and its sales by geography.)</w:t>
      </w:r>
    </w:p>
    <w:p w14:paraId="500E1FF2" w14:textId="77777777" w:rsidR="00ED7922" w:rsidRPr="003920D7" w:rsidRDefault="00ED7922" w:rsidP="00ED7922">
      <w:pPr>
        <w:pStyle w:val="BodyTextMain"/>
        <w:rPr>
          <w:lang w:val="en-GB"/>
        </w:rPr>
      </w:pPr>
    </w:p>
    <w:p w14:paraId="48EC6B8B" w14:textId="5E991C9E" w:rsidR="00ED7922" w:rsidRPr="003920D7" w:rsidRDefault="00ED7922" w:rsidP="00ED7922">
      <w:pPr>
        <w:pStyle w:val="BodyTextMain"/>
        <w:rPr>
          <w:spacing w:val="-2"/>
          <w:lang w:val="en-GB"/>
        </w:rPr>
      </w:pPr>
      <w:r w:rsidRPr="003920D7">
        <w:rPr>
          <w:spacing w:val="-2"/>
          <w:lang w:val="en-GB"/>
        </w:rPr>
        <w:t xml:space="preserve">In 2001, </w:t>
      </w:r>
      <w:proofErr w:type="spellStart"/>
      <w:r w:rsidRPr="003920D7">
        <w:rPr>
          <w:spacing w:val="-2"/>
          <w:lang w:val="en-GB"/>
        </w:rPr>
        <w:t>Stelco</w:t>
      </w:r>
      <w:proofErr w:type="spellEnd"/>
      <w:r w:rsidRPr="003920D7">
        <w:rPr>
          <w:spacing w:val="-2"/>
          <w:lang w:val="en-GB"/>
        </w:rPr>
        <w:t xml:space="preserve"> reported its first net loss in seven years</w:t>
      </w:r>
      <w:r w:rsidR="00163C63" w:rsidRPr="003920D7">
        <w:rPr>
          <w:spacing w:val="-2"/>
          <w:lang w:val="en-GB"/>
        </w:rPr>
        <w:t>:</w:t>
      </w:r>
      <w:r w:rsidRPr="003920D7">
        <w:rPr>
          <w:spacing w:val="-2"/>
          <w:lang w:val="en-GB"/>
        </w:rPr>
        <w:t xml:space="preserve"> </w:t>
      </w:r>
      <w:r w:rsidR="00754F05" w:rsidRPr="003920D7">
        <w:rPr>
          <w:spacing w:val="-2"/>
          <w:lang w:val="en-GB"/>
        </w:rPr>
        <w:t>−</w:t>
      </w:r>
      <w:r w:rsidRPr="003920D7">
        <w:rPr>
          <w:spacing w:val="-2"/>
          <w:lang w:val="en-GB"/>
        </w:rPr>
        <w:t xml:space="preserve">$178 million, or a loss of </w:t>
      </w:r>
      <w:r w:rsidR="00754F05" w:rsidRPr="003920D7">
        <w:rPr>
          <w:spacing w:val="-2"/>
          <w:lang w:val="en-GB"/>
        </w:rPr>
        <w:t>−</w:t>
      </w:r>
      <w:r w:rsidRPr="003920D7">
        <w:rPr>
          <w:spacing w:val="-2"/>
          <w:lang w:val="en-GB"/>
        </w:rPr>
        <w:t>$1.74 per share</w:t>
      </w:r>
      <w:r w:rsidR="005F5130" w:rsidRPr="003920D7">
        <w:rPr>
          <w:spacing w:val="-2"/>
          <w:lang w:val="en-GB"/>
        </w:rPr>
        <w:t xml:space="preserve"> (see Exhibit 3)</w:t>
      </w:r>
      <w:r w:rsidRPr="003920D7">
        <w:rPr>
          <w:spacing w:val="-2"/>
          <w:lang w:val="en-GB"/>
        </w:rPr>
        <w:t xml:space="preserve">. While steel shipments remained essentially unchanged from a year earlier, </w:t>
      </w:r>
      <w:proofErr w:type="spellStart"/>
      <w:r w:rsidRPr="003920D7">
        <w:rPr>
          <w:spacing w:val="-2"/>
          <w:lang w:val="en-GB"/>
        </w:rPr>
        <w:t>Stelco’s</w:t>
      </w:r>
      <w:proofErr w:type="spellEnd"/>
      <w:r w:rsidRPr="003920D7">
        <w:rPr>
          <w:spacing w:val="-2"/>
          <w:lang w:val="en-GB"/>
        </w:rPr>
        <w:t xml:space="preserve"> sales decreased by 10 per cent</w:t>
      </w:r>
      <w:r w:rsidR="00754F05" w:rsidRPr="003920D7">
        <w:rPr>
          <w:spacing w:val="-2"/>
          <w:lang w:val="en-GB"/>
        </w:rPr>
        <w:t>,</w:t>
      </w:r>
      <w:r w:rsidRPr="003920D7">
        <w:rPr>
          <w:spacing w:val="-2"/>
          <w:lang w:val="en-GB"/>
        </w:rPr>
        <w:t xml:space="preserve"> reflecting </w:t>
      </w:r>
      <w:r w:rsidR="00754F05" w:rsidRPr="003920D7">
        <w:rPr>
          <w:spacing w:val="-2"/>
          <w:lang w:val="en-GB"/>
        </w:rPr>
        <w:t xml:space="preserve">a </w:t>
      </w:r>
      <w:r w:rsidRPr="003920D7">
        <w:rPr>
          <w:spacing w:val="-2"/>
          <w:lang w:val="en-GB"/>
        </w:rPr>
        <w:t>lower average revenue per ton of $546 in 2001 v</w:t>
      </w:r>
      <w:r w:rsidR="00754F05" w:rsidRPr="003920D7">
        <w:rPr>
          <w:spacing w:val="-2"/>
          <w:lang w:val="en-GB"/>
        </w:rPr>
        <w:t>ersu</w:t>
      </w:r>
      <w:r w:rsidRPr="003920D7">
        <w:rPr>
          <w:spacing w:val="-2"/>
          <w:lang w:val="en-GB"/>
        </w:rPr>
        <w:t>s $606 in 2000. This 10</w:t>
      </w:r>
      <w:r w:rsidR="00617901">
        <w:rPr>
          <w:spacing w:val="-2"/>
          <w:lang w:val="en-GB"/>
        </w:rPr>
        <w:t xml:space="preserve"> </w:t>
      </w:r>
      <w:r w:rsidRPr="003920D7">
        <w:rPr>
          <w:spacing w:val="-2"/>
          <w:lang w:val="en-GB"/>
        </w:rPr>
        <w:t>per</w:t>
      </w:r>
      <w:r w:rsidR="00617901">
        <w:rPr>
          <w:spacing w:val="-2"/>
          <w:lang w:val="en-GB"/>
        </w:rPr>
        <w:t xml:space="preserve"> </w:t>
      </w:r>
      <w:r w:rsidRPr="003920D7">
        <w:rPr>
          <w:spacing w:val="-2"/>
          <w:lang w:val="en-GB"/>
        </w:rPr>
        <w:t xml:space="preserve">cent decline was the result of a less favourable mix of products sold, a lower level of activity in prime manufacturing markets (such as the auto sector), and depressed spot market prices caused by high levels of imported steel. While </w:t>
      </w:r>
      <w:proofErr w:type="spellStart"/>
      <w:r w:rsidRPr="003920D7">
        <w:rPr>
          <w:spacing w:val="-2"/>
          <w:lang w:val="en-GB"/>
        </w:rPr>
        <w:t>Stelco</w:t>
      </w:r>
      <w:proofErr w:type="spellEnd"/>
      <w:r w:rsidRPr="003920D7">
        <w:rPr>
          <w:spacing w:val="-2"/>
          <w:lang w:val="en-GB"/>
        </w:rPr>
        <w:t xml:space="preserve"> managed to reduce the average cost per ton through various cost reduction initiatives, these efforts were offset by lower semi-finished steel sales, higher average natural gas prices, and the unfavourable exchange rate </w:t>
      </w:r>
      <w:r w:rsidRPr="003920D7">
        <w:rPr>
          <w:color w:val="000000"/>
          <w:spacing w:val="-2"/>
          <w:lang w:val="en-GB"/>
        </w:rPr>
        <w:t xml:space="preserve">of the </w:t>
      </w:r>
      <w:r w:rsidRPr="003920D7">
        <w:rPr>
          <w:spacing w:val="-2"/>
          <w:lang w:val="en-GB"/>
        </w:rPr>
        <w:t xml:space="preserve">Canadian dollar (CAD) </w:t>
      </w:r>
      <w:r w:rsidR="005F5130" w:rsidRPr="003920D7">
        <w:rPr>
          <w:spacing w:val="-2"/>
          <w:lang w:val="en-GB"/>
        </w:rPr>
        <w:t>to</w:t>
      </w:r>
      <w:r w:rsidRPr="003920D7">
        <w:rPr>
          <w:color w:val="000000"/>
          <w:spacing w:val="-2"/>
          <w:lang w:val="en-GB"/>
        </w:rPr>
        <w:t xml:space="preserve"> the U.S. </w:t>
      </w:r>
      <w:r w:rsidRPr="003920D7">
        <w:rPr>
          <w:spacing w:val="-2"/>
          <w:lang w:val="en-GB"/>
        </w:rPr>
        <w:t xml:space="preserve">dollar (USD). As a result, </w:t>
      </w:r>
      <w:proofErr w:type="spellStart"/>
      <w:r w:rsidRPr="003920D7">
        <w:rPr>
          <w:spacing w:val="-2"/>
          <w:lang w:val="en-GB"/>
        </w:rPr>
        <w:t>Stelco’s</w:t>
      </w:r>
      <w:proofErr w:type="spellEnd"/>
      <w:r w:rsidRPr="003920D7">
        <w:rPr>
          <w:spacing w:val="-2"/>
          <w:lang w:val="en-GB"/>
        </w:rPr>
        <w:t xml:space="preserve"> average cost per ton declined to $553 in 2001, implying a</w:t>
      </w:r>
      <w:r w:rsidR="00163C63" w:rsidRPr="003920D7">
        <w:rPr>
          <w:spacing w:val="-2"/>
          <w:lang w:val="en-GB"/>
        </w:rPr>
        <w:t>n</w:t>
      </w:r>
      <w:r w:rsidRPr="003920D7">
        <w:rPr>
          <w:spacing w:val="-2"/>
          <w:lang w:val="en-GB"/>
        </w:rPr>
        <w:t xml:space="preserve"> operating margin of </w:t>
      </w:r>
      <w:r w:rsidR="0011663E" w:rsidRPr="003920D7">
        <w:rPr>
          <w:spacing w:val="-2"/>
          <w:lang w:val="en-GB"/>
        </w:rPr>
        <w:t>−</w:t>
      </w:r>
      <w:r w:rsidRPr="003920D7">
        <w:rPr>
          <w:spacing w:val="-2"/>
          <w:lang w:val="en-GB"/>
        </w:rPr>
        <w:t xml:space="preserve">$7 per ton. </w:t>
      </w:r>
    </w:p>
    <w:p w14:paraId="30E68B2A" w14:textId="77777777" w:rsidR="00ED7922" w:rsidRPr="003920D7" w:rsidRDefault="00ED7922" w:rsidP="00ED7922">
      <w:pPr>
        <w:pStyle w:val="BodyTextMain"/>
        <w:rPr>
          <w:lang w:val="en-GB"/>
        </w:rPr>
      </w:pPr>
    </w:p>
    <w:p w14:paraId="177591AB" w14:textId="1802D46E" w:rsidR="00ED7922" w:rsidRPr="003920D7" w:rsidRDefault="00ED7922" w:rsidP="00ED7922">
      <w:pPr>
        <w:pStyle w:val="BodyTextMain"/>
        <w:rPr>
          <w:lang w:val="en-GB"/>
        </w:rPr>
      </w:pPr>
      <w:proofErr w:type="spellStart"/>
      <w:r w:rsidRPr="003920D7">
        <w:rPr>
          <w:lang w:val="en-GB"/>
        </w:rPr>
        <w:t>Stelco’s</w:t>
      </w:r>
      <w:proofErr w:type="spellEnd"/>
      <w:r w:rsidRPr="003920D7">
        <w:rPr>
          <w:lang w:val="en-GB"/>
        </w:rPr>
        <w:t xml:space="preserve"> fortunes improved in 2002 due to the recovery of the North American steel market from the depressed conditions in 2001. Consumer demand for steel products picked up</w:t>
      </w:r>
      <w:r w:rsidR="005F5130" w:rsidRPr="003920D7">
        <w:rPr>
          <w:lang w:val="en-GB"/>
        </w:rPr>
        <w:t>,</w:t>
      </w:r>
      <w:r w:rsidRPr="003920D7">
        <w:rPr>
          <w:lang w:val="en-GB"/>
        </w:rPr>
        <w:t xml:space="preserve"> but commercial demand remained weak. Spot steel prices recovered from 20-year lows due to reduced supply from U.S. mills. </w:t>
      </w:r>
      <w:proofErr w:type="spellStart"/>
      <w:r w:rsidRPr="003920D7">
        <w:rPr>
          <w:lang w:val="en-GB"/>
        </w:rPr>
        <w:t>Stelco</w:t>
      </w:r>
      <w:proofErr w:type="spellEnd"/>
      <w:r w:rsidRPr="003920D7">
        <w:rPr>
          <w:lang w:val="en-GB"/>
        </w:rPr>
        <w:t xml:space="preserve"> saw an increase in average revenue per ton to $592 as compared </w:t>
      </w:r>
      <w:r w:rsidR="00617901">
        <w:rPr>
          <w:lang w:val="en-GB"/>
        </w:rPr>
        <w:t>with</w:t>
      </w:r>
      <w:r w:rsidR="00617901" w:rsidRPr="003920D7">
        <w:rPr>
          <w:lang w:val="en-GB"/>
        </w:rPr>
        <w:t xml:space="preserve"> </w:t>
      </w:r>
      <w:r w:rsidR="00617901">
        <w:rPr>
          <w:lang w:val="en-GB"/>
        </w:rPr>
        <w:t xml:space="preserve">its </w:t>
      </w:r>
      <w:r w:rsidRPr="003920D7">
        <w:rPr>
          <w:lang w:val="en-GB"/>
        </w:rPr>
        <w:t xml:space="preserve">cost of $554 per ton, leading to a positive operating margin of $38 per ton. For 2002, </w:t>
      </w:r>
      <w:proofErr w:type="spellStart"/>
      <w:r w:rsidRPr="003920D7">
        <w:rPr>
          <w:lang w:val="en-GB"/>
        </w:rPr>
        <w:t>Stelco</w:t>
      </w:r>
      <w:proofErr w:type="spellEnd"/>
      <w:r w:rsidRPr="003920D7">
        <w:rPr>
          <w:lang w:val="en-GB"/>
        </w:rPr>
        <w:t xml:space="preserve"> reported a meagre profit of $3 million due to a $10</w:t>
      </w:r>
      <w:r w:rsidR="00163C63" w:rsidRPr="003920D7">
        <w:rPr>
          <w:lang w:val="en-GB"/>
        </w:rPr>
        <w:t xml:space="preserve"> </w:t>
      </w:r>
      <w:r w:rsidRPr="003920D7">
        <w:rPr>
          <w:lang w:val="en-GB"/>
        </w:rPr>
        <w:t xml:space="preserve">million recovery of past income taxes. </w:t>
      </w:r>
    </w:p>
    <w:p w14:paraId="14620492" w14:textId="77777777" w:rsidR="00ED7922" w:rsidRPr="003920D7" w:rsidRDefault="00ED7922" w:rsidP="00ED7922">
      <w:pPr>
        <w:pStyle w:val="BodyTextMain"/>
        <w:rPr>
          <w:lang w:val="en-GB"/>
        </w:rPr>
      </w:pPr>
    </w:p>
    <w:p w14:paraId="0F561867" w14:textId="57E90598" w:rsidR="00ED7922" w:rsidRPr="00382931" w:rsidRDefault="00617901" w:rsidP="00ED7922">
      <w:pPr>
        <w:pStyle w:val="BodyTextMain"/>
        <w:rPr>
          <w:spacing w:val="-4"/>
          <w:lang w:val="en-GB"/>
        </w:rPr>
      </w:pPr>
      <w:r w:rsidRPr="00382931">
        <w:rPr>
          <w:spacing w:val="-4"/>
          <w:lang w:val="en-GB"/>
        </w:rPr>
        <w:t>H</w:t>
      </w:r>
      <w:r w:rsidR="005F5130" w:rsidRPr="00382931">
        <w:rPr>
          <w:spacing w:val="-4"/>
          <w:lang w:val="en-GB"/>
        </w:rPr>
        <w:t>owever,</w:t>
      </w:r>
      <w:r w:rsidR="00ED7922" w:rsidRPr="00382931">
        <w:rPr>
          <w:spacing w:val="-4"/>
          <w:lang w:val="en-GB"/>
        </w:rPr>
        <w:t xml:space="preserve"> </w:t>
      </w:r>
      <w:r w:rsidRPr="00382931">
        <w:rPr>
          <w:spacing w:val="-4"/>
          <w:lang w:val="en-GB"/>
        </w:rPr>
        <w:t xml:space="preserve">2003 </w:t>
      </w:r>
      <w:r w:rsidR="00ED7922" w:rsidRPr="00382931">
        <w:rPr>
          <w:spacing w:val="-4"/>
          <w:lang w:val="en-GB"/>
        </w:rPr>
        <w:t xml:space="preserve">was turning out to be a disastrous year, with </w:t>
      </w:r>
      <w:proofErr w:type="spellStart"/>
      <w:r w:rsidR="00ED7922" w:rsidRPr="00382931">
        <w:rPr>
          <w:spacing w:val="-4"/>
          <w:lang w:val="en-GB"/>
        </w:rPr>
        <w:t>Stelco</w:t>
      </w:r>
      <w:proofErr w:type="spellEnd"/>
      <w:r w:rsidR="00ED7922" w:rsidRPr="00382931">
        <w:rPr>
          <w:spacing w:val="-4"/>
          <w:lang w:val="en-GB"/>
        </w:rPr>
        <w:t xml:space="preserve"> finding it difficult to compete with restructured U.S. competitors on a cost-effective basis. </w:t>
      </w:r>
      <w:proofErr w:type="spellStart"/>
      <w:r w:rsidR="00ED7922" w:rsidRPr="00382931">
        <w:rPr>
          <w:spacing w:val="-4"/>
          <w:lang w:val="en-GB"/>
        </w:rPr>
        <w:t>Stelco’s</w:t>
      </w:r>
      <w:proofErr w:type="spellEnd"/>
      <w:r w:rsidR="00ED7922" w:rsidRPr="00382931">
        <w:rPr>
          <w:spacing w:val="-4"/>
          <w:lang w:val="en-GB"/>
        </w:rPr>
        <w:t xml:space="preserve"> profit margins were under pressure due to industry overcapacity, cost increases for inputs (such as natural gas prices and scrap), rising employee retirement benefit costs, and an increase in the CAD relative to the USD. Despite a recent rise in steel prices, </w:t>
      </w:r>
      <w:proofErr w:type="spellStart"/>
      <w:r w:rsidR="00ED7922" w:rsidRPr="00382931">
        <w:rPr>
          <w:spacing w:val="-4"/>
          <w:lang w:val="en-GB"/>
        </w:rPr>
        <w:t>Stelco’s</w:t>
      </w:r>
      <w:proofErr w:type="spellEnd"/>
      <w:r w:rsidR="00ED7922" w:rsidRPr="00382931">
        <w:rPr>
          <w:spacing w:val="-4"/>
          <w:lang w:val="en-GB"/>
        </w:rPr>
        <w:t xml:space="preserve"> average revenue per ton decreased to $</w:t>
      </w:r>
      <w:r w:rsidR="0013584C" w:rsidRPr="00382931">
        <w:rPr>
          <w:spacing w:val="-4"/>
          <w:lang w:val="en-GB"/>
        </w:rPr>
        <w:t>563 for the nine months ending September 30, 2003</w:t>
      </w:r>
      <w:r w:rsidR="00ED7922" w:rsidRPr="00382931">
        <w:rPr>
          <w:spacing w:val="-4"/>
          <w:lang w:val="en-GB"/>
        </w:rPr>
        <w:t xml:space="preserve">. At the same time, </w:t>
      </w:r>
      <w:proofErr w:type="spellStart"/>
      <w:r w:rsidR="00ED7922" w:rsidRPr="00382931">
        <w:rPr>
          <w:spacing w:val="-4"/>
          <w:lang w:val="en-GB"/>
        </w:rPr>
        <w:t>Stelco’s</w:t>
      </w:r>
      <w:proofErr w:type="spellEnd"/>
      <w:r w:rsidR="00ED7922" w:rsidRPr="00382931">
        <w:rPr>
          <w:spacing w:val="-4"/>
          <w:lang w:val="en-GB"/>
        </w:rPr>
        <w:t xml:space="preserve"> average cost per ton increased to $</w:t>
      </w:r>
      <w:r w:rsidR="0013584C" w:rsidRPr="00382931">
        <w:rPr>
          <w:spacing w:val="-4"/>
          <w:lang w:val="en-GB"/>
        </w:rPr>
        <w:t xml:space="preserve">583 </w:t>
      </w:r>
      <w:r w:rsidR="00ED7922" w:rsidRPr="00382931">
        <w:rPr>
          <w:spacing w:val="-4"/>
          <w:lang w:val="en-GB"/>
        </w:rPr>
        <w:t xml:space="preserve">per ton. While some of these cost increases were offset by further expense reduction initiatives, </w:t>
      </w:r>
      <w:proofErr w:type="spellStart"/>
      <w:r w:rsidR="00ED7922" w:rsidRPr="00382931">
        <w:rPr>
          <w:spacing w:val="-4"/>
          <w:lang w:val="en-GB"/>
        </w:rPr>
        <w:t>Stelco’s</w:t>
      </w:r>
      <w:proofErr w:type="spellEnd"/>
      <w:r w:rsidR="00ED7922" w:rsidRPr="00382931">
        <w:rPr>
          <w:spacing w:val="-4"/>
          <w:lang w:val="en-GB"/>
        </w:rPr>
        <w:t xml:space="preserve"> operating margin was again negative, losing $19 per ton. It was clear to equity analysts and market participants that </w:t>
      </w:r>
      <w:proofErr w:type="spellStart"/>
      <w:r w:rsidR="00ED7922" w:rsidRPr="00382931">
        <w:rPr>
          <w:spacing w:val="-4"/>
          <w:lang w:val="en-GB"/>
        </w:rPr>
        <w:t>Stelco</w:t>
      </w:r>
      <w:proofErr w:type="spellEnd"/>
      <w:r w:rsidR="00ED7922" w:rsidRPr="00382931">
        <w:rPr>
          <w:spacing w:val="-4"/>
          <w:lang w:val="en-GB"/>
        </w:rPr>
        <w:t xml:space="preserve"> was heading for a significant loss for 2003. </w:t>
      </w:r>
    </w:p>
    <w:p w14:paraId="25766156" w14:textId="44199894" w:rsidR="00ED7922" w:rsidRPr="003920D7" w:rsidRDefault="00ED7922" w:rsidP="00ED7922">
      <w:pPr>
        <w:pStyle w:val="BodyTextMain"/>
        <w:rPr>
          <w:lang w:val="en-GB"/>
        </w:rPr>
      </w:pPr>
      <w:r w:rsidRPr="003920D7">
        <w:rPr>
          <w:lang w:val="en-GB"/>
        </w:rPr>
        <w:lastRenderedPageBreak/>
        <w:t xml:space="preserve">Following the announcement of a second quarter loss of $82 million, </w:t>
      </w:r>
      <w:proofErr w:type="spellStart"/>
      <w:r w:rsidRPr="003920D7">
        <w:rPr>
          <w:lang w:val="en-GB"/>
        </w:rPr>
        <w:t>Stelco’s</w:t>
      </w:r>
      <w:proofErr w:type="spellEnd"/>
      <w:r w:rsidRPr="003920D7">
        <w:rPr>
          <w:lang w:val="en-GB"/>
        </w:rPr>
        <w:t xml:space="preserve"> </w:t>
      </w:r>
      <w:r w:rsidR="005D275F" w:rsidRPr="003920D7">
        <w:rPr>
          <w:lang w:val="en-GB"/>
        </w:rPr>
        <w:t>c</w:t>
      </w:r>
      <w:r w:rsidRPr="003920D7">
        <w:rPr>
          <w:lang w:val="en-GB"/>
        </w:rPr>
        <w:t xml:space="preserve">hief </w:t>
      </w:r>
      <w:r w:rsidR="005D275F" w:rsidRPr="003920D7">
        <w:rPr>
          <w:lang w:val="en-GB"/>
        </w:rPr>
        <w:t>e</w:t>
      </w:r>
      <w:r w:rsidRPr="003920D7">
        <w:rPr>
          <w:lang w:val="en-GB"/>
        </w:rPr>
        <w:t xml:space="preserve">xecutive </w:t>
      </w:r>
      <w:r w:rsidR="005D275F" w:rsidRPr="003920D7">
        <w:rPr>
          <w:lang w:val="en-GB"/>
        </w:rPr>
        <w:t>o</w:t>
      </w:r>
      <w:r w:rsidRPr="003920D7">
        <w:rPr>
          <w:lang w:val="en-GB"/>
        </w:rPr>
        <w:t xml:space="preserve">fficer (CEO), Jim </w:t>
      </w:r>
      <w:proofErr w:type="spellStart"/>
      <w:r w:rsidRPr="003920D7">
        <w:rPr>
          <w:lang w:val="en-GB"/>
        </w:rPr>
        <w:t>Alfano</w:t>
      </w:r>
      <w:proofErr w:type="spellEnd"/>
      <w:r w:rsidRPr="003920D7">
        <w:rPr>
          <w:lang w:val="en-GB"/>
        </w:rPr>
        <w:t xml:space="preserve">, announced his retirement in July 2003 after </w:t>
      </w:r>
      <w:r w:rsidR="005D275F" w:rsidRPr="003920D7">
        <w:rPr>
          <w:lang w:val="en-GB"/>
        </w:rPr>
        <w:t xml:space="preserve">having </w:t>
      </w:r>
      <w:r w:rsidRPr="003920D7">
        <w:rPr>
          <w:lang w:val="en-GB"/>
        </w:rPr>
        <w:t>le</w:t>
      </w:r>
      <w:r w:rsidR="005D275F" w:rsidRPr="003920D7">
        <w:rPr>
          <w:lang w:val="en-GB"/>
        </w:rPr>
        <w:t>d</w:t>
      </w:r>
      <w:r w:rsidRPr="003920D7">
        <w:rPr>
          <w:lang w:val="en-GB"/>
        </w:rPr>
        <w:t xml:space="preserve"> the steelmaker for seven years.</w:t>
      </w:r>
      <w:r w:rsidRPr="003920D7">
        <w:rPr>
          <w:rStyle w:val="FootnoteReference"/>
          <w:lang w:val="en-GB"/>
        </w:rPr>
        <w:footnoteReference w:id="5"/>
      </w:r>
      <w:r w:rsidRPr="003920D7">
        <w:rPr>
          <w:lang w:val="en-GB"/>
        </w:rPr>
        <w:t xml:space="preserve"> Fred </w:t>
      </w:r>
      <w:proofErr w:type="spellStart"/>
      <w:r w:rsidRPr="003920D7">
        <w:rPr>
          <w:lang w:val="en-GB"/>
        </w:rPr>
        <w:t>Telmer</w:t>
      </w:r>
      <w:proofErr w:type="spellEnd"/>
      <w:r w:rsidRPr="003920D7">
        <w:rPr>
          <w:lang w:val="en-GB"/>
        </w:rPr>
        <w:t xml:space="preserve">, </w:t>
      </w:r>
      <w:proofErr w:type="spellStart"/>
      <w:r w:rsidRPr="003920D7">
        <w:rPr>
          <w:lang w:val="en-GB"/>
        </w:rPr>
        <w:t>Stelco’s</w:t>
      </w:r>
      <w:proofErr w:type="spellEnd"/>
      <w:r w:rsidRPr="003920D7">
        <w:rPr>
          <w:lang w:val="en-GB"/>
        </w:rPr>
        <w:t xml:space="preserve"> </w:t>
      </w:r>
      <w:r w:rsidR="005D275F" w:rsidRPr="003920D7">
        <w:rPr>
          <w:lang w:val="en-GB"/>
        </w:rPr>
        <w:t>c</w:t>
      </w:r>
      <w:r w:rsidRPr="003920D7">
        <w:rPr>
          <w:lang w:val="en-GB"/>
        </w:rPr>
        <w:t xml:space="preserve">hairman and former CEO from 1991 to 1997, agreed to act as interim CEO and initiated a strategic review of the company’s business. The review included </w:t>
      </w:r>
      <w:proofErr w:type="spellStart"/>
      <w:r w:rsidRPr="003920D7">
        <w:rPr>
          <w:lang w:val="en-GB"/>
        </w:rPr>
        <w:t>Stelco’s</w:t>
      </w:r>
      <w:proofErr w:type="spellEnd"/>
      <w:r w:rsidRPr="003920D7">
        <w:rPr>
          <w:lang w:val="en-GB"/>
        </w:rPr>
        <w:t xml:space="preserve"> organizational structure, product lines, </w:t>
      </w:r>
      <w:r w:rsidR="005D275F" w:rsidRPr="003920D7">
        <w:rPr>
          <w:lang w:val="en-GB"/>
        </w:rPr>
        <w:t xml:space="preserve">and </w:t>
      </w:r>
      <w:r w:rsidRPr="003920D7">
        <w:rPr>
          <w:lang w:val="en-GB"/>
        </w:rPr>
        <w:t>capital expenditures, as well as the identification of non-core assets that might be candidates for a sale. The media reported:</w:t>
      </w:r>
    </w:p>
    <w:p w14:paraId="4980F13D" w14:textId="77777777" w:rsidR="00ED7922" w:rsidRPr="003920D7" w:rsidRDefault="00ED7922" w:rsidP="00ED7922">
      <w:pPr>
        <w:pStyle w:val="BodyTextMain"/>
        <w:rPr>
          <w:lang w:val="en-GB"/>
        </w:rPr>
      </w:pPr>
    </w:p>
    <w:p w14:paraId="72B3988F" w14:textId="2ED9F530" w:rsidR="00ED7922" w:rsidRPr="003920D7" w:rsidRDefault="00ED7922" w:rsidP="00ED7922">
      <w:pPr>
        <w:pStyle w:val="BodyTextMain"/>
        <w:ind w:left="720"/>
        <w:rPr>
          <w:lang w:val="en-GB"/>
        </w:rPr>
      </w:pPr>
      <w:proofErr w:type="spellStart"/>
      <w:r w:rsidRPr="003920D7">
        <w:rPr>
          <w:lang w:val="en-GB"/>
        </w:rPr>
        <w:t>Stelco</w:t>
      </w:r>
      <w:proofErr w:type="spellEnd"/>
      <w:r w:rsidRPr="003920D7">
        <w:rPr>
          <w:lang w:val="en-GB"/>
        </w:rPr>
        <w:t xml:space="preserve"> Inc. may put almost one-third of its $2.8-billion business on the auction block to streamline the company and avoid bankruptcy court, according to a senior official. Frederick </w:t>
      </w:r>
      <w:proofErr w:type="spellStart"/>
      <w:r w:rsidRPr="003920D7">
        <w:rPr>
          <w:lang w:val="en-GB"/>
        </w:rPr>
        <w:t>Telmer</w:t>
      </w:r>
      <w:proofErr w:type="spellEnd"/>
      <w:r w:rsidRPr="003920D7">
        <w:rPr>
          <w:lang w:val="en-GB"/>
        </w:rPr>
        <w:t xml:space="preserve">, </w:t>
      </w:r>
      <w:proofErr w:type="spellStart"/>
      <w:r w:rsidRPr="003920D7">
        <w:rPr>
          <w:lang w:val="en-GB"/>
        </w:rPr>
        <w:t>Stelco</w:t>
      </w:r>
      <w:r w:rsidR="005D275F" w:rsidRPr="003920D7">
        <w:rPr>
          <w:lang w:val="en-GB"/>
        </w:rPr>
        <w:t>’</w:t>
      </w:r>
      <w:r w:rsidRPr="003920D7">
        <w:rPr>
          <w:lang w:val="en-GB"/>
        </w:rPr>
        <w:t>s</w:t>
      </w:r>
      <w:proofErr w:type="spellEnd"/>
      <w:r w:rsidRPr="003920D7">
        <w:rPr>
          <w:lang w:val="en-GB"/>
        </w:rPr>
        <w:t xml:space="preserve"> recently appointed chief executive, said Thursday that the money-losing producer wants to sell its entire mini-mill and manufactured products divisions, which will shrink its operations to a pair of integrated steelworks in Hamilton and Nanticoke, Ont.</w:t>
      </w:r>
      <w:r w:rsidR="005D275F" w:rsidRPr="003920D7">
        <w:rPr>
          <w:lang w:val="en-GB"/>
        </w:rPr>
        <w:t xml:space="preserve"> [Ontario]. . . .</w:t>
      </w:r>
      <w:r w:rsidRPr="003920D7">
        <w:rPr>
          <w:lang w:val="en-GB"/>
        </w:rPr>
        <w:t xml:space="preserve"> “Everything else, I think you can say, is non-core,</w:t>
      </w:r>
      <w:r w:rsidR="005D275F" w:rsidRPr="003920D7">
        <w:rPr>
          <w:lang w:val="en-GB"/>
        </w:rPr>
        <w:t>”</w:t>
      </w:r>
      <w:r w:rsidRPr="003920D7">
        <w:rPr>
          <w:lang w:val="en-GB"/>
        </w:rPr>
        <w:t xml:space="preserve"> </w:t>
      </w:r>
      <w:proofErr w:type="spellStart"/>
      <w:r w:rsidRPr="003920D7">
        <w:rPr>
          <w:lang w:val="en-GB"/>
        </w:rPr>
        <w:t>Telmer</w:t>
      </w:r>
      <w:proofErr w:type="spellEnd"/>
      <w:r w:rsidRPr="003920D7">
        <w:rPr>
          <w:lang w:val="en-GB"/>
        </w:rPr>
        <w:t xml:space="preserve"> said. “We have to get down to the core business</w:t>
      </w:r>
      <w:r w:rsidR="005D275F" w:rsidRPr="003920D7">
        <w:rPr>
          <w:lang w:val="en-GB"/>
        </w:rPr>
        <w:t>.</w:t>
      </w:r>
      <w:r w:rsidRPr="003920D7">
        <w:rPr>
          <w:lang w:val="en-GB"/>
        </w:rPr>
        <w:t>”</w:t>
      </w:r>
      <w:r w:rsidRPr="003920D7">
        <w:rPr>
          <w:rStyle w:val="FootnoteReference"/>
          <w:lang w:val="en-GB"/>
        </w:rPr>
        <w:footnoteReference w:id="6"/>
      </w:r>
      <w:r w:rsidR="003920D7" w:rsidRPr="003920D7">
        <w:rPr>
          <w:lang w:val="en-GB"/>
        </w:rPr>
        <w:t xml:space="preserve"> </w:t>
      </w:r>
    </w:p>
    <w:p w14:paraId="6EF09943" w14:textId="77777777" w:rsidR="00ED7922" w:rsidRPr="003920D7" w:rsidRDefault="00ED7922" w:rsidP="00ED7922">
      <w:pPr>
        <w:pStyle w:val="BodyTextMain"/>
        <w:rPr>
          <w:lang w:val="en-GB"/>
        </w:rPr>
      </w:pPr>
    </w:p>
    <w:p w14:paraId="7FD7593E" w14:textId="0061D17F" w:rsidR="00ED7922" w:rsidRPr="003920D7" w:rsidRDefault="00ED7922" w:rsidP="00ED7922">
      <w:pPr>
        <w:pStyle w:val="BodyTextMain"/>
        <w:rPr>
          <w:lang w:val="en-GB"/>
        </w:rPr>
      </w:pPr>
      <w:proofErr w:type="spellStart"/>
      <w:r w:rsidRPr="003920D7">
        <w:rPr>
          <w:lang w:val="en-GB"/>
        </w:rPr>
        <w:t>Stelco</w:t>
      </w:r>
      <w:proofErr w:type="spellEnd"/>
      <w:r w:rsidRPr="003920D7">
        <w:rPr>
          <w:lang w:val="en-GB"/>
        </w:rPr>
        <w:t xml:space="preserve"> was unviable due to its inability to compete against lower-cost steel producers. Significantly, </w:t>
      </w:r>
      <w:proofErr w:type="spellStart"/>
      <w:r w:rsidRPr="003920D7">
        <w:rPr>
          <w:lang w:val="en-GB"/>
        </w:rPr>
        <w:t>Stelco</w:t>
      </w:r>
      <w:proofErr w:type="spellEnd"/>
      <w:r w:rsidRPr="003920D7">
        <w:rPr>
          <w:lang w:val="en-GB"/>
        </w:rPr>
        <w:t xml:space="preserve"> was overburdened with large off-balance</w:t>
      </w:r>
      <w:r w:rsidR="000076E5" w:rsidRPr="003920D7">
        <w:rPr>
          <w:lang w:val="en-GB"/>
        </w:rPr>
        <w:t>-</w:t>
      </w:r>
      <w:r w:rsidRPr="003920D7">
        <w:rPr>
          <w:lang w:val="en-GB"/>
        </w:rPr>
        <w:t xml:space="preserve">sheet pension liabilities. </w:t>
      </w:r>
      <w:proofErr w:type="spellStart"/>
      <w:r w:rsidRPr="003920D7">
        <w:rPr>
          <w:lang w:val="en-GB"/>
        </w:rPr>
        <w:t>Stelco</w:t>
      </w:r>
      <w:proofErr w:type="spellEnd"/>
      <w:r w:rsidRPr="003920D7">
        <w:rPr>
          <w:lang w:val="en-GB"/>
        </w:rPr>
        <w:t xml:space="preserve"> management warned that a restructuring under court-ordered protection from creditors might be required to deal with this pension issue</w:t>
      </w:r>
      <w:r w:rsidR="00DA3FEF" w:rsidRPr="003920D7">
        <w:rPr>
          <w:lang w:val="en-GB"/>
        </w:rPr>
        <w:t>.</w:t>
      </w:r>
      <w:r w:rsidR="005D275F" w:rsidRPr="003920D7">
        <w:rPr>
          <w:lang w:val="en-GB"/>
        </w:rPr>
        <w:t xml:space="preserve"> </w:t>
      </w:r>
      <w:r w:rsidRPr="003920D7">
        <w:rPr>
          <w:lang w:val="en-GB"/>
        </w:rPr>
        <w:t>“Our preferred route is to achieve this outcome without a formal restructuring process</w:t>
      </w:r>
      <w:r w:rsidR="00DA3FEF" w:rsidRPr="003920D7">
        <w:rPr>
          <w:lang w:val="en-GB"/>
        </w:rPr>
        <w:t>,</w:t>
      </w:r>
      <w:r w:rsidR="005D275F" w:rsidRPr="003920D7">
        <w:rPr>
          <w:lang w:val="en-GB"/>
        </w:rPr>
        <w:t>”</w:t>
      </w:r>
      <w:r w:rsidRPr="003920D7">
        <w:rPr>
          <w:lang w:val="en-GB"/>
        </w:rPr>
        <w:t xml:space="preserve"> </w:t>
      </w:r>
      <w:proofErr w:type="spellStart"/>
      <w:r w:rsidRPr="003920D7">
        <w:rPr>
          <w:lang w:val="en-GB"/>
        </w:rPr>
        <w:t>Telmer</w:t>
      </w:r>
      <w:proofErr w:type="spellEnd"/>
      <w:r w:rsidRPr="003920D7">
        <w:rPr>
          <w:lang w:val="en-GB"/>
        </w:rPr>
        <w:t xml:space="preserve"> told analysts</w:t>
      </w:r>
      <w:r w:rsidR="00DA3FEF" w:rsidRPr="003920D7">
        <w:rPr>
          <w:lang w:val="en-GB"/>
        </w:rPr>
        <w:t>.</w:t>
      </w:r>
      <w:r w:rsidR="005D275F" w:rsidRPr="003920D7">
        <w:rPr>
          <w:lang w:val="en-GB"/>
        </w:rPr>
        <w:t xml:space="preserve"> </w:t>
      </w:r>
      <w:r w:rsidRPr="003920D7">
        <w:rPr>
          <w:lang w:val="en-GB"/>
        </w:rPr>
        <w:t xml:space="preserve">“Looking at the U.S. experience, certain companies were forced to enter Chapter 11 </w:t>
      </w:r>
      <w:r w:rsidR="00DA3FEF" w:rsidRPr="003920D7">
        <w:rPr>
          <w:lang w:val="en-GB"/>
        </w:rPr>
        <w:t xml:space="preserve">[of the U.S. </w:t>
      </w:r>
      <w:r w:rsidR="00DA3FEF" w:rsidRPr="003920D7">
        <w:rPr>
          <w:i/>
          <w:lang w:val="en-GB"/>
        </w:rPr>
        <w:t>Bankruptcy Code</w:t>
      </w:r>
      <w:r w:rsidR="00DA3FEF" w:rsidRPr="003920D7">
        <w:rPr>
          <w:rStyle w:val="FootnoteReference"/>
          <w:lang w:val="en-GB"/>
        </w:rPr>
        <w:footnoteReference w:id="7"/>
      </w:r>
      <w:r w:rsidR="00DA3FEF" w:rsidRPr="003920D7">
        <w:rPr>
          <w:lang w:val="en-GB"/>
        </w:rPr>
        <w:t xml:space="preserve">] </w:t>
      </w:r>
      <w:r w:rsidRPr="003920D7">
        <w:rPr>
          <w:lang w:val="en-GB"/>
        </w:rPr>
        <w:t>to deal with this [pension cost] issue, while others were able to co-operatively work out an equitable solution with their workforce</w:t>
      </w:r>
      <w:r w:rsidR="00DA3FEF" w:rsidRPr="003920D7">
        <w:rPr>
          <w:lang w:val="en-GB"/>
        </w:rPr>
        <w:t>,”</w:t>
      </w:r>
      <w:r w:rsidRPr="003920D7">
        <w:rPr>
          <w:lang w:val="en-GB"/>
        </w:rPr>
        <w:t xml:space="preserve"> </w:t>
      </w:r>
      <w:proofErr w:type="spellStart"/>
      <w:r w:rsidRPr="003920D7">
        <w:rPr>
          <w:lang w:val="en-GB"/>
        </w:rPr>
        <w:t>Telmer</w:t>
      </w:r>
      <w:proofErr w:type="spellEnd"/>
      <w:r w:rsidRPr="003920D7">
        <w:rPr>
          <w:lang w:val="en-GB"/>
        </w:rPr>
        <w:t xml:space="preserve"> said. “We will have to see how things develop, but make no mistake, we must to come to terms with this significant impediment to our ability to emerge as a competitive player.”</w:t>
      </w:r>
      <w:r w:rsidRPr="003920D7">
        <w:rPr>
          <w:rStyle w:val="FootnoteReference"/>
          <w:lang w:val="en-GB"/>
        </w:rPr>
        <w:footnoteReference w:id="8"/>
      </w:r>
      <w:r w:rsidR="003920D7" w:rsidRPr="003920D7">
        <w:rPr>
          <w:lang w:val="en-GB"/>
        </w:rPr>
        <w:t xml:space="preserve"> </w:t>
      </w:r>
    </w:p>
    <w:p w14:paraId="0387AC2B" w14:textId="77777777" w:rsidR="00ED7922" w:rsidRPr="003920D7" w:rsidRDefault="00ED7922" w:rsidP="00ED7922">
      <w:pPr>
        <w:pStyle w:val="BodyTextMain"/>
        <w:rPr>
          <w:lang w:val="en-GB"/>
        </w:rPr>
      </w:pPr>
    </w:p>
    <w:p w14:paraId="06E49EDA" w14:textId="74D5DD7B" w:rsidR="00ED7922" w:rsidRPr="003920D7" w:rsidRDefault="00ED7922" w:rsidP="00ED7922">
      <w:pPr>
        <w:pStyle w:val="BodyTextMain"/>
        <w:rPr>
          <w:lang w:val="en-GB"/>
        </w:rPr>
      </w:pPr>
      <w:r w:rsidRPr="003920D7">
        <w:rPr>
          <w:lang w:val="en-GB"/>
        </w:rPr>
        <w:t xml:space="preserve">While </w:t>
      </w:r>
      <w:proofErr w:type="spellStart"/>
      <w:r w:rsidRPr="003920D7">
        <w:rPr>
          <w:lang w:val="en-GB"/>
        </w:rPr>
        <w:t>Stelco’s</w:t>
      </w:r>
      <w:proofErr w:type="spellEnd"/>
      <w:r w:rsidRPr="003920D7">
        <w:rPr>
          <w:lang w:val="en-GB"/>
        </w:rPr>
        <w:t xml:space="preserve"> on-balance</w:t>
      </w:r>
      <w:r w:rsidR="000076E5" w:rsidRPr="003920D7">
        <w:rPr>
          <w:lang w:val="en-GB"/>
        </w:rPr>
        <w:t>-</w:t>
      </w:r>
      <w:r w:rsidRPr="003920D7">
        <w:rPr>
          <w:lang w:val="en-GB"/>
        </w:rPr>
        <w:t>sheet debt total</w:t>
      </w:r>
      <w:r w:rsidR="000076E5" w:rsidRPr="003920D7">
        <w:rPr>
          <w:lang w:val="en-GB"/>
        </w:rPr>
        <w:t>l</w:t>
      </w:r>
      <w:r w:rsidRPr="003920D7">
        <w:rPr>
          <w:lang w:val="en-GB"/>
        </w:rPr>
        <w:t xml:space="preserve">ed $721 million as of </w:t>
      </w:r>
      <w:r w:rsidR="00DA3FEF" w:rsidRPr="003920D7">
        <w:rPr>
          <w:lang w:val="en-GB"/>
        </w:rPr>
        <w:t xml:space="preserve">the </w:t>
      </w:r>
      <w:r w:rsidRPr="003920D7">
        <w:rPr>
          <w:lang w:val="en-GB"/>
        </w:rPr>
        <w:t xml:space="preserve">end </w:t>
      </w:r>
      <w:r w:rsidR="00DA3FEF" w:rsidRPr="003920D7">
        <w:rPr>
          <w:lang w:val="en-GB"/>
        </w:rPr>
        <w:t xml:space="preserve">of </w:t>
      </w:r>
      <w:r w:rsidRPr="003920D7">
        <w:rPr>
          <w:lang w:val="en-GB"/>
        </w:rPr>
        <w:t xml:space="preserve">September 2003, the pension liabilities under </w:t>
      </w:r>
      <w:proofErr w:type="spellStart"/>
      <w:r w:rsidRPr="003920D7">
        <w:rPr>
          <w:lang w:val="en-GB"/>
        </w:rPr>
        <w:t>Stelco’s</w:t>
      </w:r>
      <w:proofErr w:type="spellEnd"/>
      <w:r w:rsidRPr="003920D7">
        <w:rPr>
          <w:lang w:val="en-GB"/>
        </w:rPr>
        <w:t xml:space="preserve"> defined benefit pension plan and other employee benefits added an additional $1.723 billion of off-balance</w:t>
      </w:r>
      <w:r w:rsidR="000076E5" w:rsidRPr="003920D7">
        <w:rPr>
          <w:lang w:val="en-GB"/>
        </w:rPr>
        <w:t>-</w:t>
      </w:r>
      <w:r w:rsidRPr="003920D7">
        <w:rPr>
          <w:lang w:val="en-GB"/>
        </w:rPr>
        <w:t xml:space="preserve">sheet debt. </w:t>
      </w:r>
      <w:proofErr w:type="spellStart"/>
      <w:r w:rsidRPr="003920D7">
        <w:rPr>
          <w:lang w:val="en-GB"/>
        </w:rPr>
        <w:t>Stelco</w:t>
      </w:r>
      <w:proofErr w:type="spellEnd"/>
      <w:r w:rsidRPr="003920D7">
        <w:rPr>
          <w:lang w:val="en-GB"/>
        </w:rPr>
        <w:t xml:space="preserve"> had a powerful trade union representing its workers</w:t>
      </w:r>
      <w:r w:rsidR="00DA3FEF" w:rsidRPr="003920D7">
        <w:rPr>
          <w:lang w:val="en-GB"/>
        </w:rPr>
        <w:t>,</w:t>
      </w:r>
      <w:r w:rsidRPr="003920D7">
        <w:rPr>
          <w:lang w:val="en-GB"/>
        </w:rPr>
        <w:t xml:space="preserve"> and </w:t>
      </w:r>
      <w:r w:rsidR="00DA3FEF" w:rsidRPr="003920D7">
        <w:rPr>
          <w:lang w:val="en-GB"/>
        </w:rPr>
        <w:t>it</w:t>
      </w:r>
      <w:r w:rsidRPr="003920D7">
        <w:rPr>
          <w:lang w:val="en-GB"/>
        </w:rPr>
        <w:t xml:space="preserve"> would undoubtedly fight any effort to reduce </w:t>
      </w:r>
      <w:r w:rsidR="00D409BD" w:rsidRPr="003920D7">
        <w:rPr>
          <w:lang w:val="en-GB"/>
        </w:rPr>
        <w:t>its</w:t>
      </w:r>
      <w:r w:rsidRPr="003920D7">
        <w:rPr>
          <w:lang w:val="en-GB"/>
        </w:rPr>
        <w:t xml:space="preserve"> pension claims and benefits. To make matters worse, Canada had few legal precedents to suggest how the pension plans and the labour unions would be treated in a court-supervised restructuring. Air Canada</w:t>
      </w:r>
      <w:r w:rsidR="00D409BD" w:rsidRPr="003920D7">
        <w:rPr>
          <w:lang w:val="en-GB"/>
        </w:rPr>
        <w:t>, for example,</w:t>
      </w:r>
      <w:r w:rsidRPr="003920D7">
        <w:rPr>
          <w:lang w:val="en-GB"/>
        </w:rPr>
        <w:t xml:space="preserve"> was in the process of using CCAA court protection to negotiate the reduction of its underfunded $1.5</w:t>
      </w:r>
      <w:r w:rsidR="00F00ECA">
        <w:rPr>
          <w:lang w:val="en-GB"/>
        </w:rPr>
        <w:t xml:space="preserve"> </w:t>
      </w:r>
      <w:r w:rsidRPr="003920D7">
        <w:rPr>
          <w:lang w:val="en-GB"/>
        </w:rPr>
        <w:t>billion pension deficit with its unions. Other well-known Canadian companies</w:t>
      </w:r>
      <w:r w:rsidR="00D409BD" w:rsidRPr="003920D7">
        <w:rPr>
          <w:lang w:val="en-GB"/>
        </w:rPr>
        <w:t>—</w:t>
      </w:r>
      <w:r w:rsidRPr="003920D7">
        <w:rPr>
          <w:lang w:val="en-GB"/>
        </w:rPr>
        <w:t xml:space="preserve">lumber producer Doman Industries </w:t>
      </w:r>
      <w:r w:rsidR="00D409BD" w:rsidRPr="003920D7">
        <w:rPr>
          <w:lang w:val="en-GB"/>
        </w:rPr>
        <w:t xml:space="preserve">Limited </w:t>
      </w:r>
      <w:r w:rsidRPr="003920D7">
        <w:rPr>
          <w:lang w:val="en-GB"/>
        </w:rPr>
        <w:t>and Montreal-based clothing retailer Boutiques San Francisco</w:t>
      </w:r>
      <w:r w:rsidR="00D409BD" w:rsidRPr="003920D7">
        <w:rPr>
          <w:lang w:val="en-GB"/>
        </w:rPr>
        <w:t xml:space="preserve"> among them—</w:t>
      </w:r>
      <w:r w:rsidRPr="003920D7">
        <w:rPr>
          <w:lang w:val="en-GB"/>
        </w:rPr>
        <w:t>were also seeking to shed staff and restructure debts through this process. Recent cases had reached different outcomes, with some going before the Supreme Court. The stakes were high</w:t>
      </w:r>
      <w:r w:rsidR="00D409BD" w:rsidRPr="003920D7">
        <w:rPr>
          <w:lang w:val="en-GB"/>
        </w:rPr>
        <w:t>,</w:t>
      </w:r>
      <w:r w:rsidRPr="003920D7">
        <w:rPr>
          <w:lang w:val="en-GB"/>
        </w:rPr>
        <w:t xml:space="preserve"> </w:t>
      </w:r>
      <w:r w:rsidR="00D409BD" w:rsidRPr="003920D7">
        <w:rPr>
          <w:lang w:val="en-GB"/>
        </w:rPr>
        <w:t>with</w:t>
      </w:r>
      <w:r w:rsidRPr="003920D7">
        <w:rPr>
          <w:lang w:val="en-GB"/>
        </w:rPr>
        <w:t xml:space="preserve"> one estimate plac</w:t>
      </w:r>
      <w:r w:rsidR="00D409BD" w:rsidRPr="003920D7">
        <w:rPr>
          <w:lang w:val="en-GB"/>
        </w:rPr>
        <w:t>ing</w:t>
      </w:r>
      <w:r w:rsidRPr="003920D7">
        <w:rPr>
          <w:lang w:val="en-GB"/>
        </w:rPr>
        <w:t xml:space="preserve"> the underfunding of corporate pension plans in Canada at $225 billion, representing 20 per cent of Canada’s gross domestic product.</w:t>
      </w:r>
      <w:r w:rsidRPr="003920D7">
        <w:rPr>
          <w:vertAlign w:val="superscript"/>
          <w:lang w:val="en-GB"/>
        </w:rPr>
        <w:footnoteReference w:id="9"/>
      </w:r>
      <w:r w:rsidRPr="003920D7">
        <w:rPr>
          <w:lang w:val="en-GB"/>
        </w:rPr>
        <w:t xml:space="preserve"> </w:t>
      </w:r>
    </w:p>
    <w:p w14:paraId="0BAED1A3" w14:textId="77777777" w:rsidR="00ED7922" w:rsidRPr="003920D7" w:rsidRDefault="00ED7922" w:rsidP="00ED7922">
      <w:pPr>
        <w:pStyle w:val="BodyTextMain"/>
        <w:rPr>
          <w:rFonts w:eastAsia="SimSun"/>
          <w:lang w:val="en-GB"/>
        </w:rPr>
      </w:pPr>
    </w:p>
    <w:p w14:paraId="4CAD15C8" w14:textId="58DD3F3E" w:rsidR="00ED7922" w:rsidRPr="002C18AF" w:rsidRDefault="00ED7922" w:rsidP="00ED7922">
      <w:pPr>
        <w:pStyle w:val="BodyTextMain"/>
        <w:rPr>
          <w:lang w:val="en-GB"/>
        </w:rPr>
      </w:pPr>
      <w:r w:rsidRPr="002C18AF">
        <w:rPr>
          <w:lang w:val="en-GB"/>
        </w:rPr>
        <w:t xml:space="preserve">It was clear that </w:t>
      </w:r>
      <w:proofErr w:type="spellStart"/>
      <w:r w:rsidRPr="002C18AF">
        <w:rPr>
          <w:lang w:val="en-GB"/>
        </w:rPr>
        <w:t>Stelco</w:t>
      </w:r>
      <w:proofErr w:type="spellEnd"/>
      <w:r w:rsidRPr="002C18AF">
        <w:rPr>
          <w:lang w:val="en-GB"/>
        </w:rPr>
        <w:t xml:space="preserve"> needed to take immediate action. The </w:t>
      </w:r>
      <w:r w:rsidR="00D409BD" w:rsidRPr="002C18AF">
        <w:rPr>
          <w:lang w:val="en-GB"/>
        </w:rPr>
        <w:t>b</w:t>
      </w:r>
      <w:r w:rsidRPr="002C18AF">
        <w:rPr>
          <w:lang w:val="en-GB"/>
        </w:rPr>
        <w:t xml:space="preserve">oard candidly examined a </w:t>
      </w:r>
      <w:r w:rsidR="00D409BD" w:rsidRPr="002C18AF">
        <w:rPr>
          <w:lang w:val="en-GB"/>
        </w:rPr>
        <w:t>c</w:t>
      </w:r>
      <w:r w:rsidRPr="002C18AF">
        <w:rPr>
          <w:lang w:val="en-GB"/>
        </w:rPr>
        <w:t>ourt-supervised restructuring process to provide legal protection</w:t>
      </w:r>
      <w:r w:rsidR="00D409BD" w:rsidRPr="002C18AF">
        <w:rPr>
          <w:lang w:val="en-GB"/>
        </w:rPr>
        <w:t>,</w:t>
      </w:r>
      <w:r w:rsidRPr="002C18AF">
        <w:rPr>
          <w:lang w:val="en-GB"/>
        </w:rPr>
        <w:t xml:space="preserve"> while </w:t>
      </w:r>
      <w:proofErr w:type="spellStart"/>
      <w:r w:rsidRPr="002C18AF">
        <w:rPr>
          <w:lang w:val="en-GB"/>
        </w:rPr>
        <w:t>Stelco</w:t>
      </w:r>
      <w:proofErr w:type="spellEnd"/>
      <w:r w:rsidRPr="002C18AF">
        <w:rPr>
          <w:lang w:val="en-GB"/>
        </w:rPr>
        <w:t xml:space="preserve"> addressed its problems and developed a restructuring plan. Another option was to consider a merger or sale to a competitor. Doing nothing was not an option.</w:t>
      </w:r>
    </w:p>
    <w:p w14:paraId="4F9FDB54" w14:textId="77777777" w:rsidR="00382931" w:rsidRDefault="00382931" w:rsidP="00ED7922">
      <w:pPr>
        <w:pStyle w:val="BodyTextMain"/>
        <w:rPr>
          <w:lang w:val="en-GB"/>
        </w:rPr>
      </w:pPr>
    </w:p>
    <w:p w14:paraId="42AE0DAB" w14:textId="77777777" w:rsidR="00382931" w:rsidRPr="003920D7" w:rsidRDefault="00382931" w:rsidP="00ED7922">
      <w:pPr>
        <w:pStyle w:val="BodyTextMain"/>
        <w:rPr>
          <w:lang w:val="en-GB"/>
        </w:rPr>
      </w:pPr>
    </w:p>
    <w:p w14:paraId="7E93A609" w14:textId="77777777" w:rsidR="00ED7922" w:rsidRPr="003920D7" w:rsidRDefault="00ED7922" w:rsidP="00ED7922">
      <w:pPr>
        <w:pStyle w:val="Casehead1"/>
        <w:rPr>
          <w:rStyle w:val="Strong"/>
          <w:b/>
          <w:bCs w:val="0"/>
          <w:szCs w:val="22"/>
          <w:lang w:val="en-GB"/>
        </w:rPr>
      </w:pPr>
      <w:r w:rsidRPr="003920D7">
        <w:rPr>
          <w:rStyle w:val="Strong"/>
          <w:b/>
          <w:bCs w:val="0"/>
          <w:szCs w:val="22"/>
          <w:lang w:val="en-GB"/>
        </w:rPr>
        <w:lastRenderedPageBreak/>
        <w:t>Stelco SIZE-UP</w:t>
      </w:r>
    </w:p>
    <w:p w14:paraId="01559DF6" w14:textId="77777777" w:rsidR="00ED7922" w:rsidRPr="003920D7" w:rsidRDefault="00ED7922" w:rsidP="00ED7922">
      <w:pPr>
        <w:pStyle w:val="BodyTextMain"/>
        <w:rPr>
          <w:rStyle w:val="Strong"/>
          <w:b w:val="0"/>
          <w:bCs w:val="0"/>
          <w:lang w:val="en-GB"/>
        </w:rPr>
      </w:pPr>
    </w:p>
    <w:p w14:paraId="4C998F0E" w14:textId="66E769C7" w:rsidR="00ED7922" w:rsidRPr="003920D7" w:rsidRDefault="00ED7922" w:rsidP="00ED7922">
      <w:pPr>
        <w:pStyle w:val="BodyTextMain"/>
        <w:rPr>
          <w:lang w:val="en-GB"/>
        </w:rPr>
      </w:pPr>
      <w:r w:rsidRPr="003920D7">
        <w:rPr>
          <w:lang w:val="en-GB"/>
        </w:rPr>
        <w:t>As with any restructuring situation, Peters and Martin knew it was vital to understand the target company in</w:t>
      </w:r>
      <w:r w:rsidR="00897DC6" w:rsidRPr="003920D7">
        <w:rPr>
          <w:lang w:val="en-GB"/>
        </w:rPr>
        <w:t xml:space="preserve"> </w:t>
      </w:r>
      <w:r w:rsidRPr="003920D7">
        <w:rPr>
          <w:lang w:val="en-GB"/>
        </w:rPr>
        <w:t xml:space="preserve">depth. </w:t>
      </w:r>
      <w:r w:rsidR="00897DC6" w:rsidRPr="003920D7">
        <w:rPr>
          <w:lang w:val="en-GB"/>
        </w:rPr>
        <w:t>T</w:t>
      </w:r>
      <w:r w:rsidRPr="003920D7">
        <w:rPr>
          <w:lang w:val="en-GB"/>
        </w:rPr>
        <w:t>he Quantum team summar</w:t>
      </w:r>
      <w:r w:rsidR="00897DC6" w:rsidRPr="003920D7">
        <w:rPr>
          <w:lang w:val="en-GB"/>
        </w:rPr>
        <w:t>ized</w:t>
      </w:r>
      <w:r w:rsidRPr="003920D7">
        <w:rPr>
          <w:lang w:val="en-GB"/>
        </w:rPr>
        <w:t xml:space="preserve"> </w:t>
      </w:r>
      <w:proofErr w:type="spellStart"/>
      <w:r w:rsidRPr="003920D7">
        <w:rPr>
          <w:lang w:val="en-GB"/>
        </w:rPr>
        <w:t>Stelco’s</w:t>
      </w:r>
      <w:proofErr w:type="spellEnd"/>
      <w:r w:rsidRPr="003920D7">
        <w:rPr>
          <w:lang w:val="en-GB"/>
        </w:rPr>
        <w:t xml:space="preserve"> operating performance over the first nine months of 2003</w:t>
      </w:r>
      <w:r w:rsidR="00897DC6" w:rsidRPr="003920D7">
        <w:rPr>
          <w:lang w:val="en-GB"/>
        </w:rPr>
        <w:t xml:space="preserve"> (see Exhibit 4)</w:t>
      </w:r>
      <w:r w:rsidRPr="003920D7">
        <w:rPr>
          <w:lang w:val="en-GB"/>
        </w:rPr>
        <w:t>. Total steel shipments had been stable</w:t>
      </w:r>
      <w:r w:rsidR="00897DC6" w:rsidRPr="003920D7">
        <w:rPr>
          <w:lang w:val="en-GB"/>
        </w:rPr>
        <w:t>,</w:t>
      </w:r>
      <w:r w:rsidRPr="003920D7">
        <w:rPr>
          <w:lang w:val="en-GB"/>
        </w:rPr>
        <w:t xml:space="preserve"> but the trend in operating profitability was ominous. </w:t>
      </w:r>
      <w:proofErr w:type="spellStart"/>
      <w:r w:rsidRPr="003920D7">
        <w:rPr>
          <w:lang w:val="en-GB"/>
        </w:rPr>
        <w:t>Stelco</w:t>
      </w:r>
      <w:proofErr w:type="spellEnd"/>
      <w:r w:rsidRPr="003920D7">
        <w:rPr>
          <w:lang w:val="en-GB"/>
        </w:rPr>
        <w:t xml:space="preserve"> was operating at a loss, with costs exceeding revenues by $20 per ton. The </w:t>
      </w:r>
      <w:r w:rsidR="00897DC6" w:rsidRPr="003920D7">
        <w:rPr>
          <w:lang w:val="en-GB"/>
        </w:rPr>
        <w:t>i</w:t>
      </w:r>
      <w:r w:rsidRPr="003920D7">
        <w:rPr>
          <w:lang w:val="en-GB"/>
        </w:rPr>
        <w:t xml:space="preserve">ntegrated </w:t>
      </w:r>
      <w:r w:rsidR="00897DC6" w:rsidRPr="003920D7">
        <w:rPr>
          <w:lang w:val="en-GB"/>
        </w:rPr>
        <w:t>s</w:t>
      </w:r>
      <w:r w:rsidRPr="003920D7">
        <w:rPr>
          <w:lang w:val="en-GB"/>
        </w:rPr>
        <w:t xml:space="preserve">teel and </w:t>
      </w:r>
      <w:r w:rsidR="00897DC6" w:rsidRPr="003920D7">
        <w:rPr>
          <w:lang w:val="en-GB"/>
        </w:rPr>
        <w:t>m</w:t>
      </w:r>
      <w:r w:rsidRPr="003920D7">
        <w:rPr>
          <w:lang w:val="en-GB"/>
        </w:rPr>
        <w:t xml:space="preserve">anufactured </w:t>
      </w:r>
      <w:r w:rsidR="00897DC6" w:rsidRPr="003920D7">
        <w:rPr>
          <w:lang w:val="en-GB"/>
        </w:rPr>
        <w:t>p</w:t>
      </w:r>
      <w:r w:rsidRPr="003920D7">
        <w:rPr>
          <w:lang w:val="en-GB"/>
        </w:rPr>
        <w:t xml:space="preserve">roducts segments were operating at a loss or </w:t>
      </w:r>
      <w:r w:rsidR="00897DC6" w:rsidRPr="003920D7">
        <w:rPr>
          <w:lang w:val="en-GB"/>
        </w:rPr>
        <w:t xml:space="preserve">at </w:t>
      </w:r>
      <w:r w:rsidRPr="003920D7">
        <w:rPr>
          <w:lang w:val="en-GB"/>
        </w:rPr>
        <w:t xml:space="preserve">break-even. Only the </w:t>
      </w:r>
      <w:r w:rsidR="00897DC6" w:rsidRPr="003920D7">
        <w:rPr>
          <w:lang w:val="en-GB"/>
        </w:rPr>
        <w:t>m</w:t>
      </w:r>
      <w:r w:rsidRPr="003920D7">
        <w:rPr>
          <w:lang w:val="en-GB"/>
        </w:rPr>
        <w:t xml:space="preserve">ini-mill segment was generating positive EBITDA. </w:t>
      </w:r>
      <w:proofErr w:type="spellStart"/>
      <w:r w:rsidRPr="003920D7">
        <w:rPr>
          <w:lang w:val="en-GB"/>
        </w:rPr>
        <w:t>Stelco’s</w:t>
      </w:r>
      <w:proofErr w:type="spellEnd"/>
      <w:r w:rsidRPr="003920D7">
        <w:rPr>
          <w:lang w:val="en-GB"/>
        </w:rPr>
        <w:t xml:space="preserve"> interest expense was rising each quarter, leading to net losses of $168 million over the first three quarters of 2003.</w:t>
      </w:r>
      <w:r w:rsidR="003920D7" w:rsidRPr="003920D7">
        <w:rPr>
          <w:lang w:val="en-GB"/>
        </w:rPr>
        <w:t xml:space="preserve"> </w:t>
      </w:r>
    </w:p>
    <w:p w14:paraId="3A11D7C4" w14:textId="77777777" w:rsidR="00ED7922" w:rsidRPr="003920D7" w:rsidRDefault="00ED7922" w:rsidP="00ED7922">
      <w:pPr>
        <w:pStyle w:val="BodyTextMain"/>
        <w:rPr>
          <w:lang w:val="en-GB"/>
        </w:rPr>
      </w:pPr>
    </w:p>
    <w:p w14:paraId="598F4AAD" w14:textId="77777777" w:rsidR="00ED7922" w:rsidRPr="003920D7" w:rsidRDefault="00ED7922" w:rsidP="00ED7922">
      <w:pPr>
        <w:pStyle w:val="BodyTextMain"/>
        <w:rPr>
          <w:lang w:val="en-GB"/>
        </w:rPr>
      </w:pPr>
      <w:r w:rsidRPr="003920D7">
        <w:rPr>
          <w:lang w:val="en-GB"/>
        </w:rPr>
        <w:t xml:space="preserve">The Quantum team outlined </w:t>
      </w:r>
      <w:proofErr w:type="spellStart"/>
      <w:r w:rsidRPr="003920D7">
        <w:rPr>
          <w:lang w:val="en-GB"/>
        </w:rPr>
        <w:t>Stelco’s</w:t>
      </w:r>
      <w:proofErr w:type="spellEnd"/>
      <w:r w:rsidRPr="003920D7">
        <w:rPr>
          <w:lang w:val="en-GB"/>
        </w:rPr>
        <w:t xml:space="preserve"> strengths and weaknesses:</w:t>
      </w:r>
    </w:p>
    <w:p w14:paraId="44387830" w14:textId="77777777" w:rsidR="00ED7922" w:rsidRPr="003920D7" w:rsidRDefault="00ED7922" w:rsidP="00ED7922">
      <w:pPr>
        <w:pStyle w:val="BodyTextMain"/>
        <w:rPr>
          <w:lang w:val="en-GB"/>
        </w:rPr>
      </w:pPr>
    </w:p>
    <w:p w14:paraId="4567A467" w14:textId="77777777" w:rsidR="00ED7922" w:rsidRPr="003920D7" w:rsidRDefault="00ED7922" w:rsidP="00ED7922">
      <w:pPr>
        <w:pStyle w:val="BodyTextMain"/>
        <w:rPr>
          <w:lang w:val="en-GB"/>
        </w:rPr>
      </w:pPr>
    </w:p>
    <w:p w14:paraId="6930ABD5" w14:textId="77777777" w:rsidR="00ED7922" w:rsidRPr="003920D7" w:rsidRDefault="00ED7922" w:rsidP="00ED7922">
      <w:pPr>
        <w:pStyle w:val="Casehead2"/>
        <w:rPr>
          <w:lang w:val="en-GB"/>
        </w:rPr>
      </w:pPr>
      <w:r w:rsidRPr="003920D7">
        <w:rPr>
          <w:lang w:val="en-GB"/>
        </w:rPr>
        <w:t>Strengths</w:t>
      </w:r>
    </w:p>
    <w:p w14:paraId="341ACA87" w14:textId="77777777" w:rsidR="00ED7922" w:rsidRPr="003920D7" w:rsidRDefault="00ED7922" w:rsidP="00ED7922">
      <w:pPr>
        <w:pStyle w:val="BodyTextMain"/>
        <w:rPr>
          <w:u w:val="single"/>
          <w:lang w:val="en-GB"/>
        </w:rPr>
      </w:pPr>
    </w:p>
    <w:p w14:paraId="0B3CF42E" w14:textId="4B9EAD65" w:rsidR="00ED7922" w:rsidRPr="003920D7" w:rsidRDefault="00ED7922" w:rsidP="00A676A0">
      <w:pPr>
        <w:pStyle w:val="BodyTextMain"/>
        <w:numPr>
          <w:ilvl w:val="0"/>
          <w:numId w:val="1"/>
        </w:numPr>
        <w:rPr>
          <w:lang w:val="en-GB"/>
        </w:rPr>
      </w:pPr>
      <w:r w:rsidRPr="003920D7">
        <w:rPr>
          <w:u w:val="single"/>
          <w:lang w:val="en-GB"/>
        </w:rPr>
        <w:t>Integration leading to cost savings</w:t>
      </w:r>
      <w:r w:rsidRPr="003920D7">
        <w:rPr>
          <w:lang w:val="en-GB"/>
        </w:rPr>
        <w:t xml:space="preserve">: The integration of </w:t>
      </w:r>
      <w:proofErr w:type="spellStart"/>
      <w:r w:rsidRPr="003920D7">
        <w:rPr>
          <w:lang w:val="en-GB"/>
        </w:rPr>
        <w:t>Stelco’s</w:t>
      </w:r>
      <w:proofErr w:type="spellEnd"/>
      <w:r w:rsidRPr="003920D7">
        <w:rPr>
          <w:lang w:val="en-GB"/>
        </w:rPr>
        <w:t xml:space="preserve"> operations </w:t>
      </w:r>
      <w:r w:rsidR="00ED17FE">
        <w:rPr>
          <w:lang w:val="en-GB"/>
        </w:rPr>
        <w:t xml:space="preserve">(i.e., </w:t>
      </w:r>
      <w:proofErr w:type="spellStart"/>
      <w:r w:rsidR="00ED17FE">
        <w:rPr>
          <w:lang w:val="en-GB"/>
        </w:rPr>
        <w:t>Stelco</w:t>
      </w:r>
      <w:proofErr w:type="spellEnd"/>
      <w:r w:rsidR="00ED17FE">
        <w:rPr>
          <w:lang w:val="en-GB"/>
        </w:rPr>
        <w:t xml:space="preserve"> </w:t>
      </w:r>
      <w:r w:rsidRPr="003920D7">
        <w:rPr>
          <w:lang w:val="en-GB"/>
        </w:rPr>
        <w:t xml:space="preserve">Hamilton </w:t>
      </w:r>
      <w:r w:rsidR="00ED17FE">
        <w:rPr>
          <w:lang w:val="en-GB"/>
        </w:rPr>
        <w:t xml:space="preserve">Works </w:t>
      </w:r>
      <w:r w:rsidRPr="003920D7">
        <w:rPr>
          <w:lang w:val="en-GB"/>
        </w:rPr>
        <w:t xml:space="preserve">and </w:t>
      </w:r>
      <w:proofErr w:type="spellStart"/>
      <w:r w:rsidR="00ED17FE">
        <w:rPr>
          <w:lang w:val="en-GB"/>
        </w:rPr>
        <w:t>Stelco</w:t>
      </w:r>
      <w:proofErr w:type="spellEnd"/>
      <w:r w:rsidR="00ED17FE">
        <w:rPr>
          <w:lang w:val="en-GB"/>
        </w:rPr>
        <w:t xml:space="preserve"> </w:t>
      </w:r>
      <w:r w:rsidRPr="003920D7">
        <w:rPr>
          <w:lang w:val="en-GB"/>
        </w:rPr>
        <w:t xml:space="preserve">Lake Erie </w:t>
      </w:r>
      <w:r w:rsidR="00ED17FE">
        <w:rPr>
          <w:lang w:val="en-GB"/>
        </w:rPr>
        <w:t xml:space="preserve">Works) </w:t>
      </w:r>
      <w:r w:rsidRPr="003920D7">
        <w:rPr>
          <w:lang w:val="en-GB"/>
        </w:rPr>
        <w:t xml:space="preserve">was expected to generate $6 million in annual cost reductions beginning in the fourth quarter of 2003. </w:t>
      </w:r>
      <w:proofErr w:type="spellStart"/>
      <w:r w:rsidRPr="003920D7">
        <w:rPr>
          <w:lang w:val="en-GB"/>
        </w:rPr>
        <w:t>Stelco’s</w:t>
      </w:r>
      <w:proofErr w:type="spellEnd"/>
      <w:r w:rsidRPr="003920D7">
        <w:rPr>
          <w:lang w:val="en-GB"/>
        </w:rPr>
        <w:t xml:space="preserve"> Lake Erie plant was reportedly among the lowest</w:t>
      </w:r>
      <w:r w:rsidR="00897DC6" w:rsidRPr="003920D7">
        <w:rPr>
          <w:lang w:val="en-GB"/>
        </w:rPr>
        <w:t>-</w:t>
      </w:r>
      <w:r w:rsidRPr="003920D7">
        <w:rPr>
          <w:lang w:val="en-GB"/>
        </w:rPr>
        <w:t>cost integrated steel producers in North America.</w:t>
      </w:r>
    </w:p>
    <w:p w14:paraId="3C704E78" w14:textId="1C6ACCD7" w:rsidR="00ED7922" w:rsidRPr="003920D7" w:rsidRDefault="00ED7922" w:rsidP="00A676A0">
      <w:pPr>
        <w:pStyle w:val="BodyTextMain"/>
        <w:numPr>
          <w:ilvl w:val="0"/>
          <w:numId w:val="1"/>
        </w:numPr>
        <w:rPr>
          <w:lang w:val="en-GB"/>
        </w:rPr>
      </w:pPr>
      <w:r w:rsidRPr="003920D7">
        <w:rPr>
          <w:u w:val="single"/>
          <w:lang w:val="en-GB"/>
        </w:rPr>
        <w:t>Divestitures to reduce debt</w:t>
      </w:r>
      <w:r w:rsidRPr="003920D7">
        <w:rPr>
          <w:lang w:val="en-GB"/>
        </w:rPr>
        <w:t xml:space="preserve">: During the most recent analyst conference call, </w:t>
      </w:r>
      <w:proofErr w:type="spellStart"/>
      <w:r w:rsidRPr="003920D7">
        <w:rPr>
          <w:lang w:val="en-GB"/>
        </w:rPr>
        <w:t>Stelco</w:t>
      </w:r>
      <w:proofErr w:type="spellEnd"/>
      <w:r w:rsidRPr="003920D7">
        <w:rPr>
          <w:lang w:val="en-GB"/>
        </w:rPr>
        <w:t xml:space="preserve"> management had disclosed they were examining divestitures to de-lever the balance sheet and refocus on core operations. The sale of </w:t>
      </w:r>
      <w:proofErr w:type="spellStart"/>
      <w:r w:rsidRPr="003920D7">
        <w:rPr>
          <w:lang w:val="en-GB"/>
        </w:rPr>
        <w:t>AltaSteel</w:t>
      </w:r>
      <w:proofErr w:type="spellEnd"/>
      <w:r w:rsidRPr="003920D7">
        <w:rPr>
          <w:lang w:val="en-GB"/>
        </w:rPr>
        <w:t xml:space="preserve"> Ltd</w:t>
      </w:r>
      <w:r w:rsidR="00897DC6" w:rsidRPr="003920D7">
        <w:rPr>
          <w:lang w:val="en-GB"/>
        </w:rPr>
        <w:t>.</w:t>
      </w:r>
      <w:r w:rsidRPr="003920D7">
        <w:rPr>
          <w:lang w:val="en-GB"/>
        </w:rPr>
        <w:t xml:space="preserve"> was being actively pursued. According to management’s disclosure, </w:t>
      </w:r>
      <w:proofErr w:type="spellStart"/>
      <w:r w:rsidRPr="003920D7">
        <w:rPr>
          <w:lang w:val="en-GB"/>
        </w:rPr>
        <w:t>AltaSteel</w:t>
      </w:r>
      <w:proofErr w:type="spellEnd"/>
      <w:r w:rsidR="00897DC6" w:rsidRPr="003920D7">
        <w:rPr>
          <w:lang w:val="en-GB"/>
        </w:rPr>
        <w:t xml:space="preserve"> Ltd.</w:t>
      </w:r>
      <w:r w:rsidRPr="003920D7">
        <w:rPr>
          <w:lang w:val="en-GB"/>
        </w:rPr>
        <w:t xml:space="preserve"> generated annual EBITDA of $20</w:t>
      </w:r>
      <w:r w:rsidR="000076E5" w:rsidRPr="003920D7">
        <w:rPr>
          <w:lang w:val="en-GB"/>
        </w:rPr>
        <w:t xml:space="preserve"> million</w:t>
      </w:r>
      <w:r w:rsidR="00897DC6" w:rsidRPr="003920D7">
        <w:rPr>
          <w:lang w:val="en-GB"/>
        </w:rPr>
        <w:t>–</w:t>
      </w:r>
      <w:r w:rsidRPr="003920D7">
        <w:rPr>
          <w:lang w:val="en-GB"/>
        </w:rPr>
        <w:t>$25 million and carried debt of $30 million.</w:t>
      </w:r>
    </w:p>
    <w:p w14:paraId="3B7F2F8E" w14:textId="53FA0AC9" w:rsidR="00ED7922" w:rsidRPr="003920D7" w:rsidRDefault="00ED7922" w:rsidP="00A676A0">
      <w:pPr>
        <w:pStyle w:val="BodyTextMain"/>
        <w:numPr>
          <w:ilvl w:val="0"/>
          <w:numId w:val="1"/>
        </w:numPr>
        <w:rPr>
          <w:lang w:val="en-GB"/>
        </w:rPr>
      </w:pPr>
      <w:r w:rsidRPr="003920D7">
        <w:rPr>
          <w:u w:val="single"/>
          <w:lang w:val="en-GB"/>
        </w:rPr>
        <w:t>Positive outlook for</w:t>
      </w:r>
      <w:r w:rsidR="00897DC6" w:rsidRPr="003920D7">
        <w:rPr>
          <w:u w:val="single"/>
          <w:lang w:val="en-GB"/>
        </w:rPr>
        <w:t xml:space="preserve"> the</w:t>
      </w:r>
      <w:r w:rsidRPr="003920D7">
        <w:rPr>
          <w:u w:val="single"/>
          <w:lang w:val="en-GB"/>
        </w:rPr>
        <w:t xml:space="preserve"> auto sector</w:t>
      </w:r>
      <w:r w:rsidRPr="003920D7">
        <w:rPr>
          <w:lang w:val="en-GB"/>
        </w:rPr>
        <w:t xml:space="preserve">: </w:t>
      </w:r>
      <w:proofErr w:type="spellStart"/>
      <w:r w:rsidRPr="003920D7">
        <w:rPr>
          <w:lang w:val="en-GB"/>
        </w:rPr>
        <w:t>Stelco</w:t>
      </w:r>
      <w:proofErr w:type="spellEnd"/>
      <w:r w:rsidRPr="003920D7">
        <w:rPr>
          <w:lang w:val="en-GB"/>
        </w:rPr>
        <w:t xml:space="preserve"> was a major supplier of steel to the auto sector, accounting for 36 per cent of </w:t>
      </w:r>
      <w:proofErr w:type="spellStart"/>
      <w:r w:rsidRPr="003920D7">
        <w:rPr>
          <w:lang w:val="en-GB"/>
        </w:rPr>
        <w:t>Stelco’s</w:t>
      </w:r>
      <w:proofErr w:type="spellEnd"/>
      <w:r w:rsidRPr="003920D7">
        <w:rPr>
          <w:lang w:val="en-GB"/>
        </w:rPr>
        <w:t xml:space="preserve"> sales. The outlook for this industry was stable, and the potential relocation of foreign auto companies to Ontario might increase demand for </w:t>
      </w:r>
      <w:proofErr w:type="spellStart"/>
      <w:r w:rsidRPr="003920D7">
        <w:rPr>
          <w:lang w:val="en-GB"/>
        </w:rPr>
        <w:t>Stelco’s</w:t>
      </w:r>
      <w:proofErr w:type="spellEnd"/>
      <w:r w:rsidRPr="003920D7">
        <w:rPr>
          <w:lang w:val="en-GB"/>
        </w:rPr>
        <w:t xml:space="preserve"> products. </w:t>
      </w:r>
      <w:proofErr w:type="spellStart"/>
      <w:r w:rsidRPr="003920D7">
        <w:rPr>
          <w:lang w:val="en-GB"/>
        </w:rPr>
        <w:t>Stelco</w:t>
      </w:r>
      <w:proofErr w:type="spellEnd"/>
      <w:r w:rsidRPr="003920D7">
        <w:rPr>
          <w:lang w:val="en-GB"/>
        </w:rPr>
        <w:t xml:space="preserve"> also had a joint partnership with JFE Steel Corporation of Japan to develop automotive sheet steel, which was favo</w:t>
      </w:r>
      <w:r w:rsidR="00ED17FE">
        <w:rPr>
          <w:lang w:val="en-GB"/>
        </w:rPr>
        <w:t>u</w:t>
      </w:r>
      <w:r w:rsidRPr="003920D7">
        <w:rPr>
          <w:lang w:val="en-GB"/>
        </w:rPr>
        <w:t xml:space="preserve">rable for sales to this sector. </w:t>
      </w:r>
    </w:p>
    <w:p w14:paraId="19502BE3" w14:textId="216EE352" w:rsidR="00ED7922" w:rsidRPr="003920D7" w:rsidRDefault="00ED7922" w:rsidP="00A676A0">
      <w:pPr>
        <w:pStyle w:val="BodyTextMain"/>
        <w:numPr>
          <w:ilvl w:val="0"/>
          <w:numId w:val="1"/>
        </w:numPr>
        <w:rPr>
          <w:lang w:val="en-GB"/>
        </w:rPr>
      </w:pPr>
      <w:r w:rsidRPr="003920D7">
        <w:rPr>
          <w:u w:val="single"/>
          <w:lang w:val="en-GB"/>
        </w:rPr>
        <w:t xml:space="preserve">Maintenance </w:t>
      </w:r>
      <w:r w:rsidR="00DF64C3" w:rsidRPr="003920D7">
        <w:rPr>
          <w:u w:val="single"/>
          <w:lang w:val="en-GB"/>
        </w:rPr>
        <w:t>capital expenditures (</w:t>
      </w:r>
      <w:r w:rsidRPr="003920D7">
        <w:rPr>
          <w:u w:val="single"/>
          <w:lang w:val="en-GB"/>
        </w:rPr>
        <w:t>CAPEX</w:t>
      </w:r>
      <w:r w:rsidR="00DF64C3" w:rsidRPr="003920D7">
        <w:rPr>
          <w:u w:val="single"/>
          <w:lang w:val="en-GB"/>
        </w:rPr>
        <w:t>)</w:t>
      </w:r>
      <w:r w:rsidRPr="003920D7">
        <w:rPr>
          <w:u w:val="single"/>
          <w:lang w:val="en-GB"/>
        </w:rPr>
        <w:t xml:space="preserve"> covered</w:t>
      </w:r>
      <w:r w:rsidRPr="003920D7">
        <w:rPr>
          <w:lang w:val="en-GB"/>
        </w:rPr>
        <w:t xml:space="preserve">: While </w:t>
      </w:r>
      <w:r w:rsidR="00ED17FE">
        <w:rPr>
          <w:lang w:val="en-GB"/>
        </w:rPr>
        <w:t xml:space="preserve">the </w:t>
      </w:r>
      <w:r w:rsidRPr="003920D7">
        <w:rPr>
          <w:lang w:val="en-GB"/>
        </w:rPr>
        <w:t xml:space="preserve">maintenance CAPEX was </w:t>
      </w:r>
      <w:r w:rsidR="00ED17FE">
        <w:rPr>
          <w:lang w:val="en-GB"/>
        </w:rPr>
        <w:t>difficult</w:t>
      </w:r>
      <w:r w:rsidR="00ED17FE" w:rsidRPr="003920D7">
        <w:rPr>
          <w:lang w:val="en-GB"/>
        </w:rPr>
        <w:t xml:space="preserve"> </w:t>
      </w:r>
      <w:r w:rsidRPr="003920D7">
        <w:rPr>
          <w:lang w:val="en-GB"/>
        </w:rPr>
        <w:t xml:space="preserve">to determine, </w:t>
      </w:r>
      <w:proofErr w:type="spellStart"/>
      <w:r w:rsidRPr="003920D7">
        <w:rPr>
          <w:lang w:val="en-GB"/>
        </w:rPr>
        <w:t>Stelco’s</w:t>
      </w:r>
      <w:proofErr w:type="spellEnd"/>
      <w:r w:rsidRPr="003920D7">
        <w:rPr>
          <w:lang w:val="en-GB"/>
        </w:rPr>
        <w:t xml:space="preserve"> management claimed </w:t>
      </w:r>
      <w:r w:rsidR="00DF64C3" w:rsidRPr="003920D7">
        <w:rPr>
          <w:lang w:val="en-GB"/>
        </w:rPr>
        <w:t xml:space="preserve">that </w:t>
      </w:r>
      <w:r w:rsidRPr="003920D7">
        <w:rPr>
          <w:lang w:val="en-GB"/>
        </w:rPr>
        <w:t xml:space="preserve">CAPEX over the past five years had been sufficient to cover maintenance for the coming two years. </w:t>
      </w:r>
    </w:p>
    <w:p w14:paraId="33B05A04" w14:textId="4879B6AF" w:rsidR="00ED7922" w:rsidRPr="003920D7" w:rsidRDefault="00ED7922" w:rsidP="00A676A0">
      <w:pPr>
        <w:pStyle w:val="BodyTextMain"/>
        <w:numPr>
          <w:ilvl w:val="0"/>
          <w:numId w:val="1"/>
        </w:numPr>
        <w:rPr>
          <w:lang w:val="en-GB"/>
        </w:rPr>
      </w:pPr>
      <w:r w:rsidRPr="003920D7">
        <w:rPr>
          <w:u w:val="single"/>
          <w:lang w:val="en-GB"/>
        </w:rPr>
        <w:t>Increase in cost-efficiency and productivity</w:t>
      </w:r>
      <w:r w:rsidRPr="003920D7">
        <w:rPr>
          <w:lang w:val="en-GB"/>
        </w:rPr>
        <w:t xml:space="preserve">: Over the past five years, </w:t>
      </w:r>
      <w:proofErr w:type="spellStart"/>
      <w:r w:rsidRPr="003920D7">
        <w:rPr>
          <w:lang w:val="en-GB"/>
        </w:rPr>
        <w:t>Stelco</w:t>
      </w:r>
      <w:proofErr w:type="spellEnd"/>
      <w:r w:rsidRPr="003920D7">
        <w:rPr>
          <w:lang w:val="en-GB"/>
        </w:rPr>
        <w:t xml:space="preserve"> had reduced its steel production costs by $45 per ton by investing $850 million in upgrades, primarily at </w:t>
      </w:r>
      <w:proofErr w:type="spellStart"/>
      <w:r w:rsidRPr="003920D7">
        <w:rPr>
          <w:lang w:val="en-GB"/>
        </w:rPr>
        <w:t>Stelco</w:t>
      </w:r>
      <w:proofErr w:type="spellEnd"/>
      <w:r w:rsidRPr="003920D7">
        <w:rPr>
          <w:lang w:val="en-GB"/>
        </w:rPr>
        <w:t xml:space="preserve"> Hamilton </w:t>
      </w:r>
      <w:r w:rsidR="00ED17FE">
        <w:rPr>
          <w:lang w:val="en-GB"/>
        </w:rPr>
        <w:t xml:space="preserve">Works </w:t>
      </w:r>
      <w:r w:rsidRPr="003920D7">
        <w:rPr>
          <w:lang w:val="en-GB"/>
        </w:rPr>
        <w:t xml:space="preserve">and </w:t>
      </w:r>
      <w:proofErr w:type="spellStart"/>
      <w:r w:rsidRPr="003920D7">
        <w:rPr>
          <w:lang w:val="en-GB"/>
        </w:rPr>
        <w:t>Stelco</w:t>
      </w:r>
      <w:proofErr w:type="spellEnd"/>
      <w:r w:rsidRPr="003920D7">
        <w:rPr>
          <w:lang w:val="en-GB"/>
        </w:rPr>
        <w:t xml:space="preserve"> Lake Erie</w:t>
      </w:r>
      <w:r w:rsidR="00ED17FE">
        <w:rPr>
          <w:lang w:val="en-GB"/>
        </w:rPr>
        <w:t xml:space="preserve"> Works</w:t>
      </w:r>
      <w:r w:rsidRPr="003920D7">
        <w:rPr>
          <w:lang w:val="en-GB"/>
        </w:rPr>
        <w:t xml:space="preserve">. Between 1994 and 2002, </w:t>
      </w:r>
      <w:proofErr w:type="spellStart"/>
      <w:r w:rsidRPr="003920D7">
        <w:rPr>
          <w:lang w:val="en-GB"/>
        </w:rPr>
        <w:t>Stelco’s</w:t>
      </w:r>
      <w:proofErr w:type="spellEnd"/>
      <w:r w:rsidRPr="003920D7">
        <w:rPr>
          <w:lang w:val="en-GB"/>
        </w:rPr>
        <w:t xml:space="preserve"> workforce declined by 25 per cent to the current 8,890 employees. As a result, </w:t>
      </w:r>
      <w:r w:rsidR="00DF64C3" w:rsidRPr="003920D7">
        <w:rPr>
          <w:lang w:val="en-GB"/>
        </w:rPr>
        <w:t xml:space="preserve">the </w:t>
      </w:r>
      <w:r w:rsidRPr="003920D7">
        <w:rPr>
          <w:lang w:val="en-GB"/>
        </w:rPr>
        <w:t xml:space="preserve">tons of steel produced per average employee increased by 41 per cent over this period to 579 tons in 2002. </w:t>
      </w:r>
      <w:proofErr w:type="spellStart"/>
      <w:r w:rsidRPr="003920D7">
        <w:rPr>
          <w:lang w:val="en-GB"/>
        </w:rPr>
        <w:t>Stelco’s</w:t>
      </w:r>
      <w:proofErr w:type="spellEnd"/>
      <w:r w:rsidRPr="003920D7">
        <w:rPr>
          <w:lang w:val="en-GB"/>
        </w:rPr>
        <w:t xml:space="preserve"> Lake Erie facility was one of the lowest</w:t>
      </w:r>
      <w:r w:rsidR="00DF64C3" w:rsidRPr="003920D7">
        <w:rPr>
          <w:lang w:val="en-GB"/>
        </w:rPr>
        <w:t>-</w:t>
      </w:r>
      <w:r w:rsidRPr="003920D7">
        <w:rPr>
          <w:lang w:val="en-GB"/>
        </w:rPr>
        <w:t>cost integrated steel producers in the industry.</w:t>
      </w:r>
    </w:p>
    <w:p w14:paraId="0F7A07EC" w14:textId="0E7DF119" w:rsidR="00ED7922" w:rsidRPr="003920D7" w:rsidRDefault="00ED7922" w:rsidP="00A676A0">
      <w:pPr>
        <w:pStyle w:val="BodyTextMain"/>
        <w:numPr>
          <w:ilvl w:val="0"/>
          <w:numId w:val="1"/>
        </w:numPr>
        <w:rPr>
          <w:spacing w:val="2"/>
          <w:lang w:val="en-GB"/>
        </w:rPr>
      </w:pPr>
      <w:r w:rsidRPr="003920D7">
        <w:rPr>
          <w:spacing w:val="2"/>
          <w:u w:val="single"/>
          <w:lang w:val="en-GB"/>
        </w:rPr>
        <w:t>Access to low-cost scrap metal and iron ore</w:t>
      </w:r>
      <w:r w:rsidRPr="003920D7">
        <w:rPr>
          <w:spacing w:val="2"/>
          <w:lang w:val="en-GB"/>
        </w:rPr>
        <w:t xml:space="preserve">: </w:t>
      </w:r>
      <w:proofErr w:type="spellStart"/>
      <w:r w:rsidRPr="003920D7">
        <w:rPr>
          <w:spacing w:val="2"/>
          <w:lang w:val="en-GB"/>
        </w:rPr>
        <w:t>Stelco</w:t>
      </w:r>
      <w:proofErr w:type="spellEnd"/>
      <w:r w:rsidRPr="003920D7">
        <w:rPr>
          <w:spacing w:val="2"/>
          <w:lang w:val="en-GB"/>
        </w:rPr>
        <w:t xml:space="preserve"> satisfied some of its scrap demand through its 50 per cent ownership of </w:t>
      </w:r>
      <w:proofErr w:type="spellStart"/>
      <w:r w:rsidRPr="003920D7">
        <w:rPr>
          <w:spacing w:val="2"/>
          <w:lang w:val="en-GB"/>
        </w:rPr>
        <w:t>Fers</w:t>
      </w:r>
      <w:proofErr w:type="spellEnd"/>
      <w:r w:rsidRPr="003920D7">
        <w:rPr>
          <w:spacing w:val="2"/>
          <w:lang w:val="en-GB"/>
        </w:rPr>
        <w:t xml:space="preserve"> </w:t>
      </w:r>
      <w:proofErr w:type="gramStart"/>
      <w:r w:rsidRPr="003920D7">
        <w:rPr>
          <w:spacing w:val="2"/>
          <w:lang w:val="en-GB"/>
        </w:rPr>
        <w:t>et</w:t>
      </w:r>
      <w:proofErr w:type="gramEnd"/>
      <w:r w:rsidRPr="003920D7">
        <w:rPr>
          <w:spacing w:val="2"/>
          <w:lang w:val="en-GB"/>
        </w:rPr>
        <w:t xml:space="preserve"> </w:t>
      </w:r>
      <w:proofErr w:type="spellStart"/>
      <w:r w:rsidRPr="003920D7">
        <w:rPr>
          <w:spacing w:val="2"/>
          <w:lang w:val="en-GB"/>
        </w:rPr>
        <w:t>Métaux</w:t>
      </w:r>
      <w:proofErr w:type="spellEnd"/>
      <w:r w:rsidRPr="003920D7">
        <w:rPr>
          <w:spacing w:val="2"/>
          <w:lang w:val="en-GB"/>
        </w:rPr>
        <w:t xml:space="preserve"> </w:t>
      </w:r>
      <w:proofErr w:type="spellStart"/>
      <w:r w:rsidRPr="003920D7">
        <w:rPr>
          <w:spacing w:val="2"/>
          <w:lang w:val="en-GB"/>
        </w:rPr>
        <w:t>Recyclés</w:t>
      </w:r>
      <w:proofErr w:type="spellEnd"/>
      <w:r w:rsidRPr="003920D7">
        <w:rPr>
          <w:spacing w:val="2"/>
          <w:lang w:val="en-GB"/>
        </w:rPr>
        <w:t xml:space="preserve"> </w:t>
      </w:r>
      <w:proofErr w:type="spellStart"/>
      <w:r w:rsidRPr="003920D7">
        <w:rPr>
          <w:spacing w:val="2"/>
          <w:lang w:val="en-GB"/>
        </w:rPr>
        <w:t>Ltée</w:t>
      </w:r>
      <w:proofErr w:type="spellEnd"/>
      <w:r w:rsidR="00D252A3" w:rsidRPr="003920D7">
        <w:rPr>
          <w:spacing w:val="2"/>
          <w:lang w:val="en-GB"/>
        </w:rPr>
        <w:t>.</w:t>
      </w:r>
      <w:r w:rsidRPr="003920D7">
        <w:rPr>
          <w:spacing w:val="2"/>
          <w:lang w:val="en-GB"/>
        </w:rPr>
        <w:t xml:space="preserve">, a processor of ferrous and non-ferrous scrap metal. This supply provided a hedge against increasing scrap prices. </w:t>
      </w:r>
      <w:proofErr w:type="spellStart"/>
      <w:r w:rsidRPr="003920D7">
        <w:rPr>
          <w:spacing w:val="2"/>
          <w:lang w:val="en-GB"/>
        </w:rPr>
        <w:t>Stelco</w:t>
      </w:r>
      <w:proofErr w:type="spellEnd"/>
      <w:r w:rsidRPr="003920D7">
        <w:rPr>
          <w:spacing w:val="2"/>
          <w:lang w:val="en-GB"/>
        </w:rPr>
        <w:t xml:space="preserve"> also owned interests in iron ore properties that provided 80 per cent of </w:t>
      </w:r>
      <w:proofErr w:type="spellStart"/>
      <w:r w:rsidRPr="003920D7">
        <w:rPr>
          <w:spacing w:val="2"/>
          <w:lang w:val="en-GB"/>
        </w:rPr>
        <w:t>Stelco’s</w:t>
      </w:r>
      <w:proofErr w:type="spellEnd"/>
      <w:r w:rsidRPr="003920D7">
        <w:rPr>
          <w:spacing w:val="2"/>
          <w:lang w:val="en-GB"/>
        </w:rPr>
        <w:t xml:space="preserve"> annual needs</w:t>
      </w:r>
      <w:r w:rsidR="00DF64C3" w:rsidRPr="003920D7">
        <w:rPr>
          <w:spacing w:val="2"/>
          <w:lang w:val="en-GB"/>
        </w:rPr>
        <w:t>,</w:t>
      </w:r>
      <w:r w:rsidRPr="003920D7">
        <w:rPr>
          <w:spacing w:val="2"/>
          <w:lang w:val="en-GB"/>
        </w:rPr>
        <w:t xml:space="preserve"> with probable reserves in excess of 25 years.</w:t>
      </w:r>
    </w:p>
    <w:p w14:paraId="02D85EFC" w14:textId="77777777" w:rsidR="00ED7922" w:rsidRPr="003920D7" w:rsidRDefault="00ED7922" w:rsidP="00ED7922">
      <w:pPr>
        <w:pStyle w:val="BodyTextMain"/>
        <w:rPr>
          <w:lang w:val="en-GB"/>
        </w:rPr>
      </w:pPr>
    </w:p>
    <w:p w14:paraId="41C09707" w14:textId="77777777" w:rsidR="00ED7922" w:rsidRPr="003920D7" w:rsidRDefault="00ED7922" w:rsidP="00ED7922">
      <w:pPr>
        <w:pStyle w:val="BodyTextMain"/>
        <w:rPr>
          <w:lang w:val="en-GB"/>
        </w:rPr>
      </w:pPr>
    </w:p>
    <w:p w14:paraId="578EB29D" w14:textId="77777777" w:rsidR="00ED7922" w:rsidRPr="003920D7" w:rsidRDefault="00ED7922" w:rsidP="00ED7922">
      <w:pPr>
        <w:pStyle w:val="Casehead2"/>
        <w:rPr>
          <w:bCs/>
          <w:lang w:val="en-GB"/>
        </w:rPr>
      </w:pPr>
      <w:r w:rsidRPr="003920D7">
        <w:rPr>
          <w:lang w:val="en-GB"/>
        </w:rPr>
        <w:t>Weaknesses</w:t>
      </w:r>
    </w:p>
    <w:p w14:paraId="146ECB34" w14:textId="77777777" w:rsidR="00ED7922" w:rsidRPr="003920D7" w:rsidRDefault="00ED7922" w:rsidP="00ED7922">
      <w:pPr>
        <w:pStyle w:val="BodyTextMain"/>
        <w:rPr>
          <w:u w:val="single"/>
          <w:lang w:val="en-GB"/>
        </w:rPr>
      </w:pPr>
    </w:p>
    <w:p w14:paraId="18670EA0" w14:textId="4D064520" w:rsidR="00ED7922" w:rsidRPr="003920D7" w:rsidRDefault="00ED7922" w:rsidP="00A676A0">
      <w:pPr>
        <w:pStyle w:val="BodyTextMain"/>
        <w:numPr>
          <w:ilvl w:val="0"/>
          <w:numId w:val="2"/>
        </w:numPr>
        <w:rPr>
          <w:spacing w:val="-2"/>
          <w:lang w:val="en-GB"/>
        </w:rPr>
      </w:pPr>
      <w:r w:rsidRPr="003920D7">
        <w:rPr>
          <w:spacing w:val="-2"/>
          <w:u w:val="single"/>
          <w:lang w:val="en-GB"/>
        </w:rPr>
        <w:t>Exposure to industry cyclicality and volatile steel prices</w:t>
      </w:r>
      <w:r w:rsidRPr="003920D7">
        <w:rPr>
          <w:spacing w:val="-2"/>
          <w:lang w:val="en-GB"/>
        </w:rPr>
        <w:t>: Steel production required substantial amounts of raw materials and energy</w:t>
      </w:r>
      <w:r w:rsidR="00ED17FE">
        <w:rPr>
          <w:spacing w:val="-2"/>
          <w:lang w:val="en-GB"/>
        </w:rPr>
        <w:t>,</w:t>
      </w:r>
      <w:r w:rsidRPr="003920D7">
        <w:rPr>
          <w:spacing w:val="-2"/>
          <w:lang w:val="en-GB"/>
        </w:rPr>
        <w:t xml:space="preserve"> including coal, iron ore, coke, scrap, natural gas</w:t>
      </w:r>
      <w:r w:rsidR="00DF64C3" w:rsidRPr="003920D7">
        <w:rPr>
          <w:spacing w:val="-2"/>
          <w:lang w:val="en-GB"/>
        </w:rPr>
        <w:t>,</w:t>
      </w:r>
      <w:r w:rsidRPr="003920D7">
        <w:rPr>
          <w:spacing w:val="-2"/>
          <w:lang w:val="en-GB"/>
        </w:rPr>
        <w:t xml:space="preserve"> and electricity. These costs were set in world markets, and fluctuated based on economic conditions. </w:t>
      </w:r>
      <w:proofErr w:type="spellStart"/>
      <w:r w:rsidRPr="003920D7">
        <w:rPr>
          <w:spacing w:val="-2"/>
          <w:lang w:val="en-GB"/>
        </w:rPr>
        <w:t>Stelco</w:t>
      </w:r>
      <w:proofErr w:type="spellEnd"/>
      <w:r w:rsidRPr="003920D7">
        <w:rPr>
          <w:spacing w:val="-2"/>
          <w:lang w:val="en-GB"/>
        </w:rPr>
        <w:t xml:space="preserve"> was particularly exposed to cyclical spot steel prices; only 50 per cent of </w:t>
      </w:r>
      <w:proofErr w:type="spellStart"/>
      <w:r w:rsidRPr="003920D7">
        <w:rPr>
          <w:spacing w:val="-2"/>
          <w:lang w:val="en-GB"/>
        </w:rPr>
        <w:t>Stelco’s</w:t>
      </w:r>
      <w:proofErr w:type="spellEnd"/>
      <w:r w:rsidRPr="003920D7">
        <w:rPr>
          <w:spacing w:val="-2"/>
          <w:lang w:val="en-GB"/>
        </w:rPr>
        <w:t xml:space="preserve"> sales were hedged using forward contracts. </w:t>
      </w:r>
    </w:p>
    <w:p w14:paraId="44A8BE95" w14:textId="3702B61F" w:rsidR="00ED7922" w:rsidRPr="003920D7" w:rsidRDefault="00ED7922" w:rsidP="00A676A0">
      <w:pPr>
        <w:pStyle w:val="BodyTextMain"/>
        <w:numPr>
          <w:ilvl w:val="0"/>
          <w:numId w:val="2"/>
        </w:numPr>
        <w:rPr>
          <w:spacing w:val="-2"/>
          <w:lang w:val="en-GB"/>
        </w:rPr>
      </w:pPr>
      <w:r w:rsidRPr="003920D7">
        <w:rPr>
          <w:spacing w:val="-2"/>
          <w:u w:val="single"/>
          <w:lang w:val="en-GB"/>
        </w:rPr>
        <w:lastRenderedPageBreak/>
        <w:t>Exposure to currency fluctuations</w:t>
      </w:r>
      <w:r w:rsidRPr="003920D7">
        <w:rPr>
          <w:spacing w:val="-2"/>
          <w:lang w:val="en-GB"/>
        </w:rPr>
        <w:t>: Being a Canadian-headquartered company, movements in the CAD v</w:t>
      </w:r>
      <w:r w:rsidR="00DF64C3" w:rsidRPr="003920D7">
        <w:rPr>
          <w:spacing w:val="-2"/>
          <w:lang w:val="en-GB"/>
        </w:rPr>
        <w:t>ersu</w:t>
      </w:r>
      <w:r w:rsidRPr="003920D7">
        <w:rPr>
          <w:spacing w:val="-2"/>
          <w:lang w:val="en-GB"/>
        </w:rPr>
        <w:t xml:space="preserve">s the USD affected </w:t>
      </w:r>
      <w:proofErr w:type="spellStart"/>
      <w:r w:rsidRPr="003920D7">
        <w:rPr>
          <w:spacing w:val="-2"/>
          <w:lang w:val="en-GB"/>
        </w:rPr>
        <w:t>Stelco’s</w:t>
      </w:r>
      <w:proofErr w:type="spellEnd"/>
      <w:r w:rsidRPr="003920D7">
        <w:rPr>
          <w:spacing w:val="-2"/>
          <w:lang w:val="en-GB"/>
        </w:rPr>
        <w:t xml:space="preserve"> business. Overall</w:t>
      </w:r>
      <w:r w:rsidR="00DF64C3" w:rsidRPr="003920D7">
        <w:rPr>
          <w:spacing w:val="-2"/>
          <w:lang w:val="en-GB"/>
        </w:rPr>
        <w:t>,</w:t>
      </w:r>
      <w:r w:rsidRPr="003920D7">
        <w:rPr>
          <w:spacing w:val="-2"/>
          <w:lang w:val="en-GB"/>
        </w:rPr>
        <w:t xml:space="preserve"> </w:t>
      </w:r>
      <w:proofErr w:type="spellStart"/>
      <w:r w:rsidRPr="003920D7">
        <w:rPr>
          <w:spacing w:val="-2"/>
          <w:lang w:val="en-GB"/>
        </w:rPr>
        <w:t>Stelco’s</w:t>
      </w:r>
      <w:proofErr w:type="spellEnd"/>
      <w:r w:rsidRPr="003920D7">
        <w:rPr>
          <w:spacing w:val="-2"/>
          <w:lang w:val="en-GB"/>
        </w:rPr>
        <w:t xml:space="preserve"> USD costs exceeded its USD sales, making </w:t>
      </w:r>
      <w:proofErr w:type="spellStart"/>
      <w:r w:rsidRPr="003920D7">
        <w:rPr>
          <w:spacing w:val="-2"/>
          <w:lang w:val="en-GB"/>
        </w:rPr>
        <w:t>Stelco</w:t>
      </w:r>
      <w:proofErr w:type="spellEnd"/>
      <w:r w:rsidRPr="003920D7">
        <w:rPr>
          <w:spacing w:val="-2"/>
          <w:lang w:val="en-GB"/>
        </w:rPr>
        <w:t xml:space="preserve"> a net purchaser of an average of US</w:t>
      </w:r>
      <w:r w:rsidR="00DF64C3" w:rsidRPr="003920D7">
        <w:rPr>
          <w:spacing w:val="-2"/>
          <w:lang w:val="en-GB"/>
        </w:rPr>
        <w:t>$</w:t>
      </w:r>
      <w:r w:rsidRPr="003920D7">
        <w:rPr>
          <w:spacing w:val="-2"/>
          <w:lang w:val="en-GB"/>
        </w:rPr>
        <w:t xml:space="preserve">175 million per </w:t>
      </w:r>
      <w:r w:rsidR="00DF64C3" w:rsidRPr="003920D7">
        <w:rPr>
          <w:spacing w:val="-2"/>
          <w:lang w:val="en-GB"/>
        </w:rPr>
        <w:t>year</w:t>
      </w:r>
      <w:r w:rsidRPr="003920D7">
        <w:rPr>
          <w:spacing w:val="-2"/>
          <w:lang w:val="en-GB"/>
        </w:rPr>
        <w:t xml:space="preserve">. On the revenue side, approximately half of </w:t>
      </w:r>
      <w:proofErr w:type="spellStart"/>
      <w:r w:rsidRPr="003920D7">
        <w:rPr>
          <w:spacing w:val="-2"/>
          <w:lang w:val="en-GB"/>
        </w:rPr>
        <w:t>Stelco’s</w:t>
      </w:r>
      <w:proofErr w:type="spellEnd"/>
      <w:r w:rsidRPr="003920D7">
        <w:rPr>
          <w:spacing w:val="-2"/>
          <w:lang w:val="en-GB"/>
        </w:rPr>
        <w:t xml:space="preserve"> sales were priced based on spot steel prices set in USD. During its most recent conference call</w:t>
      </w:r>
      <w:r w:rsidR="002F6218" w:rsidRPr="003920D7">
        <w:rPr>
          <w:spacing w:val="-2"/>
          <w:lang w:val="en-GB"/>
        </w:rPr>
        <w:t>,</w:t>
      </w:r>
      <w:r w:rsidRPr="003920D7">
        <w:rPr>
          <w:spacing w:val="-2"/>
          <w:lang w:val="en-GB"/>
        </w:rPr>
        <w:t xml:space="preserve"> </w:t>
      </w:r>
      <w:proofErr w:type="spellStart"/>
      <w:r w:rsidRPr="003920D7">
        <w:rPr>
          <w:spacing w:val="-2"/>
          <w:lang w:val="en-GB"/>
        </w:rPr>
        <w:t>Stelco</w:t>
      </w:r>
      <w:proofErr w:type="spellEnd"/>
      <w:r w:rsidRPr="003920D7">
        <w:rPr>
          <w:spacing w:val="-2"/>
          <w:lang w:val="en-GB"/>
        </w:rPr>
        <w:t xml:space="preserve"> stated that the company did not use foreign exchange contracts to hedge sales. </w:t>
      </w:r>
    </w:p>
    <w:p w14:paraId="18A42549" w14:textId="6130EB0D" w:rsidR="00ED7922" w:rsidRPr="003920D7" w:rsidRDefault="00ED7922" w:rsidP="00A676A0">
      <w:pPr>
        <w:pStyle w:val="BodyTextMain"/>
        <w:numPr>
          <w:ilvl w:val="0"/>
          <w:numId w:val="2"/>
        </w:numPr>
        <w:rPr>
          <w:lang w:val="en-GB"/>
        </w:rPr>
      </w:pPr>
      <w:r w:rsidRPr="003920D7">
        <w:rPr>
          <w:u w:val="single"/>
          <w:lang w:val="en-GB"/>
        </w:rPr>
        <w:t>Rise of foreign steel imports</w:t>
      </w:r>
      <w:r w:rsidRPr="003920D7">
        <w:rPr>
          <w:lang w:val="en-GB"/>
        </w:rPr>
        <w:t>: On October 4, 2003</w:t>
      </w:r>
      <w:r w:rsidR="002F6218" w:rsidRPr="003920D7">
        <w:rPr>
          <w:lang w:val="en-GB"/>
        </w:rPr>
        <w:t>,</w:t>
      </w:r>
      <w:r w:rsidRPr="003920D7">
        <w:rPr>
          <w:lang w:val="en-GB"/>
        </w:rPr>
        <w:t xml:space="preserve"> the Canadian government announced its decision not to implement any safeguard tariffs on foreign steel imports, which had captured a 40 per cent domestic market share. </w:t>
      </w:r>
    </w:p>
    <w:p w14:paraId="6C371C1C" w14:textId="36137C48" w:rsidR="00ED7922" w:rsidRPr="003920D7" w:rsidRDefault="00ED7922" w:rsidP="00A676A0">
      <w:pPr>
        <w:pStyle w:val="BodyTextMain"/>
        <w:numPr>
          <w:ilvl w:val="0"/>
          <w:numId w:val="2"/>
        </w:numPr>
        <w:rPr>
          <w:lang w:val="en-GB"/>
        </w:rPr>
      </w:pPr>
      <w:r w:rsidRPr="003920D7">
        <w:rPr>
          <w:u w:val="single"/>
          <w:lang w:val="en-GB"/>
        </w:rPr>
        <w:t>Lower</w:t>
      </w:r>
      <w:r w:rsidR="00AE501D">
        <w:rPr>
          <w:u w:val="single"/>
          <w:lang w:val="en-GB"/>
        </w:rPr>
        <w:t>-</w:t>
      </w:r>
      <w:r w:rsidRPr="003920D7">
        <w:rPr>
          <w:u w:val="single"/>
          <w:lang w:val="en-GB"/>
        </w:rPr>
        <w:t>cost competitors</w:t>
      </w:r>
      <w:r w:rsidRPr="003920D7">
        <w:rPr>
          <w:lang w:val="en-GB"/>
        </w:rPr>
        <w:t>: In recent years, many North American steel companies exited bankruptcy with lower debt, labour costs, and retirement and environmental obligations.</w:t>
      </w:r>
      <w:r w:rsidRPr="003920D7">
        <w:rPr>
          <w:rStyle w:val="FootnoteReference"/>
          <w:lang w:val="en-GB"/>
        </w:rPr>
        <w:footnoteReference w:id="10"/>
      </w:r>
      <w:r w:rsidRPr="003920D7">
        <w:rPr>
          <w:lang w:val="en-GB"/>
        </w:rPr>
        <w:t xml:space="preserve"> These competitors were operating more efficiently, placing </w:t>
      </w:r>
      <w:proofErr w:type="spellStart"/>
      <w:r w:rsidRPr="003920D7">
        <w:rPr>
          <w:lang w:val="en-GB"/>
        </w:rPr>
        <w:t>Stelco</w:t>
      </w:r>
      <w:proofErr w:type="spellEnd"/>
      <w:r w:rsidRPr="003920D7">
        <w:rPr>
          <w:lang w:val="en-GB"/>
        </w:rPr>
        <w:t xml:space="preserve"> at an estimated per</w:t>
      </w:r>
      <w:r w:rsidR="002F6218" w:rsidRPr="003920D7">
        <w:rPr>
          <w:lang w:val="en-GB"/>
        </w:rPr>
        <w:t>-</w:t>
      </w:r>
      <w:r w:rsidRPr="003920D7">
        <w:rPr>
          <w:lang w:val="en-GB"/>
        </w:rPr>
        <w:t>ton cost disadvantage</w:t>
      </w:r>
      <w:r w:rsidR="006639E1" w:rsidRPr="003920D7">
        <w:rPr>
          <w:lang w:val="en-GB"/>
        </w:rPr>
        <w:t xml:space="preserve"> of US$40–US$60</w:t>
      </w:r>
      <w:r w:rsidRPr="003920D7">
        <w:rPr>
          <w:lang w:val="en-GB"/>
        </w:rPr>
        <w:t xml:space="preserve">. </w:t>
      </w:r>
    </w:p>
    <w:p w14:paraId="193E6006" w14:textId="2493B88A" w:rsidR="00ED7922" w:rsidRPr="003920D7" w:rsidRDefault="00ED7922" w:rsidP="00A676A0">
      <w:pPr>
        <w:pStyle w:val="BodyTextMain"/>
        <w:numPr>
          <w:ilvl w:val="0"/>
          <w:numId w:val="2"/>
        </w:numPr>
        <w:rPr>
          <w:lang w:val="en-GB"/>
        </w:rPr>
      </w:pPr>
      <w:r w:rsidRPr="003920D7">
        <w:rPr>
          <w:u w:val="single"/>
          <w:lang w:val="en-GB"/>
        </w:rPr>
        <w:t>Work stoppages and strikes</w:t>
      </w:r>
      <w:r w:rsidRPr="003920D7">
        <w:rPr>
          <w:lang w:val="en-GB"/>
        </w:rPr>
        <w:t xml:space="preserve">: </w:t>
      </w:r>
      <w:proofErr w:type="spellStart"/>
      <w:r w:rsidRPr="003920D7">
        <w:rPr>
          <w:lang w:val="en-GB"/>
        </w:rPr>
        <w:t>Stelco</w:t>
      </w:r>
      <w:proofErr w:type="spellEnd"/>
      <w:r w:rsidRPr="003920D7">
        <w:rPr>
          <w:lang w:val="en-GB"/>
        </w:rPr>
        <w:t xml:space="preserve"> and its subsidiaries were party to nine collective agreements, </w:t>
      </w:r>
      <w:r w:rsidR="00ED17FE">
        <w:rPr>
          <w:lang w:val="en-GB"/>
        </w:rPr>
        <w:t>and</w:t>
      </w:r>
      <w:r w:rsidR="00ED17FE" w:rsidRPr="003920D7">
        <w:rPr>
          <w:lang w:val="en-GB"/>
        </w:rPr>
        <w:t xml:space="preserve"> </w:t>
      </w:r>
      <w:r w:rsidRPr="003920D7">
        <w:rPr>
          <w:lang w:val="en-GB"/>
        </w:rPr>
        <w:t xml:space="preserve">75 per cent of employees </w:t>
      </w:r>
      <w:r w:rsidR="00ED17FE">
        <w:rPr>
          <w:lang w:val="en-GB"/>
        </w:rPr>
        <w:t xml:space="preserve">were </w:t>
      </w:r>
      <w:r w:rsidRPr="003920D7">
        <w:rPr>
          <w:lang w:val="en-GB"/>
        </w:rPr>
        <w:t xml:space="preserve">unionized. Labour costs represented 25 per cent of </w:t>
      </w:r>
      <w:proofErr w:type="spellStart"/>
      <w:r w:rsidRPr="003920D7">
        <w:rPr>
          <w:lang w:val="en-GB"/>
        </w:rPr>
        <w:t>Stelco’s</w:t>
      </w:r>
      <w:proofErr w:type="spellEnd"/>
      <w:r w:rsidRPr="003920D7">
        <w:rPr>
          <w:lang w:val="en-GB"/>
        </w:rPr>
        <w:t xml:space="preserve"> total operating costs. These collective agreements were negotiated at the plant level. Work stoppages and strikes orchestrated by the unions had reduced </w:t>
      </w:r>
      <w:proofErr w:type="spellStart"/>
      <w:r w:rsidRPr="003920D7">
        <w:rPr>
          <w:lang w:val="en-GB"/>
        </w:rPr>
        <w:t>Stelco’s</w:t>
      </w:r>
      <w:proofErr w:type="spellEnd"/>
      <w:r w:rsidRPr="003920D7">
        <w:rPr>
          <w:lang w:val="en-GB"/>
        </w:rPr>
        <w:t xml:space="preserve"> profitability. While </w:t>
      </w:r>
      <w:proofErr w:type="spellStart"/>
      <w:r w:rsidRPr="003920D7">
        <w:rPr>
          <w:lang w:val="en-GB"/>
        </w:rPr>
        <w:t>Stelco’s</w:t>
      </w:r>
      <w:proofErr w:type="spellEnd"/>
      <w:r w:rsidRPr="003920D7">
        <w:rPr>
          <w:lang w:val="en-GB"/>
        </w:rPr>
        <w:t xml:space="preserve"> two integrated steel</w:t>
      </w:r>
      <w:r w:rsidR="006639E1" w:rsidRPr="003920D7">
        <w:rPr>
          <w:lang w:val="en-GB"/>
        </w:rPr>
        <w:t>-</w:t>
      </w:r>
      <w:r w:rsidRPr="003920D7">
        <w:rPr>
          <w:lang w:val="en-GB"/>
        </w:rPr>
        <w:t xml:space="preserve">making divisions both had labour agreements in place, the </w:t>
      </w:r>
      <w:proofErr w:type="spellStart"/>
      <w:r w:rsidRPr="003920D7">
        <w:rPr>
          <w:lang w:val="en-GB"/>
        </w:rPr>
        <w:t>Stelco</w:t>
      </w:r>
      <w:proofErr w:type="spellEnd"/>
      <w:r w:rsidRPr="003920D7">
        <w:rPr>
          <w:lang w:val="en-GB"/>
        </w:rPr>
        <w:t xml:space="preserve"> Lake Erie </w:t>
      </w:r>
      <w:r w:rsidR="00ED17FE">
        <w:rPr>
          <w:lang w:val="en-GB"/>
        </w:rPr>
        <w:t xml:space="preserve">Works </w:t>
      </w:r>
      <w:r w:rsidRPr="003920D7">
        <w:rPr>
          <w:lang w:val="en-GB"/>
        </w:rPr>
        <w:t xml:space="preserve">agreement was up for renegotiation in July 2004. </w:t>
      </w:r>
    </w:p>
    <w:p w14:paraId="08F697C8" w14:textId="69B79AB2" w:rsidR="00ED7922" w:rsidRPr="003920D7" w:rsidRDefault="00ED7922" w:rsidP="00A676A0">
      <w:pPr>
        <w:pStyle w:val="BodyTextMain"/>
        <w:numPr>
          <w:ilvl w:val="0"/>
          <w:numId w:val="2"/>
        </w:numPr>
        <w:rPr>
          <w:lang w:val="en-GB"/>
        </w:rPr>
      </w:pPr>
      <w:r w:rsidRPr="003920D7">
        <w:rPr>
          <w:u w:val="single"/>
          <w:lang w:val="en-GB"/>
        </w:rPr>
        <w:t>Deficit in pension and other benefit obligations</w:t>
      </w:r>
      <w:r w:rsidRPr="003920D7">
        <w:rPr>
          <w:lang w:val="en-GB"/>
        </w:rPr>
        <w:t xml:space="preserve">: As of the end of the 2002 fiscal year, </w:t>
      </w:r>
      <w:proofErr w:type="spellStart"/>
      <w:r w:rsidRPr="003920D7">
        <w:rPr>
          <w:lang w:val="en-GB"/>
        </w:rPr>
        <w:t>Stelco’s</w:t>
      </w:r>
      <w:proofErr w:type="spellEnd"/>
      <w:r w:rsidRPr="003920D7">
        <w:rPr>
          <w:lang w:val="en-GB"/>
        </w:rPr>
        <w:t xml:space="preserve"> defined benefit pension plan was in a $650</w:t>
      </w:r>
      <w:r w:rsidR="00AE501D">
        <w:rPr>
          <w:lang w:val="en-GB"/>
        </w:rPr>
        <w:t xml:space="preserve"> </w:t>
      </w:r>
      <w:r w:rsidRPr="003920D7">
        <w:rPr>
          <w:lang w:val="en-GB"/>
        </w:rPr>
        <w:t>million deficit position</w:t>
      </w:r>
      <w:r w:rsidR="006639E1" w:rsidRPr="003920D7">
        <w:rPr>
          <w:lang w:val="en-GB"/>
        </w:rPr>
        <w:t>,</w:t>
      </w:r>
      <w:r w:rsidRPr="003920D7">
        <w:rPr>
          <w:lang w:val="en-GB"/>
        </w:rPr>
        <w:t xml:space="preserve"> and its other benefits obligations were in a $1.1</w:t>
      </w:r>
      <w:r w:rsidR="00AE501D">
        <w:rPr>
          <w:lang w:val="en-GB"/>
        </w:rPr>
        <w:t xml:space="preserve"> </w:t>
      </w:r>
      <w:r w:rsidRPr="003920D7">
        <w:rPr>
          <w:lang w:val="en-GB"/>
        </w:rPr>
        <w:t>billion deficit position.</w:t>
      </w:r>
      <w:r w:rsidRPr="003920D7">
        <w:rPr>
          <w:rStyle w:val="FootnoteReference"/>
          <w:lang w:val="en-GB"/>
        </w:rPr>
        <w:footnoteReference w:id="11"/>
      </w:r>
      <w:r w:rsidRPr="003920D7">
        <w:rPr>
          <w:lang w:val="en-GB"/>
        </w:rPr>
        <w:t xml:space="preserve"> Cash contributions to the pension plan in 2004 were expected to be in the range of $60</w:t>
      </w:r>
      <w:r w:rsidR="000076E5" w:rsidRPr="003920D7">
        <w:rPr>
          <w:lang w:val="en-GB"/>
        </w:rPr>
        <w:t xml:space="preserve"> million</w:t>
      </w:r>
      <w:r w:rsidR="006639E1" w:rsidRPr="003920D7">
        <w:rPr>
          <w:lang w:val="en-GB"/>
        </w:rPr>
        <w:t>–</w:t>
      </w:r>
      <w:r w:rsidRPr="003920D7">
        <w:rPr>
          <w:lang w:val="en-GB"/>
        </w:rPr>
        <w:t>$70 million</w:t>
      </w:r>
      <w:r w:rsidR="006639E1" w:rsidRPr="003920D7">
        <w:rPr>
          <w:lang w:val="en-GB"/>
        </w:rPr>
        <w:t>,</w:t>
      </w:r>
      <w:r w:rsidRPr="003920D7">
        <w:rPr>
          <w:lang w:val="en-GB"/>
        </w:rPr>
        <w:t xml:space="preserve"> and cash post-retirement funding added another $40 million. </w:t>
      </w:r>
      <w:r w:rsidR="00ED17FE">
        <w:rPr>
          <w:lang w:val="en-GB"/>
        </w:rPr>
        <w:t>Similar to</w:t>
      </w:r>
      <w:r w:rsidR="00ED17FE" w:rsidRPr="003920D7">
        <w:rPr>
          <w:lang w:val="en-GB"/>
        </w:rPr>
        <w:t xml:space="preserve"> </w:t>
      </w:r>
      <w:r w:rsidRPr="003920D7">
        <w:rPr>
          <w:lang w:val="en-GB"/>
        </w:rPr>
        <w:t xml:space="preserve">other Ontario corporations, </w:t>
      </w:r>
      <w:proofErr w:type="spellStart"/>
      <w:r w:rsidRPr="003920D7">
        <w:rPr>
          <w:lang w:val="en-GB"/>
        </w:rPr>
        <w:t>Stelco’s</w:t>
      </w:r>
      <w:proofErr w:type="spellEnd"/>
      <w:r w:rsidRPr="003920D7">
        <w:rPr>
          <w:lang w:val="en-GB"/>
        </w:rPr>
        <w:t xml:space="preserve"> pension liabilities were partly insured by the provincial government’s Pension Benefits Guarantee Fund. The </w:t>
      </w:r>
      <w:r w:rsidR="006639E1" w:rsidRPr="003920D7">
        <w:rPr>
          <w:lang w:val="en-GB"/>
        </w:rPr>
        <w:t>fund</w:t>
      </w:r>
      <w:r w:rsidRPr="003920D7">
        <w:rPr>
          <w:lang w:val="en-GB"/>
        </w:rPr>
        <w:t xml:space="preserve"> had recently paid out $300 million as part of Algoma Steel’s restructuring, leaving the fund with only $222 million in assets. </w:t>
      </w:r>
    </w:p>
    <w:p w14:paraId="77297FB6" w14:textId="46EE8560" w:rsidR="00ED7922" w:rsidRPr="003920D7" w:rsidRDefault="00ED7922" w:rsidP="00A676A0">
      <w:pPr>
        <w:pStyle w:val="BodyTextMain"/>
        <w:numPr>
          <w:ilvl w:val="0"/>
          <w:numId w:val="2"/>
        </w:numPr>
        <w:rPr>
          <w:lang w:val="en-GB"/>
        </w:rPr>
      </w:pPr>
      <w:r w:rsidRPr="003920D7">
        <w:rPr>
          <w:u w:val="single"/>
          <w:lang w:val="en-GB"/>
        </w:rPr>
        <w:t>Future CAPEX requirements</w:t>
      </w:r>
      <w:r w:rsidRPr="003920D7">
        <w:rPr>
          <w:lang w:val="en-GB"/>
        </w:rPr>
        <w:t xml:space="preserve">: </w:t>
      </w:r>
      <w:proofErr w:type="spellStart"/>
      <w:r w:rsidRPr="003920D7">
        <w:rPr>
          <w:lang w:val="en-GB"/>
        </w:rPr>
        <w:t>Stelco</w:t>
      </w:r>
      <w:proofErr w:type="spellEnd"/>
      <w:r w:rsidRPr="003920D7">
        <w:rPr>
          <w:lang w:val="en-GB"/>
        </w:rPr>
        <w:t xml:space="preserve"> required an estimated $235 million in </w:t>
      </w:r>
      <w:r w:rsidR="0086451F" w:rsidRPr="003920D7">
        <w:rPr>
          <w:lang w:val="en-GB"/>
        </w:rPr>
        <w:t>CAPEX</w:t>
      </w:r>
      <w:r w:rsidRPr="003920D7">
        <w:rPr>
          <w:lang w:val="en-GB"/>
        </w:rPr>
        <w:t xml:space="preserve"> to upgrade the hot</w:t>
      </w:r>
      <w:r w:rsidR="0086451F" w:rsidRPr="003920D7">
        <w:rPr>
          <w:lang w:val="en-GB"/>
        </w:rPr>
        <w:t>-</w:t>
      </w:r>
      <w:r w:rsidRPr="003920D7">
        <w:rPr>
          <w:lang w:val="en-GB"/>
        </w:rPr>
        <w:t xml:space="preserve">strip mill at </w:t>
      </w:r>
      <w:proofErr w:type="spellStart"/>
      <w:r w:rsidRPr="003920D7">
        <w:rPr>
          <w:lang w:val="en-GB"/>
        </w:rPr>
        <w:t>Stelco</w:t>
      </w:r>
      <w:proofErr w:type="spellEnd"/>
      <w:r w:rsidRPr="003920D7">
        <w:rPr>
          <w:lang w:val="en-GB"/>
        </w:rPr>
        <w:t xml:space="preserve"> Lake Erie </w:t>
      </w:r>
      <w:r w:rsidR="00AE501D">
        <w:rPr>
          <w:lang w:val="en-GB"/>
        </w:rPr>
        <w:t xml:space="preserve">Works </w:t>
      </w:r>
      <w:r w:rsidRPr="003920D7">
        <w:rPr>
          <w:lang w:val="en-GB"/>
        </w:rPr>
        <w:t xml:space="preserve">and to construct a new pickling line at </w:t>
      </w:r>
      <w:proofErr w:type="spellStart"/>
      <w:r w:rsidRPr="003920D7">
        <w:rPr>
          <w:lang w:val="en-GB"/>
        </w:rPr>
        <w:t>Stelco</w:t>
      </w:r>
      <w:proofErr w:type="spellEnd"/>
      <w:r w:rsidRPr="003920D7">
        <w:rPr>
          <w:lang w:val="en-GB"/>
        </w:rPr>
        <w:t xml:space="preserve"> Hamilton</w:t>
      </w:r>
      <w:r w:rsidR="00AE501D">
        <w:rPr>
          <w:lang w:val="en-GB"/>
        </w:rPr>
        <w:t xml:space="preserve"> Works</w:t>
      </w:r>
      <w:r w:rsidRPr="003920D7">
        <w:rPr>
          <w:lang w:val="en-GB"/>
        </w:rPr>
        <w:t xml:space="preserve">. </w:t>
      </w:r>
    </w:p>
    <w:p w14:paraId="0E1561D4" w14:textId="77777777" w:rsidR="00ED7922" w:rsidRPr="003920D7" w:rsidRDefault="00ED7922" w:rsidP="00ED7922">
      <w:pPr>
        <w:pStyle w:val="BodyTextMain"/>
        <w:rPr>
          <w:lang w:val="en-GB"/>
        </w:rPr>
      </w:pPr>
    </w:p>
    <w:p w14:paraId="21B0E7E5" w14:textId="77777777" w:rsidR="00ED7922" w:rsidRPr="003920D7" w:rsidRDefault="00ED7922" w:rsidP="00ED7922">
      <w:pPr>
        <w:pStyle w:val="BodyTextMain"/>
        <w:rPr>
          <w:lang w:val="en-GB"/>
        </w:rPr>
      </w:pPr>
    </w:p>
    <w:p w14:paraId="6556CD77" w14:textId="77777777" w:rsidR="00ED7922" w:rsidRPr="003920D7" w:rsidRDefault="00ED7922" w:rsidP="00ED7922">
      <w:pPr>
        <w:pStyle w:val="Casehead1"/>
        <w:rPr>
          <w:rStyle w:val="Strong"/>
          <w:b/>
          <w:bCs w:val="0"/>
          <w:szCs w:val="22"/>
          <w:lang w:val="en-GB"/>
        </w:rPr>
      </w:pPr>
      <w:r w:rsidRPr="003920D7">
        <w:rPr>
          <w:rStyle w:val="Strong"/>
          <w:b/>
          <w:bCs w:val="0"/>
          <w:szCs w:val="22"/>
          <w:lang w:val="en-GB"/>
        </w:rPr>
        <w:t>Priority in Bankruptcy And the FulCrum Security</w:t>
      </w:r>
    </w:p>
    <w:p w14:paraId="4E154B0F" w14:textId="77777777" w:rsidR="00ED7922" w:rsidRPr="003920D7" w:rsidRDefault="00ED7922" w:rsidP="00ED7922">
      <w:pPr>
        <w:pStyle w:val="BodyTextMain"/>
        <w:rPr>
          <w:rStyle w:val="Strong"/>
          <w:b w:val="0"/>
          <w:bCs w:val="0"/>
          <w:lang w:val="en-GB"/>
        </w:rPr>
      </w:pPr>
    </w:p>
    <w:p w14:paraId="21ED6FD1" w14:textId="4B36B327" w:rsidR="00ED7922" w:rsidRPr="003920D7" w:rsidRDefault="00ED7922" w:rsidP="00ED7922">
      <w:pPr>
        <w:pStyle w:val="BodyTextMain"/>
        <w:rPr>
          <w:lang w:val="en-GB"/>
        </w:rPr>
      </w:pPr>
      <w:r w:rsidRPr="003920D7">
        <w:rPr>
          <w:lang w:val="en-GB"/>
        </w:rPr>
        <w:t>The key to any restructuring was to determine (</w:t>
      </w:r>
      <w:r w:rsidR="002F6218" w:rsidRPr="003920D7">
        <w:rPr>
          <w:lang w:val="en-GB"/>
        </w:rPr>
        <w:t>1</w:t>
      </w:r>
      <w:r w:rsidRPr="003920D7">
        <w:rPr>
          <w:lang w:val="en-GB"/>
        </w:rPr>
        <w:t>) the intrinsic value of the assets, (</w:t>
      </w:r>
      <w:r w:rsidR="002F6218" w:rsidRPr="003920D7">
        <w:rPr>
          <w:lang w:val="en-GB"/>
        </w:rPr>
        <w:t>2</w:t>
      </w:r>
      <w:r w:rsidRPr="003920D7">
        <w:rPr>
          <w:lang w:val="en-GB"/>
        </w:rPr>
        <w:t>) the order of priority for the settling of the different claims in bankruptcy, and (</w:t>
      </w:r>
      <w:r w:rsidR="002F6218" w:rsidRPr="003920D7">
        <w:rPr>
          <w:lang w:val="en-GB"/>
        </w:rPr>
        <w:t>3</w:t>
      </w:r>
      <w:r w:rsidRPr="003920D7">
        <w:rPr>
          <w:lang w:val="en-GB"/>
        </w:rPr>
        <w:t xml:space="preserve">) the potential </w:t>
      </w:r>
      <w:proofErr w:type="spellStart"/>
      <w:r w:rsidRPr="003920D7">
        <w:rPr>
          <w:lang w:val="en-GB"/>
        </w:rPr>
        <w:t>payout</w:t>
      </w:r>
      <w:proofErr w:type="spellEnd"/>
      <w:r w:rsidRPr="003920D7">
        <w:rPr>
          <w:lang w:val="en-GB"/>
        </w:rPr>
        <w:t xml:space="preserve"> to each class of claims. The </w:t>
      </w:r>
      <w:proofErr w:type="spellStart"/>
      <w:r w:rsidRPr="003920D7">
        <w:rPr>
          <w:lang w:val="en-GB"/>
        </w:rPr>
        <w:t>payout</w:t>
      </w:r>
      <w:proofErr w:type="spellEnd"/>
      <w:r w:rsidRPr="003920D7">
        <w:rPr>
          <w:lang w:val="en-GB"/>
        </w:rPr>
        <w:t xml:space="preserve"> was based on the “waterfall”</w:t>
      </w:r>
      <w:r w:rsidR="002F6218" w:rsidRPr="003920D7">
        <w:rPr>
          <w:lang w:val="en-GB"/>
        </w:rPr>
        <w:t>—</w:t>
      </w:r>
      <w:r w:rsidRPr="003920D7">
        <w:rPr>
          <w:lang w:val="en-GB"/>
        </w:rPr>
        <w:t xml:space="preserve">the cascade of cash paid out to the creditors and shareholders. While in theory the order of priority in bankruptcy was clear, in practice the determination of </w:t>
      </w:r>
      <w:r w:rsidR="0086451F" w:rsidRPr="003920D7">
        <w:rPr>
          <w:lang w:val="en-GB"/>
        </w:rPr>
        <w:t>“</w:t>
      </w:r>
      <w:r w:rsidRPr="003920D7">
        <w:rPr>
          <w:lang w:val="en-GB"/>
        </w:rPr>
        <w:t>who gets what</w:t>
      </w:r>
      <w:r w:rsidR="0086451F" w:rsidRPr="003920D7">
        <w:rPr>
          <w:lang w:val="en-GB"/>
        </w:rPr>
        <w:t>”</w:t>
      </w:r>
      <w:r w:rsidRPr="003920D7">
        <w:rPr>
          <w:lang w:val="en-GB"/>
        </w:rPr>
        <w:t xml:space="preserve"> was the result of intense negotiations and legal proceedings by different stakeholders </w:t>
      </w:r>
      <w:r w:rsidR="0086451F" w:rsidRPr="003920D7">
        <w:rPr>
          <w:lang w:val="en-GB"/>
        </w:rPr>
        <w:t>(</w:t>
      </w:r>
      <w:r w:rsidR="000076E5" w:rsidRPr="003920D7">
        <w:rPr>
          <w:lang w:val="en-GB"/>
        </w:rPr>
        <w:t>s</w:t>
      </w:r>
      <w:r w:rsidR="0086451F" w:rsidRPr="003920D7">
        <w:rPr>
          <w:lang w:val="en-GB"/>
        </w:rPr>
        <w:t xml:space="preserve">ee </w:t>
      </w:r>
      <w:r w:rsidRPr="003920D7">
        <w:rPr>
          <w:lang w:val="en-GB"/>
        </w:rPr>
        <w:t xml:space="preserve">Exhibit 5 </w:t>
      </w:r>
      <w:r w:rsidR="0086451F" w:rsidRPr="003920D7">
        <w:rPr>
          <w:lang w:val="en-GB"/>
        </w:rPr>
        <w:t>for</w:t>
      </w:r>
      <w:r w:rsidRPr="003920D7">
        <w:rPr>
          <w:lang w:val="en-GB"/>
        </w:rPr>
        <w:t xml:space="preserve"> a stylized example of the order of priority in bankruptcy and a hypothetical waterfall, illustrating how the liquidation of a company’s assets may result in some of the liabilities and equity being </w:t>
      </w:r>
      <w:r w:rsidR="00AE501D">
        <w:rPr>
          <w:lang w:val="en-GB"/>
        </w:rPr>
        <w:t>eliminated</w:t>
      </w:r>
      <w:r w:rsidRPr="003920D7">
        <w:rPr>
          <w:lang w:val="en-GB"/>
        </w:rPr>
        <w:t>.</w:t>
      </w:r>
      <w:r w:rsidR="0086451F" w:rsidRPr="003920D7">
        <w:rPr>
          <w:lang w:val="en-GB"/>
        </w:rPr>
        <w:t>)</w:t>
      </w:r>
      <w:r w:rsidRPr="003920D7">
        <w:rPr>
          <w:lang w:val="en-GB"/>
        </w:rPr>
        <w:t xml:space="preserve"> </w:t>
      </w:r>
    </w:p>
    <w:p w14:paraId="2CE777F3" w14:textId="77777777" w:rsidR="00ED7922" w:rsidRPr="003920D7" w:rsidRDefault="00ED7922" w:rsidP="00ED7922">
      <w:pPr>
        <w:pStyle w:val="BodyTextMain"/>
        <w:rPr>
          <w:lang w:val="en-GB"/>
        </w:rPr>
      </w:pPr>
    </w:p>
    <w:p w14:paraId="46F162A5" w14:textId="02B29F7D" w:rsidR="00ED7922" w:rsidRPr="003920D7" w:rsidRDefault="00ED7922" w:rsidP="00ED7922">
      <w:pPr>
        <w:pStyle w:val="BodyTextMain"/>
        <w:rPr>
          <w:lang w:val="en-GB"/>
        </w:rPr>
      </w:pPr>
      <w:r w:rsidRPr="003920D7">
        <w:rPr>
          <w:lang w:val="en-GB"/>
        </w:rPr>
        <w:t>As a</w:t>
      </w:r>
      <w:r w:rsidR="00AE501D">
        <w:rPr>
          <w:lang w:val="en-GB"/>
        </w:rPr>
        <w:t>n</w:t>
      </w:r>
      <w:r w:rsidRPr="003920D7">
        <w:rPr>
          <w:lang w:val="en-GB"/>
        </w:rPr>
        <w:t xml:space="preserve"> investor</w:t>
      </w:r>
      <w:r w:rsidR="00AE501D">
        <w:rPr>
          <w:lang w:val="en-GB"/>
        </w:rPr>
        <w:t xml:space="preserve"> in distressed companies</w:t>
      </w:r>
      <w:r w:rsidRPr="003920D7">
        <w:rPr>
          <w:lang w:val="en-GB"/>
        </w:rPr>
        <w:t xml:space="preserve">, Quantum </w:t>
      </w:r>
      <w:r w:rsidR="00BB2D4D">
        <w:rPr>
          <w:lang w:val="en-GB"/>
        </w:rPr>
        <w:t xml:space="preserve">had the </w:t>
      </w:r>
      <w:r w:rsidRPr="003920D7">
        <w:rPr>
          <w:lang w:val="en-GB"/>
        </w:rPr>
        <w:t xml:space="preserve">objective to ensure </w:t>
      </w:r>
      <w:r w:rsidR="0086451F" w:rsidRPr="003920D7">
        <w:rPr>
          <w:lang w:val="en-GB"/>
        </w:rPr>
        <w:t>its</w:t>
      </w:r>
      <w:r w:rsidRPr="003920D7">
        <w:rPr>
          <w:lang w:val="en-GB"/>
        </w:rPr>
        <w:t xml:space="preserve"> claims were paid out at a higher price than the cost to acquire them. To control the proce</w:t>
      </w:r>
      <w:r w:rsidR="002F6218" w:rsidRPr="003920D7">
        <w:rPr>
          <w:lang w:val="en-GB"/>
        </w:rPr>
        <w:t>s</w:t>
      </w:r>
      <w:r w:rsidRPr="003920D7">
        <w:rPr>
          <w:lang w:val="en-GB"/>
        </w:rPr>
        <w:t>s, Quantum would seek to establish a “negative control” position in a given class of securities, where negative control represent</w:t>
      </w:r>
      <w:r w:rsidR="0086451F" w:rsidRPr="003920D7">
        <w:rPr>
          <w:lang w:val="en-GB"/>
        </w:rPr>
        <w:t>ed</w:t>
      </w:r>
      <w:r w:rsidRPr="003920D7">
        <w:rPr>
          <w:lang w:val="en-GB"/>
        </w:rPr>
        <w:t xml:space="preserve"> more than 33 per cent of the securities issued in that class. Most companies required a supermajority of votes (i.e.</w:t>
      </w:r>
      <w:r w:rsidR="0086451F" w:rsidRPr="003920D7">
        <w:rPr>
          <w:lang w:val="en-GB"/>
        </w:rPr>
        <w:t>,</w:t>
      </w:r>
      <w:r w:rsidRPr="003920D7">
        <w:rPr>
          <w:lang w:val="en-GB"/>
        </w:rPr>
        <w:t xml:space="preserve"> 67</w:t>
      </w:r>
      <w:r w:rsidR="0086451F" w:rsidRPr="003920D7">
        <w:rPr>
          <w:lang w:val="en-GB"/>
        </w:rPr>
        <w:t xml:space="preserve"> per cent</w:t>
      </w:r>
      <w:r w:rsidRPr="003920D7">
        <w:rPr>
          <w:lang w:val="en-GB"/>
        </w:rPr>
        <w:t xml:space="preserve"> or greater) of each class of securities </w:t>
      </w:r>
      <w:r w:rsidR="0086451F" w:rsidRPr="003920D7">
        <w:rPr>
          <w:lang w:val="en-GB"/>
        </w:rPr>
        <w:t>separately</w:t>
      </w:r>
      <w:r w:rsidRPr="003920D7">
        <w:rPr>
          <w:lang w:val="en-GB"/>
        </w:rPr>
        <w:t xml:space="preserve"> to approve important corporate events such as a restructuring. This voting requirement </w:t>
      </w:r>
      <w:r w:rsidR="001C58C6" w:rsidRPr="003920D7">
        <w:rPr>
          <w:lang w:val="en-GB"/>
        </w:rPr>
        <w:t>was</w:t>
      </w:r>
      <w:r w:rsidRPr="003920D7">
        <w:rPr>
          <w:lang w:val="en-GB"/>
        </w:rPr>
        <w:t xml:space="preserve"> stated in the corporate charter or by-laws. Controlling more than </w:t>
      </w:r>
      <w:r w:rsidRPr="003920D7">
        <w:rPr>
          <w:lang w:val="en-GB"/>
        </w:rPr>
        <w:lastRenderedPageBreak/>
        <w:t xml:space="preserve">one-third of a given class of securities would grant Quantum a veto over any restructuring options, effectively allowing </w:t>
      </w:r>
      <w:r w:rsidR="001C58C6" w:rsidRPr="003920D7">
        <w:rPr>
          <w:lang w:val="en-GB"/>
        </w:rPr>
        <w:t>it</w:t>
      </w:r>
      <w:r w:rsidRPr="003920D7">
        <w:rPr>
          <w:lang w:val="en-GB"/>
        </w:rPr>
        <w:t xml:space="preserve"> to block any proposals that harmed </w:t>
      </w:r>
      <w:r w:rsidR="001C58C6" w:rsidRPr="003920D7">
        <w:rPr>
          <w:lang w:val="en-GB"/>
        </w:rPr>
        <w:t>its</w:t>
      </w:r>
      <w:r w:rsidR="00293CB7" w:rsidRPr="003920D7">
        <w:rPr>
          <w:lang w:val="en-GB"/>
        </w:rPr>
        <w:t xml:space="preserve"> interests.</w:t>
      </w:r>
    </w:p>
    <w:p w14:paraId="514D1A17" w14:textId="77777777" w:rsidR="00293CB7" w:rsidRPr="003920D7" w:rsidRDefault="00293CB7" w:rsidP="00ED7922">
      <w:pPr>
        <w:pStyle w:val="BodyTextMain"/>
        <w:rPr>
          <w:lang w:val="en-GB"/>
        </w:rPr>
      </w:pPr>
    </w:p>
    <w:p w14:paraId="112752FB" w14:textId="199D4033" w:rsidR="00ED7922" w:rsidRPr="003920D7" w:rsidRDefault="00ED7922" w:rsidP="00ED7922">
      <w:pPr>
        <w:pStyle w:val="BodyTextMain"/>
        <w:rPr>
          <w:lang w:val="en-GB"/>
        </w:rPr>
      </w:pPr>
      <w:r w:rsidRPr="003920D7">
        <w:rPr>
          <w:lang w:val="en-GB"/>
        </w:rPr>
        <w:t>Quantum’s strategy would be to acquire a negative control position in the “fulcrum security”</w:t>
      </w:r>
      <w:r w:rsidR="001C58C6" w:rsidRPr="003920D7">
        <w:rPr>
          <w:lang w:val="en-GB"/>
        </w:rPr>
        <w:t>—</w:t>
      </w:r>
      <w:r w:rsidRPr="003920D7">
        <w:rPr>
          <w:lang w:val="en-GB"/>
        </w:rPr>
        <w:t xml:space="preserve">the class of securities that would control the restructuring process. This class of securities would be mandated by the courts to come up with a restructuring proposal, </w:t>
      </w:r>
      <w:r w:rsidR="00AE501D">
        <w:rPr>
          <w:lang w:val="en-GB"/>
        </w:rPr>
        <w:t xml:space="preserve">thereby </w:t>
      </w:r>
      <w:r w:rsidRPr="003920D7">
        <w:rPr>
          <w:lang w:val="en-GB"/>
        </w:rPr>
        <w:t xml:space="preserve">putting the owners of this class </w:t>
      </w:r>
      <w:r w:rsidR="00AE501D">
        <w:rPr>
          <w:lang w:val="en-GB"/>
        </w:rPr>
        <w:t xml:space="preserve">of securities </w:t>
      </w:r>
      <w:r w:rsidRPr="003920D7">
        <w:rPr>
          <w:lang w:val="en-GB"/>
        </w:rPr>
        <w:t xml:space="preserve">in </w:t>
      </w:r>
      <w:r w:rsidR="00AE501D">
        <w:rPr>
          <w:lang w:val="en-GB"/>
        </w:rPr>
        <w:t>control</w:t>
      </w:r>
      <w:r w:rsidRPr="003920D7">
        <w:rPr>
          <w:lang w:val="en-GB"/>
        </w:rPr>
        <w:t>. Typically</w:t>
      </w:r>
      <w:r w:rsidR="001C58C6" w:rsidRPr="003920D7">
        <w:rPr>
          <w:lang w:val="en-GB"/>
        </w:rPr>
        <w:t>,</w:t>
      </w:r>
      <w:r w:rsidRPr="003920D7">
        <w:rPr>
          <w:lang w:val="en-GB"/>
        </w:rPr>
        <w:t xml:space="preserve"> the fulcrum security was the most senior secured claim against the bankrupt company’s assets, which was held by the bank lenders or the bondholders. These parties would nominate one of their </w:t>
      </w:r>
      <w:r w:rsidR="00D339E8" w:rsidRPr="003920D7">
        <w:rPr>
          <w:lang w:val="en-GB"/>
        </w:rPr>
        <w:t xml:space="preserve">members </w:t>
      </w:r>
      <w:r w:rsidRPr="003920D7">
        <w:rPr>
          <w:lang w:val="en-GB"/>
        </w:rPr>
        <w:t xml:space="preserve">to chair a creditor committee that would advise the court-appointed monitor overseeing the bankruptcy process. The creditor committee would make a proposal to the court on what percentage to pay each class of creditors over a specific period of time. The creditors would then vote to accept or reject the proposal, </w:t>
      </w:r>
      <w:r w:rsidR="00D252A3" w:rsidRPr="003920D7">
        <w:rPr>
          <w:lang w:val="en-GB"/>
        </w:rPr>
        <w:t>with</w:t>
      </w:r>
      <w:r w:rsidRPr="003920D7">
        <w:rPr>
          <w:lang w:val="en-GB"/>
        </w:rPr>
        <w:t xml:space="preserve"> a supermajority </w:t>
      </w:r>
      <w:r w:rsidR="00D252A3" w:rsidRPr="003920D7">
        <w:rPr>
          <w:lang w:val="en-GB"/>
        </w:rPr>
        <w:t xml:space="preserve">required </w:t>
      </w:r>
      <w:r w:rsidRPr="003920D7">
        <w:rPr>
          <w:lang w:val="en-GB"/>
        </w:rPr>
        <w:t>to approve it. Identifying the fulcrum security was both legally and mathematically intensive, requiring both science and judgement.</w:t>
      </w:r>
    </w:p>
    <w:p w14:paraId="2CA71A23" w14:textId="77777777" w:rsidR="00ED7922" w:rsidRPr="003920D7" w:rsidRDefault="00ED7922" w:rsidP="00ED7922">
      <w:pPr>
        <w:pStyle w:val="BodyTextMain"/>
        <w:rPr>
          <w:rStyle w:val="Strong"/>
          <w:b w:val="0"/>
          <w:bCs w:val="0"/>
          <w:lang w:val="en-GB"/>
        </w:rPr>
      </w:pPr>
    </w:p>
    <w:p w14:paraId="36F4C81B" w14:textId="77777777" w:rsidR="00ED7922" w:rsidRPr="003920D7" w:rsidRDefault="00ED7922" w:rsidP="00ED7922">
      <w:pPr>
        <w:pStyle w:val="BodyTextMain"/>
        <w:rPr>
          <w:rStyle w:val="Strong"/>
          <w:b w:val="0"/>
          <w:bCs w:val="0"/>
          <w:lang w:val="en-GB"/>
        </w:rPr>
      </w:pPr>
    </w:p>
    <w:p w14:paraId="21A277F9" w14:textId="77777777" w:rsidR="00ED7922" w:rsidRPr="003920D7" w:rsidRDefault="00ED7922" w:rsidP="00ED7922">
      <w:pPr>
        <w:pStyle w:val="Casehead1"/>
        <w:rPr>
          <w:rStyle w:val="Strong"/>
          <w:b/>
          <w:bCs w:val="0"/>
          <w:szCs w:val="22"/>
          <w:lang w:val="en-GB"/>
        </w:rPr>
      </w:pPr>
      <w:r w:rsidRPr="003920D7">
        <w:rPr>
          <w:rStyle w:val="Strong"/>
          <w:b/>
          <w:bCs w:val="0"/>
          <w:szCs w:val="22"/>
          <w:lang w:val="en-GB"/>
        </w:rPr>
        <w:t>Stelco’s capital structure and Liquidity Position</w:t>
      </w:r>
    </w:p>
    <w:p w14:paraId="70E15B54" w14:textId="77777777" w:rsidR="00ED7922" w:rsidRPr="003920D7" w:rsidRDefault="00ED7922" w:rsidP="00ED7922">
      <w:pPr>
        <w:pStyle w:val="BodyTextMain"/>
        <w:rPr>
          <w:rStyle w:val="Strong"/>
          <w:b w:val="0"/>
          <w:bCs w:val="0"/>
          <w:lang w:val="en-GB"/>
        </w:rPr>
      </w:pPr>
    </w:p>
    <w:p w14:paraId="1079977C" w14:textId="5DC2F372" w:rsidR="00ED7922" w:rsidRPr="003920D7" w:rsidRDefault="00ED7922" w:rsidP="00ED7922">
      <w:pPr>
        <w:pStyle w:val="BodyTextMain"/>
        <w:rPr>
          <w:lang w:val="en-GB"/>
        </w:rPr>
      </w:pPr>
      <w:r w:rsidRPr="003920D7">
        <w:rPr>
          <w:lang w:val="en-GB"/>
        </w:rPr>
        <w:t xml:space="preserve">To identify the fulcrum security, Quantum’s team needed to understand </w:t>
      </w:r>
      <w:proofErr w:type="spellStart"/>
      <w:r w:rsidRPr="003920D7">
        <w:rPr>
          <w:lang w:val="en-GB"/>
        </w:rPr>
        <w:t>Stelco’s</w:t>
      </w:r>
      <w:proofErr w:type="spellEnd"/>
      <w:r w:rsidRPr="003920D7">
        <w:rPr>
          <w:lang w:val="en-GB"/>
        </w:rPr>
        <w:t xml:space="preserve"> capital structure and the different claimants</w:t>
      </w:r>
      <w:r w:rsidR="00D252A3" w:rsidRPr="003920D7">
        <w:rPr>
          <w:lang w:val="en-GB"/>
        </w:rPr>
        <w:t>—</w:t>
      </w:r>
      <w:r w:rsidRPr="003920D7">
        <w:rPr>
          <w:lang w:val="en-GB"/>
        </w:rPr>
        <w:t>both creditors and shareholders</w:t>
      </w:r>
      <w:r w:rsidR="00D252A3" w:rsidRPr="003920D7">
        <w:rPr>
          <w:lang w:val="en-GB"/>
        </w:rPr>
        <w:t>—</w:t>
      </w:r>
      <w:r w:rsidRPr="003920D7">
        <w:rPr>
          <w:lang w:val="en-GB"/>
        </w:rPr>
        <w:t xml:space="preserve">at the time of filing for bankruptcy. </w:t>
      </w:r>
      <w:proofErr w:type="spellStart"/>
      <w:r w:rsidRPr="003920D7">
        <w:rPr>
          <w:lang w:val="en-GB"/>
        </w:rPr>
        <w:t>Stelco</w:t>
      </w:r>
      <w:proofErr w:type="spellEnd"/>
      <w:r w:rsidRPr="003920D7">
        <w:rPr>
          <w:lang w:val="en-GB"/>
        </w:rPr>
        <w:t xml:space="preserve"> was financed through a combination of bank debt, loans, long-term bonds, convertible debentures, and common equity</w:t>
      </w:r>
      <w:r w:rsidR="00D252A3" w:rsidRPr="003920D7">
        <w:rPr>
          <w:lang w:val="en-GB"/>
        </w:rPr>
        <w:t xml:space="preserve"> (see Exhibit 6)</w:t>
      </w:r>
      <w:r w:rsidRPr="003920D7">
        <w:rPr>
          <w:lang w:val="en-GB"/>
        </w:rPr>
        <w:t>.</w:t>
      </w:r>
    </w:p>
    <w:p w14:paraId="147A7CCB" w14:textId="77777777" w:rsidR="00ED7922" w:rsidRPr="003920D7" w:rsidRDefault="00ED7922" w:rsidP="00ED7922">
      <w:pPr>
        <w:pStyle w:val="BodyTextMain"/>
        <w:rPr>
          <w:lang w:val="en-GB"/>
        </w:rPr>
      </w:pPr>
    </w:p>
    <w:p w14:paraId="3A124479" w14:textId="77777777" w:rsidR="00ED7922" w:rsidRPr="003920D7" w:rsidRDefault="00ED7922" w:rsidP="00ED7922">
      <w:pPr>
        <w:pStyle w:val="BodyTextMain"/>
        <w:rPr>
          <w:lang w:val="en-GB"/>
        </w:rPr>
      </w:pPr>
    </w:p>
    <w:p w14:paraId="23B52E2A" w14:textId="325787CE" w:rsidR="00ED7922" w:rsidRPr="003920D7" w:rsidRDefault="00ED7922" w:rsidP="00ED7922">
      <w:pPr>
        <w:pStyle w:val="Casehead2"/>
        <w:rPr>
          <w:bCs/>
          <w:lang w:val="en-GB"/>
        </w:rPr>
      </w:pPr>
      <w:r w:rsidRPr="003920D7">
        <w:rPr>
          <w:lang w:val="en-GB"/>
        </w:rPr>
        <w:t xml:space="preserve">Bank </w:t>
      </w:r>
      <w:r w:rsidR="00D252A3" w:rsidRPr="003920D7">
        <w:rPr>
          <w:lang w:val="en-GB"/>
        </w:rPr>
        <w:t>D</w:t>
      </w:r>
      <w:r w:rsidRPr="003920D7">
        <w:rPr>
          <w:lang w:val="en-GB"/>
        </w:rPr>
        <w:t xml:space="preserve">ebt and </w:t>
      </w:r>
      <w:r w:rsidR="00D252A3" w:rsidRPr="003920D7">
        <w:rPr>
          <w:lang w:val="en-GB"/>
        </w:rPr>
        <w:t>L</w:t>
      </w:r>
      <w:r w:rsidRPr="003920D7">
        <w:rPr>
          <w:lang w:val="en-GB"/>
        </w:rPr>
        <w:t>oans</w:t>
      </w:r>
    </w:p>
    <w:p w14:paraId="67AD8BEC" w14:textId="77777777" w:rsidR="00ED7922" w:rsidRPr="003920D7" w:rsidRDefault="00ED7922" w:rsidP="00ED7922">
      <w:pPr>
        <w:pStyle w:val="BodyTextMain"/>
        <w:rPr>
          <w:lang w:val="en-GB"/>
        </w:rPr>
      </w:pPr>
    </w:p>
    <w:p w14:paraId="78B8CAFC" w14:textId="6F0E0A15" w:rsidR="00ED7922" w:rsidRPr="003920D7" w:rsidRDefault="00ED7922" w:rsidP="00ED7922">
      <w:pPr>
        <w:pStyle w:val="BodyTextMain"/>
        <w:rPr>
          <w:lang w:val="en-GB"/>
        </w:rPr>
      </w:pPr>
      <w:proofErr w:type="spellStart"/>
      <w:r w:rsidRPr="003920D7">
        <w:rPr>
          <w:lang w:val="en-GB"/>
        </w:rPr>
        <w:t>Stelco’s</w:t>
      </w:r>
      <w:proofErr w:type="spellEnd"/>
      <w:r w:rsidRPr="003920D7">
        <w:rPr>
          <w:lang w:val="en-GB"/>
        </w:rPr>
        <w:t xml:space="preserve"> bank debt consisted of various lines of credit (“revolvers”) owed by the parent </w:t>
      </w:r>
      <w:r w:rsidR="00B05F36">
        <w:rPr>
          <w:lang w:val="en-GB"/>
        </w:rPr>
        <w:t xml:space="preserve">company </w:t>
      </w:r>
      <w:r w:rsidRPr="003920D7">
        <w:rPr>
          <w:lang w:val="en-GB"/>
        </w:rPr>
        <w:t>and various subsidiaries, a</w:t>
      </w:r>
      <w:r w:rsidR="00D252A3" w:rsidRPr="003920D7">
        <w:rPr>
          <w:lang w:val="en-GB"/>
        </w:rPr>
        <w:t>s well as</w:t>
      </w:r>
      <w:r w:rsidRPr="003920D7">
        <w:rPr>
          <w:lang w:val="en-GB"/>
        </w:rPr>
        <w:t xml:space="preserve"> a number of term loans. </w:t>
      </w:r>
      <w:proofErr w:type="spellStart"/>
      <w:r w:rsidRPr="003920D7">
        <w:rPr>
          <w:color w:val="000000"/>
          <w:lang w:val="en-GB"/>
        </w:rPr>
        <w:t>Stelco</w:t>
      </w:r>
      <w:proofErr w:type="spellEnd"/>
      <w:r w:rsidRPr="003920D7">
        <w:rPr>
          <w:color w:val="000000"/>
          <w:lang w:val="en-GB"/>
        </w:rPr>
        <w:t xml:space="preserve"> had recently negotiated a $322</w:t>
      </w:r>
      <w:r w:rsidR="00B05F36">
        <w:rPr>
          <w:color w:val="000000"/>
          <w:lang w:val="en-GB"/>
        </w:rPr>
        <w:t xml:space="preserve"> </w:t>
      </w:r>
      <w:r w:rsidRPr="003920D7">
        <w:rPr>
          <w:color w:val="000000"/>
          <w:lang w:val="en-GB"/>
        </w:rPr>
        <w:t>million revolver with a syndicate of banks to provide credit to support the company’s operations.</w:t>
      </w:r>
      <w:r w:rsidRPr="003920D7">
        <w:rPr>
          <w:rStyle w:val="FootnoteReference"/>
          <w:color w:val="000000"/>
          <w:lang w:val="en-GB"/>
        </w:rPr>
        <w:footnoteReference w:id="12"/>
      </w:r>
      <w:r w:rsidRPr="003920D7">
        <w:rPr>
          <w:color w:val="000000"/>
          <w:lang w:val="en-GB"/>
        </w:rPr>
        <w:t xml:space="preserve"> </w:t>
      </w:r>
      <w:r w:rsidRPr="003920D7">
        <w:rPr>
          <w:lang w:val="en-GB"/>
        </w:rPr>
        <w:t>This revolver consisted of a $295</w:t>
      </w:r>
      <w:r w:rsidR="008B6289">
        <w:rPr>
          <w:lang w:val="en-GB"/>
        </w:rPr>
        <w:t xml:space="preserve"> </w:t>
      </w:r>
      <w:r w:rsidRPr="003920D7">
        <w:rPr>
          <w:lang w:val="en-GB"/>
        </w:rPr>
        <w:t xml:space="preserve">million line of credit facility led by CIT Business Credit Canada </w:t>
      </w:r>
      <w:r w:rsidR="00D252A3" w:rsidRPr="003920D7">
        <w:rPr>
          <w:lang w:val="en-GB"/>
        </w:rPr>
        <w:t xml:space="preserve">Inc. </w:t>
      </w:r>
      <w:r w:rsidRPr="003920D7">
        <w:rPr>
          <w:lang w:val="en-GB"/>
        </w:rPr>
        <w:t xml:space="preserve">that matured at the end of September 2004, and $27 million in lines of credit for </w:t>
      </w:r>
      <w:proofErr w:type="spellStart"/>
      <w:r w:rsidRPr="003920D7">
        <w:rPr>
          <w:lang w:val="en-GB"/>
        </w:rPr>
        <w:t>Stelco’s</w:t>
      </w:r>
      <w:proofErr w:type="spellEnd"/>
      <w:r w:rsidRPr="003920D7">
        <w:rPr>
          <w:lang w:val="en-GB"/>
        </w:rPr>
        <w:t xml:space="preserve"> subsidiaries that matured between 2003 and 2004. </w:t>
      </w:r>
      <w:r w:rsidRPr="003920D7">
        <w:rPr>
          <w:color w:val="000000"/>
          <w:lang w:val="en-GB"/>
        </w:rPr>
        <w:t xml:space="preserve">The revolver was secured by a first charge (or claim) on </w:t>
      </w:r>
      <w:proofErr w:type="spellStart"/>
      <w:r w:rsidRPr="003920D7">
        <w:rPr>
          <w:color w:val="000000"/>
          <w:lang w:val="en-GB"/>
        </w:rPr>
        <w:t>Stelco’s</w:t>
      </w:r>
      <w:proofErr w:type="spellEnd"/>
      <w:r w:rsidRPr="003920D7">
        <w:rPr>
          <w:color w:val="000000"/>
          <w:lang w:val="en-GB"/>
        </w:rPr>
        <w:t xml:space="preserve"> receivables and inventory</w:t>
      </w:r>
      <w:r w:rsidR="00D252A3" w:rsidRPr="003920D7">
        <w:rPr>
          <w:color w:val="000000"/>
          <w:lang w:val="en-GB"/>
        </w:rPr>
        <w:t>,</w:t>
      </w:r>
      <w:r w:rsidRPr="003920D7">
        <w:rPr>
          <w:color w:val="000000"/>
          <w:lang w:val="en-GB"/>
        </w:rPr>
        <w:t xml:space="preserve"> and a second charge on the property, plant</w:t>
      </w:r>
      <w:r w:rsidR="00D252A3" w:rsidRPr="003920D7">
        <w:rPr>
          <w:color w:val="000000"/>
          <w:lang w:val="en-GB"/>
        </w:rPr>
        <w:t>,</w:t>
      </w:r>
      <w:r w:rsidRPr="003920D7">
        <w:rPr>
          <w:color w:val="000000"/>
          <w:lang w:val="en-GB"/>
        </w:rPr>
        <w:t xml:space="preserve"> and equipment of </w:t>
      </w:r>
      <w:proofErr w:type="spellStart"/>
      <w:r w:rsidRPr="003920D7">
        <w:rPr>
          <w:color w:val="000000"/>
          <w:lang w:val="en-GB"/>
        </w:rPr>
        <w:t>Stelco</w:t>
      </w:r>
      <w:proofErr w:type="spellEnd"/>
      <w:r w:rsidRPr="003920D7">
        <w:rPr>
          <w:color w:val="000000"/>
          <w:lang w:val="en-GB"/>
        </w:rPr>
        <w:t xml:space="preserve"> and its subsidiaries. Additionally, the revolver was secured by a second pledge of the shares of certain </w:t>
      </w:r>
      <w:proofErr w:type="spellStart"/>
      <w:r w:rsidRPr="003920D7">
        <w:rPr>
          <w:color w:val="000000"/>
          <w:lang w:val="en-GB"/>
        </w:rPr>
        <w:t>Stelco</w:t>
      </w:r>
      <w:proofErr w:type="spellEnd"/>
      <w:r w:rsidRPr="003920D7">
        <w:rPr>
          <w:color w:val="000000"/>
          <w:lang w:val="en-GB"/>
        </w:rPr>
        <w:t xml:space="preserve"> subsidiaries and liens against their assets. </w:t>
      </w:r>
      <w:r w:rsidRPr="003920D7">
        <w:rPr>
          <w:lang w:val="en-GB"/>
        </w:rPr>
        <w:t xml:space="preserve">The average interest rate on the revolver was 5.36 per cent. As of September 30, 2003, $178 million was drawn on the revolver. By mid-November 2003, </w:t>
      </w:r>
      <w:proofErr w:type="spellStart"/>
      <w:r w:rsidRPr="003920D7">
        <w:rPr>
          <w:lang w:val="en-GB"/>
        </w:rPr>
        <w:t>Stelco</w:t>
      </w:r>
      <w:proofErr w:type="spellEnd"/>
      <w:r w:rsidRPr="003920D7">
        <w:rPr>
          <w:lang w:val="en-GB"/>
        </w:rPr>
        <w:t xml:space="preserve"> was in the process of negotiating a one</w:t>
      </w:r>
      <w:r w:rsidR="00D252A3" w:rsidRPr="003920D7">
        <w:rPr>
          <w:lang w:val="en-GB"/>
        </w:rPr>
        <w:t>-</w:t>
      </w:r>
      <w:r w:rsidRPr="003920D7">
        <w:rPr>
          <w:lang w:val="en-GB"/>
        </w:rPr>
        <w:t xml:space="preserve">year extension, but these negotiations were complicated by the fact that </w:t>
      </w:r>
      <w:proofErr w:type="spellStart"/>
      <w:r w:rsidRPr="003920D7">
        <w:rPr>
          <w:lang w:val="en-GB"/>
        </w:rPr>
        <w:t>Stelco’s</w:t>
      </w:r>
      <w:proofErr w:type="spellEnd"/>
      <w:r w:rsidRPr="003920D7">
        <w:rPr>
          <w:lang w:val="en-GB"/>
        </w:rPr>
        <w:t xml:space="preserve"> wholly</w:t>
      </w:r>
      <w:r w:rsidR="008B6289">
        <w:rPr>
          <w:lang w:val="en-GB"/>
        </w:rPr>
        <w:t xml:space="preserve"> </w:t>
      </w:r>
      <w:r w:rsidRPr="003920D7">
        <w:rPr>
          <w:lang w:val="en-GB"/>
        </w:rPr>
        <w:t xml:space="preserve">owned Quebec subsidiary, </w:t>
      </w:r>
      <w:proofErr w:type="spellStart"/>
      <w:r w:rsidRPr="003920D7">
        <w:rPr>
          <w:lang w:val="en-GB"/>
        </w:rPr>
        <w:t>Stelco</w:t>
      </w:r>
      <w:proofErr w:type="spellEnd"/>
      <w:r w:rsidRPr="003920D7">
        <w:rPr>
          <w:lang w:val="en-GB"/>
        </w:rPr>
        <w:t xml:space="preserve">-McMaster </w:t>
      </w:r>
      <w:proofErr w:type="spellStart"/>
      <w:r w:rsidRPr="003920D7">
        <w:rPr>
          <w:lang w:val="en-GB"/>
        </w:rPr>
        <w:t>Lt</w:t>
      </w:r>
      <w:r w:rsidR="00D252A3" w:rsidRPr="003920D7">
        <w:rPr>
          <w:lang w:val="en-GB"/>
        </w:rPr>
        <w:t>é</w:t>
      </w:r>
      <w:r w:rsidRPr="003920D7">
        <w:rPr>
          <w:lang w:val="en-GB"/>
        </w:rPr>
        <w:t>e</w:t>
      </w:r>
      <w:proofErr w:type="spellEnd"/>
      <w:r w:rsidRPr="003920D7">
        <w:rPr>
          <w:lang w:val="en-GB"/>
        </w:rPr>
        <w:t xml:space="preserve">., was in default on its line of credit facility. The banks had given </w:t>
      </w:r>
      <w:proofErr w:type="spellStart"/>
      <w:r w:rsidRPr="003920D7">
        <w:rPr>
          <w:lang w:val="en-GB"/>
        </w:rPr>
        <w:t>Stelco</w:t>
      </w:r>
      <w:proofErr w:type="spellEnd"/>
      <w:r w:rsidRPr="003920D7">
        <w:rPr>
          <w:lang w:val="en-GB"/>
        </w:rPr>
        <w:t xml:space="preserve"> a waiver until year-end 2003 to sort out</w:t>
      </w:r>
      <w:r w:rsidR="00B05F36">
        <w:rPr>
          <w:lang w:val="en-GB"/>
        </w:rPr>
        <w:t xml:space="preserve"> the situation</w:t>
      </w:r>
      <w:r w:rsidRPr="003920D7">
        <w:rPr>
          <w:lang w:val="en-GB"/>
        </w:rPr>
        <w:t xml:space="preserve">. </w:t>
      </w:r>
      <w:proofErr w:type="spellStart"/>
      <w:r w:rsidRPr="003920D7">
        <w:rPr>
          <w:lang w:val="en-GB"/>
        </w:rPr>
        <w:t>Stelco</w:t>
      </w:r>
      <w:proofErr w:type="spellEnd"/>
      <w:r w:rsidRPr="003920D7">
        <w:rPr>
          <w:lang w:val="en-GB"/>
        </w:rPr>
        <w:t xml:space="preserve"> had a total of seven term loans with various banks tota</w:t>
      </w:r>
      <w:r w:rsidR="00D252A3" w:rsidRPr="003920D7">
        <w:rPr>
          <w:lang w:val="en-GB"/>
        </w:rPr>
        <w:t>l</w:t>
      </w:r>
      <w:r w:rsidRPr="003920D7">
        <w:rPr>
          <w:lang w:val="en-GB"/>
        </w:rPr>
        <w:t>ling $151 million. These loans matured between November 2003 and January 2008. Two of the term loans paid floating rates of interest. The remaining loans paid fixed rates of interest ranging from a low of 6.20</w:t>
      </w:r>
      <w:r w:rsidR="00D252A3" w:rsidRPr="003920D7">
        <w:rPr>
          <w:lang w:val="en-GB"/>
        </w:rPr>
        <w:t xml:space="preserve"> per cent</w:t>
      </w:r>
      <w:r w:rsidRPr="003920D7">
        <w:rPr>
          <w:lang w:val="en-GB"/>
        </w:rPr>
        <w:t xml:space="preserve"> to a high of 7.75</w:t>
      </w:r>
      <w:r w:rsidR="00D252A3" w:rsidRPr="003920D7">
        <w:rPr>
          <w:lang w:val="en-GB"/>
        </w:rPr>
        <w:t xml:space="preserve"> per cent</w:t>
      </w:r>
      <w:r w:rsidRPr="003920D7">
        <w:rPr>
          <w:lang w:val="en-GB"/>
        </w:rPr>
        <w:t xml:space="preserve">. In addition, </w:t>
      </w:r>
      <w:proofErr w:type="spellStart"/>
      <w:r w:rsidRPr="003920D7">
        <w:rPr>
          <w:lang w:val="en-GB"/>
        </w:rPr>
        <w:t>Stelco</w:t>
      </w:r>
      <w:proofErr w:type="spellEnd"/>
      <w:r w:rsidRPr="003920D7">
        <w:rPr>
          <w:lang w:val="en-GB"/>
        </w:rPr>
        <w:t xml:space="preserve"> had borrowed $21 million from EDS Canada</w:t>
      </w:r>
      <w:r w:rsidR="00620FAB" w:rsidRPr="003920D7">
        <w:rPr>
          <w:lang w:val="en-GB"/>
        </w:rPr>
        <w:t xml:space="preserve"> Inc.</w:t>
      </w:r>
      <w:r w:rsidRPr="003920D7">
        <w:rPr>
          <w:lang w:val="en-GB"/>
        </w:rPr>
        <w:t xml:space="preserve"> to finance a 10-year enterprise computer system</w:t>
      </w:r>
      <w:r w:rsidR="00620FAB" w:rsidRPr="003920D7">
        <w:rPr>
          <w:lang w:val="en-GB"/>
        </w:rPr>
        <w:t>,</w:t>
      </w:r>
      <w:r w:rsidRPr="003920D7">
        <w:rPr>
          <w:lang w:val="en-GB"/>
        </w:rPr>
        <w:t xml:space="preserve"> with repayment commencing in October 2004.</w:t>
      </w:r>
    </w:p>
    <w:p w14:paraId="4DBD300C" w14:textId="77777777" w:rsidR="00ED7922" w:rsidRDefault="00ED7922" w:rsidP="00ED7922">
      <w:pPr>
        <w:pStyle w:val="BodyTextMain"/>
        <w:rPr>
          <w:lang w:val="en-GB"/>
        </w:rPr>
      </w:pPr>
    </w:p>
    <w:p w14:paraId="4503271B" w14:textId="77777777" w:rsidR="00382931" w:rsidRPr="003920D7" w:rsidRDefault="00382931" w:rsidP="00ED7922">
      <w:pPr>
        <w:pStyle w:val="BodyTextMain"/>
        <w:rPr>
          <w:lang w:val="en-GB"/>
        </w:rPr>
      </w:pPr>
    </w:p>
    <w:p w14:paraId="64501B8F" w14:textId="71C2FC5D" w:rsidR="00ED7922" w:rsidRPr="003920D7" w:rsidRDefault="00ED7922" w:rsidP="00382931">
      <w:pPr>
        <w:pStyle w:val="Casehead2"/>
        <w:keepNext/>
        <w:rPr>
          <w:bCs/>
          <w:lang w:val="en-GB"/>
        </w:rPr>
      </w:pPr>
      <w:r w:rsidRPr="003920D7">
        <w:rPr>
          <w:lang w:val="en-GB"/>
        </w:rPr>
        <w:lastRenderedPageBreak/>
        <w:t xml:space="preserve">Bonds and </w:t>
      </w:r>
      <w:r w:rsidR="00D252A3" w:rsidRPr="003920D7">
        <w:rPr>
          <w:lang w:val="en-GB"/>
        </w:rPr>
        <w:t>D</w:t>
      </w:r>
      <w:r w:rsidRPr="003920D7">
        <w:rPr>
          <w:lang w:val="en-GB"/>
        </w:rPr>
        <w:t>ebentures</w:t>
      </w:r>
    </w:p>
    <w:p w14:paraId="6DE90A95" w14:textId="77777777" w:rsidR="00ED7922" w:rsidRPr="003920D7" w:rsidRDefault="00ED7922" w:rsidP="00382931">
      <w:pPr>
        <w:pStyle w:val="BodyTextMain"/>
        <w:keepNext/>
        <w:rPr>
          <w:lang w:val="en-GB"/>
        </w:rPr>
      </w:pPr>
    </w:p>
    <w:p w14:paraId="703E1A15" w14:textId="74725B47" w:rsidR="00ED7922" w:rsidRPr="00382931" w:rsidRDefault="00ED7922" w:rsidP="00382931">
      <w:pPr>
        <w:pStyle w:val="BodyTextMain"/>
        <w:keepNext/>
        <w:rPr>
          <w:spacing w:val="-2"/>
          <w:lang w:val="en-GB"/>
        </w:rPr>
      </w:pPr>
      <w:proofErr w:type="spellStart"/>
      <w:r w:rsidRPr="00382931">
        <w:rPr>
          <w:spacing w:val="-2"/>
          <w:lang w:val="en-GB"/>
        </w:rPr>
        <w:t>Stelco</w:t>
      </w:r>
      <w:proofErr w:type="spellEnd"/>
      <w:r w:rsidRPr="00382931">
        <w:rPr>
          <w:spacing w:val="-2"/>
          <w:lang w:val="en-GB"/>
        </w:rPr>
        <w:t xml:space="preserve"> had two publicly</w:t>
      </w:r>
      <w:r w:rsidR="008B6289" w:rsidRPr="00382931">
        <w:rPr>
          <w:spacing w:val="-2"/>
          <w:lang w:val="en-GB"/>
        </w:rPr>
        <w:t xml:space="preserve"> </w:t>
      </w:r>
      <w:r w:rsidRPr="00382931">
        <w:rPr>
          <w:spacing w:val="-2"/>
          <w:lang w:val="en-GB"/>
        </w:rPr>
        <w:t>traded bonds outstanding: $125 million of 8.0</w:t>
      </w:r>
      <w:r w:rsidR="008B6289" w:rsidRPr="00382931">
        <w:rPr>
          <w:spacing w:val="-2"/>
          <w:lang w:val="en-GB"/>
        </w:rPr>
        <w:t xml:space="preserve"> </w:t>
      </w:r>
      <w:r w:rsidR="00440A2C" w:rsidRPr="00382931">
        <w:rPr>
          <w:spacing w:val="-2"/>
          <w:lang w:val="en-GB"/>
        </w:rPr>
        <w:t>per</w:t>
      </w:r>
      <w:r w:rsidR="008B6289" w:rsidRPr="00382931">
        <w:rPr>
          <w:spacing w:val="-2"/>
          <w:lang w:val="en-GB"/>
        </w:rPr>
        <w:t xml:space="preserve"> </w:t>
      </w:r>
      <w:r w:rsidR="00440A2C" w:rsidRPr="00382931">
        <w:rPr>
          <w:spacing w:val="-2"/>
          <w:lang w:val="en-GB"/>
        </w:rPr>
        <w:t>cent</w:t>
      </w:r>
      <w:r w:rsidRPr="00382931">
        <w:rPr>
          <w:spacing w:val="-2"/>
          <w:lang w:val="en-GB"/>
        </w:rPr>
        <w:t xml:space="preserve"> </w:t>
      </w:r>
      <w:r w:rsidR="00440A2C" w:rsidRPr="00382931">
        <w:rPr>
          <w:spacing w:val="-2"/>
          <w:lang w:val="en-GB"/>
        </w:rPr>
        <w:t>s</w:t>
      </w:r>
      <w:r w:rsidRPr="00382931">
        <w:rPr>
          <w:spacing w:val="-2"/>
          <w:lang w:val="en-GB"/>
        </w:rPr>
        <w:t xml:space="preserve">enior </w:t>
      </w:r>
      <w:r w:rsidR="00440A2C" w:rsidRPr="00382931">
        <w:rPr>
          <w:spacing w:val="-2"/>
          <w:lang w:val="en-GB"/>
        </w:rPr>
        <w:t>u</w:t>
      </w:r>
      <w:r w:rsidRPr="00382931">
        <w:rPr>
          <w:spacing w:val="-2"/>
          <w:lang w:val="en-GB"/>
        </w:rPr>
        <w:t xml:space="preserve">nsecured </w:t>
      </w:r>
      <w:r w:rsidR="00440A2C" w:rsidRPr="00382931">
        <w:rPr>
          <w:spacing w:val="-2"/>
          <w:lang w:val="en-GB"/>
        </w:rPr>
        <w:t>d</w:t>
      </w:r>
      <w:r w:rsidRPr="00382931">
        <w:rPr>
          <w:spacing w:val="-2"/>
          <w:lang w:val="en-GB"/>
        </w:rPr>
        <w:t xml:space="preserve">ebentures that </w:t>
      </w:r>
      <w:r w:rsidR="00B05F36" w:rsidRPr="00382931">
        <w:rPr>
          <w:spacing w:val="-2"/>
          <w:lang w:val="en-GB"/>
        </w:rPr>
        <w:t xml:space="preserve">would </w:t>
      </w:r>
      <w:r w:rsidRPr="00382931">
        <w:rPr>
          <w:spacing w:val="-2"/>
          <w:lang w:val="en-GB"/>
        </w:rPr>
        <w:t>mature in 2006</w:t>
      </w:r>
      <w:r w:rsidR="00440A2C" w:rsidRPr="00382931">
        <w:rPr>
          <w:spacing w:val="-2"/>
          <w:lang w:val="en-GB"/>
        </w:rPr>
        <w:t>,</w:t>
      </w:r>
      <w:r w:rsidRPr="00382931">
        <w:rPr>
          <w:spacing w:val="-2"/>
          <w:lang w:val="en-GB"/>
        </w:rPr>
        <w:t xml:space="preserve"> and $150 million of 10.4</w:t>
      </w:r>
      <w:r w:rsidR="008B6289" w:rsidRPr="00382931">
        <w:rPr>
          <w:spacing w:val="-2"/>
          <w:lang w:val="en-GB"/>
        </w:rPr>
        <w:t xml:space="preserve"> </w:t>
      </w:r>
      <w:r w:rsidR="00440A2C" w:rsidRPr="00382931">
        <w:rPr>
          <w:spacing w:val="-2"/>
          <w:lang w:val="en-GB"/>
        </w:rPr>
        <w:t>per</w:t>
      </w:r>
      <w:r w:rsidR="008B6289" w:rsidRPr="00382931">
        <w:rPr>
          <w:spacing w:val="-2"/>
          <w:lang w:val="en-GB"/>
        </w:rPr>
        <w:t xml:space="preserve"> </w:t>
      </w:r>
      <w:r w:rsidR="00440A2C" w:rsidRPr="00382931">
        <w:rPr>
          <w:spacing w:val="-2"/>
          <w:lang w:val="en-GB"/>
        </w:rPr>
        <w:t>cent</w:t>
      </w:r>
      <w:r w:rsidRPr="00382931">
        <w:rPr>
          <w:spacing w:val="-2"/>
          <w:lang w:val="en-GB"/>
        </w:rPr>
        <w:t xml:space="preserve"> </w:t>
      </w:r>
      <w:r w:rsidR="00440A2C" w:rsidRPr="00382931">
        <w:rPr>
          <w:spacing w:val="-2"/>
          <w:lang w:val="en-GB"/>
        </w:rPr>
        <w:t>s</w:t>
      </w:r>
      <w:r w:rsidRPr="00382931">
        <w:rPr>
          <w:spacing w:val="-2"/>
          <w:lang w:val="en-GB"/>
        </w:rPr>
        <w:t xml:space="preserve">enior </w:t>
      </w:r>
      <w:r w:rsidR="00440A2C" w:rsidRPr="00382931">
        <w:rPr>
          <w:spacing w:val="-2"/>
          <w:lang w:val="en-GB"/>
        </w:rPr>
        <w:t>u</w:t>
      </w:r>
      <w:r w:rsidRPr="00382931">
        <w:rPr>
          <w:spacing w:val="-2"/>
          <w:lang w:val="en-GB"/>
        </w:rPr>
        <w:t xml:space="preserve">nsecured </w:t>
      </w:r>
      <w:r w:rsidR="00440A2C" w:rsidRPr="00382931">
        <w:rPr>
          <w:spacing w:val="-2"/>
          <w:lang w:val="en-GB"/>
        </w:rPr>
        <w:t>d</w:t>
      </w:r>
      <w:r w:rsidRPr="00382931">
        <w:rPr>
          <w:spacing w:val="-2"/>
          <w:lang w:val="en-GB"/>
        </w:rPr>
        <w:t xml:space="preserve">ebentures that </w:t>
      </w:r>
      <w:r w:rsidR="00B05F36" w:rsidRPr="00382931">
        <w:rPr>
          <w:spacing w:val="-2"/>
          <w:lang w:val="en-GB"/>
        </w:rPr>
        <w:t xml:space="preserve">would </w:t>
      </w:r>
      <w:r w:rsidRPr="00382931">
        <w:rPr>
          <w:spacing w:val="-2"/>
          <w:lang w:val="en-GB"/>
        </w:rPr>
        <w:t xml:space="preserve">mature in 2009. </w:t>
      </w:r>
      <w:proofErr w:type="spellStart"/>
      <w:r w:rsidRPr="00382931">
        <w:rPr>
          <w:spacing w:val="-2"/>
          <w:lang w:val="en-GB"/>
        </w:rPr>
        <w:t>Stelco’s</w:t>
      </w:r>
      <w:proofErr w:type="spellEnd"/>
      <w:r w:rsidRPr="00382931">
        <w:rPr>
          <w:spacing w:val="-2"/>
          <w:lang w:val="en-GB"/>
        </w:rPr>
        <w:t xml:space="preserve"> bonds had a </w:t>
      </w:r>
      <w:r w:rsidR="008B6289" w:rsidRPr="00382931">
        <w:rPr>
          <w:spacing w:val="-2"/>
          <w:lang w:val="en-GB"/>
        </w:rPr>
        <w:t>several</w:t>
      </w:r>
      <w:r w:rsidRPr="00382931">
        <w:rPr>
          <w:spacing w:val="-2"/>
          <w:lang w:val="en-GB"/>
        </w:rPr>
        <w:t xml:space="preserve"> important covenants specified in the bond indenture</w:t>
      </w:r>
      <w:r w:rsidR="008B6289" w:rsidRPr="00382931">
        <w:rPr>
          <w:spacing w:val="-2"/>
          <w:lang w:val="en-GB"/>
        </w:rPr>
        <w:t>,</w:t>
      </w:r>
      <w:r w:rsidRPr="00382931">
        <w:rPr>
          <w:spacing w:val="-2"/>
          <w:lang w:val="en-GB"/>
        </w:rPr>
        <w:t xml:space="preserve"> including a negative pledge on fixed assets. The bonds would trigger an event of default if </w:t>
      </w:r>
      <w:proofErr w:type="spellStart"/>
      <w:r w:rsidRPr="00382931">
        <w:rPr>
          <w:spacing w:val="-2"/>
          <w:lang w:val="en-GB"/>
        </w:rPr>
        <w:t>Stelco</w:t>
      </w:r>
      <w:proofErr w:type="spellEnd"/>
      <w:r w:rsidRPr="00382931">
        <w:rPr>
          <w:spacing w:val="-2"/>
          <w:lang w:val="en-GB"/>
        </w:rPr>
        <w:t xml:space="preserve"> missed an interest payment after a 30-day period. A note to the financial statements in the</w:t>
      </w:r>
      <w:r w:rsidR="00440A2C" w:rsidRPr="00382931">
        <w:rPr>
          <w:spacing w:val="-2"/>
          <w:lang w:val="en-GB"/>
        </w:rPr>
        <w:t xml:space="preserve"> company’s</w:t>
      </w:r>
      <w:r w:rsidRPr="00382931">
        <w:rPr>
          <w:spacing w:val="-2"/>
          <w:lang w:val="en-GB"/>
        </w:rPr>
        <w:t xml:space="preserve"> </w:t>
      </w:r>
      <w:r w:rsidRPr="00382931">
        <w:rPr>
          <w:i/>
          <w:spacing w:val="-2"/>
          <w:lang w:val="en-GB"/>
        </w:rPr>
        <w:t>Annual Report</w:t>
      </w:r>
      <w:r w:rsidR="00923C0B" w:rsidRPr="00382931">
        <w:rPr>
          <w:i/>
          <w:spacing w:val="-2"/>
          <w:lang w:val="en-GB"/>
        </w:rPr>
        <w:t xml:space="preserve"> 2002</w:t>
      </w:r>
      <w:r w:rsidRPr="00382931">
        <w:rPr>
          <w:spacing w:val="-2"/>
          <w:lang w:val="en-GB"/>
        </w:rPr>
        <w:t xml:space="preserve"> stated:</w:t>
      </w:r>
    </w:p>
    <w:p w14:paraId="4DB4C44C" w14:textId="77777777" w:rsidR="00620FAB" w:rsidRPr="003920D7" w:rsidRDefault="00620FAB" w:rsidP="00ED7922">
      <w:pPr>
        <w:pStyle w:val="BodyTextMain"/>
        <w:ind w:left="720"/>
        <w:rPr>
          <w:lang w:val="en-GB"/>
        </w:rPr>
      </w:pPr>
    </w:p>
    <w:p w14:paraId="3437C6D1" w14:textId="77777777" w:rsidR="00ED7922" w:rsidRPr="003920D7" w:rsidRDefault="00ED7922" w:rsidP="00ED7922">
      <w:pPr>
        <w:pStyle w:val="BodyTextMain"/>
        <w:ind w:left="720"/>
        <w:rPr>
          <w:lang w:val="en-GB"/>
        </w:rPr>
      </w:pPr>
      <w:r w:rsidRPr="003920D7">
        <w:rPr>
          <w:lang w:val="en-GB"/>
        </w:rPr>
        <w:t>Throughout the life of the Debentures, upon the occurrence of both a designated event and a rating decline, a holder of Debentures may require the Corporation to purchase all or any portion of such holder’s Debentures unless a rating recovery has occurred. For these purposes, designated event includes significant changes in ownership, control or structure of the Corporation or membership of the Board of Directors or certain distributions of cash, property, or securities excluding regular dividends and distributions of non-redeemable and non-retractable shares of the Corporation.</w:t>
      </w:r>
      <w:r w:rsidRPr="003920D7">
        <w:rPr>
          <w:rStyle w:val="FootnoteReference"/>
          <w:lang w:val="en-GB"/>
        </w:rPr>
        <w:footnoteReference w:id="13"/>
      </w:r>
    </w:p>
    <w:p w14:paraId="5AD30635" w14:textId="77777777" w:rsidR="00ED7922" w:rsidRPr="003920D7" w:rsidRDefault="00ED7922" w:rsidP="00ED7922">
      <w:pPr>
        <w:pStyle w:val="BodyTextMain"/>
        <w:rPr>
          <w:lang w:val="en-GB"/>
        </w:rPr>
      </w:pPr>
    </w:p>
    <w:p w14:paraId="6CA207A0" w14:textId="317B7A6C" w:rsidR="00ED7922" w:rsidRPr="003920D7" w:rsidRDefault="00ED7922" w:rsidP="00ED7922">
      <w:pPr>
        <w:pStyle w:val="BodyTextMain"/>
        <w:rPr>
          <w:color w:val="000000"/>
          <w:lang w:val="en-GB"/>
        </w:rPr>
      </w:pPr>
      <w:r w:rsidRPr="003920D7">
        <w:rPr>
          <w:color w:val="000000"/>
          <w:lang w:val="en-GB"/>
        </w:rPr>
        <w:t>In January 2002</w:t>
      </w:r>
      <w:r w:rsidR="00FF7152" w:rsidRPr="003920D7">
        <w:rPr>
          <w:color w:val="000000"/>
          <w:lang w:val="en-GB"/>
        </w:rPr>
        <w:t>,</w:t>
      </w:r>
      <w:r w:rsidRPr="003920D7">
        <w:rPr>
          <w:color w:val="000000"/>
          <w:lang w:val="en-GB"/>
        </w:rPr>
        <w:t xml:space="preserve"> </w:t>
      </w:r>
      <w:proofErr w:type="spellStart"/>
      <w:r w:rsidRPr="003920D7">
        <w:rPr>
          <w:color w:val="000000"/>
          <w:lang w:val="en-GB"/>
        </w:rPr>
        <w:t>Stelco</w:t>
      </w:r>
      <w:proofErr w:type="spellEnd"/>
      <w:r w:rsidRPr="003920D7">
        <w:rPr>
          <w:color w:val="000000"/>
          <w:lang w:val="en-GB"/>
        </w:rPr>
        <w:t xml:space="preserve"> issued $90 million of 9.50</w:t>
      </w:r>
      <w:r w:rsidR="008B6289">
        <w:rPr>
          <w:color w:val="000000"/>
          <w:lang w:val="en-GB"/>
        </w:rPr>
        <w:t xml:space="preserve"> </w:t>
      </w:r>
      <w:r w:rsidRPr="003920D7">
        <w:rPr>
          <w:color w:val="000000"/>
          <w:lang w:val="en-GB"/>
        </w:rPr>
        <w:t>per</w:t>
      </w:r>
      <w:r w:rsidR="008B6289">
        <w:rPr>
          <w:color w:val="000000"/>
          <w:lang w:val="en-GB"/>
        </w:rPr>
        <w:t xml:space="preserve"> </w:t>
      </w:r>
      <w:r w:rsidRPr="003920D7">
        <w:rPr>
          <w:color w:val="000000"/>
          <w:lang w:val="en-GB"/>
        </w:rPr>
        <w:t xml:space="preserve">cent </w:t>
      </w:r>
      <w:r w:rsidR="00FF7152" w:rsidRPr="003920D7">
        <w:rPr>
          <w:color w:val="000000"/>
          <w:lang w:val="en-GB"/>
        </w:rPr>
        <w:t>c</w:t>
      </w:r>
      <w:r w:rsidRPr="003920D7">
        <w:rPr>
          <w:color w:val="000000"/>
          <w:lang w:val="en-GB"/>
        </w:rPr>
        <w:t xml:space="preserve">onvertible </w:t>
      </w:r>
      <w:r w:rsidR="00FF7152" w:rsidRPr="003920D7">
        <w:rPr>
          <w:color w:val="000000"/>
          <w:lang w:val="en-GB"/>
        </w:rPr>
        <w:t>u</w:t>
      </w:r>
      <w:r w:rsidRPr="003920D7">
        <w:rPr>
          <w:color w:val="000000"/>
          <w:lang w:val="en-GB"/>
        </w:rPr>
        <w:t xml:space="preserve">nsecured </w:t>
      </w:r>
      <w:r w:rsidR="00FF7152" w:rsidRPr="003920D7">
        <w:rPr>
          <w:color w:val="000000"/>
          <w:lang w:val="en-GB"/>
        </w:rPr>
        <w:t>s</w:t>
      </w:r>
      <w:r w:rsidRPr="003920D7">
        <w:rPr>
          <w:color w:val="000000"/>
          <w:lang w:val="en-GB"/>
        </w:rPr>
        <w:t xml:space="preserve">ubordinated </w:t>
      </w:r>
      <w:r w:rsidR="00FF7152" w:rsidRPr="003920D7">
        <w:rPr>
          <w:color w:val="000000"/>
          <w:lang w:val="en-GB"/>
        </w:rPr>
        <w:t>d</w:t>
      </w:r>
      <w:r w:rsidRPr="003920D7">
        <w:rPr>
          <w:color w:val="000000"/>
          <w:lang w:val="en-GB"/>
        </w:rPr>
        <w:t xml:space="preserve">ebentures </w:t>
      </w:r>
      <w:r w:rsidRPr="003920D7">
        <w:rPr>
          <w:lang w:val="en-GB"/>
        </w:rPr>
        <w:t>that matured in 2007</w:t>
      </w:r>
      <w:r w:rsidRPr="003920D7">
        <w:rPr>
          <w:color w:val="000000"/>
          <w:lang w:val="en-GB"/>
        </w:rPr>
        <w:t xml:space="preserve">. These debentures were convertible at any time prior to maturity into Series </w:t>
      </w:r>
      <w:proofErr w:type="gramStart"/>
      <w:r w:rsidRPr="003920D7">
        <w:rPr>
          <w:color w:val="000000"/>
          <w:lang w:val="en-GB"/>
        </w:rPr>
        <w:t>A</w:t>
      </w:r>
      <w:proofErr w:type="gramEnd"/>
      <w:r w:rsidRPr="003920D7">
        <w:rPr>
          <w:color w:val="000000"/>
          <w:lang w:val="en-GB"/>
        </w:rPr>
        <w:t xml:space="preserve"> common shares</w:t>
      </w:r>
      <w:r w:rsidR="00FF7152" w:rsidRPr="003920D7">
        <w:rPr>
          <w:color w:val="000000"/>
          <w:lang w:val="en-GB"/>
        </w:rPr>
        <w:t>,</w:t>
      </w:r>
      <w:r w:rsidRPr="003920D7">
        <w:rPr>
          <w:color w:val="000000"/>
          <w:lang w:val="en-GB"/>
        </w:rPr>
        <w:t xml:space="preserve"> at the option of the holder</w:t>
      </w:r>
      <w:r w:rsidR="00FF7152" w:rsidRPr="003920D7">
        <w:rPr>
          <w:color w:val="000000"/>
          <w:lang w:val="en-GB"/>
        </w:rPr>
        <w:t>,</w:t>
      </w:r>
      <w:r w:rsidRPr="003920D7">
        <w:rPr>
          <w:color w:val="000000"/>
          <w:lang w:val="en-GB"/>
        </w:rPr>
        <w:t xml:space="preserve"> at a conversion price of $4.50 per share. </w:t>
      </w:r>
      <w:proofErr w:type="spellStart"/>
      <w:r w:rsidRPr="003920D7">
        <w:rPr>
          <w:color w:val="000000"/>
          <w:lang w:val="en-GB"/>
        </w:rPr>
        <w:t>Stelco</w:t>
      </w:r>
      <w:proofErr w:type="spellEnd"/>
      <w:r w:rsidRPr="003920D7">
        <w:rPr>
          <w:color w:val="000000"/>
          <w:lang w:val="en-GB"/>
        </w:rPr>
        <w:t xml:space="preserve"> had the option to repay the principal amount of the debentures, at redemption or maturity, in cash or by the issuance of shares to the holder.</w:t>
      </w:r>
    </w:p>
    <w:p w14:paraId="2047E83F" w14:textId="77777777" w:rsidR="00ED7922" w:rsidRPr="003920D7" w:rsidRDefault="00ED7922" w:rsidP="00ED7922">
      <w:pPr>
        <w:pStyle w:val="BodyTextMain"/>
        <w:rPr>
          <w:color w:val="000000"/>
          <w:lang w:val="en-GB"/>
        </w:rPr>
      </w:pPr>
    </w:p>
    <w:p w14:paraId="01A584F1" w14:textId="77777777" w:rsidR="00ED7922" w:rsidRPr="003920D7" w:rsidRDefault="00ED7922" w:rsidP="00ED7922">
      <w:pPr>
        <w:pStyle w:val="BodyTextMain"/>
        <w:rPr>
          <w:color w:val="000000"/>
          <w:lang w:val="en-GB"/>
        </w:rPr>
      </w:pPr>
    </w:p>
    <w:p w14:paraId="1F0B864E" w14:textId="77777777" w:rsidR="00ED7922" w:rsidRPr="003920D7" w:rsidRDefault="00ED7922" w:rsidP="00ED7922">
      <w:pPr>
        <w:pStyle w:val="Casehead2"/>
        <w:rPr>
          <w:bCs/>
          <w:lang w:val="en-GB"/>
        </w:rPr>
      </w:pPr>
      <w:r w:rsidRPr="003920D7">
        <w:rPr>
          <w:lang w:val="en-GB"/>
        </w:rPr>
        <w:t>Common Shares</w:t>
      </w:r>
    </w:p>
    <w:p w14:paraId="45E9D30A" w14:textId="77777777" w:rsidR="00ED7922" w:rsidRPr="003920D7" w:rsidRDefault="00ED7922" w:rsidP="00ED7922">
      <w:pPr>
        <w:pStyle w:val="BodyTextMain"/>
        <w:rPr>
          <w:lang w:val="en-GB"/>
        </w:rPr>
      </w:pPr>
    </w:p>
    <w:p w14:paraId="182C1782" w14:textId="4A58F7B5" w:rsidR="00ED7922" w:rsidRPr="003920D7" w:rsidRDefault="00ED7922" w:rsidP="00ED7922">
      <w:pPr>
        <w:pStyle w:val="BodyTextMain"/>
        <w:rPr>
          <w:color w:val="000000"/>
          <w:lang w:val="en-GB"/>
        </w:rPr>
      </w:pPr>
      <w:proofErr w:type="spellStart"/>
      <w:r w:rsidRPr="003920D7">
        <w:rPr>
          <w:lang w:val="en-GB"/>
        </w:rPr>
        <w:t>Stelco</w:t>
      </w:r>
      <w:proofErr w:type="spellEnd"/>
      <w:r w:rsidRPr="003920D7">
        <w:rPr>
          <w:lang w:val="en-GB"/>
        </w:rPr>
        <w:t xml:space="preserve"> had two classes of common shares traded on the TSX</w:t>
      </w:r>
      <w:r w:rsidR="00FF7152" w:rsidRPr="003920D7">
        <w:rPr>
          <w:lang w:val="en-GB"/>
        </w:rPr>
        <w:t>:</w:t>
      </w:r>
      <w:r w:rsidRPr="003920D7">
        <w:rPr>
          <w:lang w:val="en-GB"/>
        </w:rPr>
        <w:t xml:space="preserve"> Series A (ticker: STE.A) and Series B (ticker: STE.B). </w:t>
      </w:r>
      <w:r w:rsidRPr="003920D7">
        <w:rPr>
          <w:color w:val="000000"/>
          <w:lang w:val="en-GB"/>
        </w:rPr>
        <w:t xml:space="preserve">Each class of common shares was voting and </w:t>
      </w:r>
      <w:r w:rsidR="00FF7152" w:rsidRPr="003920D7">
        <w:rPr>
          <w:color w:val="000000"/>
          <w:lang w:val="en-GB"/>
        </w:rPr>
        <w:t xml:space="preserve">was </w:t>
      </w:r>
      <w:r w:rsidRPr="003920D7">
        <w:rPr>
          <w:color w:val="000000"/>
          <w:lang w:val="en-GB"/>
        </w:rPr>
        <w:t xml:space="preserve">convertible into one another on a share-for-share basis. The two classes ranked equally in all respects except that the dividends on the Series B could be paid by way of a stock dividend, whereas dividends on the Series A were normally payable in cash. No dividends </w:t>
      </w:r>
      <w:r w:rsidR="00FF7152" w:rsidRPr="003920D7">
        <w:rPr>
          <w:color w:val="000000"/>
          <w:lang w:val="en-GB"/>
        </w:rPr>
        <w:t>were</w:t>
      </w:r>
      <w:r w:rsidRPr="003920D7">
        <w:rPr>
          <w:color w:val="000000"/>
          <w:lang w:val="en-GB"/>
        </w:rPr>
        <w:t xml:space="preserve"> declared or paid in 2002 or 2003. As of September 30, 2003, </w:t>
      </w:r>
      <w:proofErr w:type="spellStart"/>
      <w:r w:rsidRPr="003920D7">
        <w:rPr>
          <w:color w:val="000000"/>
          <w:lang w:val="en-GB"/>
        </w:rPr>
        <w:t>Stelco</w:t>
      </w:r>
      <w:proofErr w:type="spellEnd"/>
      <w:r w:rsidRPr="003920D7">
        <w:rPr>
          <w:color w:val="000000"/>
          <w:lang w:val="en-GB"/>
        </w:rPr>
        <w:t xml:space="preserve"> had 102,017,302 Series A shares and 231,901 Series B shares issued and outstanding. </w:t>
      </w:r>
      <w:proofErr w:type="spellStart"/>
      <w:r w:rsidRPr="003920D7">
        <w:rPr>
          <w:color w:val="000000"/>
          <w:lang w:val="en-GB"/>
        </w:rPr>
        <w:t>Stelco</w:t>
      </w:r>
      <w:proofErr w:type="spellEnd"/>
      <w:r w:rsidRPr="003920D7">
        <w:rPr>
          <w:color w:val="000000"/>
          <w:lang w:val="en-GB"/>
        </w:rPr>
        <w:t xml:space="preserve"> </w:t>
      </w:r>
      <w:r w:rsidR="002902F1">
        <w:rPr>
          <w:color w:val="000000"/>
          <w:lang w:val="en-GB"/>
        </w:rPr>
        <w:t>shares were</w:t>
      </w:r>
      <w:r w:rsidR="002902F1" w:rsidRPr="003920D7">
        <w:rPr>
          <w:color w:val="000000"/>
          <w:lang w:val="en-GB"/>
        </w:rPr>
        <w:t xml:space="preserve"> </w:t>
      </w:r>
      <w:r w:rsidRPr="003920D7">
        <w:rPr>
          <w:color w:val="000000"/>
          <w:lang w:val="en-GB"/>
        </w:rPr>
        <w:t>widely</w:t>
      </w:r>
      <w:r w:rsidR="002902F1">
        <w:rPr>
          <w:color w:val="000000"/>
          <w:lang w:val="en-GB"/>
        </w:rPr>
        <w:t xml:space="preserve"> </w:t>
      </w:r>
      <w:r w:rsidRPr="003920D7">
        <w:rPr>
          <w:color w:val="000000"/>
          <w:lang w:val="en-GB"/>
        </w:rPr>
        <w:t>held</w:t>
      </w:r>
      <w:r w:rsidR="00FF7152" w:rsidRPr="003920D7">
        <w:rPr>
          <w:color w:val="000000"/>
          <w:lang w:val="en-GB"/>
        </w:rPr>
        <w:t>,</w:t>
      </w:r>
      <w:r w:rsidRPr="003920D7">
        <w:rPr>
          <w:color w:val="000000"/>
          <w:lang w:val="en-GB"/>
        </w:rPr>
        <w:t xml:space="preserve"> with no single investor owning more than 10 per cent of the voting shares.</w:t>
      </w:r>
    </w:p>
    <w:p w14:paraId="6E8EA067" w14:textId="77777777" w:rsidR="00ED7922" w:rsidRPr="003920D7" w:rsidRDefault="00ED7922" w:rsidP="00ED7922">
      <w:pPr>
        <w:pStyle w:val="BodyTextMain"/>
        <w:rPr>
          <w:lang w:val="en-GB"/>
        </w:rPr>
      </w:pPr>
    </w:p>
    <w:p w14:paraId="70AC88E0" w14:textId="2F3EA904" w:rsidR="00ED7922" w:rsidRPr="003920D7" w:rsidRDefault="00ED7922" w:rsidP="00ED7922">
      <w:pPr>
        <w:pStyle w:val="BodyTextMain"/>
        <w:rPr>
          <w:lang w:val="en-GB"/>
        </w:rPr>
      </w:pPr>
      <w:r w:rsidRPr="003920D7">
        <w:rPr>
          <w:lang w:val="en-GB"/>
        </w:rPr>
        <w:t xml:space="preserve">The holders of </w:t>
      </w:r>
      <w:proofErr w:type="spellStart"/>
      <w:r w:rsidRPr="003920D7">
        <w:rPr>
          <w:lang w:val="en-GB"/>
        </w:rPr>
        <w:t>Stelco’s</w:t>
      </w:r>
      <w:proofErr w:type="spellEnd"/>
      <w:r w:rsidRPr="003920D7">
        <w:rPr>
          <w:lang w:val="en-GB"/>
        </w:rPr>
        <w:t xml:space="preserve"> common shares had experienced a decade-long roller coaster ride</w:t>
      </w:r>
      <w:r w:rsidR="00B05F36">
        <w:rPr>
          <w:lang w:val="en-GB"/>
        </w:rPr>
        <w:t>, as the share values rose and fell</w:t>
      </w:r>
      <w:r w:rsidRPr="003920D7">
        <w:rPr>
          <w:lang w:val="en-GB"/>
        </w:rPr>
        <w:t xml:space="preserve">. Having started above $20.00 per share in 1990, </w:t>
      </w:r>
      <w:proofErr w:type="spellStart"/>
      <w:r w:rsidRPr="003920D7">
        <w:rPr>
          <w:lang w:val="en-GB"/>
        </w:rPr>
        <w:t>Stelco’s</w:t>
      </w:r>
      <w:proofErr w:type="spellEnd"/>
      <w:r w:rsidRPr="003920D7">
        <w:rPr>
          <w:lang w:val="en-GB"/>
        </w:rPr>
        <w:t xml:space="preserve"> shares fell below $1.00 per share by the end of the 1990</w:t>
      </w:r>
      <w:r w:rsidR="00FF7152" w:rsidRPr="003920D7">
        <w:rPr>
          <w:lang w:val="en-GB"/>
        </w:rPr>
        <w:t>–</w:t>
      </w:r>
      <w:r w:rsidRPr="003920D7">
        <w:rPr>
          <w:lang w:val="en-GB"/>
        </w:rPr>
        <w:t xml:space="preserve">92 recession. They recovered to a peak of $14.00 </w:t>
      </w:r>
      <w:r w:rsidR="002902F1">
        <w:rPr>
          <w:lang w:val="en-GB"/>
        </w:rPr>
        <w:t xml:space="preserve">per share </w:t>
      </w:r>
      <w:r w:rsidRPr="003920D7">
        <w:rPr>
          <w:lang w:val="en-GB"/>
        </w:rPr>
        <w:t>in 1998 before declining over the next five years to a low near $2.00 per share in October 2001. The shares then rallied above $6.00 per share by April 2002, before weakening to b</w:t>
      </w:r>
      <w:r w:rsidR="00FF7152" w:rsidRPr="003920D7">
        <w:rPr>
          <w:lang w:val="en-GB"/>
        </w:rPr>
        <w:t>e</w:t>
      </w:r>
      <w:r w:rsidRPr="003920D7">
        <w:rPr>
          <w:lang w:val="en-GB"/>
        </w:rPr>
        <w:t>low $1.00 by the summer of 2003.</w:t>
      </w:r>
      <w:r w:rsidRPr="003920D7">
        <w:rPr>
          <w:rStyle w:val="FootnoteReference"/>
          <w:lang w:val="en-GB"/>
        </w:rPr>
        <w:footnoteReference w:id="14"/>
      </w:r>
      <w:r w:rsidRPr="003920D7">
        <w:rPr>
          <w:lang w:val="en-GB"/>
        </w:rPr>
        <w:t xml:space="preserve"> Over this period</w:t>
      </w:r>
      <w:r w:rsidR="00FF7152" w:rsidRPr="003920D7">
        <w:rPr>
          <w:lang w:val="en-GB"/>
        </w:rPr>
        <w:t>,</w:t>
      </w:r>
      <w:r w:rsidRPr="003920D7">
        <w:rPr>
          <w:lang w:val="en-GB"/>
        </w:rPr>
        <w:t xml:space="preserve"> </w:t>
      </w:r>
      <w:proofErr w:type="spellStart"/>
      <w:r w:rsidRPr="003920D7">
        <w:rPr>
          <w:lang w:val="en-GB"/>
        </w:rPr>
        <w:t>Stelco</w:t>
      </w:r>
      <w:proofErr w:type="spellEnd"/>
      <w:r w:rsidRPr="003920D7">
        <w:rPr>
          <w:lang w:val="en-GB"/>
        </w:rPr>
        <w:t xml:space="preserve"> shares generated a total return of </w:t>
      </w:r>
      <w:r w:rsidR="00FF7152" w:rsidRPr="003920D7">
        <w:rPr>
          <w:lang w:val="en-GB"/>
        </w:rPr>
        <w:t>−</w:t>
      </w:r>
      <w:r w:rsidRPr="003920D7">
        <w:rPr>
          <w:lang w:val="en-GB"/>
        </w:rPr>
        <w:t xml:space="preserve">10.4 per cent per </w:t>
      </w:r>
      <w:r w:rsidR="00FF7152" w:rsidRPr="003920D7">
        <w:rPr>
          <w:lang w:val="en-GB"/>
        </w:rPr>
        <w:t>year</w:t>
      </w:r>
      <w:r w:rsidRPr="003920D7">
        <w:rPr>
          <w:lang w:val="en-GB"/>
        </w:rPr>
        <w:t xml:space="preserve">, similar to the TSX Metals </w:t>
      </w:r>
      <w:r w:rsidR="00FF7152" w:rsidRPr="003920D7">
        <w:rPr>
          <w:lang w:val="en-GB"/>
        </w:rPr>
        <w:t>&amp;</w:t>
      </w:r>
      <w:r w:rsidRPr="003920D7">
        <w:rPr>
          <w:lang w:val="en-GB"/>
        </w:rPr>
        <w:t xml:space="preserve"> Mining index but far underperforming the TSX Composite Index at +6.6 per cent per </w:t>
      </w:r>
      <w:r w:rsidR="00FF7152" w:rsidRPr="003920D7">
        <w:rPr>
          <w:lang w:val="en-GB"/>
        </w:rPr>
        <w:t>year</w:t>
      </w:r>
      <w:r w:rsidRPr="003920D7">
        <w:rPr>
          <w:lang w:val="en-GB"/>
        </w:rPr>
        <w:t xml:space="preserve"> </w:t>
      </w:r>
      <w:r w:rsidR="00FF7152" w:rsidRPr="003920D7">
        <w:rPr>
          <w:lang w:val="en-GB"/>
        </w:rPr>
        <w:t xml:space="preserve">(see </w:t>
      </w:r>
      <w:r w:rsidRPr="003920D7">
        <w:rPr>
          <w:lang w:val="en-GB"/>
        </w:rPr>
        <w:t>Exhibit 7</w:t>
      </w:r>
      <w:r w:rsidR="00FF7152" w:rsidRPr="003920D7">
        <w:rPr>
          <w:lang w:val="en-GB"/>
        </w:rPr>
        <w:t>).</w:t>
      </w:r>
    </w:p>
    <w:p w14:paraId="260BE426" w14:textId="77777777" w:rsidR="00ED7922" w:rsidRPr="003920D7" w:rsidRDefault="00ED7922" w:rsidP="00ED7922">
      <w:pPr>
        <w:pStyle w:val="BodyTextMain"/>
        <w:rPr>
          <w:color w:val="000000"/>
          <w:lang w:val="en-GB"/>
        </w:rPr>
      </w:pPr>
    </w:p>
    <w:p w14:paraId="313C5980" w14:textId="5223B544" w:rsidR="00ED7922" w:rsidRPr="003920D7" w:rsidRDefault="00ED7922" w:rsidP="00ED7922">
      <w:pPr>
        <w:pStyle w:val="BodyTextMain"/>
        <w:rPr>
          <w:color w:val="000000"/>
          <w:spacing w:val="-2"/>
          <w:lang w:val="en-GB"/>
        </w:rPr>
      </w:pPr>
      <w:r w:rsidRPr="003920D7">
        <w:rPr>
          <w:color w:val="000000"/>
          <w:spacing w:val="-2"/>
          <w:lang w:val="en-GB"/>
        </w:rPr>
        <w:t xml:space="preserve">The Quantum team noted that </w:t>
      </w:r>
      <w:proofErr w:type="spellStart"/>
      <w:r w:rsidRPr="003920D7">
        <w:rPr>
          <w:color w:val="000000"/>
          <w:spacing w:val="-2"/>
          <w:lang w:val="en-GB"/>
        </w:rPr>
        <w:t>Stelco</w:t>
      </w:r>
      <w:proofErr w:type="spellEnd"/>
      <w:r w:rsidRPr="003920D7">
        <w:rPr>
          <w:color w:val="000000"/>
          <w:spacing w:val="-2"/>
          <w:lang w:val="en-GB"/>
        </w:rPr>
        <w:t xml:space="preserve"> had adopted a shareholder rights plan (</w:t>
      </w:r>
      <w:r w:rsidR="002902F1">
        <w:rPr>
          <w:color w:val="000000"/>
          <w:spacing w:val="-2"/>
          <w:lang w:val="en-GB"/>
        </w:rPr>
        <w:t xml:space="preserve">i.e., a </w:t>
      </w:r>
      <w:r w:rsidR="00B05F36">
        <w:rPr>
          <w:color w:val="000000"/>
          <w:spacing w:val="-2"/>
          <w:lang w:val="en-GB"/>
        </w:rPr>
        <w:t xml:space="preserve">so-called </w:t>
      </w:r>
      <w:r w:rsidRPr="003920D7">
        <w:rPr>
          <w:color w:val="000000"/>
          <w:spacing w:val="-2"/>
          <w:lang w:val="en-GB"/>
        </w:rPr>
        <w:t xml:space="preserve">“poison pill”) in December 1998. This plan gave the </w:t>
      </w:r>
      <w:r w:rsidR="00DD062E" w:rsidRPr="003920D7">
        <w:rPr>
          <w:color w:val="000000"/>
          <w:spacing w:val="-2"/>
          <w:lang w:val="en-GB"/>
        </w:rPr>
        <w:t>b</w:t>
      </w:r>
      <w:r w:rsidRPr="003920D7">
        <w:rPr>
          <w:color w:val="000000"/>
          <w:spacing w:val="-2"/>
          <w:lang w:val="en-GB"/>
        </w:rPr>
        <w:t xml:space="preserve">oard of </w:t>
      </w:r>
      <w:r w:rsidR="00DD062E" w:rsidRPr="003920D7">
        <w:rPr>
          <w:color w:val="000000"/>
          <w:spacing w:val="-2"/>
          <w:lang w:val="en-GB"/>
        </w:rPr>
        <w:t>d</w:t>
      </w:r>
      <w:r w:rsidRPr="003920D7">
        <w:rPr>
          <w:color w:val="000000"/>
          <w:spacing w:val="-2"/>
          <w:lang w:val="en-GB"/>
        </w:rPr>
        <w:t xml:space="preserve">irectors and the shareholders time to consider the terms of any takeover bid and to allow more time for the </w:t>
      </w:r>
      <w:r w:rsidR="00DD062E" w:rsidRPr="003920D7">
        <w:rPr>
          <w:color w:val="000000"/>
          <w:spacing w:val="-2"/>
          <w:lang w:val="en-GB"/>
        </w:rPr>
        <w:t>b</w:t>
      </w:r>
      <w:r w:rsidRPr="003920D7">
        <w:rPr>
          <w:color w:val="000000"/>
          <w:spacing w:val="-2"/>
          <w:lang w:val="en-GB"/>
        </w:rPr>
        <w:t xml:space="preserve">oard to pursue, if appropriate, other </w:t>
      </w:r>
      <w:r w:rsidR="0072320B">
        <w:rPr>
          <w:color w:val="000000"/>
          <w:spacing w:val="-2"/>
          <w:lang w:val="en-GB"/>
        </w:rPr>
        <w:t>options</w:t>
      </w:r>
      <w:r w:rsidR="0072320B" w:rsidRPr="003920D7">
        <w:rPr>
          <w:color w:val="000000"/>
          <w:spacing w:val="-2"/>
          <w:lang w:val="en-GB"/>
        </w:rPr>
        <w:t xml:space="preserve"> </w:t>
      </w:r>
      <w:r w:rsidRPr="003920D7">
        <w:rPr>
          <w:color w:val="000000"/>
          <w:spacing w:val="-2"/>
          <w:lang w:val="en-GB"/>
        </w:rPr>
        <w:t xml:space="preserve">to maximize shareholder value. The rights plan would be exercisable if any investor acquired beneficial ownership of 20 per cent or more of </w:t>
      </w:r>
      <w:proofErr w:type="spellStart"/>
      <w:r w:rsidRPr="003920D7">
        <w:rPr>
          <w:color w:val="000000"/>
          <w:spacing w:val="-2"/>
          <w:lang w:val="en-GB"/>
        </w:rPr>
        <w:t>Stelco’s</w:t>
      </w:r>
      <w:proofErr w:type="spellEnd"/>
      <w:r w:rsidRPr="003920D7">
        <w:rPr>
          <w:color w:val="000000"/>
          <w:spacing w:val="-2"/>
          <w:lang w:val="en-GB"/>
        </w:rPr>
        <w:t xml:space="preserve"> outstanding voting shares. This plan remained in place as of November 2003.</w:t>
      </w:r>
    </w:p>
    <w:p w14:paraId="4E6695B0" w14:textId="77777777" w:rsidR="00ED7922" w:rsidRPr="003920D7" w:rsidRDefault="00ED7922" w:rsidP="00ED7922">
      <w:pPr>
        <w:pStyle w:val="BodyTextMain"/>
        <w:rPr>
          <w:color w:val="000000"/>
          <w:lang w:val="en-GB"/>
        </w:rPr>
      </w:pPr>
    </w:p>
    <w:p w14:paraId="73425937" w14:textId="77777777" w:rsidR="00ED7922" w:rsidRPr="003920D7" w:rsidRDefault="00ED7922" w:rsidP="00ED7922">
      <w:pPr>
        <w:pStyle w:val="Casehead2"/>
        <w:rPr>
          <w:bCs/>
          <w:lang w:val="en-GB"/>
        </w:rPr>
      </w:pPr>
      <w:r w:rsidRPr="003920D7">
        <w:rPr>
          <w:lang w:val="en-GB"/>
        </w:rPr>
        <w:lastRenderedPageBreak/>
        <w:t>Liquidity Position</w:t>
      </w:r>
    </w:p>
    <w:p w14:paraId="3A9DEA57" w14:textId="77777777" w:rsidR="00ED7922" w:rsidRPr="003920D7" w:rsidRDefault="00ED7922" w:rsidP="00ED7922">
      <w:pPr>
        <w:pStyle w:val="BodyTextMain"/>
        <w:rPr>
          <w:color w:val="000000"/>
          <w:lang w:val="en-GB"/>
        </w:rPr>
      </w:pPr>
    </w:p>
    <w:p w14:paraId="53658B64" w14:textId="493AE2B3" w:rsidR="00ED7922" w:rsidRPr="003920D7" w:rsidRDefault="00ED7922" w:rsidP="00ED7922">
      <w:pPr>
        <w:pStyle w:val="BodyTextMain"/>
        <w:rPr>
          <w:color w:val="000000"/>
          <w:lang w:val="en-GB"/>
        </w:rPr>
      </w:pPr>
      <w:r w:rsidRPr="003920D7">
        <w:rPr>
          <w:color w:val="000000"/>
          <w:lang w:val="en-GB"/>
        </w:rPr>
        <w:t xml:space="preserve">The Quantum team noted that </w:t>
      </w:r>
      <w:proofErr w:type="spellStart"/>
      <w:r w:rsidRPr="003920D7">
        <w:rPr>
          <w:color w:val="000000"/>
          <w:lang w:val="en-GB"/>
        </w:rPr>
        <w:t>Stelco’s</w:t>
      </w:r>
      <w:proofErr w:type="spellEnd"/>
      <w:r w:rsidRPr="003920D7">
        <w:rPr>
          <w:color w:val="000000"/>
          <w:lang w:val="en-GB"/>
        </w:rPr>
        <w:t xml:space="preserve"> liquidity position was deteriorating. The company had $159 million of available liquidity as of the third quarter of 2015</w:t>
      </w:r>
      <w:r w:rsidR="0072320B">
        <w:rPr>
          <w:color w:val="000000"/>
          <w:lang w:val="en-GB"/>
        </w:rPr>
        <w:t>,</w:t>
      </w:r>
      <w:r w:rsidRPr="003920D7">
        <w:rPr>
          <w:color w:val="000000"/>
          <w:lang w:val="en-GB"/>
        </w:rPr>
        <w:t xml:space="preserve"> consisting of $15 million in cash and $144 million of unused capacity on </w:t>
      </w:r>
      <w:r w:rsidR="00346349" w:rsidRPr="003920D7">
        <w:rPr>
          <w:color w:val="000000"/>
          <w:lang w:val="en-GB"/>
        </w:rPr>
        <w:t>its</w:t>
      </w:r>
      <w:r w:rsidRPr="003920D7">
        <w:rPr>
          <w:color w:val="000000"/>
          <w:lang w:val="en-GB"/>
        </w:rPr>
        <w:t xml:space="preserve"> revolver. But </w:t>
      </w:r>
      <w:proofErr w:type="spellStart"/>
      <w:r w:rsidRPr="003920D7">
        <w:rPr>
          <w:color w:val="000000"/>
          <w:lang w:val="en-GB"/>
        </w:rPr>
        <w:t>Stelco</w:t>
      </w:r>
      <w:proofErr w:type="spellEnd"/>
      <w:r w:rsidRPr="003920D7">
        <w:rPr>
          <w:color w:val="000000"/>
          <w:lang w:val="en-GB"/>
        </w:rPr>
        <w:t xml:space="preserve"> had used $71 million of available liquidity over the past nine months</w:t>
      </w:r>
      <w:r w:rsidR="00346349" w:rsidRPr="003920D7">
        <w:rPr>
          <w:color w:val="000000"/>
          <w:lang w:val="en-GB"/>
        </w:rPr>
        <w:t>,</w:t>
      </w:r>
      <w:r w:rsidRPr="003920D7">
        <w:rPr>
          <w:color w:val="000000"/>
          <w:lang w:val="en-GB"/>
        </w:rPr>
        <w:t xml:space="preserve"> with more required by year-end. </w:t>
      </w:r>
      <w:proofErr w:type="spellStart"/>
      <w:r w:rsidRPr="003920D7">
        <w:rPr>
          <w:color w:val="000000"/>
          <w:lang w:val="en-GB"/>
        </w:rPr>
        <w:t>Stelco</w:t>
      </w:r>
      <w:proofErr w:type="spellEnd"/>
      <w:r w:rsidRPr="003920D7">
        <w:rPr>
          <w:color w:val="000000"/>
          <w:lang w:val="en-GB"/>
        </w:rPr>
        <w:t xml:space="preserve"> was scheduled to repay $50 million in long-term debt over 2004. EBITDA for the first nine months had been negative</w:t>
      </w:r>
      <w:r w:rsidR="00346349" w:rsidRPr="003920D7">
        <w:rPr>
          <w:color w:val="000000"/>
          <w:lang w:val="en-GB"/>
        </w:rPr>
        <w:t>,</w:t>
      </w:r>
      <w:r w:rsidRPr="003920D7">
        <w:rPr>
          <w:color w:val="000000"/>
          <w:lang w:val="en-GB"/>
        </w:rPr>
        <w:t xml:space="preserve"> and the company had recorded a loss of $168 million for the first three quarters of 2003. </w:t>
      </w:r>
    </w:p>
    <w:p w14:paraId="79A15145" w14:textId="77777777" w:rsidR="00ED7922" w:rsidRPr="003920D7" w:rsidRDefault="00ED7922" w:rsidP="00ED7922">
      <w:pPr>
        <w:pStyle w:val="BodyTextMain"/>
        <w:rPr>
          <w:lang w:val="en-GB"/>
        </w:rPr>
      </w:pPr>
    </w:p>
    <w:p w14:paraId="5733D915" w14:textId="77777777" w:rsidR="00ED7922" w:rsidRPr="003920D7" w:rsidRDefault="00ED7922" w:rsidP="00ED7922">
      <w:pPr>
        <w:pStyle w:val="BodyTextMain"/>
        <w:rPr>
          <w:lang w:val="en-GB"/>
        </w:rPr>
      </w:pPr>
    </w:p>
    <w:p w14:paraId="3CB7AB05" w14:textId="77777777" w:rsidR="00ED7922" w:rsidRPr="003920D7" w:rsidRDefault="00ED7922" w:rsidP="00ED7922">
      <w:pPr>
        <w:pStyle w:val="Casehead1"/>
        <w:rPr>
          <w:lang w:val="en-GB"/>
        </w:rPr>
      </w:pPr>
      <w:r w:rsidRPr="003920D7">
        <w:rPr>
          <w:lang w:val="en-GB"/>
        </w:rPr>
        <w:t>DECISION</w:t>
      </w:r>
    </w:p>
    <w:p w14:paraId="6D28A878" w14:textId="77777777" w:rsidR="00ED7922" w:rsidRPr="003920D7" w:rsidRDefault="00ED7922" w:rsidP="00ED7922">
      <w:pPr>
        <w:pStyle w:val="BodyTextMain"/>
        <w:rPr>
          <w:color w:val="000000"/>
          <w:lang w:val="en-GB"/>
        </w:rPr>
      </w:pPr>
    </w:p>
    <w:p w14:paraId="67773AF1" w14:textId="6CED5464" w:rsidR="00ED7922" w:rsidRPr="003920D7" w:rsidRDefault="00ED7922" w:rsidP="00ED7922">
      <w:pPr>
        <w:pStyle w:val="BodyTextMain"/>
        <w:rPr>
          <w:lang w:val="en-GB"/>
        </w:rPr>
      </w:pPr>
      <w:r w:rsidRPr="003920D7">
        <w:rPr>
          <w:color w:val="000000"/>
          <w:lang w:val="en-GB"/>
        </w:rPr>
        <w:t xml:space="preserve">Both Peters and Martin suspected </w:t>
      </w:r>
      <w:proofErr w:type="spellStart"/>
      <w:r w:rsidRPr="003920D7">
        <w:rPr>
          <w:color w:val="000000"/>
          <w:lang w:val="en-GB"/>
        </w:rPr>
        <w:t>Stelco</w:t>
      </w:r>
      <w:proofErr w:type="spellEnd"/>
      <w:r w:rsidRPr="003920D7">
        <w:rPr>
          <w:color w:val="000000"/>
          <w:lang w:val="en-GB"/>
        </w:rPr>
        <w:t xml:space="preserve"> would file for bankruptcy protection imminently. If Quantum wanted to get involved in the restructuring, </w:t>
      </w:r>
      <w:r w:rsidR="00346349" w:rsidRPr="003920D7">
        <w:rPr>
          <w:color w:val="000000"/>
          <w:lang w:val="en-GB"/>
        </w:rPr>
        <w:t>it</w:t>
      </w:r>
      <w:r w:rsidRPr="003920D7">
        <w:rPr>
          <w:color w:val="000000"/>
          <w:lang w:val="en-GB"/>
        </w:rPr>
        <w:t xml:space="preserve"> would need to purchase a sizable stake in one or more classes of </w:t>
      </w:r>
      <w:proofErr w:type="spellStart"/>
      <w:r w:rsidRPr="003920D7">
        <w:rPr>
          <w:color w:val="000000"/>
          <w:lang w:val="en-GB"/>
        </w:rPr>
        <w:t>Stelco’s</w:t>
      </w:r>
      <w:proofErr w:type="spellEnd"/>
      <w:r w:rsidRPr="003920D7">
        <w:rPr>
          <w:color w:val="000000"/>
          <w:lang w:val="en-GB"/>
        </w:rPr>
        <w:t xml:space="preserve"> securities. The choice of which security to purchase was made challenging by </w:t>
      </w:r>
      <w:proofErr w:type="spellStart"/>
      <w:r w:rsidRPr="003920D7">
        <w:rPr>
          <w:color w:val="000000"/>
          <w:lang w:val="en-GB"/>
        </w:rPr>
        <w:t>Stelco’s</w:t>
      </w:r>
      <w:proofErr w:type="spellEnd"/>
      <w:r w:rsidRPr="003920D7">
        <w:rPr>
          <w:color w:val="000000"/>
          <w:lang w:val="en-GB"/>
        </w:rPr>
        <w:t xml:space="preserve"> </w:t>
      </w:r>
      <w:r w:rsidRPr="003920D7">
        <w:rPr>
          <w:lang w:val="en-GB"/>
        </w:rPr>
        <w:t xml:space="preserve">multi-layered capital structure. Unless </w:t>
      </w:r>
      <w:r w:rsidR="00346349" w:rsidRPr="003920D7">
        <w:rPr>
          <w:lang w:val="en-GB"/>
        </w:rPr>
        <w:t>Peters and Martin</w:t>
      </w:r>
      <w:r w:rsidRPr="003920D7">
        <w:rPr>
          <w:lang w:val="en-GB"/>
        </w:rPr>
        <w:t xml:space="preserve"> could correctly identify the fulcrum security, Quantum would not be in a position to guide the restructuring. Another complication was how to treat </w:t>
      </w:r>
      <w:proofErr w:type="spellStart"/>
      <w:r w:rsidRPr="003920D7">
        <w:rPr>
          <w:lang w:val="en-GB"/>
        </w:rPr>
        <w:t>Stelco’s</w:t>
      </w:r>
      <w:proofErr w:type="spellEnd"/>
      <w:r w:rsidRPr="003920D7">
        <w:rPr>
          <w:lang w:val="en-GB"/>
        </w:rPr>
        <w:t xml:space="preserve"> $1.7 billion of pension liabilities. Would the courts include this off-balance-sheet liability in the restructuring? If it was included, all of </w:t>
      </w:r>
      <w:proofErr w:type="spellStart"/>
      <w:r w:rsidRPr="003920D7">
        <w:rPr>
          <w:lang w:val="en-GB"/>
        </w:rPr>
        <w:t>Stelco’s</w:t>
      </w:r>
      <w:proofErr w:type="spellEnd"/>
      <w:r w:rsidRPr="003920D7">
        <w:rPr>
          <w:lang w:val="en-GB"/>
        </w:rPr>
        <w:t xml:space="preserve"> common equity and most of its on-balance-sheet creditors would be </w:t>
      </w:r>
      <w:r w:rsidR="0072320B">
        <w:rPr>
          <w:lang w:val="en-GB"/>
        </w:rPr>
        <w:t>eliminated</w:t>
      </w:r>
      <w:r w:rsidRPr="003920D7">
        <w:rPr>
          <w:lang w:val="en-GB"/>
        </w:rPr>
        <w:t xml:space="preserve">. With no rule book to follow, Peters and Martin would </w:t>
      </w:r>
      <w:r w:rsidR="002902F1">
        <w:rPr>
          <w:lang w:val="en-GB"/>
        </w:rPr>
        <w:t>need</w:t>
      </w:r>
      <w:r w:rsidR="002902F1" w:rsidRPr="003920D7">
        <w:rPr>
          <w:lang w:val="en-GB"/>
        </w:rPr>
        <w:t xml:space="preserve"> </w:t>
      </w:r>
      <w:r w:rsidRPr="003920D7">
        <w:rPr>
          <w:lang w:val="en-GB"/>
        </w:rPr>
        <w:t xml:space="preserve">to trust their business instincts and negotiating skills to influence the outcome. Of course, they could always walk away from </w:t>
      </w:r>
      <w:proofErr w:type="spellStart"/>
      <w:r w:rsidRPr="003920D7">
        <w:rPr>
          <w:lang w:val="en-GB"/>
        </w:rPr>
        <w:t>Stelco</w:t>
      </w:r>
      <w:proofErr w:type="spellEnd"/>
      <w:r w:rsidRPr="003920D7">
        <w:rPr>
          <w:lang w:val="en-GB"/>
        </w:rPr>
        <w:t xml:space="preserve"> and wait for a better opportunity to invest their capital.</w:t>
      </w:r>
    </w:p>
    <w:p w14:paraId="0498AEF6" w14:textId="77777777" w:rsidR="00ED7922" w:rsidRPr="003920D7" w:rsidRDefault="00ED7922">
      <w:pPr>
        <w:spacing w:after="200" w:line="276" w:lineRule="auto"/>
        <w:rPr>
          <w:sz w:val="22"/>
          <w:szCs w:val="22"/>
          <w:lang w:val="en-GB"/>
        </w:rPr>
      </w:pPr>
      <w:r w:rsidRPr="003920D7">
        <w:rPr>
          <w:lang w:val="en-GB"/>
        </w:rPr>
        <w:br w:type="page"/>
      </w:r>
    </w:p>
    <w:p w14:paraId="74A49D6B" w14:textId="707CD7D9" w:rsidR="00ED7922" w:rsidRPr="003920D7" w:rsidRDefault="00ED7922" w:rsidP="00ED7922">
      <w:pPr>
        <w:pStyle w:val="ExhibitHeading"/>
        <w:rPr>
          <w:lang w:val="en-GB"/>
        </w:rPr>
      </w:pPr>
      <w:r w:rsidRPr="003920D7">
        <w:rPr>
          <w:lang w:val="en-GB"/>
        </w:rPr>
        <w:lastRenderedPageBreak/>
        <w:t>Exhibit 1: Stelco Inc. and its Subsidiaries</w:t>
      </w:r>
    </w:p>
    <w:p w14:paraId="78F074CB" w14:textId="77777777" w:rsidR="00ED7922" w:rsidRPr="003920D7" w:rsidRDefault="00ED7922" w:rsidP="00ED7922">
      <w:pPr>
        <w:pStyle w:val="ExhibitHeading"/>
        <w:rPr>
          <w:sz w:val="16"/>
          <w:lang w:val="en-GB"/>
        </w:rPr>
      </w:pPr>
    </w:p>
    <w:p w14:paraId="3BBD81DD" w14:textId="702BC756" w:rsidR="00ED7922" w:rsidRPr="003920D7" w:rsidRDefault="00ED7922" w:rsidP="00ED7922">
      <w:pPr>
        <w:pStyle w:val="Casehead2"/>
        <w:rPr>
          <w:lang w:val="en-GB"/>
        </w:rPr>
      </w:pPr>
      <w:proofErr w:type="spellStart"/>
      <w:r w:rsidRPr="003920D7">
        <w:rPr>
          <w:lang w:val="en-GB"/>
        </w:rPr>
        <w:t>Stelco</w:t>
      </w:r>
      <w:proofErr w:type="spellEnd"/>
      <w:r w:rsidRPr="003920D7">
        <w:rPr>
          <w:lang w:val="en-GB"/>
        </w:rPr>
        <w:t xml:space="preserve"> Inc. (Canada)</w:t>
      </w:r>
    </w:p>
    <w:p w14:paraId="10157FA9" w14:textId="77777777" w:rsidR="00ED7922" w:rsidRPr="003920D7" w:rsidRDefault="00ED7922" w:rsidP="008F2385">
      <w:pPr>
        <w:pStyle w:val="BodyTextMain"/>
        <w:rPr>
          <w:sz w:val="18"/>
          <w:lang w:val="en-GB"/>
        </w:rPr>
      </w:pPr>
    </w:p>
    <w:p w14:paraId="23CF35B6" w14:textId="68BCE76D" w:rsidR="00ED7922" w:rsidRPr="003920D7" w:rsidRDefault="00ED7922" w:rsidP="00A676A0">
      <w:pPr>
        <w:pStyle w:val="ExhibitText"/>
        <w:numPr>
          <w:ilvl w:val="0"/>
          <w:numId w:val="3"/>
        </w:numPr>
        <w:rPr>
          <w:sz w:val="18"/>
          <w:szCs w:val="18"/>
          <w:lang w:val="en-GB"/>
        </w:rPr>
      </w:pPr>
      <w:r w:rsidRPr="003920D7">
        <w:rPr>
          <w:sz w:val="18"/>
          <w:szCs w:val="18"/>
          <w:lang w:val="en-GB"/>
        </w:rPr>
        <w:t>Executive Management</w:t>
      </w:r>
    </w:p>
    <w:p w14:paraId="6A94C7AB" w14:textId="578515BA" w:rsidR="00ED7922" w:rsidRPr="003920D7" w:rsidRDefault="00ED7922" w:rsidP="00A676A0">
      <w:pPr>
        <w:pStyle w:val="ExhibitText"/>
        <w:numPr>
          <w:ilvl w:val="0"/>
          <w:numId w:val="3"/>
        </w:numPr>
        <w:rPr>
          <w:sz w:val="18"/>
          <w:szCs w:val="18"/>
          <w:lang w:val="en-GB"/>
        </w:rPr>
      </w:pPr>
      <w:r w:rsidRPr="003920D7">
        <w:rPr>
          <w:sz w:val="18"/>
          <w:szCs w:val="18"/>
          <w:lang w:val="en-GB"/>
        </w:rPr>
        <w:t>Corporate Affairs</w:t>
      </w:r>
    </w:p>
    <w:p w14:paraId="3207278D" w14:textId="28731346" w:rsidR="00ED7922" w:rsidRPr="003920D7" w:rsidRDefault="00ED7922" w:rsidP="00A676A0">
      <w:pPr>
        <w:pStyle w:val="ExhibitText"/>
        <w:numPr>
          <w:ilvl w:val="0"/>
          <w:numId w:val="3"/>
        </w:numPr>
        <w:rPr>
          <w:sz w:val="18"/>
          <w:szCs w:val="18"/>
          <w:lang w:val="en-GB"/>
        </w:rPr>
      </w:pPr>
      <w:r w:rsidRPr="003920D7">
        <w:rPr>
          <w:sz w:val="18"/>
          <w:szCs w:val="18"/>
          <w:lang w:val="en-GB"/>
        </w:rPr>
        <w:t>Financial</w:t>
      </w:r>
    </w:p>
    <w:p w14:paraId="279F61AE" w14:textId="4B616B52" w:rsidR="00ED7922" w:rsidRPr="003920D7" w:rsidRDefault="00ED7922" w:rsidP="00A676A0">
      <w:pPr>
        <w:pStyle w:val="ExhibitText"/>
        <w:numPr>
          <w:ilvl w:val="0"/>
          <w:numId w:val="3"/>
        </w:numPr>
        <w:rPr>
          <w:sz w:val="18"/>
          <w:szCs w:val="18"/>
          <w:lang w:val="en-GB"/>
        </w:rPr>
      </w:pPr>
      <w:r w:rsidRPr="003920D7">
        <w:rPr>
          <w:sz w:val="18"/>
          <w:szCs w:val="18"/>
          <w:lang w:val="en-GB"/>
        </w:rPr>
        <w:t>Information Services</w:t>
      </w:r>
    </w:p>
    <w:p w14:paraId="61B72DB5" w14:textId="1D651E24" w:rsidR="00ED7922" w:rsidRPr="003920D7" w:rsidRDefault="00ED7922" w:rsidP="00A676A0">
      <w:pPr>
        <w:pStyle w:val="ExhibitText"/>
        <w:numPr>
          <w:ilvl w:val="0"/>
          <w:numId w:val="3"/>
        </w:numPr>
        <w:rPr>
          <w:sz w:val="18"/>
          <w:szCs w:val="18"/>
          <w:lang w:val="en-GB"/>
        </w:rPr>
      </w:pPr>
      <w:r w:rsidRPr="003920D7">
        <w:rPr>
          <w:sz w:val="18"/>
          <w:szCs w:val="18"/>
          <w:lang w:val="en-GB"/>
        </w:rPr>
        <w:t>Legal</w:t>
      </w:r>
    </w:p>
    <w:p w14:paraId="735EF836" w14:textId="4B41FB8E" w:rsidR="00ED7922" w:rsidRPr="003920D7" w:rsidRDefault="00ED7922" w:rsidP="00A676A0">
      <w:pPr>
        <w:pStyle w:val="ExhibitText"/>
        <w:numPr>
          <w:ilvl w:val="0"/>
          <w:numId w:val="3"/>
        </w:numPr>
        <w:rPr>
          <w:sz w:val="18"/>
          <w:szCs w:val="18"/>
          <w:lang w:val="en-GB"/>
        </w:rPr>
      </w:pPr>
      <w:r w:rsidRPr="003920D7">
        <w:rPr>
          <w:sz w:val="18"/>
          <w:szCs w:val="18"/>
          <w:lang w:val="en-GB"/>
        </w:rPr>
        <w:t>Raw Materials and Strategic Purchasing</w:t>
      </w:r>
    </w:p>
    <w:p w14:paraId="2B054C5D" w14:textId="77777777" w:rsidR="00A676A0" w:rsidRPr="003920D7" w:rsidRDefault="00A676A0" w:rsidP="008F2385">
      <w:pPr>
        <w:pStyle w:val="BodyTextMain"/>
        <w:rPr>
          <w:sz w:val="16"/>
          <w:lang w:val="en-GB"/>
        </w:rPr>
      </w:pPr>
    </w:p>
    <w:p w14:paraId="677BFCCC" w14:textId="77777777" w:rsidR="00454FA7" w:rsidRPr="003920D7" w:rsidRDefault="00454FA7" w:rsidP="008F2385">
      <w:pPr>
        <w:pStyle w:val="BodyTextMain"/>
        <w:rPr>
          <w:sz w:val="16"/>
          <w:lang w:val="en-GB"/>
        </w:rPr>
      </w:pPr>
    </w:p>
    <w:p w14:paraId="00EC25CE" w14:textId="67CB791C" w:rsidR="00454FA7" w:rsidRPr="003920D7" w:rsidRDefault="00454FA7" w:rsidP="00454FA7">
      <w:pPr>
        <w:pStyle w:val="Casehead3"/>
        <w:rPr>
          <w:rFonts w:ascii="Arial" w:hAnsi="Arial" w:cs="Arial"/>
          <w:sz w:val="20"/>
          <w:szCs w:val="20"/>
          <w:lang w:val="en-GB"/>
        </w:rPr>
      </w:pPr>
      <w:r w:rsidRPr="003920D7">
        <w:rPr>
          <w:rFonts w:ascii="Arial" w:hAnsi="Arial" w:cs="Arial"/>
          <w:sz w:val="20"/>
          <w:szCs w:val="20"/>
          <w:lang w:val="en-GB"/>
        </w:rPr>
        <w:t>Wholly</w:t>
      </w:r>
      <w:r w:rsidR="002902F1">
        <w:rPr>
          <w:rFonts w:ascii="Arial" w:hAnsi="Arial" w:cs="Arial"/>
          <w:sz w:val="20"/>
          <w:szCs w:val="20"/>
          <w:lang w:val="en-GB"/>
        </w:rPr>
        <w:t xml:space="preserve"> </w:t>
      </w:r>
      <w:r w:rsidRPr="003920D7">
        <w:rPr>
          <w:rFonts w:ascii="Arial" w:hAnsi="Arial" w:cs="Arial"/>
          <w:sz w:val="20"/>
          <w:szCs w:val="20"/>
          <w:lang w:val="en-GB"/>
        </w:rPr>
        <w:t>Owned Subsidiaries</w:t>
      </w:r>
    </w:p>
    <w:p w14:paraId="1F16316F" w14:textId="77777777" w:rsidR="00454FA7" w:rsidRPr="003920D7" w:rsidRDefault="00454FA7" w:rsidP="008F2385">
      <w:pPr>
        <w:pStyle w:val="BodyTextMain"/>
        <w:rPr>
          <w:sz w:val="18"/>
          <w:lang w:val="en-GB"/>
        </w:rPr>
      </w:pPr>
    </w:p>
    <w:p w14:paraId="019E9DCF" w14:textId="3B28365E"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Stelco</w:t>
      </w:r>
      <w:proofErr w:type="spellEnd"/>
      <w:r w:rsidRPr="003920D7">
        <w:rPr>
          <w:sz w:val="18"/>
          <w:szCs w:val="18"/>
          <w:lang w:val="en-GB"/>
        </w:rPr>
        <w:t xml:space="preserve"> Hamilton</w:t>
      </w:r>
      <w:r w:rsidR="0087396E" w:rsidRPr="003920D7">
        <w:rPr>
          <w:sz w:val="18"/>
          <w:szCs w:val="18"/>
          <w:lang w:val="en-GB"/>
        </w:rPr>
        <w:t xml:space="preserve"> Works</w:t>
      </w:r>
      <w:r w:rsidRPr="003920D7">
        <w:rPr>
          <w:sz w:val="18"/>
          <w:szCs w:val="18"/>
          <w:lang w:val="en-GB"/>
        </w:rPr>
        <w:t xml:space="preserve"> (A Division of </w:t>
      </w:r>
      <w:proofErr w:type="spellStart"/>
      <w:r w:rsidRPr="003920D7">
        <w:rPr>
          <w:sz w:val="18"/>
          <w:szCs w:val="18"/>
          <w:lang w:val="en-GB"/>
        </w:rPr>
        <w:t>Stelco</w:t>
      </w:r>
      <w:proofErr w:type="spellEnd"/>
      <w:r w:rsidRPr="003920D7">
        <w:rPr>
          <w:sz w:val="18"/>
          <w:szCs w:val="18"/>
          <w:lang w:val="en-GB"/>
        </w:rPr>
        <w:t xml:space="preserve"> Inc.)</w:t>
      </w:r>
    </w:p>
    <w:p w14:paraId="3D18C75F" w14:textId="239DAFF5"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Stelco</w:t>
      </w:r>
      <w:proofErr w:type="spellEnd"/>
      <w:r w:rsidRPr="003920D7">
        <w:rPr>
          <w:sz w:val="18"/>
          <w:szCs w:val="18"/>
          <w:lang w:val="en-GB"/>
        </w:rPr>
        <w:t xml:space="preserve"> Lake Erie</w:t>
      </w:r>
      <w:r w:rsidR="0087396E" w:rsidRPr="003920D7">
        <w:rPr>
          <w:sz w:val="18"/>
          <w:szCs w:val="18"/>
          <w:lang w:val="en-GB"/>
        </w:rPr>
        <w:t xml:space="preserve"> Works</w:t>
      </w:r>
      <w:r w:rsidRPr="003920D7">
        <w:rPr>
          <w:sz w:val="18"/>
          <w:szCs w:val="18"/>
          <w:lang w:val="en-GB"/>
        </w:rPr>
        <w:t xml:space="preserve"> (A Division of </w:t>
      </w:r>
      <w:proofErr w:type="spellStart"/>
      <w:r w:rsidRPr="003920D7">
        <w:rPr>
          <w:sz w:val="18"/>
          <w:szCs w:val="18"/>
          <w:lang w:val="en-GB"/>
        </w:rPr>
        <w:t>Stelco</w:t>
      </w:r>
      <w:proofErr w:type="spellEnd"/>
      <w:r w:rsidRPr="003920D7">
        <w:rPr>
          <w:sz w:val="18"/>
          <w:szCs w:val="18"/>
          <w:lang w:val="en-GB"/>
        </w:rPr>
        <w:t xml:space="preserve"> Inc.)</w:t>
      </w:r>
    </w:p>
    <w:p w14:paraId="7AA551B0" w14:textId="77777777"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Norambar</w:t>
      </w:r>
      <w:proofErr w:type="spellEnd"/>
      <w:r w:rsidRPr="003920D7">
        <w:rPr>
          <w:sz w:val="18"/>
          <w:szCs w:val="18"/>
          <w:lang w:val="en-GB"/>
        </w:rPr>
        <w:t xml:space="preserve"> Inc. (Quebec)</w:t>
      </w:r>
    </w:p>
    <w:p w14:paraId="333BD1DD" w14:textId="77777777"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AltaSteel</w:t>
      </w:r>
      <w:proofErr w:type="spellEnd"/>
      <w:r w:rsidRPr="003920D7">
        <w:rPr>
          <w:sz w:val="18"/>
          <w:szCs w:val="18"/>
          <w:lang w:val="en-GB"/>
        </w:rPr>
        <w:t xml:space="preserve"> Ltd. (Alberta)</w:t>
      </w:r>
    </w:p>
    <w:p w14:paraId="18EEC7C1" w14:textId="77777777"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Stelwire</w:t>
      </w:r>
      <w:proofErr w:type="spellEnd"/>
      <w:r w:rsidRPr="003920D7">
        <w:rPr>
          <w:sz w:val="18"/>
          <w:szCs w:val="18"/>
          <w:lang w:val="en-GB"/>
        </w:rPr>
        <w:t xml:space="preserve"> Ltd. (Canada)</w:t>
      </w:r>
    </w:p>
    <w:p w14:paraId="1B7200FF" w14:textId="0930CFBE"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Stelfil</w:t>
      </w:r>
      <w:proofErr w:type="spellEnd"/>
      <w:r w:rsidRPr="003920D7">
        <w:rPr>
          <w:sz w:val="18"/>
          <w:szCs w:val="18"/>
          <w:lang w:val="en-GB"/>
        </w:rPr>
        <w:t xml:space="preserve"> </w:t>
      </w:r>
      <w:proofErr w:type="spellStart"/>
      <w:r w:rsidRPr="003920D7">
        <w:rPr>
          <w:sz w:val="18"/>
          <w:szCs w:val="18"/>
          <w:lang w:val="en-GB"/>
        </w:rPr>
        <w:t>Ltée</w:t>
      </w:r>
      <w:proofErr w:type="spellEnd"/>
      <w:r w:rsidR="0087396E" w:rsidRPr="003920D7">
        <w:rPr>
          <w:sz w:val="18"/>
          <w:szCs w:val="18"/>
          <w:lang w:val="en-GB"/>
        </w:rPr>
        <w:t>.</w:t>
      </w:r>
      <w:r w:rsidRPr="003920D7">
        <w:rPr>
          <w:sz w:val="18"/>
          <w:szCs w:val="18"/>
          <w:lang w:val="en-GB"/>
        </w:rPr>
        <w:t xml:space="preserve"> (Quebec)</w:t>
      </w:r>
    </w:p>
    <w:p w14:paraId="7F9CEDDB" w14:textId="77777777"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Stelpipe</w:t>
      </w:r>
      <w:proofErr w:type="spellEnd"/>
      <w:r w:rsidRPr="003920D7">
        <w:rPr>
          <w:sz w:val="18"/>
          <w:szCs w:val="18"/>
          <w:lang w:val="en-GB"/>
        </w:rPr>
        <w:t xml:space="preserve"> Ltd. (Canada)</w:t>
      </w:r>
    </w:p>
    <w:p w14:paraId="425DE5BE" w14:textId="77777777"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Stelco</w:t>
      </w:r>
      <w:proofErr w:type="spellEnd"/>
      <w:r w:rsidRPr="003920D7">
        <w:rPr>
          <w:sz w:val="18"/>
          <w:szCs w:val="18"/>
          <w:lang w:val="en-GB"/>
        </w:rPr>
        <w:t xml:space="preserve"> USA, Inc. (Delaware)</w:t>
      </w:r>
    </w:p>
    <w:p w14:paraId="2B7D87F4" w14:textId="309E6DBD" w:rsidR="00454FA7" w:rsidRPr="003920D7" w:rsidRDefault="00454FA7" w:rsidP="00454FA7">
      <w:pPr>
        <w:pStyle w:val="ExhibitText"/>
        <w:numPr>
          <w:ilvl w:val="0"/>
          <w:numId w:val="5"/>
        </w:numPr>
        <w:rPr>
          <w:sz w:val="18"/>
          <w:szCs w:val="18"/>
          <w:lang w:val="en-GB"/>
        </w:rPr>
      </w:pPr>
      <w:proofErr w:type="spellStart"/>
      <w:r w:rsidRPr="003920D7">
        <w:rPr>
          <w:sz w:val="18"/>
          <w:szCs w:val="18"/>
          <w:lang w:val="en-GB"/>
        </w:rPr>
        <w:t>Fers</w:t>
      </w:r>
      <w:proofErr w:type="spellEnd"/>
      <w:r w:rsidRPr="003920D7">
        <w:rPr>
          <w:sz w:val="18"/>
          <w:szCs w:val="18"/>
          <w:lang w:val="en-GB"/>
        </w:rPr>
        <w:t xml:space="preserve"> </w:t>
      </w:r>
      <w:proofErr w:type="gramStart"/>
      <w:r w:rsidRPr="003920D7">
        <w:rPr>
          <w:sz w:val="18"/>
          <w:szCs w:val="18"/>
          <w:lang w:val="en-GB"/>
        </w:rPr>
        <w:t>et</w:t>
      </w:r>
      <w:proofErr w:type="gramEnd"/>
      <w:r w:rsidRPr="003920D7">
        <w:rPr>
          <w:sz w:val="18"/>
          <w:szCs w:val="18"/>
          <w:lang w:val="en-GB"/>
        </w:rPr>
        <w:t xml:space="preserve"> </w:t>
      </w:r>
      <w:proofErr w:type="spellStart"/>
      <w:r w:rsidRPr="003920D7">
        <w:rPr>
          <w:sz w:val="18"/>
          <w:szCs w:val="18"/>
          <w:lang w:val="en-GB"/>
        </w:rPr>
        <w:t>Métaux</w:t>
      </w:r>
      <w:proofErr w:type="spellEnd"/>
      <w:r w:rsidRPr="003920D7">
        <w:rPr>
          <w:sz w:val="18"/>
          <w:szCs w:val="18"/>
          <w:lang w:val="en-GB"/>
        </w:rPr>
        <w:t xml:space="preserve"> </w:t>
      </w:r>
      <w:proofErr w:type="spellStart"/>
      <w:r w:rsidRPr="003920D7">
        <w:rPr>
          <w:sz w:val="18"/>
          <w:szCs w:val="18"/>
          <w:lang w:val="en-GB"/>
        </w:rPr>
        <w:t>Recyclés</w:t>
      </w:r>
      <w:proofErr w:type="spellEnd"/>
      <w:r w:rsidRPr="003920D7">
        <w:rPr>
          <w:sz w:val="18"/>
          <w:szCs w:val="18"/>
          <w:lang w:val="en-GB"/>
        </w:rPr>
        <w:t xml:space="preserve"> </w:t>
      </w:r>
      <w:proofErr w:type="spellStart"/>
      <w:r w:rsidRPr="003920D7">
        <w:rPr>
          <w:sz w:val="18"/>
          <w:szCs w:val="18"/>
          <w:lang w:val="en-GB"/>
        </w:rPr>
        <w:t>Ltée</w:t>
      </w:r>
      <w:proofErr w:type="spellEnd"/>
      <w:r w:rsidR="0087396E" w:rsidRPr="003920D7">
        <w:rPr>
          <w:sz w:val="18"/>
          <w:szCs w:val="18"/>
          <w:lang w:val="en-GB"/>
        </w:rPr>
        <w:t>.</w:t>
      </w:r>
    </w:p>
    <w:p w14:paraId="5E3D0F2C" w14:textId="77777777" w:rsidR="00454FA7" w:rsidRPr="003920D7" w:rsidRDefault="00454FA7" w:rsidP="008F2385">
      <w:pPr>
        <w:pStyle w:val="BodyTextMain"/>
        <w:rPr>
          <w:sz w:val="16"/>
          <w:lang w:val="en-GB"/>
        </w:rPr>
      </w:pPr>
    </w:p>
    <w:p w14:paraId="7E730F12" w14:textId="77777777" w:rsidR="00454FA7" w:rsidRPr="003920D7" w:rsidRDefault="00454FA7" w:rsidP="008F2385">
      <w:pPr>
        <w:pStyle w:val="BodyTextMain"/>
        <w:rPr>
          <w:sz w:val="16"/>
          <w:lang w:val="en-GB"/>
        </w:rPr>
      </w:pPr>
    </w:p>
    <w:p w14:paraId="41576268" w14:textId="6325FA2E" w:rsidR="00454FA7" w:rsidRPr="003920D7" w:rsidRDefault="00454FA7" w:rsidP="00454FA7">
      <w:pPr>
        <w:pStyle w:val="Casehead3"/>
        <w:rPr>
          <w:rFonts w:ascii="Arial" w:hAnsi="Arial" w:cs="Arial"/>
          <w:sz w:val="20"/>
          <w:szCs w:val="20"/>
          <w:lang w:val="en-GB"/>
        </w:rPr>
      </w:pPr>
      <w:r w:rsidRPr="003920D7">
        <w:rPr>
          <w:rFonts w:ascii="Arial" w:hAnsi="Arial" w:cs="Arial"/>
          <w:sz w:val="20"/>
          <w:szCs w:val="20"/>
          <w:lang w:val="en-GB"/>
        </w:rPr>
        <w:t>Partially</w:t>
      </w:r>
      <w:r w:rsidR="002902F1">
        <w:rPr>
          <w:rFonts w:ascii="Arial" w:hAnsi="Arial" w:cs="Arial"/>
          <w:sz w:val="20"/>
          <w:szCs w:val="20"/>
          <w:lang w:val="en-GB"/>
        </w:rPr>
        <w:t xml:space="preserve"> </w:t>
      </w:r>
      <w:r w:rsidRPr="003920D7">
        <w:rPr>
          <w:rFonts w:ascii="Arial" w:hAnsi="Arial" w:cs="Arial"/>
          <w:sz w:val="20"/>
          <w:szCs w:val="20"/>
          <w:lang w:val="en-GB"/>
        </w:rPr>
        <w:t xml:space="preserve">Owned Subsidiaries—At </w:t>
      </w:r>
      <w:r w:rsidR="0087396E" w:rsidRPr="003920D7">
        <w:rPr>
          <w:rFonts w:ascii="Arial" w:hAnsi="Arial" w:cs="Arial"/>
          <w:sz w:val="20"/>
          <w:szCs w:val="20"/>
          <w:lang w:val="en-GB"/>
        </w:rPr>
        <w:t>L</w:t>
      </w:r>
      <w:r w:rsidRPr="003920D7">
        <w:rPr>
          <w:rFonts w:ascii="Arial" w:hAnsi="Arial" w:cs="Arial"/>
          <w:sz w:val="20"/>
          <w:szCs w:val="20"/>
          <w:lang w:val="en-GB"/>
        </w:rPr>
        <w:t>east 50</w:t>
      </w:r>
      <w:r w:rsidR="002902F1">
        <w:rPr>
          <w:rFonts w:ascii="Arial" w:hAnsi="Arial" w:cs="Arial"/>
          <w:sz w:val="20"/>
          <w:szCs w:val="20"/>
          <w:lang w:val="en-GB"/>
        </w:rPr>
        <w:t xml:space="preserve"> </w:t>
      </w:r>
      <w:r w:rsidR="0087396E" w:rsidRPr="003920D7">
        <w:rPr>
          <w:rFonts w:ascii="Arial" w:hAnsi="Arial" w:cs="Arial"/>
          <w:sz w:val="20"/>
          <w:szCs w:val="20"/>
          <w:lang w:val="en-GB"/>
        </w:rPr>
        <w:t>p</w:t>
      </w:r>
      <w:r w:rsidRPr="003920D7">
        <w:rPr>
          <w:rFonts w:ascii="Arial" w:hAnsi="Arial" w:cs="Arial"/>
          <w:sz w:val="20"/>
          <w:szCs w:val="20"/>
          <w:lang w:val="en-GB"/>
        </w:rPr>
        <w:t>er</w:t>
      </w:r>
      <w:r w:rsidR="002902F1">
        <w:rPr>
          <w:rFonts w:ascii="Arial" w:hAnsi="Arial" w:cs="Arial"/>
          <w:sz w:val="20"/>
          <w:szCs w:val="20"/>
          <w:lang w:val="en-GB"/>
        </w:rPr>
        <w:t xml:space="preserve"> </w:t>
      </w:r>
      <w:r w:rsidR="0087396E" w:rsidRPr="003920D7">
        <w:rPr>
          <w:rFonts w:ascii="Arial" w:hAnsi="Arial" w:cs="Arial"/>
          <w:sz w:val="20"/>
          <w:szCs w:val="20"/>
          <w:lang w:val="en-GB"/>
        </w:rPr>
        <w:t>c</w:t>
      </w:r>
      <w:r w:rsidRPr="003920D7">
        <w:rPr>
          <w:rFonts w:ascii="Arial" w:hAnsi="Arial" w:cs="Arial"/>
          <w:sz w:val="20"/>
          <w:szCs w:val="20"/>
          <w:lang w:val="en-GB"/>
        </w:rPr>
        <w:t>ent Ownership</w:t>
      </w:r>
    </w:p>
    <w:p w14:paraId="48DBD5FC" w14:textId="77777777" w:rsidR="00454FA7" w:rsidRPr="003920D7" w:rsidRDefault="00454FA7" w:rsidP="008F2385">
      <w:pPr>
        <w:pStyle w:val="BodyTextMain"/>
        <w:rPr>
          <w:sz w:val="18"/>
          <w:lang w:val="en-GB"/>
        </w:rPr>
      </w:pPr>
    </w:p>
    <w:p w14:paraId="4D99D629" w14:textId="77777777" w:rsidR="00454FA7" w:rsidRPr="003920D7" w:rsidRDefault="00454FA7" w:rsidP="00454FA7">
      <w:pPr>
        <w:pStyle w:val="ExhibitText"/>
        <w:numPr>
          <w:ilvl w:val="0"/>
          <w:numId w:val="4"/>
        </w:numPr>
        <w:rPr>
          <w:sz w:val="18"/>
          <w:szCs w:val="18"/>
          <w:lang w:val="en-GB"/>
        </w:rPr>
      </w:pPr>
      <w:r w:rsidRPr="003920D7">
        <w:rPr>
          <w:sz w:val="18"/>
          <w:szCs w:val="18"/>
          <w:lang w:val="en-GB"/>
        </w:rPr>
        <w:t>Z-Line Company (Ontario General Partnership)</w:t>
      </w:r>
    </w:p>
    <w:p w14:paraId="21B9B385" w14:textId="77777777" w:rsidR="00454FA7" w:rsidRPr="003920D7" w:rsidRDefault="00454FA7" w:rsidP="00454FA7">
      <w:pPr>
        <w:pStyle w:val="ExhibitText"/>
        <w:numPr>
          <w:ilvl w:val="0"/>
          <w:numId w:val="4"/>
        </w:numPr>
        <w:rPr>
          <w:sz w:val="18"/>
          <w:szCs w:val="18"/>
          <w:lang w:val="en-GB"/>
        </w:rPr>
      </w:pPr>
      <w:proofErr w:type="spellStart"/>
      <w:r w:rsidRPr="003920D7">
        <w:rPr>
          <w:sz w:val="18"/>
          <w:szCs w:val="18"/>
          <w:lang w:val="en-GB"/>
        </w:rPr>
        <w:t>Baycoat</w:t>
      </w:r>
      <w:proofErr w:type="spellEnd"/>
      <w:r w:rsidRPr="003920D7">
        <w:rPr>
          <w:sz w:val="18"/>
          <w:szCs w:val="18"/>
          <w:lang w:val="en-GB"/>
        </w:rPr>
        <w:t xml:space="preserve"> (Ontario Limited Partnership)</w:t>
      </w:r>
    </w:p>
    <w:p w14:paraId="6C28B9E0" w14:textId="322EA7F5" w:rsidR="00454FA7" w:rsidRPr="003920D7" w:rsidRDefault="00454FA7" w:rsidP="00454FA7">
      <w:pPr>
        <w:pStyle w:val="ExhibitText"/>
        <w:numPr>
          <w:ilvl w:val="0"/>
          <w:numId w:val="4"/>
        </w:numPr>
        <w:rPr>
          <w:sz w:val="18"/>
          <w:szCs w:val="18"/>
          <w:lang w:val="en-GB"/>
        </w:rPr>
      </w:pPr>
      <w:r w:rsidRPr="003920D7">
        <w:rPr>
          <w:sz w:val="18"/>
          <w:szCs w:val="18"/>
          <w:lang w:val="en-GB"/>
        </w:rPr>
        <w:t>M</w:t>
      </w:r>
      <w:r w:rsidR="00924C5E" w:rsidRPr="003920D7">
        <w:rPr>
          <w:sz w:val="18"/>
          <w:szCs w:val="18"/>
          <w:lang w:val="en-GB"/>
        </w:rPr>
        <w:t>oly</w:t>
      </w:r>
      <w:r w:rsidRPr="003920D7">
        <w:rPr>
          <w:sz w:val="18"/>
          <w:szCs w:val="18"/>
          <w:lang w:val="en-GB"/>
        </w:rPr>
        <w:t>-C</w:t>
      </w:r>
      <w:r w:rsidR="00924C5E" w:rsidRPr="003920D7">
        <w:rPr>
          <w:sz w:val="18"/>
          <w:szCs w:val="18"/>
          <w:lang w:val="en-GB"/>
        </w:rPr>
        <w:t>op</w:t>
      </w:r>
      <w:r w:rsidRPr="003920D7">
        <w:rPr>
          <w:sz w:val="18"/>
          <w:szCs w:val="18"/>
          <w:lang w:val="en-GB"/>
        </w:rPr>
        <w:t xml:space="preserve"> Canada (Ontario General Partnership—A Partnership of </w:t>
      </w:r>
      <w:proofErr w:type="spellStart"/>
      <w:r w:rsidRPr="003920D7">
        <w:rPr>
          <w:sz w:val="18"/>
          <w:szCs w:val="18"/>
          <w:lang w:val="en-GB"/>
        </w:rPr>
        <w:t>AltaSteel</w:t>
      </w:r>
      <w:proofErr w:type="spellEnd"/>
      <w:r w:rsidRPr="003920D7">
        <w:rPr>
          <w:sz w:val="18"/>
          <w:szCs w:val="18"/>
          <w:lang w:val="en-GB"/>
        </w:rPr>
        <w:t xml:space="preserve"> Ltd.)</w:t>
      </w:r>
    </w:p>
    <w:p w14:paraId="716FA7EE" w14:textId="48724727" w:rsidR="00454FA7" w:rsidRPr="003920D7" w:rsidRDefault="00454FA7" w:rsidP="00454FA7">
      <w:pPr>
        <w:pStyle w:val="ExhibitText"/>
        <w:numPr>
          <w:ilvl w:val="0"/>
          <w:numId w:val="4"/>
        </w:numPr>
        <w:rPr>
          <w:sz w:val="18"/>
          <w:szCs w:val="18"/>
          <w:lang w:val="en-GB"/>
        </w:rPr>
      </w:pPr>
      <w:r w:rsidRPr="003920D7">
        <w:rPr>
          <w:sz w:val="18"/>
          <w:szCs w:val="18"/>
          <w:lang w:val="en-GB"/>
        </w:rPr>
        <w:t>DC Chrome Ltd. (Ontario—</w:t>
      </w:r>
      <w:proofErr w:type="gramStart"/>
      <w:r w:rsidRPr="003920D7">
        <w:rPr>
          <w:sz w:val="18"/>
          <w:szCs w:val="18"/>
          <w:lang w:val="en-GB"/>
        </w:rPr>
        <w:t>A</w:t>
      </w:r>
      <w:proofErr w:type="gramEnd"/>
      <w:r w:rsidRPr="003920D7">
        <w:rPr>
          <w:sz w:val="18"/>
          <w:szCs w:val="18"/>
          <w:lang w:val="en-GB"/>
        </w:rPr>
        <w:t xml:space="preserve"> Corporate Joint Venture of </w:t>
      </w:r>
      <w:proofErr w:type="spellStart"/>
      <w:r w:rsidRPr="003920D7">
        <w:rPr>
          <w:sz w:val="18"/>
          <w:szCs w:val="18"/>
          <w:lang w:val="en-GB"/>
        </w:rPr>
        <w:t>Stelco</w:t>
      </w:r>
      <w:proofErr w:type="spellEnd"/>
      <w:r w:rsidRPr="003920D7">
        <w:rPr>
          <w:sz w:val="18"/>
          <w:szCs w:val="18"/>
          <w:lang w:val="en-GB"/>
        </w:rPr>
        <w:t xml:space="preserve"> Inc.)</w:t>
      </w:r>
    </w:p>
    <w:p w14:paraId="34AD013C" w14:textId="519A186E" w:rsidR="00454FA7" w:rsidRPr="003920D7" w:rsidRDefault="00454FA7" w:rsidP="00454FA7">
      <w:pPr>
        <w:pStyle w:val="ExhibitText"/>
        <w:numPr>
          <w:ilvl w:val="0"/>
          <w:numId w:val="4"/>
        </w:numPr>
        <w:rPr>
          <w:b/>
          <w:sz w:val="18"/>
          <w:szCs w:val="18"/>
          <w:lang w:val="en-GB"/>
        </w:rPr>
      </w:pPr>
      <w:proofErr w:type="spellStart"/>
      <w:r w:rsidRPr="003920D7">
        <w:rPr>
          <w:sz w:val="18"/>
          <w:szCs w:val="18"/>
          <w:lang w:val="en-GB"/>
        </w:rPr>
        <w:t>GenAlta</w:t>
      </w:r>
      <w:proofErr w:type="spellEnd"/>
      <w:r w:rsidRPr="003920D7">
        <w:rPr>
          <w:sz w:val="18"/>
          <w:szCs w:val="18"/>
          <w:lang w:val="en-GB"/>
        </w:rPr>
        <w:t xml:space="preserve"> Recycling Inc. (Alberta—</w:t>
      </w:r>
      <w:proofErr w:type="gramStart"/>
      <w:r w:rsidR="0087396E" w:rsidRPr="003920D7">
        <w:rPr>
          <w:sz w:val="18"/>
          <w:szCs w:val="18"/>
          <w:lang w:val="en-GB"/>
        </w:rPr>
        <w:t>A</w:t>
      </w:r>
      <w:proofErr w:type="gramEnd"/>
      <w:r w:rsidRPr="003920D7">
        <w:rPr>
          <w:sz w:val="18"/>
          <w:szCs w:val="18"/>
          <w:lang w:val="en-GB"/>
        </w:rPr>
        <w:t xml:space="preserve"> </w:t>
      </w:r>
      <w:r w:rsidR="0087396E" w:rsidRPr="003920D7">
        <w:rPr>
          <w:sz w:val="18"/>
          <w:szCs w:val="18"/>
          <w:lang w:val="en-GB"/>
        </w:rPr>
        <w:t>C</w:t>
      </w:r>
      <w:r w:rsidRPr="003920D7">
        <w:rPr>
          <w:sz w:val="18"/>
          <w:szCs w:val="18"/>
          <w:lang w:val="en-GB"/>
        </w:rPr>
        <w:t xml:space="preserve">orporate </w:t>
      </w:r>
      <w:r w:rsidR="0087396E" w:rsidRPr="003920D7">
        <w:rPr>
          <w:sz w:val="18"/>
          <w:szCs w:val="18"/>
          <w:lang w:val="en-GB"/>
        </w:rPr>
        <w:t>J</w:t>
      </w:r>
      <w:r w:rsidRPr="003920D7">
        <w:rPr>
          <w:sz w:val="18"/>
          <w:szCs w:val="18"/>
          <w:lang w:val="en-GB"/>
        </w:rPr>
        <w:t xml:space="preserve">oint </w:t>
      </w:r>
      <w:r w:rsidR="0087396E" w:rsidRPr="003920D7">
        <w:rPr>
          <w:sz w:val="18"/>
          <w:szCs w:val="18"/>
          <w:lang w:val="en-GB"/>
        </w:rPr>
        <w:t>V</w:t>
      </w:r>
      <w:r w:rsidRPr="003920D7">
        <w:rPr>
          <w:sz w:val="18"/>
          <w:szCs w:val="18"/>
          <w:lang w:val="en-GB"/>
        </w:rPr>
        <w:t xml:space="preserve">enture of </w:t>
      </w:r>
      <w:proofErr w:type="spellStart"/>
      <w:r w:rsidRPr="003920D7">
        <w:rPr>
          <w:sz w:val="18"/>
          <w:szCs w:val="18"/>
          <w:lang w:val="en-GB"/>
        </w:rPr>
        <w:t>AltaSteel</w:t>
      </w:r>
      <w:proofErr w:type="spellEnd"/>
      <w:r w:rsidRPr="003920D7">
        <w:rPr>
          <w:sz w:val="18"/>
          <w:szCs w:val="18"/>
          <w:lang w:val="en-GB"/>
        </w:rPr>
        <w:t xml:space="preserve"> Ltd.)</w:t>
      </w:r>
    </w:p>
    <w:p w14:paraId="6C1528B8" w14:textId="77777777" w:rsidR="00454FA7" w:rsidRPr="003920D7" w:rsidRDefault="00454FA7" w:rsidP="008F2385">
      <w:pPr>
        <w:pStyle w:val="BodyTextMain"/>
        <w:rPr>
          <w:sz w:val="18"/>
          <w:lang w:val="en-GB"/>
        </w:rPr>
      </w:pPr>
    </w:p>
    <w:p w14:paraId="69709639" w14:textId="77777777" w:rsidR="00454FA7" w:rsidRPr="003920D7" w:rsidRDefault="00454FA7" w:rsidP="008F2385">
      <w:pPr>
        <w:pStyle w:val="BodyTextMain"/>
        <w:rPr>
          <w:sz w:val="18"/>
          <w:lang w:val="en-GB"/>
        </w:rPr>
      </w:pPr>
    </w:p>
    <w:p w14:paraId="054F6507" w14:textId="601B63EB" w:rsidR="00A676A0" w:rsidRPr="003920D7" w:rsidRDefault="00454FA7" w:rsidP="00454FA7">
      <w:pPr>
        <w:pStyle w:val="Casehead3"/>
        <w:rPr>
          <w:rFonts w:ascii="Arial" w:hAnsi="Arial" w:cs="Arial"/>
          <w:sz w:val="20"/>
          <w:szCs w:val="20"/>
          <w:lang w:val="en-GB"/>
        </w:rPr>
      </w:pPr>
      <w:r w:rsidRPr="003920D7">
        <w:rPr>
          <w:rFonts w:ascii="Arial" w:hAnsi="Arial" w:cs="Arial"/>
          <w:sz w:val="20"/>
          <w:szCs w:val="20"/>
          <w:lang w:val="en-GB"/>
        </w:rPr>
        <w:t>Joint Ventures (% Owned)</w:t>
      </w:r>
    </w:p>
    <w:p w14:paraId="521168BE" w14:textId="77777777" w:rsidR="00454FA7" w:rsidRPr="003920D7" w:rsidRDefault="00454FA7" w:rsidP="008F2385">
      <w:pPr>
        <w:pStyle w:val="BodyTextMain"/>
        <w:rPr>
          <w:sz w:val="18"/>
          <w:lang w:val="en-GB"/>
        </w:rPr>
      </w:pPr>
    </w:p>
    <w:p w14:paraId="15D52283" w14:textId="2C99C3E6" w:rsidR="00454FA7" w:rsidRPr="003920D7" w:rsidRDefault="00454FA7" w:rsidP="00454FA7">
      <w:pPr>
        <w:pStyle w:val="Casehead4"/>
        <w:rPr>
          <w:rFonts w:ascii="Arial" w:hAnsi="Arial" w:cs="Arial"/>
          <w:sz w:val="20"/>
          <w:szCs w:val="20"/>
          <w:lang w:val="en-GB"/>
        </w:rPr>
      </w:pPr>
      <w:r w:rsidRPr="003920D7">
        <w:rPr>
          <w:rFonts w:ascii="Arial" w:hAnsi="Arial" w:cs="Arial"/>
          <w:sz w:val="20"/>
          <w:szCs w:val="20"/>
          <w:lang w:val="en-GB"/>
        </w:rPr>
        <w:t>Iron Ore</w:t>
      </w:r>
    </w:p>
    <w:p w14:paraId="1240E22A" w14:textId="77777777" w:rsidR="00454FA7" w:rsidRPr="003920D7" w:rsidRDefault="00454FA7" w:rsidP="00454FA7">
      <w:pPr>
        <w:pStyle w:val="Casehead4"/>
        <w:rPr>
          <w:sz w:val="18"/>
          <w:lang w:val="en-GB"/>
        </w:rPr>
      </w:pPr>
    </w:p>
    <w:p w14:paraId="5E313282" w14:textId="3B040471" w:rsidR="00454FA7" w:rsidRPr="003920D7" w:rsidRDefault="00454FA7" w:rsidP="00454FA7">
      <w:pPr>
        <w:pStyle w:val="ExhibitText"/>
        <w:numPr>
          <w:ilvl w:val="0"/>
          <w:numId w:val="6"/>
        </w:numPr>
        <w:rPr>
          <w:sz w:val="18"/>
          <w:szCs w:val="18"/>
          <w:lang w:val="en-GB"/>
        </w:rPr>
      </w:pPr>
      <w:proofErr w:type="spellStart"/>
      <w:r w:rsidRPr="003920D7">
        <w:rPr>
          <w:sz w:val="18"/>
          <w:szCs w:val="18"/>
          <w:lang w:val="en-GB"/>
        </w:rPr>
        <w:t>Wabush</w:t>
      </w:r>
      <w:proofErr w:type="spellEnd"/>
      <w:r w:rsidRPr="003920D7">
        <w:rPr>
          <w:sz w:val="18"/>
          <w:szCs w:val="18"/>
          <w:lang w:val="en-GB"/>
        </w:rPr>
        <w:t xml:space="preserve"> Mines, N</w:t>
      </w:r>
      <w:r w:rsidR="00924C5E" w:rsidRPr="003920D7">
        <w:rPr>
          <w:sz w:val="18"/>
          <w:szCs w:val="18"/>
          <w:lang w:val="en-GB"/>
        </w:rPr>
        <w:t>ew</w:t>
      </w:r>
      <w:r w:rsidRPr="003920D7">
        <w:rPr>
          <w:sz w:val="18"/>
          <w:szCs w:val="18"/>
          <w:lang w:val="en-GB"/>
        </w:rPr>
        <w:t>f</w:t>
      </w:r>
      <w:r w:rsidR="00924C5E" w:rsidRPr="003920D7">
        <w:rPr>
          <w:sz w:val="18"/>
          <w:szCs w:val="18"/>
          <w:lang w:val="en-GB"/>
        </w:rPr>
        <w:t>ound</w:t>
      </w:r>
      <w:r w:rsidRPr="003920D7">
        <w:rPr>
          <w:sz w:val="18"/>
          <w:szCs w:val="18"/>
          <w:lang w:val="en-GB"/>
        </w:rPr>
        <w:t>l</w:t>
      </w:r>
      <w:r w:rsidR="00924C5E" w:rsidRPr="003920D7">
        <w:rPr>
          <w:sz w:val="18"/>
          <w:szCs w:val="18"/>
          <w:lang w:val="en-GB"/>
        </w:rPr>
        <w:t>an</w:t>
      </w:r>
      <w:r w:rsidRPr="003920D7">
        <w:rPr>
          <w:sz w:val="18"/>
          <w:szCs w:val="18"/>
          <w:lang w:val="en-GB"/>
        </w:rPr>
        <w:t xml:space="preserve">d </w:t>
      </w:r>
      <w:r w:rsidR="002902F1">
        <w:rPr>
          <w:sz w:val="18"/>
          <w:szCs w:val="18"/>
          <w:lang w:val="en-GB"/>
        </w:rPr>
        <w:t xml:space="preserve">and Labrador </w:t>
      </w:r>
      <w:r w:rsidRPr="003920D7">
        <w:rPr>
          <w:sz w:val="18"/>
          <w:szCs w:val="18"/>
          <w:lang w:val="en-GB"/>
        </w:rPr>
        <w:t>&amp; Que</w:t>
      </w:r>
      <w:r w:rsidR="00924C5E" w:rsidRPr="003920D7">
        <w:rPr>
          <w:sz w:val="18"/>
          <w:szCs w:val="18"/>
          <w:lang w:val="en-GB"/>
        </w:rPr>
        <w:t>bec</w:t>
      </w:r>
      <w:r w:rsidRPr="003920D7">
        <w:rPr>
          <w:sz w:val="18"/>
          <w:szCs w:val="18"/>
          <w:lang w:val="en-GB"/>
        </w:rPr>
        <w:t xml:space="preserve"> (44.6)</w:t>
      </w:r>
    </w:p>
    <w:p w14:paraId="11A99674" w14:textId="4C55B718" w:rsidR="00454FA7" w:rsidRPr="003920D7" w:rsidRDefault="00454FA7" w:rsidP="00454FA7">
      <w:pPr>
        <w:pStyle w:val="ExhibitText"/>
        <w:numPr>
          <w:ilvl w:val="0"/>
          <w:numId w:val="6"/>
        </w:numPr>
        <w:rPr>
          <w:sz w:val="18"/>
          <w:szCs w:val="18"/>
          <w:lang w:val="en-GB"/>
        </w:rPr>
      </w:pPr>
      <w:r w:rsidRPr="003920D7">
        <w:rPr>
          <w:sz w:val="18"/>
          <w:szCs w:val="18"/>
          <w:lang w:val="en-GB"/>
        </w:rPr>
        <w:t>Hibbing Development Company, Minn</w:t>
      </w:r>
      <w:r w:rsidR="00924C5E" w:rsidRPr="003920D7">
        <w:rPr>
          <w:sz w:val="18"/>
          <w:szCs w:val="18"/>
          <w:lang w:val="en-GB"/>
        </w:rPr>
        <w:t>esota</w:t>
      </w:r>
      <w:r w:rsidRPr="003920D7">
        <w:rPr>
          <w:sz w:val="18"/>
          <w:szCs w:val="18"/>
          <w:lang w:val="en-GB"/>
        </w:rPr>
        <w:t xml:space="preserve"> (24.1)</w:t>
      </w:r>
    </w:p>
    <w:p w14:paraId="77F27AC0" w14:textId="0F5DECBD" w:rsidR="00454FA7" w:rsidRPr="003920D7" w:rsidRDefault="00454FA7" w:rsidP="00454FA7">
      <w:pPr>
        <w:pStyle w:val="ExhibitText"/>
        <w:numPr>
          <w:ilvl w:val="0"/>
          <w:numId w:val="6"/>
        </w:numPr>
        <w:rPr>
          <w:sz w:val="18"/>
          <w:szCs w:val="18"/>
          <w:lang w:val="en-GB"/>
        </w:rPr>
      </w:pPr>
      <w:r w:rsidRPr="003920D7">
        <w:rPr>
          <w:sz w:val="18"/>
          <w:szCs w:val="18"/>
          <w:lang w:val="en-GB"/>
        </w:rPr>
        <w:t>Tilden Mining Company L.C., Mich</w:t>
      </w:r>
      <w:r w:rsidR="00924C5E" w:rsidRPr="003920D7">
        <w:rPr>
          <w:sz w:val="18"/>
          <w:szCs w:val="18"/>
          <w:lang w:val="en-GB"/>
        </w:rPr>
        <w:t>igan</w:t>
      </w:r>
      <w:r w:rsidRPr="003920D7">
        <w:rPr>
          <w:sz w:val="18"/>
          <w:szCs w:val="18"/>
          <w:lang w:val="en-GB"/>
        </w:rPr>
        <w:t xml:space="preserve"> (15)</w:t>
      </w:r>
    </w:p>
    <w:p w14:paraId="65321040" w14:textId="214FBA0C" w:rsidR="00454FA7" w:rsidRPr="003920D7" w:rsidRDefault="00454FA7" w:rsidP="00454FA7">
      <w:pPr>
        <w:pStyle w:val="ExhibitText"/>
        <w:numPr>
          <w:ilvl w:val="0"/>
          <w:numId w:val="6"/>
        </w:numPr>
        <w:rPr>
          <w:sz w:val="18"/>
          <w:szCs w:val="18"/>
          <w:lang w:val="en-GB"/>
        </w:rPr>
      </w:pPr>
      <w:r w:rsidRPr="003920D7">
        <w:rPr>
          <w:sz w:val="18"/>
          <w:szCs w:val="18"/>
          <w:lang w:val="en-GB"/>
        </w:rPr>
        <w:t>Ontario Iron Company, Minn</w:t>
      </w:r>
      <w:r w:rsidR="00924C5E" w:rsidRPr="003920D7">
        <w:rPr>
          <w:sz w:val="18"/>
          <w:szCs w:val="18"/>
          <w:lang w:val="en-GB"/>
        </w:rPr>
        <w:t>esota</w:t>
      </w:r>
      <w:r w:rsidRPr="003920D7">
        <w:rPr>
          <w:sz w:val="18"/>
          <w:szCs w:val="18"/>
          <w:lang w:val="en-GB"/>
        </w:rPr>
        <w:t xml:space="preserve"> (10)</w:t>
      </w:r>
    </w:p>
    <w:p w14:paraId="21E7F7D9" w14:textId="0AA1185C" w:rsidR="00454FA7" w:rsidRPr="003920D7" w:rsidRDefault="00454FA7" w:rsidP="00454FA7">
      <w:pPr>
        <w:pStyle w:val="ExhibitText"/>
        <w:numPr>
          <w:ilvl w:val="0"/>
          <w:numId w:val="6"/>
        </w:numPr>
        <w:rPr>
          <w:sz w:val="18"/>
          <w:szCs w:val="18"/>
          <w:lang w:val="en-GB"/>
        </w:rPr>
      </w:pPr>
      <w:r w:rsidRPr="003920D7">
        <w:rPr>
          <w:sz w:val="18"/>
          <w:szCs w:val="18"/>
          <w:lang w:val="en-GB"/>
        </w:rPr>
        <w:t>Hibbing Taconite Company, Minn</w:t>
      </w:r>
      <w:r w:rsidR="00924C5E" w:rsidRPr="003920D7">
        <w:rPr>
          <w:sz w:val="18"/>
          <w:szCs w:val="18"/>
          <w:lang w:val="en-GB"/>
        </w:rPr>
        <w:t>esota</w:t>
      </w:r>
      <w:r w:rsidRPr="003920D7">
        <w:rPr>
          <w:sz w:val="18"/>
          <w:szCs w:val="18"/>
          <w:lang w:val="en-GB"/>
        </w:rPr>
        <w:t xml:space="preserve"> (6.7)</w:t>
      </w:r>
    </w:p>
    <w:p w14:paraId="64153B8C" w14:textId="77777777" w:rsidR="008F2385" w:rsidRPr="003920D7" w:rsidRDefault="008F2385" w:rsidP="008F2385">
      <w:pPr>
        <w:pStyle w:val="BodyTextMain"/>
        <w:rPr>
          <w:sz w:val="18"/>
          <w:lang w:val="en-GB"/>
        </w:rPr>
      </w:pPr>
    </w:p>
    <w:p w14:paraId="1D9A4FB0" w14:textId="43EFE702" w:rsidR="008F2385" w:rsidRPr="003920D7" w:rsidRDefault="008F2385" w:rsidP="008F2385">
      <w:pPr>
        <w:pStyle w:val="Casehead4"/>
        <w:rPr>
          <w:rFonts w:ascii="Arial" w:hAnsi="Arial" w:cs="Arial"/>
          <w:sz w:val="20"/>
          <w:szCs w:val="20"/>
          <w:lang w:val="en-GB"/>
        </w:rPr>
      </w:pPr>
      <w:r w:rsidRPr="003920D7">
        <w:rPr>
          <w:rFonts w:ascii="Arial" w:hAnsi="Arial" w:cs="Arial"/>
          <w:sz w:val="20"/>
          <w:szCs w:val="20"/>
          <w:lang w:val="en-GB"/>
        </w:rPr>
        <w:t>Other</w:t>
      </w:r>
    </w:p>
    <w:p w14:paraId="46FA6BDC" w14:textId="77777777" w:rsidR="008F2385" w:rsidRPr="003920D7" w:rsidRDefault="008F2385" w:rsidP="008F2385">
      <w:pPr>
        <w:pStyle w:val="Casehead4"/>
        <w:rPr>
          <w:sz w:val="18"/>
          <w:lang w:val="en-GB"/>
        </w:rPr>
      </w:pPr>
    </w:p>
    <w:p w14:paraId="1008BB8E" w14:textId="61302529" w:rsidR="008F2385" w:rsidRPr="003920D7" w:rsidRDefault="008F2385" w:rsidP="008F2385">
      <w:pPr>
        <w:pStyle w:val="ExhibitText"/>
        <w:numPr>
          <w:ilvl w:val="0"/>
          <w:numId w:val="7"/>
        </w:numPr>
        <w:rPr>
          <w:sz w:val="18"/>
          <w:szCs w:val="18"/>
          <w:lang w:val="en-GB"/>
        </w:rPr>
      </w:pPr>
      <w:r w:rsidRPr="003920D7">
        <w:rPr>
          <w:sz w:val="18"/>
          <w:szCs w:val="18"/>
          <w:lang w:val="en-GB"/>
        </w:rPr>
        <w:t>Z-Line Company, Ont</w:t>
      </w:r>
      <w:r w:rsidR="00924C5E" w:rsidRPr="003920D7">
        <w:rPr>
          <w:sz w:val="18"/>
          <w:szCs w:val="18"/>
          <w:lang w:val="en-GB"/>
        </w:rPr>
        <w:t>ario</w:t>
      </w:r>
      <w:r w:rsidRPr="003920D7">
        <w:rPr>
          <w:sz w:val="18"/>
          <w:szCs w:val="18"/>
          <w:lang w:val="en-GB"/>
        </w:rPr>
        <w:t xml:space="preserve"> (60)</w:t>
      </w:r>
    </w:p>
    <w:p w14:paraId="34EFB797" w14:textId="0F0E8863" w:rsidR="008F2385" w:rsidRPr="003920D7" w:rsidRDefault="008F2385" w:rsidP="008F2385">
      <w:pPr>
        <w:pStyle w:val="ExhibitText"/>
        <w:numPr>
          <w:ilvl w:val="0"/>
          <w:numId w:val="7"/>
        </w:numPr>
        <w:rPr>
          <w:sz w:val="18"/>
          <w:szCs w:val="18"/>
          <w:lang w:val="en-GB"/>
        </w:rPr>
      </w:pPr>
      <w:proofErr w:type="spellStart"/>
      <w:r w:rsidRPr="003920D7">
        <w:rPr>
          <w:sz w:val="18"/>
          <w:szCs w:val="18"/>
          <w:lang w:val="en-GB"/>
        </w:rPr>
        <w:t>Baycoat</w:t>
      </w:r>
      <w:proofErr w:type="spellEnd"/>
      <w:r w:rsidRPr="003920D7">
        <w:rPr>
          <w:sz w:val="18"/>
          <w:szCs w:val="18"/>
          <w:lang w:val="en-GB"/>
        </w:rPr>
        <w:t>, Ont</w:t>
      </w:r>
      <w:r w:rsidR="00924C5E" w:rsidRPr="003920D7">
        <w:rPr>
          <w:sz w:val="18"/>
          <w:szCs w:val="18"/>
          <w:lang w:val="en-GB"/>
        </w:rPr>
        <w:t>ario</w:t>
      </w:r>
      <w:r w:rsidRPr="003920D7">
        <w:rPr>
          <w:sz w:val="18"/>
          <w:szCs w:val="18"/>
          <w:lang w:val="en-GB"/>
        </w:rPr>
        <w:t xml:space="preserve"> (50)</w:t>
      </w:r>
    </w:p>
    <w:p w14:paraId="6B62FE9C" w14:textId="47BAEFBE" w:rsidR="008F2385" w:rsidRPr="003920D7" w:rsidRDefault="008F2385" w:rsidP="008F2385">
      <w:pPr>
        <w:pStyle w:val="ExhibitText"/>
        <w:numPr>
          <w:ilvl w:val="0"/>
          <w:numId w:val="7"/>
        </w:numPr>
        <w:rPr>
          <w:sz w:val="18"/>
          <w:szCs w:val="18"/>
          <w:lang w:val="en-GB"/>
        </w:rPr>
      </w:pPr>
      <w:r w:rsidRPr="003920D7">
        <w:rPr>
          <w:sz w:val="18"/>
          <w:szCs w:val="18"/>
          <w:lang w:val="en-GB"/>
        </w:rPr>
        <w:t>M</w:t>
      </w:r>
      <w:r w:rsidR="00924C5E" w:rsidRPr="003920D7">
        <w:rPr>
          <w:sz w:val="18"/>
          <w:szCs w:val="18"/>
          <w:lang w:val="en-GB"/>
        </w:rPr>
        <w:t>oly</w:t>
      </w:r>
      <w:r w:rsidRPr="003920D7">
        <w:rPr>
          <w:sz w:val="18"/>
          <w:szCs w:val="18"/>
          <w:lang w:val="en-GB"/>
        </w:rPr>
        <w:t>-C</w:t>
      </w:r>
      <w:r w:rsidR="00924C5E" w:rsidRPr="003920D7">
        <w:rPr>
          <w:sz w:val="18"/>
          <w:szCs w:val="18"/>
          <w:lang w:val="en-GB"/>
        </w:rPr>
        <w:t>op</w:t>
      </w:r>
      <w:r w:rsidRPr="003920D7">
        <w:rPr>
          <w:sz w:val="18"/>
          <w:szCs w:val="18"/>
          <w:lang w:val="en-GB"/>
        </w:rPr>
        <w:t xml:space="preserve"> Canada, B</w:t>
      </w:r>
      <w:r w:rsidR="00924C5E" w:rsidRPr="003920D7">
        <w:rPr>
          <w:sz w:val="18"/>
          <w:szCs w:val="18"/>
          <w:lang w:val="en-GB"/>
        </w:rPr>
        <w:t xml:space="preserve">ritish </w:t>
      </w:r>
      <w:r w:rsidRPr="003920D7">
        <w:rPr>
          <w:sz w:val="18"/>
          <w:szCs w:val="18"/>
          <w:lang w:val="en-GB"/>
        </w:rPr>
        <w:t>C</w:t>
      </w:r>
      <w:r w:rsidR="00924C5E" w:rsidRPr="003920D7">
        <w:rPr>
          <w:sz w:val="18"/>
          <w:szCs w:val="18"/>
          <w:lang w:val="en-GB"/>
        </w:rPr>
        <w:t>olumbia</w:t>
      </w:r>
      <w:r w:rsidRPr="003920D7">
        <w:rPr>
          <w:sz w:val="18"/>
          <w:szCs w:val="18"/>
          <w:lang w:val="en-GB"/>
        </w:rPr>
        <w:t xml:space="preserve"> (A Partnership of </w:t>
      </w:r>
      <w:proofErr w:type="spellStart"/>
      <w:r w:rsidRPr="003920D7">
        <w:rPr>
          <w:sz w:val="18"/>
          <w:szCs w:val="18"/>
          <w:lang w:val="en-GB"/>
        </w:rPr>
        <w:t>AltaSteel</w:t>
      </w:r>
      <w:proofErr w:type="spellEnd"/>
      <w:r w:rsidRPr="003920D7">
        <w:rPr>
          <w:sz w:val="18"/>
          <w:szCs w:val="18"/>
          <w:lang w:val="en-GB"/>
        </w:rPr>
        <w:t xml:space="preserve"> Ltd.) (50)</w:t>
      </w:r>
    </w:p>
    <w:p w14:paraId="21414014" w14:textId="698C1646" w:rsidR="008F2385" w:rsidRPr="003920D7" w:rsidRDefault="008F2385" w:rsidP="008F2385">
      <w:pPr>
        <w:pStyle w:val="ExhibitText"/>
        <w:numPr>
          <w:ilvl w:val="0"/>
          <w:numId w:val="7"/>
        </w:numPr>
        <w:rPr>
          <w:sz w:val="18"/>
          <w:szCs w:val="18"/>
          <w:lang w:val="en-GB"/>
        </w:rPr>
      </w:pPr>
      <w:proofErr w:type="spellStart"/>
      <w:r w:rsidRPr="003920D7">
        <w:rPr>
          <w:sz w:val="18"/>
          <w:szCs w:val="18"/>
          <w:lang w:val="en-GB"/>
        </w:rPr>
        <w:t>GenAlta</w:t>
      </w:r>
      <w:proofErr w:type="spellEnd"/>
      <w:r w:rsidRPr="003920D7">
        <w:rPr>
          <w:sz w:val="18"/>
          <w:szCs w:val="18"/>
          <w:lang w:val="en-GB"/>
        </w:rPr>
        <w:t xml:space="preserve"> Recycling Inc., Al</w:t>
      </w:r>
      <w:r w:rsidR="00924C5E" w:rsidRPr="003920D7">
        <w:rPr>
          <w:sz w:val="18"/>
          <w:szCs w:val="18"/>
          <w:lang w:val="en-GB"/>
        </w:rPr>
        <w:t>ber</w:t>
      </w:r>
      <w:r w:rsidRPr="003920D7">
        <w:rPr>
          <w:sz w:val="18"/>
          <w:szCs w:val="18"/>
          <w:lang w:val="en-GB"/>
        </w:rPr>
        <w:t xml:space="preserve">ta (A Corporate Joint Venture of </w:t>
      </w:r>
      <w:proofErr w:type="spellStart"/>
      <w:r w:rsidRPr="003920D7">
        <w:rPr>
          <w:sz w:val="18"/>
          <w:szCs w:val="18"/>
          <w:lang w:val="en-GB"/>
        </w:rPr>
        <w:t>AltaSteel</w:t>
      </w:r>
      <w:proofErr w:type="spellEnd"/>
      <w:r w:rsidRPr="003920D7">
        <w:rPr>
          <w:sz w:val="18"/>
          <w:szCs w:val="18"/>
          <w:lang w:val="en-GB"/>
        </w:rPr>
        <w:t xml:space="preserve"> Ltd.) (50)</w:t>
      </w:r>
    </w:p>
    <w:p w14:paraId="5F4409D1" w14:textId="2E6C2660" w:rsidR="008F2385" w:rsidRPr="003920D7" w:rsidRDefault="008F2385" w:rsidP="008F2385">
      <w:pPr>
        <w:pStyle w:val="ExhibitText"/>
        <w:numPr>
          <w:ilvl w:val="0"/>
          <w:numId w:val="7"/>
        </w:numPr>
        <w:rPr>
          <w:sz w:val="18"/>
          <w:szCs w:val="18"/>
          <w:lang w:val="en-GB"/>
        </w:rPr>
      </w:pPr>
      <w:r w:rsidRPr="003920D7">
        <w:rPr>
          <w:sz w:val="18"/>
          <w:szCs w:val="18"/>
          <w:lang w:val="en-GB"/>
        </w:rPr>
        <w:t>DC Chrome L</w:t>
      </w:r>
      <w:r w:rsidR="00924C5E" w:rsidRPr="003920D7">
        <w:rPr>
          <w:sz w:val="18"/>
          <w:szCs w:val="18"/>
          <w:lang w:val="en-GB"/>
        </w:rPr>
        <w:t>td.</w:t>
      </w:r>
      <w:r w:rsidRPr="003920D7">
        <w:rPr>
          <w:sz w:val="18"/>
          <w:szCs w:val="18"/>
          <w:lang w:val="en-GB"/>
        </w:rPr>
        <w:t>, Ont</w:t>
      </w:r>
      <w:r w:rsidR="00924C5E" w:rsidRPr="003920D7">
        <w:rPr>
          <w:sz w:val="18"/>
          <w:szCs w:val="18"/>
          <w:lang w:val="en-GB"/>
        </w:rPr>
        <w:t>ario</w:t>
      </w:r>
      <w:r w:rsidRPr="003920D7">
        <w:rPr>
          <w:sz w:val="18"/>
          <w:szCs w:val="18"/>
          <w:lang w:val="en-GB"/>
        </w:rPr>
        <w:t xml:space="preserve"> (50)</w:t>
      </w:r>
    </w:p>
    <w:p w14:paraId="0B834AA9" w14:textId="0608F211" w:rsidR="008F2385" w:rsidRPr="003920D7" w:rsidRDefault="008F2385" w:rsidP="008F2385">
      <w:pPr>
        <w:pStyle w:val="ExhibitText"/>
        <w:numPr>
          <w:ilvl w:val="0"/>
          <w:numId w:val="7"/>
        </w:numPr>
        <w:rPr>
          <w:sz w:val="18"/>
          <w:szCs w:val="18"/>
          <w:lang w:val="en-GB"/>
        </w:rPr>
      </w:pPr>
      <w:proofErr w:type="spellStart"/>
      <w:r w:rsidRPr="003920D7">
        <w:rPr>
          <w:sz w:val="18"/>
          <w:szCs w:val="18"/>
          <w:lang w:val="en-GB"/>
        </w:rPr>
        <w:t>Camrose</w:t>
      </w:r>
      <w:proofErr w:type="spellEnd"/>
      <w:r w:rsidRPr="003920D7">
        <w:rPr>
          <w:sz w:val="18"/>
          <w:szCs w:val="18"/>
          <w:lang w:val="en-GB"/>
        </w:rPr>
        <w:t xml:space="preserve"> Pipe Company, Al</w:t>
      </w:r>
      <w:r w:rsidR="00924C5E" w:rsidRPr="003920D7">
        <w:rPr>
          <w:sz w:val="18"/>
          <w:szCs w:val="18"/>
          <w:lang w:val="en-GB"/>
        </w:rPr>
        <w:t>ber</w:t>
      </w:r>
      <w:r w:rsidRPr="003920D7">
        <w:rPr>
          <w:sz w:val="18"/>
          <w:szCs w:val="18"/>
          <w:lang w:val="en-GB"/>
        </w:rPr>
        <w:t>ta (40)</w:t>
      </w:r>
    </w:p>
    <w:p w14:paraId="4ADDD061" w14:textId="242B4668" w:rsidR="008F2385" w:rsidRPr="003920D7" w:rsidRDefault="008F2385" w:rsidP="006F2077">
      <w:pPr>
        <w:pStyle w:val="ExhibitText"/>
        <w:numPr>
          <w:ilvl w:val="0"/>
          <w:numId w:val="7"/>
        </w:numPr>
        <w:rPr>
          <w:sz w:val="18"/>
          <w:szCs w:val="18"/>
          <w:lang w:val="en-GB"/>
        </w:rPr>
      </w:pPr>
      <w:proofErr w:type="spellStart"/>
      <w:r w:rsidRPr="003920D7">
        <w:rPr>
          <w:sz w:val="18"/>
          <w:szCs w:val="18"/>
          <w:lang w:val="en-GB"/>
        </w:rPr>
        <w:t>Wabush</w:t>
      </w:r>
      <w:proofErr w:type="spellEnd"/>
      <w:r w:rsidRPr="003920D7">
        <w:rPr>
          <w:sz w:val="18"/>
          <w:szCs w:val="18"/>
          <w:lang w:val="en-GB"/>
        </w:rPr>
        <w:t xml:space="preserve"> Lake Railway Company L</w:t>
      </w:r>
      <w:r w:rsidR="00924C5E" w:rsidRPr="003920D7">
        <w:rPr>
          <w:sz w:val="18"/>
          <w:szCs w:val="18"/>
          <w:lang w:val="en-GB"/>
        </w:rPr>
        <w:t>td.</w:t>
      </w:r>
      <w:r w:rsidRPr="003920D7">
        <w:rPr>
          <w:sz w:val="18"/>
          <w:szCs w:val="18"/>
          <w:lang w:val="en-GB"/>
        </w:rPr>
        <w:t>, N</w:t>
      </w:r>
      <w:r w:rsidR="00924C5E" w:rsidRPr="003920D7">
        <w:rPr>
          <w:sz w:val="18"/>
          <w:szCs w:val="18"/>
          <w:lang w:val="en-GB"/>
        </w:rPr>
        <w:t>ew</w:t>
      </w:r>
      <w:r w:rsidRPr="003920D7">
        <w:rPr>
          <w:sz w:val="18"/>
          <w:szCs w:val="18"/>
          <w:lang w:val="en-GB"/>
        </w:rPr>
        <w:t>f</w:t>
      </w:r>
      <w:r w:rsidR="00924C5E" w:rsidRPr="003920D7">
        <w:rPr>
          <w:sz w:val="18"/>
          <w:szCs w:val="18"/>
          <w:lang w:val="en-GB"/>
        </w:rPr>
        <w:t>ound</w:t>
      </w:r>
      <w:r w:rsidRPr="003920D7">
        <w:rPr>
          <w:sz w:val="18"/>
          <w:szCs w:val="18"/>
          <w:lang w:val="en-GB"/>
        </w:rPr>
        <w:t>l</w:t>
      </w:r>
      <w:r w:rsidR="00924C5E" w:rsidRPr="003920D7">
        <w:rPr>
          <w:sz w:val="18"/>
          <w:szCs w:val="18"/>
          <w:lang w:val="en-GB"/>
        </w:rPr>
        <w:t>an</w:t>
      </w:r>
      <w:r w:rsidRPr="003920D7">
        <w:rPr>
          <w:sz w:val="18"/>
          <w:szCs w:val="18"/>
          <w:lang w:val="en-GB"/>
        </w:rPr>
        <w:t xml:space="preserve">d </w:t>
      </w:r>
      <w:r w:rsidR="002902F1">
        <w:rPr>
          <w:sz w:val="18"/>
          <w:szCs w:val="18"/>
          <w:lang w:val="en-GB"/>
        </w:rPr>
        <w:t xml:space="preserve">and Labrador </w:t>
      </w:r>
      <w:r w:rsidRPr="003920D7">
        <w:rPr>
          <w:sz w:val="18"/>
          <w:szCs w:val="18"/>
          <w:lang w:val="en-GB"/>
        </w:rPr>
        <w:t>(44.6)</w:t>
      </w:r>
    </w:p>
    <w:p w14:paraId="65D792F3" w14:textId="555F55CE" w:rsidR="008F2385" w:rsidRPr="003920D7" w:rsidRDefault="008F2385" w:rsidP="006F2077">
      <w:pPr>
        <w:pStyle w:val="ExhibitText"/>
        <w:numPr>
          <w:ilvl w:val="0"/>
          <w:numId w:val="7"/>
        </w:numPr>
        <w:rPr>
          <w:sz w:val="18"/>
          <w:szCs w:val="18"/>
          <w:lang w:val="en-GB"/>
        </w:rPr>
      </w:pPr>
      <w:r w:rsidRPr="003920D7">
        <w:rPr>
          <w:sz w:val="18"/>
          <w:szCs w:val="18"/>
          <w:lang w:val="en-GB"/>
        </w:rPr>
        <w:t>Knoll Lake Minerals L</w:t>
      </w:r>
      <w:r w:rsidR="00924C5E" w:rsidRPr="003920D7">
        <w:rPr>
          <w:sz w:val="18"/>
          <w:szCs w:val="18"/>
          <w:lang w:val="en-GB"/>
        </w:rPr>
        <w:t>td.</w:t>
      </w:r>
      <w:r w:rsidRPr="003920D7">
        <w:rPr>
          <w:sz w:val="18"/>
          <w:szCs w:val="18"/>
          <w:lang w:val="en-GB"/>
        </w:rPr>
        <w:t>, N</w:t>
      </w:r>
      <w:r w:rsidR="00924C5E" w:rsidRPr="003920D7">
        <w:rPr>
          <w:sz w:val="18"/>
          <w:szCs w:val="18"/>
          <w:lang w:val="en-GB"/>
        </w:rPr>
        <w:t>ewfoundland</w:t>
      </w:r>
      <w:r w:rsidRPr="003920D7">
        <w:rPr>
          <w:sz w:val="18"/>
          <w:szCs w:val="18"/>
          <w:lang w:val="en-GB"/>
        </w:rPr>
        <w:t xml:space="preserve"> </w:t>
      </w:r>
      <w:r w:rsidR="002902F1">
        <w:rPr>
          <w:sz w:val="18"/>
          <w:szCs w:val="18"/>
          <w:lang w:val="en-GB"/>
        </w:rPr>
        <w:t xml:space="preserve">and Labrador </w:t>
      </w:r>
      <w:r w:rsidRPr="003920D7">
        <w:rPr>
          <w:sz w:val="18"/>
          <w:szCs w:val="18"/>
          <w:lang w:val="en-GB"/>
        </w:rPr>
        <w:t>(26)</w:t>
      </w:r>
    </w:p>
    <w:p w14:paraId="59ACE8F4" w14:textId="456B98B3" w:rsidR="008F2385" w:rsidRPr="003920D7" w:rsidRDefault="008F2385" w:rsidP="006F2077">
      <w:pPr>
        <w:pStyle w:val="ExhibitText"/>
        <w:numPr>
          <w:ilvl w:val="0"/>
          <w:numId w:val="7"/>
        </w:numPr>
        <w:rPr>
          <w:sz w:val="18"/>
          <w:szCs w:val="18"/>
          <w:lang w:val="en-GB"/>
        </w:rPr>
      </w:pPr>
      <w:r w:rsidRPr="003920D7">
        <w:rPr>
          <w:sz w:val="18"/>
          <w:szCs w:val="18"/>
          <w:lang w:val="en-GB"/>
        </w:rPr>
        <w:t>Northern Land Company L</w:t>
      </w:r>
      <w:r w:rsidR="00924C5E" w:rsidRPr="003920D7">
        <w:rPr>
          <w:sz w:val="18"/>
          <w:szCs w:val="18"/>
          <w:lang w:val="en-GB"/>
        </w:rPr>
        <w:t>td.</w:t>
      </w:r>
      <w:r w:rsidRPr="003920D7">
        <w:rPr>
          <w:sz w:val="18"/>
          <w:szCs w:val="18"/>
          <w:lang w:val="en-GB"/>
        </w:rPr>
        <w:t>, N</w:t>
      </w:r>
      <w:r w:rsidR="00924C5E" w:rsidRPr="003920D7">
        <w:rPr>
          <w:sz w:val="18"/>
          <w:szCs w:val="18"/>
          <w:lang w:val="en-GB"/>
        </w:rPr>
        <w:t>ewfoundland</w:t>
      </w:r>
      <w:r w:rsidRPr="003920D7">
        <w:rPr>
          <w:sz w:val="18"/>
          <w:szCs w:val="18"/>
          <w:lang w:val="en-GB"/>
        </w:rPr>
        <w:t xml:space="preserve"> </w:t>
      </w:r>
      <w:r w:rsidR="002902F1">
        <w:rPr>
          <w:sz w:val="18"/>
          <w:szCs w:val="18"/>
          <w:lang w:val="en-GB"/>
        </w:rPr>
        <w:t xml:space="preserve">and Labrador </w:t>
      </w:r>
      <w:r w:rsidRPr="003920D7">
        <w:rPr>
          <w:sz w:val="18"/>
          <w:szCs w:val="18"/>
          <w:lang w:val="en-GB"/>
        </w:rPr>
        <w:t>(22.3)</w:t>
      </w:r>
    </w:p>
    <w:p w14:paraId="7C14F09E" w14:textId="4BCDF533" w:rsidR="008F2385" w:rsidRPr="003920D7" w:rsidRDefault="008F2385" w:rsidP="006F2077">
      <w:pPr>
        <w:pStyle w:val="ExhibitText"/>
        <w:numPr>
          <w:ilvl w:val="0"/>
          <w:numId w:val="7"/>
        </w:numPr>
        <w:rPr>
          <w:sz w:val="18"/>
          <w:szCs w:val="18"/>
          <w:lang w:val="en-GB"/>
        </w:rPr>
      </w:pPr>
      <w:r w:rsidRPr="003920D7">
        <w:rPr>
          <w:sz w:val="18"/>
          <w:szCs w:val="18"/>
          <w:lang w:val="en-GB"/>
        </w:rPr>
        <w:t>Twin Falls Power Corporation L</w:t>
      </w:r>
      <w:r w:rsidR="00924C5E" w:rsidRPr="003920D7">
        <w:rPr>
          <w:sz w:val="18"/>
          <w:szCs w:val="18"/>
          <w:lang w:val="en-GB"/>
        </w:rPr>
        <w:t>td.</w:t>
      </w:r>
      <w:r w:rsidRPr="003920D7">
        <w:rPr>
          <w:sz w:val="18"/>
          <w:szCs w:val="18"/>
          <w:lang w:val="en-GB"/>
        </w:rPr>
        <w:t>, N</w:t>
      </w:r>
      <w:r w:rsidR="00924C5E" w:rsidRPr="003920D7">
        <w:rPr>
          <w:sz w:val="18"/>
          <w:szCs w:val="18"/>
          <w:lang w:val="en-GB"/>
        </w:rPr>
        <w:t>ew</w:t>
      </w:r>
      <w:r w:rsidRPr="003920D7">
        <w:rPr>
          <w:sz w:val="18"/>
          <w:szCs w:val="18"/>
          <w:lang w:val="en-GB"/>
        </w:rPr>
        <w:t>f</w:t>
      </w:r>
      <w:r w:rsidR="00924C5E" w:rsidRPr="003920D7">
        <w:rPr>
          <w:sz w:val="18"/>
          <w:szCs w:val="18"/>
          <w:lang w:val="en-GB"/>
        </w:rPr>
        <w:t>ound</w:t>
      </w:r>
      <w:r w:rsidRPr="003920D7">
        <w:rPr>
          <w:sz w:val="18"/>
          <w:szCs w:val="18"/>
          <w:lang w:val="en-GB"/>
        </w:rPr>
        <w:t>l</w:t>
      </w:r>
      <w:r w:rsidR="00924C5E" w:rsidRPr="003920D7">
        <w:rPr>
          <w:sz w:val="18"/>
          <w:szCs w:val="18"/>
          <w:lang w:val="en-GB"/>
        </w:rPr>
        <w:t>an</w:t>
      </w:r>
      <w:r w:rsidRPr="003920D7">
        <w:rPr>
          <w:sz w:val="18"/>
          <w:szCs w:val="18"/>
          <w:lang w:val="en-GB"/>
        </w:rPr>
        <w:t xml:space="preserve">d </w:t>
      </w:r>
      <w:r w:rsidR="002902F1">
        <w:rPr>
          <w:sz w:val="18"/>
          <w:szCs w:val="18"/>
          <w:lang w:val="en-GB"/>
        </w:rPr>
        <w:t xml:space="preserve">and Labrador </w:t>
      </w:r>
      <w:r w:rsidRPr="003920D7">
        <w:rPr>
          <w:sz w:val="18"/>
          <w:szCs w:val="18"/>
          <w:lang w:val="en-GB"/>
        </w:rPr>
        <w:t>(7.6)</w:t>
      </w:r>
    </w:p>
    <w:p w14:paraId="3A8FE7C4" w14:textId="77777777" w:rsidR="008F2385" w:rsidRPr="003920D7" w:rsidRDefault="008F2385" w:rsidP="008F2385">
      <w:pPr>
        <w:pStyle w:val="ExhibitText"/>
        <w:rPr>
          <w:sz w:val="18"/>
          <w:szCs w:val="18"/>
          <w:lang w:val="en-GB"/>
        </w:rPr>
      </w:pPr>
    </w:p>
    <w:p w14:paraId="5A38E061" w14:textId="0994A5CE" w:rsidR="002902F1" w:rsidRDefault="008F2385" w:rsidP="0072320B">
      <w:pPr>
        <w:pStyle w:val="Footnote"/>
        <w:rPr>
          <w:lang w:val="en-GB"/>
        </w:rPr>
      </w:pPr>
      <w:r w:rsidRPr="003920D7">
        <w:rPr>
          <w:lang w:val="en-GB"/>
        </w:rPr>
        <w:t xml:space="preserve">Source: </w:t>
      </w:r>
      <w:proofErr w:type="spellStart"/>
      <w:r w:rsidRPr="003920D7">
        <w:rPr>
          <w:lang w:val="en-GB"/>
        </w:rPr>
        <w:t>Stelco</w:t>
      </w:r>
      <w:proofErr w:type="spellEnd"/>
      <w:r w:rsidR="0087396E" w:rsidRPr="003920D7">
        <w:rPr>
          <w:lang w:val="en-GB"/>
        </w:rPr>
        <w:t xml:space="preserve"> Inc.,</w:t>
      </w:r>
      <w:r w:rsidRPr="003920D7">
        <w:rPr>
          <w:lang w:val="en-GB"/>
        </w:rPr>
        <w:t xml:space="preserve"> </w:t>
      </w:r>
      <w:r w:rsidRPr="003920D7">
        <w:rPr>
          <w:i/>
          <w:lang w:val="en-GB"/>
        </w:rPr>
        <w:t>Annual Information Form</w:t>
      </w:r>
      <w:r w:rsidRPr="003920D7">
        <w:rPr>
          <w:lang w:val="en-GB"/>
        </w:rPr>
        <w:t>, 2003.</w:t>
      </w:r>
      <w:r w:rsidR="002902F1">
        <w:rPr>
          <w:lang w:val="en-GB"/>
        </w:rPr>
        <w:br w:type="page"/>
      </w:r>
    </w:p>
    <w:p w14:paraId="3DBB0B77" w14:textId="15F43F05" w:rsidR="008F2385" w:rsidRPr="003920D7" w:rsidRDefault="000A146D" w:rsidP="000A146D">
      <w:pPr>
        <w:pStyle w:val="ExhibitHeading"/>
        <w:rPr>
          <w:sz w:val="18"/>
          <w:szCs w:val="18"/>
          <w:lang w:val="en-GB"/>
        </w:rPr>
      </w:pPr>
      <w:r w:rsidRPr="003920D7">
        <w:rPr>
          <w:lang w:val="en-GB"/>
        </w:rPr>
        <w:lastRenderedPageBreak/>
        <w:t xml:space="preserve">EXHIBIT 2: Stelco </w:t>
      </w:r>
      <w:r w:rsidR="0072320B">
        <w:rPr>
          <w:lang w:val="en-GB"/>
        </w:rPr>
        <w:t xml:space="preserve">inc. </w:t>
      </w:r>
      <w:r w:rsidRPr="003920D7">
        <w:rPr>
          <w:lang w:val="en-GB"/>
        </w:rPr>
        <w:t>PRODUCTION, Product Mix, and Sales</w:t>
      </w:r>
      <w:r w:rsidR="0072320B">
        <w:rPr>
          <w:lang w:val="en-GB"/>
        </w:rPr>
        <w:t>, 2002</w:t>
      </w:r>
    </w:p>
    <w:p w14:paraId="4BB3B616" w14:textId="77777777" w:rsidR="008F2385" w:rsidRPr="003920D7" w:rsidRDefault="008F2385" w:rsidP="008F2385">
      <w:pPr>
        <w:pStyle w:val="ExhibitText"/>
        <w:rPr>
          <w:sz w:val="18"/>
          <w:szCs w:val="18"/>
          <w:lang w:val="en-GB"/>
        </w:rPr>
      </w:pPr>
    </w:p>
    <w:tbl>
      <w:tblPr>
        <w:tblW w:w="9247" w:type="dxa"/>
        <w:jc w:val="center"/>
        <w:tblLook w:val="04A0" w:firstRow="1" w:lastRow="0" w:firstColumn="1" w:lastColumn="0" w:noHBand="0" w:noVBand="1"/>
      </w:tblPr>
      <w:tblGrid>
        <w:gridCol w:w="1999"/>
        <w:gridCol w:w="1601"/>
        <w:gridCol w:w="1220"/>
        <w:gridCol w:w="1570"/>
        <w:gridCol w:w="1153"/>
        <w:gridCol w:w="1040"/>
        <w:gridCol w:w="724"/>
      </w:tblGrid>
      <w:tr w:rsidR="000A146D" w:rsidRPr="003920D7" w14:paraId="030FC89F" w14:textId="77777777" w:rsidTr="00FF1DE0">
        <w:trPr>
          <w:trHeight w:val="300"/>
          <w:jc w:val="center"/>
        </w:trPr>
        <w:tc>
          <w:tcPr>
            <w:tcW w:w="1999" w:type="dxa"/>
            <w:tcBorders>
              <w:top w:val="nil"/>
              <w:left w:val="nil"/>
              <w:bottom w:val="nil"/>
              <w:right w:val="nil"/>
            </w:tcBorders>
            <w:shd w:val="clear" w:color="auto" w:fill="auto"/>
            <w:noWrap/>
            <w:hideMark/>
          </w:tcPr>
          <w:p w14:paraId="5FE111C0" w14:textId="77777777" w:rsidR="000A146D" w:rsidRPr="003920D7" w:rsidRDefault="000A146D" w:rsidP="006F2077">
            <w:pPr>
              <w:rPr>
                <w:rFonts w:ascii="Arial" w:hAnsi="Arial" w:cs="Arial"/>
                <w:sz w:val="18"/>
                <w:szCs w:val="18"/>
                <w:lang w:val="en-GB" w:eastAsia="en-CA"/>
              </w:rPr>
            </w:pPr>
          </w:p>
        </w:tc>
        <w:tc>
          <w:tcPr>
            <w:tcW w:w="1601" w:type="dxa"/>
            <w:tcBorders>
              <w:top w:val="nil"/>
              <w:left w:val="nil"/>
              <w:bottom w:val="nil"/>
              <w:right w:val="nil"/>
            </w:tcBorders>
            <w:shd w:val="clear" w:color="auto" w:fill="auto"/>
            <w:noWrap/>
            <w:hideMark/>
          </w:tcPr>
          <w:p w14:paraId="5872D714" w14:textId="77777777" w:rsidR="000A146D" w:rsidRPr="003920D7" w:rsidRDefault="000A146D" w:rsidP="006F2077">
            <w:pPr>
              <w:rPr>
                <w:rFonts w:ascii="Arial" w:hAnsi="Arial" w:cs="Arial"/>
                <w:sz w:val="18"/>
                <w:szCs w:val="18"/>
                <w:lang w:val="en-GB" w:eastAsia="en-CA"/>
              </w:rPr>
            </w:pPr>
          </w:p>
        </w:tc>
        <w:tc>
          <w:tcPr>
            <w:tcW w:w="1220" w:type="dxa"/>
            <w:tcBorders>
              <w:top w:val="nil"/>
              <w:left w:val="nil"/>
              <w:bottom w:val="nil"/>
              <w:right w:val="nil"/>
            </w:tcBorders>
            <w:shd w:val="clear" w:color="auto" w:fill="auto"/>
            <w:noWrap/>
            <w:hideMark/>
          </w:tcPr>
          <w:p w14:paraId="48B1FC6C" w14:textId="77777777" w:rsidR="000A146D" w:rsidRPr="003920D7" w:rsidRDefault="000A146D" w:rsidP="006F2077">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Capacity</w:t>
            </w:r>
          </w:p>
        </w:tc>
        <w:tc>
          <w:tcPr>
            <w:tcW w:w="1570" w:type="dxa"/>
            <w:tcBorders>
              <w:top w:val="nil"/>
              <w:left w:val="nil"/>
              <w:bottom w:val="nil"/>
              <w:right w:val="nil"/>
            </w:tcBorders>
            <w:shd w:val="clear" w:color="auto" w:fill="auto"/>
            <w:noWrap/>
            <w:hideMark/>
          </w:tcPr>
          <w:p w14:paraId="6F2D931F" w14:textId="77777777" w:rsidR="000A146D" w:rsidRPr="003920D7" w:rsidRDefault="000A146D" w:rsidP="006F2077">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Capacity</w:t>
            </w:r>
          </w:p>
        </w:tc>
        <w:tc>
          <w:tcPr>
            <w:tcW w:w="1153" w:type="dxa"/>
            <w:tcBorders>
              <w:top w:val="nil"/>
              <w:left w:val="nil"/>
              <w:bottom w:val="nil"/>
              <w:right w:val="nil"/>
            </w:tcBorders>
            <w:shd w:val="clear" w:color="auto" w:fill="auto"/>
            <w:hideMark/>
          </w:tcPr>
          <w:p w14:paraId="42720EF0" w14:textId="77777777" w:rsidR="000A146D" w:rsidRPr="003920D7" w:rsidRDefault="000A146D" w:rsidP="006F2077">
            <w:pPr>
              <w:jc w:val="center"/>
              <w:rPr>
                <w:rFonts w:ascii="Arial" w:hAnsi="Arial" w:cs="Arial"/>
                <w:b/>
                <w:bCs/>
                <w:color w:val="000000"/>
                <w:sz w:val="18"/>
                <w:szCs w:val="18"/>
                <w:lang w:val="en-GB" w:eastAsia="en-CA"/>
              </w:rPr>
            </w:pPr>
          </w:p>
        </w:tc>
        <w:tc>
          <w:tcPr>
            <w:tcW w:w="1040" w:type="dxa"/>
            <w:tcBorders>
              <w:top w:val="nil"/>
              <w:left w:val="nil"/>
              <w:bottom w:val="nil"/>
              <w:right w:val="nil"/>
            </w:tcBorders>
            <w:shd w:val="clear" w:color="auto" w:fill="auto"/>
            <w:noWrap/>
            <w:hideMark/>
          </w:tcPr>
          <w:p w14:paraId="2CB3DEA3" w14:textId="77777777" w:rsidR="000A146D" w:rsidRPr="003920D7" w:rsidRDefault="000A146D" w:rsidP="006F2077">
            <w:pPr>
              <w:rPr>
                <w:lang w:val="en-GB" w:eastAsia="en-CA"/>
              </w:rPr>
            </w:pPr>
          </w:p>
        </w:tc>
        <w:tc>
          <w:tcPr>
            <w:tcW w:w="664" w:type="dxa"/>
            <w:tcBorders>
              <w:top w:val="nil"/>
              <w:left w:val="nil"/>
              <w:bottom w:val="nil"/>
              <w:right w:val="nil"/>
            </w:tcBorders>
            <w:shd w:val="clear" w:color="auto" w:fill="auto"/>
            <w:noWrap/>
            <w:hideMark/>
          </w:tcPr>
          <w:p w14:paraId="0B70D7B4" w14:textId="77777777" w:rsidR="000A146D" w:rsidRPr="003920D7" w:rsidRDefault="000A146D" w:rsidP="006F2077">
            <w:pPr>
              <w:rPr>
                <w:lang w:val="en-GB" w:eastAsia="en-CA"/>
              </w:rPr>
            </w:pPr>
          </w:p>
        </w:tc>
      </w:tr>
      <w:tr w:rsidR="000A146D" w:rsidRPr="003920D7" w14:paraId="3E526730" w14:textId="77777777" w:rsidTr="00FF1DE0">
        <w:trPr>
          <w:trHeight w:val="315"/>
          <w:jc w:val="center"/>
        </w:trPr>
        <w:tc>
          <w:tcPr>
            <w:tcW w:w="1999" w:type="dxa"/>
            <w:tcBorders>
              <w:top w:val="nil"/>
              <w:left w:val="nil"/>
              <w:bottom w:val="single" w:sz="8" w:space="0" w:color="auto"/>
              <w:right w:val="nil"/>
            </w:tcBorders>
            <w:shd w:val="clear" w:color="auto" w:fill="auto"/>
            <w:noWrap/>
            <w:hideMark/>
          </w:tcPr>
          <w:p w14:paraId="0F902008" w14:textId="77777777" w:rsidR="000A146D" w:rsidRPr="003920D7" w:rsidRDefault="000A146D" w:rsidP="00FF1DE0">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Steel Production</w:t>
            </w:r>
          </w:p>
        </w:tc>
        <w:tc>
          <w:tcPr>
            <w:tcW w:w="1601" w:type="dxa"/>
            <w:tcBorders>
              <w:top w:val="nil"/>
              <w:left w:val="nil"/>
              <w:bottom w:val="single" w:sz="8" w:space="0" w:color="auto"/>
              <w:right w:val="nil"/>
            </w:tcBorders>
            <w:shd w:val="clear" w:color="auto" w:fill="auto"/>
            <w:noWrap/>
            <w:hideMark/>
          </w:tcPr>
          <w:p w14:paraId="27298317" w14:textId="77777777" w:rsidR="000A146D" w:rsidRPr="003920D7" w:rsidRDefault="000A146D" w:rsidP="00FF1DE0">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Location</w:t>
            </w:r>
          </w:p>
        </w:tc>
        <w:tc>
          <w:tcPr>
            <w:tcW w:w="1220" w:type="dxa"/>
            <w:tcBorders>
              <w:top w:val="nil"/>
              <w:left w:val="nil"/>
              <w:bottom w:val="single" w:sz="8" w:space="0" w:color="auto"/>
              <w:right w:val="nil"/>
            </w:tcBorders>
            <w:shd w:val="clear" w:color="auto" w:fill="auto"/>
            <w:noWrap/>
            <w:hideMark/>
          </w:tcPr>
          <w:p w14:paraId="7E96CBF7" w14:textId="77777777" w:rsidR="000A146D" w:rsidRPr="003920D7" w:rsidRDefault="000A146D" w:rsidP="00676744">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(Tons 000s)</w:t>
            </w:r>
          </w:p>
        </w:tc>
        <w:tc>
          <w:tcPr>
            <w:tcW w:w="1570" w:type="dxa"/>
            <w:tcBorders>
              <w:top w:val="nil"/>
              <w:left w:val="nil"/>
              <w:bottom w:val="single" w:sz="8" w:space="0" w:color="auto"/>
              <w:right w:val="nil"/>
            </w:tcBorders>
            <w:shd w:val="clear" w:color="auto" w:fill="auto"/>
            <w:noWrap/>
            <w:hideMark/>
          </w:tcPr>
          <w:p w14:paraId="7A1BAEEC" w14:textId="77777777" w:rsidR="000A146D" w:rsidRPr="003920D7" w:rsidRDefault="000A146D" w:rsidP="0031787A">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w:t>
            </w:r>
          </w:p>
        </w:tc>
        <w:tc>
          <w:tcPr>
            <w:tcW w:w="1153" w:type="dxa"/>
            <w:tcBorders>
              <w:top w:val="nil"/>
              <w:left w:val="nil"/>
              <w:bottom w:val="single" w:sz="8" w:space="0" w:color="auto"/>
              <w:right w:val="nil"/>
            </w:tcBorders>
            <w:shd w:val="clear" w:color="auto" w:fill="auto"/>
            <w:noWrap/>
            <w:hideMark/>
          </w:tcPr>
          <w:p w14:paraId="13129F07" w14:textId="77777777" w:rsidR="000A146D" w:rsidRPr="003920D7" w:rsidRDefault="000A146D" w:rsidP="00FF1DE0">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Products</w:t>
            </w:r>
          </w:p>
        </w:tc>
        <w:tc>
          <w:tcPr>
            <w:tcW w:w="1040" w:type="dxa"/>
            <w:tcBorders>
              <w:top w:val="nil"/>
              <w:left w:val="nil"/>
              <w:bottom w:val="nil"/>
              <w:right w:val="nil"/>
            </w:tcBorders>
            <w:shd w:val="clear" w:color="auto" w:fill="auto"/>
            <w:noWrap/>
            <w:hideMark/>
          </w:tcPr>
          <w:p w14:paraId="4C6B9CCB" w14:textId="77777777" w:rsidR="000A146D" w:rsidRPr="003920D7" w:rsidRDefault="000A146D" w:rsidP="006F2077">
            <w:pPr>
              <w:rPr>
                <w:rFonts w:ascii="Calibri" w:hAnsi="Calibri" w:cs="Calibri"/>
                <w:b/>
                <w:bCs/>
                <w:color w:val="000000"/>
                <w:lang w:val="en-GB" w:eastAsia="en-CA"/>
              </w:rPr>
            </w:pPr>
          </w:p>
        </w:tc>
        <w:tc>
          <w:tcPr>
            <w:tcW w:w="664" w:type="dxa"/>
            <w:tcBorders>
              <w:top w:val="nil"/>
              <w:left w:val="nil"/>
              <w:bottom w:val="nil"/>
              <w:right w:val="nil"/>
            </w:tcBorders>
            <w:shd w:val="clear" w:color="auto" w:fill="auto"/>
            <w:noWrap/>
            <w:hideMark/>
          </w:tcPr>
          <w:p w14:paraId="576AFC00" w14:textId="77777777" w:rsidR="000A146D" w:rsidRPr="003920D7" w:rsidRDefault="000A146D" w:rsidP="006F2077">
            <w:pPr>
              <w:rPr>
                <w:lang w:val="en-GB" w:eastAsia="en-CA"/>
              </w:rPr>
            </w:pPr>
          </w:p>
        </w:tc>
      </w:tr>
      <w:tr w:rsidR="000A146D" w:rsidRPr="003920D7" w14:paraId="0C5DC0E7" w14:textId="77777777" w:rsidTr="00FF1DE0">
        <w:trPr>
          <w:trHeight w:val="300"/>
          <w:jc w:val="center"/>
        </w:trPr>
        <w:tc>
          <w:tcPr>
            <w:tcW w:w="3600" w:type="dxa"/>
            <w:gridSpan w:val="2"/>
            <w:tcBorders>
              <w:top w:val="nil"/>
              <w:left w:val="nil"/>
              <w:bottom w:val="nil"/>
              <w:right w:val="nil"/>
            </w:tcBorders>
            <w:shd w:val="clear" w:color="auto" w:fill="auto"/>
            <w:noWrap/>
            <w:hideMark/>
          </w:tcPr>
          <w:p w14:paraId="7A4D7872" w14:textId="23093021" w:rsidR="000A146D" w:rsidRPr="003920D7" w:rsidRDefault="000A146D" w:rsidP="006F2077">
            <w:pP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INTEGRATED STEEL SEGMENT:</w:t>
            </w:r>
          </w:p>
        </w:tc>
        <w:tc>
          <w:tcPr>
            <w:tcW w:w="1220" w:type="dxa"/>
            <w:tcBorders>
              <w:top w:val="nil"/>
              <w:left w:val="nil"/>
              <w:bottom w:val="nil"/>
              <w:right w:val="nil"/>
            </w:tcBorders>
            <w:shd w:val="clear" w:color="auto" w:fill="auto"/>
            <w:noWrap/>
            <w:hideMark/>
          </w:tcPr>
          <w:p w14:paraId="0912AFB8" w14:textId="77777777" w:rsidR="000A146D" w:rsidRPr="003920D7" w:rsidRDefault="000A146D" w:rsidP="006F2077">
            <w:pPr>
              <w:rPr>
                <w:rFonts w:ascii="Arial" w:hAnsi="Arial" w:cs="Arial"/>
                <w:b/>
                <w:bCs/>
                <w:color w:val="000000"/>
                <w:sz w:val="18"/>
                <w:szCs w:val="18"/>
                <w:lang w:val="en-GB" w:eastAsia="en-CA"/>
              </w:rPr>
            </w:pPr>
          </w:p>
        </w:tc>
        <w:tc>
          <w:tcPr>
            <w:tcW w:w="1570" w:type="dxa"/>
            <w:tcBorders>
              <w:top w:val="nil"/>
              <w:left w:val="nil"/>
              <w:bottom w:val="nil"/>
              <w:right w:val="nil"/>
            </w:tcBorders>
            <w:shd w:val="clear" w:color="auto" w:fill="auto"/>
            <w:noWrap/>
            <w:hideMark/>
          </w:tcPr>
          <w:p w14:paraId="2CEBD487" w14:textId="77777777" w:rsidR="000A146D" w:rsidRPr="003920D7" w:rsidRDefault="000A146D" w:rsidP="006F2077">
            <w:pPr>
              <w:jc w:val="center"/>
              <w:rPr>
                <w:rFonts w:ascii="Arial" w:hAnsi="Arial" w:cs="Arial"/>
                <w:sz w:val="18"/>
                <w:szCs w:val="18"/>
                <w:lang w:val="en-GB" w:eastAsia="en-CA"/>
              </w:rPr>
            </w:pPr>
          </w:p>
        </w:tc>
        <w:tc>
          <w:tcPr>
            <w:tcW w:w="1153" w:type="dxa"/>
            <w:tcBorders>
              <w:top w:val="nil"/>
              <w:left w:val="nil"/>
              <w:bottom w:val="nil"/>
              <w:right w:val="nil"/>
            </w:tcBorders>
            <w:shd w:val="clear" w:color="auto" w:fill="auto"/>
            <w:noWrap/>
            <w:hideMark/>
          </w:tcPr>
          <w:p w14:paraId="6E44F8BC" w14:textId="77777777" w:rsidR="000A146D" w:rsidRPr="003920D7" w:rsidRDefault="000A146D" w:rsidP="006F2077">
            <w:pPr>
              <w:jc w:val="cente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67073F41"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1C127D4D" w14:textId="77777777" w:rsidR="000A146D" w:rsidRPr="003920D7" w:rsidRDefault="000A146D" w:rsidP="006F2077">
            <w:pPr>
              <w:rPr>
                <w:rFonts w:ascii="Arial" w:hAnsi="Arial" w:cs="Arial"/>
                <w:sz w:val="18"/>
                <w:szCs w:val="18"/>
                <w:lang w:val="en-GB" w:eastAsia="en-CA"/>
              </w:rPr>
            </w:pPr>
          </w:p>
        </w:tc>
      </w:tr>
      <w:tr w:rsidR="000A146D" w:rsidRPr="003920D7" w14:paraId="4D91B000" w14:textId="77777777" w:rsidTr="00FF1DE0">
        <w:trPr>
          <w:trHeight w:val="540"/>
          <w:jc w:val="center"/>
        </w:trPr>
        <w:tc>
          <w:tcPr>
            <w:tcW w:w="1999" w:type="dxa"/>
            <w:tcBorders>
              <w:top w:val="nil"/>
              <w:left w:val="nil"/>
              <w:bottom w:val="nil"/>
              <w:right w:val="nil"/>
            </w:tcBorders>
            <w:shd w:val="clear" w:color="auto" w:fill="auto"/>
            <w:noWrap/>
            <w:hideMark/>
          </w:tcPr>
          <w:p w14:paraId="03BE0DCD" w14:textId="6332AF46" w:rsidR="000A146D" w:rsidRPr="003920D7" w:rsidRDefault="000A146D" w:rsidP="006F2077">
            <w:pPr>
              <w:rPr>
                <w:rFonts w:ascii="Arial" w:hAnsi="Arial" w:cs="Arial"/>
                <w:color w:val="000000"/>
                <w:sz w:val="18"/>
                <w:szCs w:val="18"/>
                <w:lang w:val="en-GB" w:eastAsia="en-CA"/>
              </w:rPr>
            </w:pPr>
            <w:proofErr w:type="spellStart"/>
            <w:r w:rsidRPr="003920D7">
              <w:rPr>
                <w:rFonts w:ascii="Arial" w:hAnsi="Arial" w:cs="Arial"/>
                <w:color w:val="000000"/>
                <w:sz w:val="18"/>
                <w:szCs w:val="18"/>
                <w:lang w:val="en-GB" w:eastAsia="en-CA"/>
              </w:rPr>
              <w:t>Stelco</w:t>
            </w:r>
            <w:proofErr w:type="spellEnd"/>
            <w:r w:rsidRPr="003920D7">
              <w:rPr>
                <w:rFonts w:ascii="Arial" w:hAnsi="Arial" w:cs="Arial"/>
                <w:color w:val="000000"/>
                <w:sz w:val="18"/>
                <w:szCs w:val="18"/>
                <w:lang w:val="en-GB" w:eastAsia="en-CA"/>
              </w:rPr>
              <w:t xml:space="preserve"> Hamilton</w:t>
            </w:r>
            <w:r w:rsidR="00FA0D7B" w:rsidRPr="003920D7">
              <w:rPr>
                <w:rFonts w:ascii="Arial" w:hAnsi="Arial" w:cs="Arial"/>
                <w:color w:val="000000"/>
                <w:sz w:val="18"/>
                <w:szCs w:val="18"/>
                <w:lang w:val="en-GB" w:eastAsia="en-CA"/>
              </w:rPr>
              <w:t xml:space="preserve"> Works</w:t>
            </w:r>
          </w:p>
        </w:tc>
        <w:tc>
          <w:tcPr>
            <w:tcW w:w="1601" w:type="dxa"/>
            <w:tcBorders>
              <w:top w:val="nil"/>
              <w:left w:val="nil"/>
              <w:bottom w:val="nil"/>
              <w:right w:val="nil"/>
            </w:tcBorders>
            <w:shd w:val="clear" w:color="auto" w:fill="auto"/>
            <w:noWrap/>
            <w:hideMark/>
          </w:tcPr>
          <w:p w14:paraId="2D242793"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Hamilton, ON</w:t>
            </w:r>
          </w:p>
        </w:tc>
        <w:tc>
          <w:tcPr>
            <w:tcW w:w="1220" w:type="dxa"/>
            <w:tcBorders>
              <w:top w:val="nil"/>
              <w:left w:val="nil"/>
              <w:bottom w:val="nil"/>
              <w:right w:val="nil"/>
            </w:tcBorders>
            <w:shd w:val="clear" w:color="auto" w:fill="auto"/>
            <w:noWrap/>
            <w:hideMark/>
          </w:tcPr>
          <w:p w14:paraId="5F0EEB6C" w14:textId="50FDD82D" w:rsidR="000A146D" w:rsidRPr="003920D7" w:rsidRDefault="006B0F8D" w:rsidP="00FB4C0C">
            <w:pPr>
              <w:tabs>
                <w:tab w:val="right" w:pos="778"/>
              </w:tabs>
              <w:rPr>
                <w:rFonts w:ascii="Arial" w:hAnsi="Arial" w:cs="Arial"/>
                <w:color w:val="000000"/>
                <w:sz w:val="18"/>
                <w:szCs w:val="18"/>
                <w:lang w:val="en-GB" w:eastAsia="en-CA"/>
              </w:rPr>
            </w:pPr>
            <w:r>
              <w:rPr>
                <w:rFonts w:ascii="Arial" w:hAnsi="Arial" w:cs="Arial"/>
                <w:color w:val="000000"/>
                <w:sz w:val="18"/>
                <w:szCs w:val="18"/>
                <w:lang w:val="en-GB" w:eastAsia="en-CA"/>
              </w:rPr>
              <w:tab/>
            </w:r>
            <w:r w:rsidR="000A146D" w:rsidRPr="003920D7">
              <w:rPr>
                <w:rFonts w:ascii="Arial" w:hAnsi="Arial" w:cs="Arial"/>
                <w:color w:val="000000"/>
                <w:sz w:val="18"/>
                <w:szCs w:val="18"/>
                <w:lang w:val="en-GB" w:eastAsia="en-CA"/>
              </w:rPr>
              <w:t>2,200</w:t>
            </w:r>
          </w:p>
        </w:tc>
        <w:tc>
          <w:tcPr>
            <w:tcW w:w="1570" w:type="dxa"/>
            <w:tcBorders>
              <w:top w:val="nil"/>
              <w:left w:val="nil"/>
              <w:bottom w:val="nil"/>
              <w:right w:val="nil"/>
            </w:tcBorders>
            <w:shd w:val="clear" w:color="auto" w:fill="auto"/>
            <w:noWrap/>
            <w:hideMark/>
          </w:tcPr>
          <w:p w14:paraId="5A6A70D7" w14:textId="77777777" w:rsidR="000A146D" w:rsidRPr="003920D7" w:rsidRDefault="000A146D" w:rsidP="00FB4C0C">
            <w:pPr>
              <w:tabs>
                <w:tab w:val="decimal" w:pos="409"/>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37.5%</w:t>
            </w:r>
          </w:p>
        </w:tc>
        <w:tc>
          <w:tcPr>
            <w:tcW w:w="2857" w:type="dxa"/>
            <w:gridSpan w:val="3"/>
            <w:tcBorders>
              <w:top w:val="nil"/>
              <w:left w:val="nil"/>
              <w:bottom w:val="nil"/>
              <w:right w:val="nil"/>
            </w:tcBorders>
            <w:shd w:val="clear" w:color="auto" w:fill="auto"/>
            <w:hideMark/>
          </w:tcPr>
          <w:p w14:paraId="4077C371" w14:textId="5A471D4F" w:rsidR="000A146D" w:rsidRPr="003920D7" w:rsidRDefault="000A146D" w:rsidP="00676744">
            <w:pPr>
              <w:rPr>
                <w:rFonts w:ascii="Arial" w:hAnsi="Arial" w:cs="Arial"/>
                <w:color w:val="000000"/>
                <w:sz w:val="18"/>
                <w:szCs w:val="18"/>
                <w:lang w:val="en-GB" w:eastAsia="en-CA"/>
              </w:rPr>
            </w:pPr>
            <w:r w:rsidRPr="003920D7">
              <w:rPr>
                <w:rFonts w:ascii="Arial" w:hAnsi="Arial" w:cs="Arial"/>
                <w:color w:val="000000"/>
                <w:sz w:val="18"/>
                <w:szCs w:val="18"/>
                <w:lang w:val="en-GB" w:eastAsia="en-CA"/>
              </w:rPr>
              <w:t>Hot</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rolled, cold</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rolled, and coated sheet</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 xml:space="preserve"> plate, bar</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 xml:space="preserve"> and rod</w:t>
            </w:r>
          </w:p>
        </w:tc>
      </w:tr>
      <w:tr w:rsidR="000A146D" w:rsidRPr="003920D7" w14:paraId="30D646CC" w14:textId="77777777" w:rsidTr="00FF1DE0">
        <w:trPr>
          <w:trHeight w:val="300"/>
          <w:jc w:val="center"/>
        </w:trPr>
        <w:tc>
          <w:tcPr>
            <w:tcW w:w="1999" w:type="dxa"/>
            <w:tcBorders>
              <w:top w:val="nil"/>
              <w:left w:val="nil"/>
              <w:bottom w:val="nil"/>
              <w:right w:val="nil"/>
            </w:tcBorders>
            <w:shd w:val="clear" w:color="auto" w:fill="auto"/>
            <w:noWrap/>
            <w:hideMark/>
          </w:tcPr>
          <w:p w14:paraId="2A7B02D9" w14:textId="4C290052" w:rsidR="000A146D" w:rsidRPr="003920D7" w:rsidRDefault="000A146D" w:rsidP="006F2077">
            <w:pPr>
              <w:rPr>
                <w:rFonts w:ascii="Arial" w:hAnsi="Arial" w:cs="Arial"/>
                <w:color w:val="000000"/>
                <w:sz w:val="18"/>
                <w:szCs w:val="18"/>
                <w:lang w:val="en-GB" w:eastAsia="en-CA"/>
              </w:rPr>
            </w:pPr>
            <w:proofErr w:type="spellStart"/>
            <w:r w:rsidRPr="003920D7">
              <w:rPr>
                <w:rFonts w:ascii="Arial" w:hAnsi="Arial" w:cs="Arial"/>
                <w:color w:val="000000"/>
                <w:sz w:val="18"/>
                <w:szCs w:val="18"/>
                <w:lang w:val="en-GB" w:eastAsia="en-CA"/>
              </w:rPr>
              <w:t>Stelco</w:t>
            </w:r>
            <w:proofErr w:type="spellEnd"/>
            <w:r w:rsidRPr="003920D7">
              <w:rPr>
                <w:rFonts w:ascii="Arial" w:hAnsi="Arial" w:cs="Arial"/>
                <w:color w:val="000000"/>
                <w:sz w:val="18"/>
                <w:szCs w:val="18"/>
                <w:lang w:val="en-GB" w:eastAsia="en-CA"/>
              </w:rPr>
              <w:t xml:space="preserve"> Lake Erie</w:t>
            </w:r>
            <w:r w:rsidR="00FA0D7B" w:rsidRPr="003920D7">
              <w:rPr>
                <w:rFonts w:ascii="Arial" w:hAnsi="Arial" w:cs="Arial"/>
                <w:color w:val="000000"/>
                <w:sz w:val="18"/>
                <w:szCs w:val="18"/>
                <w:lang w:val="en-GB" w:eastAsia="en-CA"/>
              </w:rPr>
              <w:t xml:space="preserve"> Works</w:t>
            </w:r>
          </w:p>
          <w:p w14:paraId="6919C3B1" w14:textId="77777777" w:rsidR="00FA0D7B" w:rsidRPr="003920D7" w:rsidRDefault="00FA0D7B" w:rsidP="006F2077">
            <w:pPr>
              <w:rPr>
                <w:rFonts w:ascii="Arial" w:hAnsi="Arial" w:cs="Arial"/>
                <w:color w:val="000000"/>
                <w:sz w:val="18"/>
                <w:szCs w:val="18"/>
                <w:lang w:val="en-GB" w:eastAsia="en-CA"/>
              </w:rPr>
            </w:pPr>
          </w:p>
        </w:tc>
        <w:tc>
          <w:tcPr>
            <w:tcW w:w="1601" w:type="dxa"/>
            <w:tcBorders>
              <w:top w:val="nil"/>
              <w:left w:val="nil"/>
              <w:bottom w:val="nil"/>
              <w:right w:val="nil"/>
            </w:tcBorders>
            <w:shd w:val="clear" w:color="auto" w:fill="auto"/>
            <w:noWrap/>
            <w:hideMark/>
          </w:tcPr>
          <w:p w14:paraId="1C755962"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Nanticoke, ON</w:t>
            </w:r>
          </w:p>
        </w:tc>
        <w:tc>
          <w:tcPr>
            <w:tcW w:w="1220" w:type="dxa"/>
            <w:tcBorders>
              <w:top w:val="nil"/>
              <w:left w:val="nil"/>
              <w:bottom w:val="nil"/>
              <w:right w:val="nil"/>
            </w:tcBorders>
            <w:shd w:val="clear" w:color="auto" w:fill="auto"/>
            <w:noWrap/>
            <w:hideMark/>
          </w:tcPr>
          <w:p w14:paraId="5CF2D6A6" w14:textId="355B1702" w:rsidR="000A146D" w:rsidRPr="003920D7" w:rsidRDefault="006B0F8D" w:rsidP="00FB4C0C">
            <w:pPr>
              <w:tabs>
                <w:tab w:val="right" w:pos="778"/>
              </w:tabs>
              <w:rPr>
                <w:rFonts w:ascii="Arial" w:hAnsi="Arial" w:cs="Arial"/>
                <w:color w:val="000000"/>
                <w:sz w:val="18"/>
                <w:szCs w:val="18"/>
                <w:lang w:val="en-GB" w:eastAsia="en-CA"/>
              </w:rPr>
            </w:pPr>
            <w:r>
              <w:rPr>
                <w:rFonts w:ascii="Arial" w:hAnsi="Arial" w:cs="Arial"/>
                <w:color w:val="000000"/>
                <w:sz w:val="18"/>
                <w:szCs w:val="18"/>
                <w:lang w:val="en-GB" w:eastAsia="en-CA"/>
              </w:rPr>
              <w:tab/>
            </w:r>
            <w:r w:rsidR="000A146D" w:rsidRPr="003920D7">
              <w:rPr>
                <w:rFonts w:ascii="Arial" w:hAnsi="Arial" w:cs="Arial"/>
                <w:color w:val="000000"/>
                <w:sz w:val="18"/>
                <w:szCs w:val="18"/>
                <w:lang w:val="en-GB" w:eastAsia="en-CA"/>
              </w:rPr>
              <w:t>2,670</w:t>
            </w:r>
          </w:p>
        </w:tc>
        <w:tc>
          <w:tcPr>
            <w:tcW w:w="1570" w:type="dxa"/>
            <w:tcBorders>
              <w:top w:val="nil"/>
              <w:left w:val="nil"/>
              <w:bottom w:val="nil"/>
              <w:right w:val="nil"/>
            </w:tcBorders>
            <w:shd w:val="clear" w:color="auto" w:fill="auto"/>
            <w:noWrap/>
            <w:hideMark/>
          </w:tcPr>
          <w:p w14:paraId="6B21742C" w14:textId="77777777" w:rsidR="000A146D" w:rsidRPr="003920D7" w:rsidRDefault="000A146D" w:rsidP="00FB4C0C">
            <w:pPr>
              <w:tabs>
                <w:tab w:val="decimal" w:pos="409"/>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45.5%</w:t>
            </w:r>
          </w:p>
        </w:tc>
        <w:tc>
          <w:tcPr>
            <w:tcW w:w="2857" w:type="dxa"/>
            <w:gridSpan w:val="3"/>
            <w:tcBorders>
              <w:top w:val="nil"/>
              <w:left w:val="nil"/>
              <w:bottom w:val="nil"/>
              <w:right w:val="nil"/>
            </w:tcBorders>
            <w:shd w:val="clear" w:color="auto" w:fill="auto"/>
            <w:noWrap/>
            <w:hideMark/>
          </w:tcPr>
          <w:p w14:paraId="7D729BF7" w14:textId="753C3BC8" w:rsidR="000A146D" w:rsidRPr="003920D7" w:rsidRDefault="000A146D" w:rsidP="00676744">
            <w:pPr>
              <w:rPr>
                <w:rFonts w:ascii="Arial" w:hAnsi="Arial" w:cs="Arial"/>
                <w:color w:val="000000"/>
                <w:sz w:val="18"/>
                <w:szCs w:val="18"/>
                <w:lang w:val="en-GB" w:eastAsia="en-CA"/>
              </w:rPr>
            </w:pPr>
            <w:r w:rsidRPr="003920D7">
              <w:rPr>
                <w:rFonts w:ascii="Arial" w:hAnsi="Arial" w:cs="Arial"/>
                <w:color w:val="000000"/>
                <w:sz w:val="18"/>
                <w:szCs w:val="18"/>
                <w:lang w:val="en-GB" w:eastAsia="en-CA"/>
              </w:rPr>
              <w:t>Hot</w:t>
            </w:r>
            <w:r w:rsidR="00924C5E"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rolled sheet</w:t>
            </w:r>
          </w:p>
        </w:tc>
      </w:tr>
      <w:tr w:rsidR="000A146D" w:rsidRPr="003920D7" w14:paraId="2C1AFB1C" w14:textId="77777777" w:rsidTr="00FF1DE0">
        <w:trPr>
          <w:trHeight w:val="300"/>
          <w:jc w:val="center"/>
        </w:trPr>
        <w:tc>
          <w:tcPr>
            <w:tcW w:w="9247" w:type="dxa"/>
            <w:gridSpan w:val="7"/>
            <w:tcBorders>
              <w:top w:val="nil"/>
              <w:left w:val="nil"/>
              <w:bottom w:val="nil"/>
              <w:right w:val="nil"/>
            </w:tcBorders>
            <w:shd w:val="clear" w:color="auto" w:fill="auto"/>
            <w:noWrap/>
            <w:hideMark/>
          </w:tcPr>
          <w:p w14:paraId="2766C186" w14:textId="77777777" w:rsidR="000A146D" w:rsidRPr="003920D7" w:rsidRDefault="000A146D" w:rsidP="00FB4C0C">
            <w:pPr>
              <w:tabs>
                <w:tab w:val="decimal" w:pos="409"/>
              </w:tabs>
              <w:rPr>
                <w:rFonts w:ascii="Arial" w:hAnsi="Arial" w:cs="Arial"/>
                <w:sz w:val="18"/>
                <w:szCs w:val="18"/>
                <w:lang w:val="en-GB" w:eastAsia="en-CA"/>
              </w:rPr>
            </w:pPr>
            <w:r w:rsidRPr="003920D7">
              <w:rPr>
                <w:rFonts w:ascii="Arial" w:hAnsi="Arial" w:cs="Arial"/>
                <w:b/>
                <w:bCs/>
                <w:color w:val="000000"/>
                <w:sz w:val="18"/>
                <w:szCs w:val="18"/>
                <w:lang w:val="en-GB" w:eastAsia="en-CA"/>
              </w:rPr>
              <w:t>MINI-MILL SEGMENT:</w:t>
            </w:r>
          </w:p>
        </w:tc>
      </w:tr>
      <w:tr w:rsidR="000A146D" w:rsidRPr="003920D7" w14:paraId="212BD669" w14:textId="77777777" w:rsidTr="00FF1DE0">
        <w:trPr>
          <w:trHeight w:val="510"/>
          <w:jc w:val="center"/>
        </w:trPr>
        <w:tc>
          <w:tcPr>
            <w:tcW w:w="1999" w:type="dxa"/>
            <w:tcBorders>
              <w:top w:val="nil"/>
              <w:left w:val="nil"/>
              <w:bottom w:val="nil"/>
              <w:right w:val="nil"/>
            </w:tcBorders>
            <w:shd w:val="clear" w:color="auto" w:fill="auto"/>
            <w:hideMark/>
          </w:tcPr>
          <w:p w14:paraId="22203B50" w14:textId="22CE70ED" w:rsidR="000A146D" w:rsidRPr="003920D7" w:rsidRDefault="000A146D" w:rsidP="00676744">
            <w:pPr>
              <w:rPr>
                <w:rFonts w:ascii="Arial" w:hAnsi="Arial" w:cs="Arial"/>
                <w:color w:val="000000"/>
                <w:sz w:val="18"/>
                <w:szCs w:val="18"/>
                <w:lang w:val="en-GB" w:eastAsia="en-CA"/>
              </w:rPr>
            </w:pPr>
            <w:proofErr w:type="spellStart"/>
            <w:r w:rsidRPr="003920D7">
              <w:rPr>
                <w:rFonts w:ascii="Arial" w:hAnsi="Arial" w:cs="Arial"/>
                <w:color w:val="000000"/>
                <w:sz w:val="18"/>
                <w:szCs w:val="18"/>
                <w:lang w:val="en-GB" w:eastAsia="en-CA"/>
              </w:rPr>
              <w:t>Stelco</w:t>
            </w:r>
            <w:proofErr w:type="spellEnd"/>
            <w:r w:rsidRPr="003920D7">
              <w:rPr>
                <w:rFonts w:ascii="Arial" w:hAnsi="Arial" w:cs="Arial"/>
                <w:color w:val="000000"/>
                <w:sz w:val="18"/>
                <w:szCs w:val="18"/>
                <w:lang w:val="en-GB" w:eastAsia="en-CA"/>
              </w:rPr>
              <w:t xml:space="preserve">-McMaster </w:t>
            </w:r>
            <w:proofErr w:type="spellStart"/>
            <w:r w:rsidRPr="003920D7">
              <w:rPr>
                <w:rFonts w:ascii="Arial" w:hAnsi="Arial" w:cs="Arial"/>
                <w:color w:val="000000"/>
                <w:sz w:val="18"/>
                <w:szCs w:val="18"/>
                <w:lang w:val="en-GB" w:eastAsia="en-CA"/>
              </w:rPr>
              <w:t>Lt</w:t>
            </w:r>
            <w:r w:rsidR="00D252A3" w:rsidRPr="003920D7">
              <w:rPr>
                <w:rFonts w:ascii="Arial" w:hAnsi="Arial" w:cs="Arial"/>
                <w:color w:val="000000"/>
                <w:sz w:val="18"/>
                <w:szCs w:val="18"/>
                <w:lang w:val="en-GB" w:eastAsia="en-CA"/>
              </w:rPr>
              <w:t>é</w:t>
            </w:r>
            <w:r w:rsidRPr="003920D7">
              <w:rPr>
                <w:rFonts w:ascii="Arial" w:hAnsi="Arial" w:cs="Arial"/>
                <w:color w:val="000000"/>
                <w:sz w:val="18"/>
                <w:szCs w:val="18"/>
                <w:lang w:val="en-GB" w:eastAsia="en-CA"/>
              </w:rPr>
              <w:t>e</w:t>
            </w:r>
            <w:proofErr w:type="spellEnd"/>
            <w:r w:rsidR="00D252A3"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 xml:space="preserve"> (</w:t>
            </w:r>
            <w:proofErr w:type="spellStart"/>
            <w:r w:rsidRPr="003920D7">
              <w:rPr>
                <w:rFonts w:ascii="Arial" w:hAnsi="Arial" w:cs="Arial"/>
                <w:color w:val="000000"/>
                <w:sz w:val="18"/>
                <w:szCs w:val="18"/>
                <w:lang w:val="en-GB" w:eastAsia="en-CA"/>
              </w:rPr>
              <w:t>Norambar</w:t>
            </w:r>
            <w:proofErr w:type="spellEnd"/>
            <w:r w:rsidRPr="003920D7">
              <w:rPr>
                <w:rFonts w:ascii="Arial" w:hAnsi="Arial" w:cs="Arial"/>
                <w:color w:val="000000"/>
                <w:sz w:val="18"/>
                <w:szCs w:val="18"/>
                <w:lang w:val="en-GB" w:eastAsia="en-CA"/>
              </w:rPr>
              <w:t xml:space="preserve"> Inc.)</w:t>
            </w:r>
          </w:p>
        </w:tc>
        <w:tc>
          <w:tcPr>
            <w:tcW w:w="1601" w:type="dxa"/>
            <w:tcBorders>
              <w:top w:val="nil"/>
              <w:left w:val="nil"/>
              <w:bottom w:val="nil"/>
              <w:right w:val="nil"/>
            </w:tcBorders>
            <w:shd w:val="clear" w:color="auto" w:fill="auto"/>
            <w:noWrap/>
            <w:hideMark/>
          </w:tcPr>
          <w:p w14:paraId="4990333E" w14:textId="77777777" w:rsidR="000A146D" w:rsidRPr="003920D7" w:rsidRDefault="000A146D" w:rsidP="006F2077">
            <w:pPr>
              <w:rPr>
                <w:rFonts w:ascii="Arial" w:hAnsi="Arial" w:cs="Arial"/>
                <w:color w:val="000000"/>
                <w:sz w:val="18"/>
                <w:szCs w:val="18"/>
                <w:lang w:val="en-GB" w:eastAsia="en-CA"/>
              </w:rPr>
            </w:pPr>
            <w:proofErr w:type="spellStart"/>
            <w:r w:rsidRPr="003920D7">
              <w:rPr>
                <w:rFonts w:ascii="Arial" w:hAnsi="Arial" w:cs="Arial"/>
                <w:color w:val="000000"/>
                <w:sz w:val="18"/>
                <w:szCs w:val="18"/>
                <w:lang w:val="en-GB" w:eastAsia="en-CA"/>
              </w:rPr>
              <w:t>Contrecoeur</w:t>
            </w:r>
            <w:proofErr w:type="spellEnd"/>
            <w:r w:rsidRPr="003920D7">
              <w:rPr>
                <w:rFonts w:ascii="Arial" w:hAnsi="Arial" w:cs="Arial"/>
                <w:color w:val="000000"/>
                <w:sz w:val="18"/>
                <w:szCs w:val="18"/>
                <w:lang w:val="en-GB" w:eastAsia="en-CA"/>
              </w:rPr>
              <w:t>, QC</w:t>
            </w:r>
          </w:p>
        </w:tc>
        <w:tc>
          <w:tcPr>
            <w:tcW w:w="1220" w:type="dxa"/>
            <w:tcBorders>
              <w:top w:val="nil"/>
              <w:left w:val="nil"/>
              <w:bottom w:val="nil"/>
              <w:right w:val="nil"/>
            </w:tcBorders>
            <w:shd w:val="clear" w:color="auto" w:fill="auto"/>
            <w:noWrap/>
            <w:hideMark/>
          </w:tcPr>
          <w:p w14:paraId="3C0AC0CB" w14:textId="03CDB6DB" w:rsidR="000A146D" w:rsidRPr="003920D7" w:rsidRDefault="002902F1" w:rsidP="00FB4C0C">
            <w:pPr>
              <w:tabs>
                <w:tab w:val="right" w:pos="778"/>
              </w:tabs>
              <w:rPr>
                <w:rFonts w:ascii="Arial" w:hAnsi="Arial" w:cs="Arial"/>
                <w:color w:val="000000"/>
                <w:sz w:val="18"/>
                <w:szCs w:val="18"/>
                <w:lang w:val="en-GB" w:eastAsia="en-CA"/>
              </w:rPr>
            </w:pPr>
            <w:r>
              <w:rPr>
                <w:rFonts w:ascii="Arial" w:hAnsi="Arial" w:cs="Arial"/>
                <w:color w:val="000000"/>
                <w:sz w:val="18"/>
                <w:szCs w:val="18"/>
                <w:lang w:val="en-GB" w:eastAsia="en-CA"/>
              </w:rPr>
              <w:tab/>
            </w:r>
            <w:r w:rsidR="000A146D" w:rsidRPr="003920D7">
              <w:rPr>
                <w:rFonts w:ascii="Arial" w:hAnsi="Arial" w:cs="Arial"/>
                <w:color w:val="000000"/>
                <w:sz w:val="18"/>
                <w:szCs w:val="18"/>
                <w:lang w:val="en-GB" w:eastAsia="en-CA"/>
              </w:rPr>
              <w:t>630</w:t>
            </w:r>
          </w:p>
        </w:tc>
        <w:tc>
          <w:tcPr>
            <w:tcW w:w="1570" w:type="dxa"/>
            <w:tcBorders>
              <w:top w:val="nil"/>
              <w:left w:val="nil"/>
              <w:bottom w:val="nil"/>
              <w:right w:val="nil"/>
            </w:tcBorders>
            <w:shd w:val="clear" w:color="auto" w:fill="auto"/>
            <w:noWrap/>
            <w:hideMark/>
          </w:tcPr>
          <w:p w14:paraId="0392FB79" w14:textId="77777777" w:rsidR="000A146D" w:rsidRPr="003920D7" w:rsidRDefault="000A146D" w:rsidP="00FB4C0C">
            <w:pPr>
              <w:tabs>
                <w:tab w:val="decimal" w:pos="409"/>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10.7%</w:t>
            </w:r>
          </w:p>
        </w:tc>
        <w:tc>
          <w:tcPr>
            <w:tcW w:w="2857" w:type="dxa"/>
            <w:gridSpan w:val="3"/>
            <w:tcBorders>
              <w:top w:val="nil"/>
              <w:left w:val="nil"/>
              <w:bottom w:val="nil"/>
              <w:right w:val="nil"/>
            </w:tcBorders>
            <w:shd w:val="clear" w:color="auto" w:fill="auto"/>
            <w:hideMark/>
          </w:tcPr>
          <w:p w14:paraId="38C60EA0" w14:textId="7B18EAF4"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Billets, merchant</w:t>
            </w:r>
            <w:r w:rsidR="00924C5E"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 xml:space="preserve"> </w:t>
            </w:r>
            <w:r w:rsidR="000E6301">
              <w:rPr>
                <w:rFonts w:ascii="Arial" w:hAnsi="Arial" w:cs="Arial"/>
                <w:color w:val="000000"/>
                <w:sz w:val="18"/>
                <w:szCs w:val="18"/>
                <w:lang w:val="en-GB" w:eastAsia="en-CA"/>
              </w:rPr>
              <w:t>and</w:t>
            </w:r>
            <w:r w:rsidRPr="003920D7">
              <w:rPr>
                <w:rFonts w:ascii="Arial" w:hAnsi="Arial" w:cs="Arial"/>
                <w:color w:val="000000"/>
                <w:sz w:val="18"/>
                <w:szCs w:val="18"/>
                <w:lang w:val="en-GB" w:eastAsia="en-CA"/>
              </w:rPr>
              <w:t xml:space="preserve"> special quality bar</w:t>
            </w:r>
          </w:p>
        </w:tc>
      </w:tr>
      <w:tr w:rsidR="000A146D" w:rsidRPr="003920D7" w14:paraId="7C60A90D" w14:textId="77777777" w:rsidTr="00FF1DE0">
        <w:trPr>
          <w:trHeight w:val="300"/>
          <w:jc w:val="center"/>
        </w:trPr>
        <w:tc>
          <w:tcPr>
            <w:tcW w:w="1999" w:type="dxa"/>
            <w:tcBorders>
              <w:top w:val="nil"/>
              <w:left w:val="nil"/>
              <w:bottom w:val="nil"/>
              <w:right w:val="nil"/>
            </w:tcBorders>
            <w:shd w:val="clear" w:color="auto" w:fill="auto"/>
            <w:noWrap/>
            <w:hideMark/>
          </w:tcPr>
          <w:p w14:paraId="29CD3C28" w14:textId="77777777" w:rsidR="000A146D" w:rsidRPr="003920D7" w:rsidRDefault="000A146D" w:rsidP="006F2077">
            <w:pPr>
              <w:rPr>
                <w:rFonts w:ascii="Arial" w:hAnsi="Arial" w:cs="Arial"/>
                <w:color w:val="000000"/>
                <w:sz w:val="18"/>
                <w:szCs w:val="18"/>
                <w:lang w:val="en-GB" w:eastAsia="en-CA"/>
              </w:rPr>
            </w:pPr>
            <w:proofErr w:type="spellStart"/>
            <w:r w:rsidRPr="003920D7">
              <w:rPr>
                <w:rFonts w:ascii="Arial" w:hAnsi="Arial" w:cs="Arial"/>
                <w:color w:val="000000"/>
                <w:sz w:val="18"/>
                <w:szCs w:val="18"/>
                <w:lang w:val="en-GB" w:eastAsia="en-CA"/>
              </w:rPr>
              <w:t>AltaSteel</w:t>
            </w:r>
            <w:proofErr w:type="spellEnd"/>
            <w:r w:rsidRPr="003920D7">
              <w:rPr>
                <w:rFonts w:ascii="Arial" w:hAnsi="Arial" w:cs="Arial"/>
                <w:color w:val="000000"/>
                <w:sz w:val="18"/>
                <w:szCs w:val="18"/>
                <w:lang w:val="en-GB" w:eastAsia="en-CA"/>
              </w:rPr>
              <w:t xml:space="preserve"> Ltd.</w:t>
            </w:r>
          </w:p>
        </w:tc>
        <w:tc>
          <w:tcPr>
            <w:tcW w:w="1601" w:type="dxa"/>
            <w:tcBorders>
              <w:top w:val="nil"/>
              <w:left w:val="nil"/>
              <w:bottom w:val="nil"/>
              <w:right w:val="nil"/>
            </w:tcBorders>
            <w:shd w:val="clear" w:color="auto" w:fill="auto"/>
            <w:noWrap/>
            <w:hideMark/>
          </w:tcPr>
          <w:p w14:paraId="4189A558"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Edmonton, AB</w:t>
            </w:r>
          </w:p>
        </w:tc>
        <w:tc>
          <w:tcPr>
            <w:tcW w:w="1220" w:type="dxa"/>
            <w:tcBorders>
              <w:top w:val="nil"/>
              <w:left w:val="nil"/>
              <w:bottom w:val="nil"/>
              <w:right w:val="nil"/>
            </w:tcBorders>
            <w:shd w:val="clear" w:color="auto" w:fill="auto"/>
            <w:noWrap/>
            <w:hideMark/>
          </w:tcPr>
          <w:p w14:paraId="58990080" w14:textId="6077EC04" w:rsidR="000A146D" w:rsidRPr="003920D7" w:rsidRDefault="0072320B" w:rsidP="00FB4C0C">
            <w:pPr>
              <w:tabs>
                <w:tab w:val="right" w:pos="778"/>
              </w:tabs>
              <w:rPr>
                <w:rFonts w:ascii="Arial" w:hAnsi="Arial" w:cs="Arial"/>
                <w:color w:val="000000"/>
                <w:sz w:val="18"/>
                <w:szCs w:val="18"/>
                <w:u w:val="single"/>
                <w:lang w:val="en-GB" w:eastAsia="en-CA"/>
              </w:rPr>
            </w:pPr>
            <w:r w:rsidRPr="00FB4C0C">
              <w:rPr>
                <w:rFonts w:ascii="Arial" w:hAnsi="Arial" w:cs="Arial"/>
                <w:color w:val="000000"/>
                <w:sz w:val="18"/>
                <w:szCs w:val="18"/>
                <w:lang w:val="en-GB" w:eastAsia="en-CA"/>
              </w:rPr>
              <w:tab/>
            </w:r>
            <w:r>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365</w:t>
            </w:r>
          </w:p>
        </w:tc>
        <w:tc>
          <w:tcPr>
            <w:tcW w:w="1570" w:type="dxa"/>
            <w:tcBorders>
              <w:top w:val="nil"/>
              <w:left w:val="nil"/>
              <w:bottom w:val="nil"/>
              <w:right w:val="nil"/>
            </w:tcBorders>
            <w:shd w:val="clear" w:color="auto" w:fill="auto"/>
            <w:noWrap/>
            <w:hideMark/>
          </w:tcPr>
          <w:p w14:paraId="00B51F0C" w14:textId="43078503" w:rsidR="000A146D" w:rsidRPr="003920D7" w:rsidRDefault="0072320B" w:rsidP="00FB4C0C">
            <w:pPr>
              <w:tabs>
                <w:tab w:val="decimal" w:pos="409"/>
              </w:tabs>
              <w:jc w:val="center"/>
              <w:rPr>
                <w:rFonts w:ascii="Arial" w:hAnsi="Arial" w:cs="Arial"/>
                <w:color w:val="000000"/>
                <w:sz w:val="18"/>
                <w:szCs w:val="18"/>
                <w:u w:val="single"/>
                <w:lang w:val="en-GB" w:eastAsia="en-CA"/>
              </w:rPr>
            </w:pPr>
            <w:r>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6.2%</w:t>
            </w:r>
          </w:p>
        </w:tc>
        <w:tc>
          <w:tcPr>
            <w:tcW w:w="2857" w:type="dxa"/>
            <w:gridSpan w:val="3"/>
            <w:tcBorders>
              <w:top w:val="nil"/>
              <w:left w:val="nil"/>
              <w:bottom w:val="nil"/>
              <w:right w:val="nil"/>
            </w:tcBorders>
            <w:shd w:val="clear" w:color="auto" w:fill="auto"/>
            <w:noWrap/>
            <w:hideMark/>
          </w:tcPr>
          <w:p w14:paraId="3F74BC18" w14:textId="51F1C97A"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Merchant</w:t>
            </w:r>
            <w:r w:rsidR="000E6301">
              <w:rPr>
                <w:rFonts w:ascii="Arial" w:hAnsi="Arial" w:cs="Arial"/>
                <w:color w:val="000000"/>
                <w:sz w:val="18"/>
                <w:szCs w:val="18"/>
                <w:lang w:val="en-GB" w:eastAsia="en-CA"/>
              </w:rPr>
              <w:t xml:space="preserve"> and</w:t>
            </w:r>
            <w:r w:rsidRPr="003920D7">
              <w:rPr>
                <w:rFonts w:ascii="Arial" w:hAnsi="Arial" w:cs="Arial"/>
                <w:color w:val="000000"/>
                <w:sz w:val="18"/>
                <w:szCs w:val="18"/>
                <w:lang w:val="en-GB" w:eastAsia="en-CA"/>
              </w:rPr>
              <w:t xml:space="preserve"> special quality bar</w:t>
            </w:r>
          </w:p>
        </w:tc>
      </w:tr>
      <w:tr w:rsidR="000A146D" w:rsidRPr="003920D7" w14:paraId="649AFD9D" w14:textId="77777777" w:rsidTr="00FF1DE0">
        <w:trPr>
          <w:trHeight w:val="300"/>
          <w:jc w:val="center"/>
        </w:trPr>
        <w:tc>
          <w:tcPr>
            <w:tcW w:w="1999" w:type="dxa"/>
            <w:tcBorders>
              <w:top w:val="nil"/>
              <w:left w:val="nil"/>
              <w:bottom w:val="nil"/>
              <w:right w:val="nil"/>
            </w:tcBorders>
            <w:shd w:val="clear" w:color="auto" w:fill="auto"/>
            <w:noWrap/>
            <w:hideMark/>
          </w:tcPr>
          <w:p w14:paraId="23425634" w14:textId="77777777" w:rsidR="000A146D" w:rsidRPr="003920D7" w:rsidRDefault="000A146D" w:rsidP="006F2077">
            <w:pPr>
              <w:rPr>
                <w:rFonts w:ascii="Calibri" w:hAnsi="Calibri" w:cs="Calibri"/>
                <w:color w:val="000000"/>
                <w:lang w:val="en-GB" w:eastAsia="en-CA"/>
              </w:rPr>
            </w:pPr>
          </w:p>
        </w:tc>
        <w:tc>
          <w:tcPr>
            <w:tcW w:w="1601" w:type="dxa"/>
            <w:tcBorders>
              <w:top w:val="nil"/>
              <w:left w:val="nil"/>
              <w:bottom w:val="nil"/>
              <w:right w:val="nil"/>
            </w:tcBorders>
            <w:shd w:val="clear" w:color="auto" w:fill="auto"/>
            <w:noWrap/>
            <w:hideMark/>
          </w:tcPr>
          <w:p w14:paraId="42F1D3BE" w14:textId="77777777" w:rsidR="000A146D" w:rsidRPr="003920D7" w:rsidRDefault="000A146D" w:rsidP="006F2077">
            <w:pPr>
              <w:rPr>
                <w:lang w:val="en-GB" w:eastAsia="en-CA"/>
              </w:rPr>
            </w:pPr>
          </w:p>
        </w:tc>
        <w:tc>
          <w:tcPr>
            <w:tcW w:w="1220" w:type="dxa"/>
            <w:tcBorders>
              <w:top w:val="nil"/>
              <w:left w:val="nil"/>
              <w:bottom w:val="nil"/>
              <w:right w:val="nil"/>
            </w:tcBorders>
            <w:shd w:val="clear" w:color="auto" w:fill="auto"/>
            <w:noWrap/>
            <w:hideMark/>
          </w:tcPr>
          <w:p w14:paraId="52550B78" w14:textId="64C6C474" w:rsidR="000A146D" w:rsidRPr="003920D7" w:rsidRDefault="002902F1" w:rsidP="00FB4C0C">
            <w:pPr>
              <w:tabs>
                <w:tab w:val="right" w:pos="778"/>
              </w:tabs>
              <w:rPr>
                <w:rFonts w:ascii="Arial" w:hAnsi="Arial" w:cs="Arial"/>
                <w:color w:val="000000"/>
                <w:sz w:val="18"/>
                <w:szCs w:val="18"/>
                <w:lang w:val="en-GB" w:eastAsia="en-CA"/>
              </w:rPr>
            </w:pPr>
            <w:r>
              <w:rPr>
                <w:rFonts w:ascii="Arial" w:hAnsi="Arial" w:cs="Arial"/>
                <w:color w:val="000000"/>
                <w:sz w:val="18"/>
                <w:szCs w:val="18"/>
                <w:lang w:val="en-GB" w:eastAsia="en-CA"/>
              </w:rPr>
              <w:tab/>
            </w:r>
            <w:r w:rsidR="000A146D" w:rsidRPr="003920D7">
              <w:rPr>
                <w:rFonts w:ascii="Arial" w:hAnsi="Arial" w:cs="Arial"/>
                <w:color w:val="000000"/>
                <w:sz w:val="18"/>
                <w:szCs w:val="18"/>
                <w:lang w:val="en-GB" w:eastAsia="en-CA"/>
              </w:rPr>
              <w:t>5,865</w:t>
            </w:r>
          </w:p>
        </w:tc>
        <w:tc>
          <w:tcPr>
            <w:tcW w:w="1570" w:type="dxa"/>
            <w:tcBorders>
              <w:top w:val="nil"/>
              <w:left w:val="nil"/>
              <w:bottom w:val="nil"/>
              <w:right w:val="nil"/>
            </w:tcBorders>
            <w:shd w:val="clear" w:color="auto" w:fill="auto"/>
            <w:noWrap/>
            <w:hideMark/>
          </w:tcPr>
          <w:p w14:paraId="23A5E691" w14:textId="77777777" w:rsidR="000A146D" w:rsidRPr="003920D7" w:rsidRDefault="000A146D" w:rsidP="00FB4C0C">
            <w:pPr>
              <w:tabs>
                <w:tab w:val="decimal" w:pos="409"/>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100.0%</w:t>
            </w:r>
          </w:p>
        </w:tc>
        <w:tc>
          <w:tcPr>
            <w:tcW w:w="1153" w:type="dxa"/>
            <w:tcBorders>
              <w:top w:val="nil"/>
              <w:left w:val="nil"/>
              <w:bottom w:val="nil"/>
              <w:right w:val="nil"/>
            </w:tcBorders>
            <w:shd w:val="clear" w:color="auto" w:fill="auto"/>
            <w:noWrap/>
            <w:hideMark/>
          </w:tcPr>
          <w:p w14:paraId="2E8B18B3" w14:textId="77777777" w:rsidR="000A146D" w:rsidRPr="003920D7" w:rsidRDefault="000A146D" w:rsidP="006F2077">
            <w:pPr>
              <w:jc w:val="center"/>
              <w:rPr>
                <w:rFonts w:ascii="Calibri" w:hAnsi="Calibri" w:cs="Calibri"/>
                <w:color w:val="000000"/>
                <w:lang w:val="en-GB" w:eastAsia="en-CA"/>
              </w:rPr>
            </w:pPr>
          </w:p>
        </w:tc>
        <w:tc>
          <w:tcPr>
            <w:tcW w:w="1040" w:type="dxa"/>
            <w:tcBorders>
              <w:top w:val="nil"/>
              <w:left w:val="nil"/>
              <w:bottom w:val="nil"/>
              <w:right w:val="nil"/>
            </w:tcBorders>
            <w:shd w:val="clear" w:color="auto" w:fill="auto"/>
            <w:noWrap/>
            <w:hideMark/>
          </w:tcPr>
          <w:p w14:paraId="293F6492" w14:textId="77777777" w:rsidR="000A146D" w:rsidRPr="003920D7" w:rsidRDefault="000A146D" w:rsidP="006F2077">
            <w:pPr>
              <w:rPr>
                <w:lang w:val="en-GB" w:eastAsia="en-CA"/>
              </w:rPr>
            </w:pPr>
          </w:p>
        </w:tc>
        <w:tc>
          <w:tcPr>
            <w:tcW w:w="664" w:type="dxa"/>
            <w:tcBorders>
              <w:top w:val="nil"/>
              <w:left w:val="nil"/>
              <w:bottom w:val="nil"/>
              <w:right w:val="nil"/>
            </w:tcBorders>
            <w:shd w:val="clear" w:color="auto" w:fill="auto"/>
            <w:noWrap/>
            <w:hideMark/>
          </w:tcPr>
          <w:p w14:paraId="0001EAD8" w14:textId="77777777" w:rsidR="000A146D" w:rsidRPr="003920D7" w:rsidRDefault="000A146D" w:rsidP="006F2077">
            <w:pPr>
              <w:rPr>
                <w:lang w:val="en-GB" w:eastAsia="en-CA"/>
              </w:rPr>
            </w:pPr>
          </w:p>
        </w:tc>
      </w:tr>
      <w:tr w:rsidR="000A146D" w:rsidRPr="003920D7" w14:paraId="5F63DC71" w14:textId="77777777" w:rsidTr="00FF1DE0">
        <w:trPr>
          <w:trHeight w:val="300"/>
          <w:jc w:val="center"/>
        </w:trPr>
        <w:tc>
          <w:tcPr>
            <w:tcW w:w="1999" w:type="dxa"/>
            <w:tcBorders>
              <w:top w:val="nil"/>
              <w:left w:val="nil"/>
              <w:bottom w:val="nil"/>
              <w:right w:val="nil"/>
            </w:tcBorders>
            <w:shd w:val="clear" w:color="auto" w:fill="auto"/>
            <w:noWrap/>
            <w:hideMark/>
          </w:tcPr>
          <w:p w14:paraId="29006321" w14:textId="77777777" w:rsidR="000A146D" w:rsidRPr="003920D7" w:rsidRDefault="000A146D" w:rsidP="006F2077">
            <w:pPr>
              <w:rPr>
                <w:lang w:val="en-GB" w:eastAsia="en-CA"/>
              </w:rPr>
            </w:pPr>
          </w:p>
        </w:tc>
        <w:tc>
          <w:tcPr>
            <w:tcW w:w="1601" w:type="dxa"/>
            <w:tcBorders>
              <w:top w:val="nil"/>
              <w:left w:val="nil"/>
              <w:bottom w:val="nil"/>
              <w:right w:val="nil"/>
            </w:tcBorders>
            <w:shd w:val="clear" w:color="auto" w:fill="auto"/>
            <w:noWrap/>
            <w:hideMark/>
          </w:tcPr>
          <w:p w14:paraId="0EE7AA54" w14:textId="77777777" w:rsidR="000A146D" w:rsidRPr="003920D7" w:rsidRDefault="000A146D" w:rsidP="006F2077">
            <w:pPr>
              <w:rPr>
                <w:lang w:val="en-GB" w:eastAsia="en-CA"/>
              </w:rPr>
            </w:pPr>
          </w:p>
        </w:tc>
        <w:tc>
          <w:tcPr>
            <w:tcW w:w="1220" w:type="dxa"/>
            <w:tcBorders>
              <w:top w:val="nil"/>
              <w:left w:val="nil"/>
              <w:bottom w:val="nil"/>
              <w:right w:val="nil"/>
            </w:tcBorders>
            <w:shd w:val="clear" w:color="auto" w:fill="auto"/>
            <w:noWrap/>
            <w:hideMark/>
          </w:tcPr>
          <w:p w14:paraId="687E1AFA" w14:textId="77777777" w:rsidR="000A146D" w:rsidRPr="003920D7" w:rsidRDefault="000A146D" w:rsidP="006F2077">
            <w:pPr>
              <w:rPr>
                <w:lang w:val="en-GB" w:eastAsia="en-CA"/>
              </w:rPr>
            </w:pPr>
          </w:p>
        </w:tc>
        <w:tc>
          <w:tcPr>
            <w:tcW w:w="1570" w:type="dxa"/>
            <w:tcBorders>
              <w:top w:val="nil"/>
              <w:left w:val="nil"/>
              <w:bottom w:val="nil"/>
              <w:right w:val="nil"/>
            </w:tcBorders>
            <w:shd w:val="clear" w:color="auto" w:fill="auto"/>
            <w:noWrap/>
            <w:hideMark/>
          </w:tcPr>
          <w:p w14:paraId="48DDC714" w14:textId="77777777" w:rsidR="000A146D" w:rsidRPr="003920D7" w:rsidRDefault="000A146D" w:rsidP="006F2077">
            <w:pPr>
              <w:rPr>
                <w:lang w:val="en-GB" w:eastAsia="en-CA"/>
              </w:rPr>
            </w:pPr>
          </w:p>
        </w:tc>
        <w:tc>
          <w:tcPr>
            <w:tcW w:w="1153" w:type="dxa"/>
            <w:tcBorders>
              <w:top w:val="nil"/>
              <w:left w:val="nil"/>
              <w:bottom w:val="nil"/>
              <w:right w:val="nil"/>
            </w:tcBorders>
            <w:shd w:val="clear" w:color="auto" w:fill="auto"/>
            <w:hideMark/>
          </w:tcPr>
          <w:p w14:paraId="7F2B376F" w14:textId="77777777" w:rsidR="000A146D" w:rsidRPr="003920D7" w:rsidRDefault="000A146D" w:rsidP="006F2077">
            <w:pPr>
              <w:rPr>
                <w:lang w:val="en-GB" w:eastAsia="en-CA"/>
              </w:rPr>
            </w:pPr>
          </w:p>
        </w:tc>
        <w:tc>
          <w:tcPr>
            <w:tcW w:w="1040" w:type="dxa"/>
            <w:tcBorders>
              <w:top w:val="nil"/>
              <w:left w:val="nil"/>
              <w:bottom w:val="nil"/>
              <w:right w:val="nil"/>
            </w:tcBorders>
            <w:shd w:val="clear" w:color="auto" w:fill="auto"/>
            <w:noWrap/>
            <w:hideMark/>
          </w:tcPr>
          <w:p w14:paraId="37FA901D" w14:textId="77777777" w:rsidR="000A146D" w:rsidRPr="003920D7" w:rsidRDefault="000A146D" w:rsidP="006F2077">
            <w:pPr>
              <w:rPr>
                <w:lang w:val="en-GB" w:eastAsia="en-CA"/>
              </w:rPr>
            </w:pPr>
          </w:p>
        </w:tc>
        <w:tc>
          <w:tcPr>
            <w:tcW w:w="664" w:type="dxa"/>
            <w:tcBorders>
              <w:top w:val="nil"/>
              <w:left w:val="nil"/>
              <w:bottom w:val="nil"/>
              <w:right w:val="nil"/>
            </w:tcBorders>
            <w:shd w:val="clear" w:color="auto" w:fill="auto"/>
            <w:noWrap/>
            <w:hideMark/>
          </w:tcPr>
          <w:p w14:paraId="22778CDE" w14:textId="77777777" w:rsidR="000A146D" w:rsidRPr="003920D7" w:rsidRDefault="000A146D" w:rsidP="006F2077">
            <w:pPr>
              <w:rPr>
                <w:lang w:val="en-GB" w:eastAsia="en-CA"/>
              </w:rPr>
            </w:pPr>
          </w:p>
        </w:tc>
      </w:tr>
      <w:tr w:rsidR="000A146D" w:rsidRPr="003920D7" w14:paraId="13EF4248" w14:textId="77777777" w:rsidTr="00FF1DE0">
        <w:trPr>
          <w:trHeight w:val="300"/>
          <w:jc w:val="center"/>
        </w:trPr>
        <w:tc>
          <w:tcPr>
            <w:tcW w:w="1999" w:type="dxa"/>
            <w:tcBorders>
              <w:top w:val="nil"/>
              <w:left w:val="nil"/>
              <w:bottom w:val="nil"/>
              <w:right w:val="nil"/>
            </w:tcBorders>
            <w:shd w:val="clear" w:color="auto" w:fill="auto"/>
            <w:noWrap/>
            <w:hideMark/>
          </w:tcPr>
          <w:p w14:paraId="150CB2F2" w14:textId="77777777" w:rsidR="000A146D" w:rsidRPr="003920D7" w:rsidRDefault="000A146D" w:rsidP="006F2077">
            <w:pPr>
              <w:rPr>
                <w:rFonts w:ascii="Arial" w:hAnsi="Arial" w:cs="Arial"/>
                <w:sz w:val="18"/>
                <w:szCs w:val="18"/>
                <w:lang w:val="en-GB" w:eastAsia="en-CA"/>
              </w:rPr>
            </w:pPr>
          </w:p>
        </w:tc>
        <w:tc>
          <w:tcPr>
            <w:tcW w:w="1601" w:type="dxa"/>
            <w:tcBorders>
              <w:top w:val="nil"/>
              <w:left w:val="nil"/>
              <w:bottom w:val="nil"/>
              <w:right w:val="nil"/>
            </w:tcBorders>
            <w:shd w:val="clear" w:color="auto" w:fill="auto"/>
            <w:noWrap/>
            <w:hideMark/>
          </w:tcPr>
          <w:p w14:paraId="2339A3DD" w14:textId="77777777" w:rsidR="000A146D" w:rsidRPr="003920D7" w:rsidRDefault="000A146D" w:rsidP="006F2077">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2002</w:t>
            </w:r>
          </w:p>
        </w:tc>
        <w:tc>
          <w:tcPr>
            <w:tcW w:w="1220" w:type="dxa"/>
            <w:tcBorders>
              <w:top w:val="nil"/>
              <w:left w:val="nil"/>
              <w:bottom w:val="nil"/>
              <w:right w:val="nil"/>
            </w:tcBorders>
            <w:shd w:val="clear" w:color="auto" w:fill="auto"/>
            <w:noWrap/>
            <w:hideMark/>
          </w:tcPr>
          <w:p w14:paraId="755026BB" w14:textId="77777777" w:rsidR="000A146D" w:rsidRPr="003920D7" w:rsidRDefault="000A146D" w:rsidP="006F2077">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2002</w:t>
            </w:r>
          </w:p>
        </w:tc>
        <w:tc>
          <w:tcPr>
            <w:tcW w:w="1570" w:type="dxa"/>
            <w:tcBorders>
              <w:top w:val="nil"/>
              <w:left w:val="nil"/>
              <w:bottom w:val="nil"/>
              <w:right w:val="nil"/>
            </w:tcBorders>
            <w:shd w:val="clear" w:color="auto" w:fill="auto"/>
            <w:noWrap/>
            <w:hideMark/>
          </w:tcPr>
          <w:p w14:paraId="1EEABEC9" w14:textId="77777777" w:rsidR="000A146D" w:rsidRPr="003920D7" w:rsidRDefault="000A146D" w:rsidP="006F2077">
            <w:pPr>
              <w:jc w:val="center"/>
              <w:rPr>
                <w:rFonts w:ascii="Arial" w:hAnsi="Arial" w:cs="Arial"/>
                <w:b/>
                <w:bCs/>
                <w:color w:val="000000"/>
                <w:sz w:val="18"/>
                <w:szCs w:val="18"/>
                <w:lang w:val="en-GB" w:eastAsia="en-CA"/>
              </w:rPr>
            </w:pPr>
          </w:p>
        </w:tc>
        <w:tc>
          <w:tcPr>
            <w:tcW w:w="1153" w:type="dxa"/>
            <w:tcBorders>
              <w:top w:val="nil"/>
              <w:left w:val="nil"/>
              <w:bottom w:val="nil"/>
              <w:right w:val="nil"/>
            </w:tcBorders>
            <w:shd w:val="clear" w:color="auto" w:fill="auto"/>
            <w:noWrap/>
            <w:hideMark/>
          </w:tcPr>
          <w:p w14:paraId="2EA5D965" w14:textId="77777777" w:rsidR="000A146D" w:rsidRPr="003920D7" w:rsidRDefault="000A146D" w:rsidP="006F2077">
            <w:pPr>
              <w:rPr>
                <w:rFonts w:ascii="Arial" w:hAnsi="Arial" w:cs="Arial"/>
                <w:sz w:val="18"/>
                <w:szCs w:val="18"/>
                <w:lang w:val="en-GB" w:eastAsia="en-CA"/>
              </w:rPr>
            </w:pPr>
          </w:p>
        </w:tc>
        <w:tc>
          <w:tcPr>
            <w:tcW w:w="1704" w:type="dxa"/>
            <w:gridSpan w:val="2"/>
            <w:tcBorders>
              <w:top w:val="nil"/>
              <w:left w:val="nil"/>
              <w:bottom w:val="nil"/>
              <w:right w:val="nil"/>
            </w:tcBorders>
            <w:shd w:val="clear" w:color="auto" w:fill="auto"/>
            <w:noWrap/>
            <w:hideMark/>
          </w:tcPr>
          <w:p w14:paraId="2B91D042" w14:textId="77777777" w:rsidR="000A146D" w:rsidRPr="003920D7" w:rsidRDefault="000A146D" w:rsidP="006F2077">
            <w:pPr>
              <w:jc w:val="center"/>
              <w:rPr>
                <w:rFonts w:ascii="Arial" w:hAnsi="Arial" w:cs="Arial"/>
                <w:b/>
                <w:bCs/>
                <w:color w:val="000000"/>
                <w:sz w:val="18"/>
                <w:szCs w:val="18"/>
                <w:lang w:val="en-GB" w:eastAsia="en-CA"/>
              </w:rPr>
            </w:pPr>
            <w:r w:rsidRPr="003920D7">
              <w:rPr>
                <w:rFonts w:ascii="Arial" w:hAnsi="Arial" w:cs="Arial"/>
                <w:b/>
                <w:bCs/>
                <w:color w:val="000000"/>
                <w:sz w:val="18"/>
                <w:szCs w:val="18"/>
                <w:lang w:val="en-GB" w:eastAsia="en-CA"/>
              </w:rPr>
              <w:t>2002 Production</w:t>
            </w:r>
          </w:p>
        </w:tc>
      </w:tr>
      <w:tr w:rsidR="000A146D" w:rsidRPr="003920D7" w14:paraId="7FCB3263" w14:textId="77777777" w:rsidTr="00FF1DE0">
        <w:trPr>
          <w:trHeight w:val="300"/>
          <w:jc w:val="center"/>
        </w:trPr>
        <w:tc>
          <w:tcPr>
            <w:tcW w:w="1999" w:type="dxa"/>
            <w:tcBorders>
              <w:top w:val="nil"/>
              <w:left w:val="nil"/>
              <w:bottom w:val="nil"/>
              <w:right w:val="nil"/>
            </w:tcBorders>
            <w:shd w:val="clear" w:color="auto" w:fill="auto"/>
            <w:noWrap/>
            <w:hideMark/>
          </w:tcPr>
          <w:p w14:paraId="7A6F0101" w14:textId="77777777" w:rsidR="006B0F8D" w:rsidRDefault="000A146D" w:rsidP="00676744">
            <w:pP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 xml:space="preserve">Product Mix </w:t>
            </w:r>
          </w:p>
          <w:p w14:paraId="5CCE7083" w14:textId="0F868930" w:rsidR="000A146D" w:rsidRPr="003920D7" w:rsidRDefault="000A146D" w:rsidP="00676744">
            <w:pP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w:t>
            </w:r>
            <w:r w:rsidR="00FA0D7B" w:rsidRPr="003920D7">
              <w:rPr>
                <w:rFonts w:ascii="Arial" w:hAnsi="Arial" w:cs="Arial"/>
                <w:b/>
                <w:bCs/>
                <w:color w:val="000000"/>
                <w:sz w:val="18"/>
                <w:szCs w:val="18"/>
                <w:u w:val="single"/>
                <w:lang w:val="en-GB" w:eastAsia="en-CA"/>
              </w:rPr>
              <w:t>CA</w:t>
            </w:r>
            <w:r w:rsidRPr="003920D7">
              <w:rPr>
                <w:rFonts w:ascii="Arial" w:hAnsi="Arial" w:cs="Arial"/>
                <w:b/>
                <w:bCs/>
                <w:color w:val="000000"/>
                <w:sz w:val="18"/>
                <w:szCs w:val="18"/>
                <w:u w:val="single"/>
                <w:lang w:val="en-GB" w:eastAsia="en-CA"/>
              </w:rPr>
              <w:t>$</w:t>
            </w:r>
            <w:r w:rsidR="00FA0D7B" w:rsidRPr="003920D7">
              <w:rPr>
                <w:rFonts w:ascii="Arial" w:hAnsi="Arial" w:cs="Arial"/>
                <w:b/>
                <w:bCs/>
                <w:color w:val="000000"/>
                <w:sz w:val="18"/>
                <w:szCs w:val="18"/>
                <w:u w:val="single"/>
                <w:lang w:val="en-GB" w:eastAsia="en-CA"/>
              </w:rPr>
              <w:t xml:space="preserve"> </w:t>
            </w:r>
            <w:r w:rsidRPr="003920D7">
              <w:rPr>
                <w:rFonts w:ascii="Arial" w:hAnsi="Arial" w:cs="Arial"/>
                <w:b/>
                <w:bCs/>
                <w:color w:val="000000"/>
                <w:sz w:val="18"/>
                <w:szCs w:val="18"/>
                <w:u w:val="single"/>
                <w:lang w:val="en-GB" w:eastAsia="en-CA"/>
              </w:rPr>
              <w:t>m</w:t>
            </w:r>
            <w:r w:rsidR="00FA0D7B" w:rsidRPr="003920D7">
              <w:rPr>
                <w:rFonts w:ascii="Arial" w:hAnsi="Arial" w:cs="Arial"/>
                <w:b/>
                <w:bCs/>
                <w:color w:val="000000"/>
                <w:sz w:val="18"/>
                <w:szCs w:val="18"/>
                <w:u w:val="single"/>
                <w:lang w:val="en-GB" w:eastAsia="en-CA"/>
              </w:rPr>
              <w:t>illions</w:t>
            </w:r>
            <w:r w:rsidRPr="003920D7">
              <w:rPr>
                <w:rFonts w:ascii="Arial" w:hAnsi="Arial" w:cs="Arial"/>
                <w:b/>
                <w:bCs/>
                <w:color w:val="000000"/>
                <w:sz w:val="18"/>
                <w:szCs w:val="18"/>
                <w:u w:val="single"/>
                <w:lang w:val="en-GB" w:eastAsia="en-CA"/>
              </w:rPr>
              <w:t>)</w:t>
            </w:r>
          </w:p>
        </w:tc>
        <w:tc>
          <w:tcPr>
            <w:tcW w:w="1601" w:type="dxa"/>
            <w:tcBorders>
              <w:top w:val="nil"/>
              <w:left w:val="nil"/>
              <w:bottom w:val="nil"/>
              <w:right w:val="nil"/>
            </w:tcBorders>
            <w:shd w:val="clear" w:color="auto" w:fill="auto"/>
            <w:noWrap/>
            <w:hideMark/>
          </w:tcPr>
          <w:p w14:paraId="76BF3FCE" w14:textId="77777777" w:rsidR="000A146D" w:rsidRPr="003920D7" w:rsidRDefault="000A146D" w:rsidP="006F2077">
            <w:pPr>
              <w:jc w:val="cente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Sales</w:t>
            </w:r>
          </w:p>
        </w:tc>
        <w:tc>
          <w:tcPr>
            <w:tcW w:w="1220" w:type="dxa"/>
            <w:tcBorders>
              <w:top w:val="nil"/>
              <w:left w:val="nil"/>
              <w:bottom w:val="nil"/>
              <w:right w:val="nil"/>
            </w:tcBorders>
            <w:shd w:val="clear" w:color="auto" w:fill="auto"/>
            <w:noWrap/>
            <w:hideMark/>
          </w:tcPr>
          <w:p w14:paraId="21FFC975" w14:textId="77777777" w:rsidR="000A146D" w:rsidRPr="003920D7" w:rsidRDefault="000A146D" w:rsidP="006F2077">
            <w:pPr>
              <w:jc w:val="cente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Sales</w:t>
            </w:r>
          </w:p>
        </w:tc>
        <w:tc>
          <w:tcPr>
            <w:tcW w:w="1570" w:type="dxa"/>
            <w:tcBorders>
              <w:top w:val="nil"/>
              <w:left w:val="nil"/>
              <w:bottom w:val="nil"/>
              <w:right w:val="nil"/>
            </w:tcBorders>
            <w:shd w:val="clear" w:color="auto" w:fill="auto"/>
            <w:noWrap/>
            <w:hideMark/>
          </w:tcPr>
          <w:p w14:paraId="6CE05EA6" w14:textId="77777777" w:rsidR="000A146D" w:rsidRPr="003920D7" w:rsidRDefault="000A146D" w:rsidP="006F2077">
            <w:pP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 xml:space="preserve">Customers: </w:t>
            </w:r>
          </w:p>
        </w:tc>
        <w:tc>
          <w:tcPr>
            <w:tcW w:w="1153" w:type="dxa"/>
            <w:tcBorders>
              <w:top w:val="nil"/>
              <w:left w:val="nil"/>
              <w:bottom w:val="nil"/>
              <w:right w:val="nil"/>
            </w:tcBorders>
            <w:shd w:val="clear" w:color="auto" w:fill="auto"/>
            <w:noWrap/>
            <w:hideMark/>
          </w:tcPr>
          <w:p w14:paraId="769BFBA4" w14:textId="77777777" w:rsidR="000A146D" w:rsidRPr="003920D7" w:rsidRDefault="000A146D" w:rsidP="006F2077">
            <w:pPr>
              <w:rPr>
                <w:rFonts w:ascii="Arial" w:hAnsi="Arial" w:cs="Arial"/>
                <w:b/>
                <w:bCs/>
                <w:color w:val="000000"/>
                <w:sz w:val="18"/>
                <w:szCs w:val="18"/>
                <w:u w:val="single"/>
                <w:lang w:val="en-GB" w:eastAsia="en-CA"/>
              </w:rPr>
            </w:pPr>
          </w:p>
        </w:tc>
        <w:tc>
          <w:tcPr>
            <w:tcW w:w="1040" w:type="dxa"/>
            <w:tcBorders>
              <w:top w:val="nil"/>
              <w:left w:val="nil"/>
              <w:bottom w:val="nil"/>
              <w:right w:val="nil"/>
            </w:tcBorders>
            <w:shd w:val="clear" w:color="auto" w:fill="auto"/>
            <w:noWrap/>
            <w:hideMark/>
          </w:tcPr>
          <w:p w14:paraId="5911ADCD" w14:textId="77777777" w:rsidR="000A146D" w:rsidRPr="003920D7" w:rsidRDefault="000A146D" w:rsidP="006F2077">
            <w:pPr>
              <w:jc w:val="cente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Tons (000s)</w:t>
            </w:r>
          </w:p>
        </w:tc>
        <w:tc>
          <w:tcPr>
            <w:tcW w:w="664" w:type="dxa"/>
            <w:tcBorders>
              <w:top w:val="nil"/>
              <w:left w:val="nil"/>
              <w:bottom w:val="nil"/>
              <w:right w:val="nil"/>
            </w:tcBorders>
            <w:shd w:val="clear" w:color="auto" w:fill="auto"/>
            <w:noWrap/>
            <w:hideMark/>
          </w:tcPr>
          <w:p w14:paraId="1645689E" w14:textId="77777777" w:rsidR="000A146D" w:rsidRPr="003920D7" w:rsidRDefault="000A146D" w:rsidP="006F2077">
            <w:pPr>
              <w:jc w:val="cente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w:t>
            </w:r>
          </w:p>
        </w:tc>
      </w:tr>
      <w:tr w:rsidR="000A146D" w:rsidRPr="003920D7" w14:paraId="7AE6ED6D"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3158FAA0" w14:textId="74FD9160"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Hot</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Rolled Sheet</w:t>
            </w:r>
          </w:p>
        </w:tc>
        <w:tc>
          <w:tcPr>
            <w:tcW w:w="1601" w:type="dxa"/>
            <w:tcBorders>
              <w:top w:val="nil"/>
              <w:left w:val="nil"/>
              <w:bottom w:val="nil"/>
              <w:right w:val="nil"/>
            </w:tcBorders>
            <w:shd w:val="clear" w:color="auto" w:fill="auto"/>
            <w:noWrap/>
            <w:hideMark/>
          </w:tcPr>
          <w:p w14:paraId="3D938CF0"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$974 </w:t>
            </w:r>
          </w:p>
        </w:tc>
        <w:tc>
          <w:tcPr>
            <w:tcW w:w="1220" w:type="dxa"/>
            <w:tcBorders>
              <w:top w:val="nil"/>
              <w:left w:val="nil"/>
              <w:bottom w:val="nil"/>
              <w:right w:val="nil"/>
            </w:tcBorders>
            <w:shd w:val="clear" w:color="auto" w:fill="auto"/>
            <w:noWrap/>
            <w:hideMark/>
          </w:tcPr>
          <w:p w14:paraId="6092B198"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35%</w:t>
            </w:r>
          </w:p>
        </w:tc>
        <w:tc>
          <w:tcPr>
            <w:tcW w:w="1570" w:type="dxa"/>
            <w:tcBorders>
              <w:top w:val="nil"/>
              <w:left w:val="nil"/>
              <w:bottom w:val="nil"/>
              <w:right w:val="nil"/>
            </w:tcBorders>
            <w:shd w:val="clear" w:color="auto" w:fill="auto"/>
            <w:noWrap/>
            <w:hideMark/>
          </w:tcPr>
          <w:p w14:paraId="76B40F53"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Automotive</w:t>
            </w:r>
          </w:p>
        </w:tc>
        <w:tc>
          <w:tcPr>
            <w:tcW w:w="1153" w:type="dxa"/>
            <w:tcBorders>
              <w:top w:val="nil"/>
              <w:left w:val="nil"/>
              <w:bottom w:val="nil"/>
              <w:right w:val="nil"/>
            </w:tcBorders>
            <w:shd w:val="clear" w:color="auto" w:fill="auto"/>
            <w:noWrap/>
            <w:hideMark/>
          </w:tcPr>
          <w:p w14:paraId="74BCCDB3" w14:textId="77777777" w:rsidR="000A146D" w:rsidRPr="003920D7" w:rsidRDefault="000A146D" w:rsidP="006F2077">
            <w:pPr>
              <w:rPr>
                <w:rFonts w:ascii="Arial" w:hAnsi="Arial" w:cs="Arial"/>
                <w:color w:val="000000"/>
                <w:sz w:val="18"/>
                <w:szCs w:val="18"/>
                <w:lang w:val="en-GB" w:eastAsia="en-CA"/>
              </w:rPr>
            </w:pPr>
          </w:p>
        </w:tc>
        <w:tc>
          <w:tcPr>
            <w:tcW w:w="1040" w:type="dxa"/>
            <w:tcBorders>
              <w:top w:val="nil"/>
              <w:left w:val="nil"/>
              <w:bottom w:val="nil"/>
              <w:right w:val="nil"/>
            </w:tcBorders>
            <w:shd w:val="clear" w:color="auto" w:fill="auto"/>
            <w:noWrap/>
            <w:hideMark/>
          </w:tcPr>
          <w:p w14:paraId="0A2C3142" w14:textId="77777777" w:rsidR="000A146D" w:rsidRPr="003920D7" w:rsidRDefault="000A146D" w:rsidP="00FB4C0C">
            <w:pPr>
              <w:tabs>
                <w:tab w:val="decimal" w:pos="545"/>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1,685</w:t>
            </w:r>
          </w:p>
        </w:tc>
        <w:tc>
          <w:tcPr>
            <w:tcW w:w="664" w:type="dxa"/>
            <w:tcBorders>
              <w:top w:val="nil"/>
              <w:left w:val="nil"/>
              <w:bottom w:val="nil"/>
              <w:right w:val="nil"/>
            </w:tcBorders>
            <w:shd w:val="clear" w:color="auto" w:fill="auto"/>
            <w:noWrap/>
            <w:hideMark/>
          </w:tcPr>
          <w:p w14:paraId="5C6A73BC" w14:textId="77777777" w:rsidR="000A146D" w:rsidRPr="003920D7" w:rsidRDefault="000A146D" w:rsidP="00FB4C0C">
            <w:pPr>
              <w:tabs>
                <w:tab w:val="decimal" w:pos="34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36%</w:t>
            </w:r>
          </w:p>
        </w:tc>
      </w:tr>
      <w:tr w:rsidR="000A146D" w:rsidRPr="003920D7" w14:paraId="7C77330A"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082F71A7" w14:textId="3EBF0B6F"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Cold</w:t>
            </w:r>
            <w:r w:rsidR="00FA0D7B" w:rsidRPr="003920D7">
              <w:rPr>
                <w:rFonts w:ascii="Arial" w:hAnsi="Arial" w:cs="Arial"/>
                <w:color w:val="000000"/>
                <w:sz w:val="18"/>
                <w:szCs w:val="18"/>
                <w:lang w:val="en-GB" w:eastAsia="en-CA"/>
              </w:rPr>
              <w:t>-</w:t>
            </w:r>
            <w:r w:rsidRPr="003920D7">
              <w:rPr>
                <w:rFonts w:ascii="Arial" w:hAnsi="Arial" w:cs="Arial"/>
                <w:color w:val="000000"/>
                <w:sz w:val="18"/>
                <w:szCs w:val="18"/>
                <w:lang w:val="en-GB" w:eastAsia="en-CA"/>
              </w:rPr>
              <w:t>Rolled Sheet</w:t>
            </w:r>
          </w:p>
        </w:tc>
        <w:tc>
          <w:tcPr>
            <w:tcW w:w="1601" w:type="dxa"/>
            <w:tcBorders>
              <w:top w:val="nil"/>
              <w:left w:val="nil"/>
              <w:bottom w:val="nil"/>
              <w:right w:val="nil"/>
            </w:tcBorders>
            <w:shd w:val="clear" w:color="auto" w:fill="auto"/>
            <w:noWrap/>
            <w:hideMark/>
          </w:tcPr>
          <w:p w14:paraId="1F27BB4F"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$223 </w:t>
            </w:r>
          </w:p>
        </w:tc>
        <w:tc>
          <w:tcPr>
            <w:tcW w:w="1220" w:type="dxa"/>
            <w:tcBorders>
              <w:top w:val="nil"/>
              <w:left w:val="nil"/>
              <w:bottom w:val="nil"/>
              <w:right w:val="nil"/>
            </w:tcBorders>
            <w:shd w:val="clear" w:color="auto" w:fill="auto"/>
            <w:noWrap/>
            <w:hideMark/>
          </w:tcPr>
          <w:p w14:paraId="52497C8C"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8%</w:t>
            </w:r>
          </w:p>
        </w:tc>
        <w:tc>
          <w:tcPr>
            <w:tcW w:w="2723" w:type="dxa"/>
            <w:gridSpan w:val="2"/>
            <w:tcBorders>
              <w:top w:val="nil"/>
              <w:left w:val="nil"/>
              <w:bottom w:val="nil"/>
              <w:right w:val="nil"/>
            </w:tcBorders>
            <w:shd w:val="clear" w:color="auto" w:fill="auto"/>
            <w:noWrap/>
            <w:hideMark/>
          </w:tcPr>
          <w:p w14:paraId="683BDF33"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Steel Service Centres</w:t>
            </w:r>
          </w:p>
        </w:tc>
        <w:tc>
          <w:tcPr>
            <w:tcW w:w="1040" w:type="dxa"/>
            <w:tcBorders>
              <w:top w:val="nil"/>
              <w:left w:val="nil"/>
              <w:bottom w:val="nil"/>
              <w:right w:val="nil"/>
            </w:tcBorders>
            <w:shd w:val="clear" w:color="auto" w:fill="auto"/>
            <w:noWrap/>
            <w:hideMark/>
          </w:tcPr>
          <w:p w14:paraId="5BEE8749" w14:textId="77777777" w:rsidR="000A146D" w:rsidRPr="003920D7" w:rsidRDefault="000A146D" w:rsidP="00FB4C0C">
            <w:pPr>
              <w:tabs>
                <w:tab w:val="decimal" w:pos="545"/>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936</w:t>
            </w:r>
          </w:p>
        </w:tc>
        <w:tc>
          <w:tcPr>
            <w:tcW w:w="664" w:type="dxa"/>
            <w:tcBorders>
              <w:top w:val="nil"/>
              <w:left w:val="nil"/>
              <w:bottom w:val="nil"/>
              <w:right w:val="nil"/>
            </w:tcBorders>
            <w:shd w:val="clear" w:color="auto" w:fill="auto"/>
            <w:noWrap/>
            <w:hideMark/>
          </w:tcPr>
          <w:p w14:paraId="68C8DA9A" w14:textId="77777777" w:rsidR="000A146D" w:rsidRPr="003920D7" w:rsidRDefault="000A146D" w:rsidP="00FB4C0C">
            <w:pPr>
              <w:tabs>
                <w:tab w:val="decimal" w:pos="34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20%</w:t>
            </w:r>
          </w:p>
        </w:tc>
      </w:tr>
      <w:tr w:rsidR="000A146D" w:rsidRPr="003920D7" w14:paraId="0B27AC0B"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03EDF275" w14:textId="77777777"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Coated Sheet</w:t>
            </w:r>
          </w:p>
        </w:tc>
        <w:tc>
          <w:tcPr>
            <w:tcW w:w="1601" w:type="dxa"/>
            <w:tcBorders>
              <w:top w:val="nil"/>
              <w:left w:val="nil"/>
              <w:bottom w:val="nil"/>
              <w:right w:val="nil"/>
            </w:tcBorders>
            <w:shd w:val="clear" w:color="auto" w:fill="auto"/>
            <w:noWrap/>
            <w:hideMark/>
          </w:tcPr>
          <w:p w14:paraId="5A7B34AA"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$557 </w:t>
            </w:r>
          </w:p>
        </w:tc>
        <w:tc>
          <w:tcPr>
            <w:tcW w:w="1220" w:type="dxa"/>
            <w:tcBorders>
              <w:top w:val="nil"/>
              <w:left w:val="nil"/>
              <w:bottom w:val="nil"/>
              <w:right w:val="nil"/>
            </w:tcBorders>
            <w:shd w:val="clear" w:color="auto" w:fill="auto"/>
            <w:noWrap/>
            <w:hideMark/>
          </w:tcPr>
          <w:p w14:paraId="43A04682"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20%</w:t>
            </w:r>
          </w:p>
        </w:tc>
        <w:tc>
          <w:tcPr>
            <w:tcW w:w="2723" w:type="dxa"/>
            <w:gridSpan w:val="2"/>
            <w:tcBorders>
              <w:top w:val="nil"/>
              <w:left w:val="nil"/>
              <w:bottom w:val="nil"/>
              <w:right w:val="nil"/>
            </w:tcBorders>
            <w:shd w:val="clear" w:color="auto" w:fill="auto"/>
            <w:noWrap/>
            <w:hideMark/>
          </w:tcPr>
          <w:p w14:paraId="76BDC084" w14:textId="4D529BCB" w:rsidR="000A146D" w:rsidRPr="003920D7" w:rsidRDefault="000A146D" w:rsidP="00895F14">
            <w:pP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Pipe </w:t>
            </w:r>
            <w:r w:rsidR="00895F14">
              <w:rPr>
                <w:rFonts w:ascii="Arial" w:hAnsi="Arial" w:cs="Arial"/>
                <w:color w:val="000000"/>
                <w:sz w:val="18"/>
                <w:szCs w:val="18"/>
                <w:lang w:val="en-GB" w:eastAsia="en-CA"/>
              </w:rPr>
              <w:t>and</w:t>
            </w:r>
            <w:r w:rsidRPr="003920D7">
              <w:rPr>
                <w:rFonts w:ascii="Arial" w:hAnsi="Arial" w:cs="Arial"/>
                <w:color w:val="000000"/>
                <w:sz w:val="18"/>
                <w:szCs w:val="18"/>
                <w:lang w:val="en-GB" w:eastAsia="en-CA"/>
              </w:rPr>
              <w:t xml:space="preserve"> Tubular Products</w:t>
            </w:r>
          </w:p>
        </w:tc>
        <w:tc>
          <w:tcPr>
            <w:tcW w:w="1040" w:type="dxa"/>
            <w:tcBorders>
              <w:top w:val="nil"/>
              <w:left w:val="nil"/>
              <w:bottom w:val="nil"/>
              <w:right w:val="nil"/>
            </w:tcBorders>
            <w:shd w:val="clear" w:color="auto" w:fill="auto"/>
            <w:noWrap/>
            <w:hideMark/>
          </w:tcPr>
          <w:p w14:paraId="688F793E" w14:textId="77777777" w:rsidR="000A146D" w:rsidRPr="003920D7" w:rsidRDefault="000A146D" w:rsidP="00FB4C0C">
            <w:pPr>
              <w:tabs>
                <w:tab w:val="decimal" w:pos="545"/>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702</w:t>
            </w:r>
          </w:p>
        </w:tc>
        <w:tc>
          <w:tcPr>
            <w:tcW w:w="664" w:type="dxa"/>
            <w:tcBorders>
              <w:top w:val="nil"/>
              <w:left w:val="nil"/>
              <w:bottom w:val="nil"/>
              <w:right w:val="nil"/>
            </w:tcBorders>
            <w:shd w:val="clear" w:color="auto" w:fill="auto"/>
            <w:noWrap/>
            <w:hideMark/>
          </w:tcPr>
          <w:p w14:paraId="632B31F0" w14:textId="77777777" w:rsidR="000A146D" w:rsidRPr="003920D7" w:rsidRDefault="000A146D" w:rsidP="00FB4C0C">
            <w:pPr>
              <w:tabs>
                <w:tab w:val="decimal" w:pos="34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15%</w:t>
            </w:r>
          </w:p>
        </w:tc>
      </w:tr>
      <w:tr w:rsidR="000A146D" w:rsidRPr="003920D7" w14:paraId="667D3790"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0BFFCC09" w14:textId="77777777"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Plate</w:t>
            </w:r>
          </w:p>
        </w:tc>
        <w:tc>
          <w:tcPr>
            <w:tcW w:w="1601" w:type="dxa"/>
            <w:tcBorders>
              <w:top w:val="nil"/>
              <w:left w:val="nil"/>
              <w:bottom w:val="nil"/>
              <w:right w:val="nil"/>
            </w:tcBorders>
            <w:shd w:val="clear" w:color="auto" w:fill="auto"/>
            <w:noWrap/>
            <w:hideMark/>
          </w:tcPr>
          <w:p w14:paraId="6F4324EC"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$111 </w:t>
            </w:r>
          </w:p>
        </w:tc>
        <w:tc>
          <w:tcPr>
            <w:tcW w:w="1220" w:type="dxa"/>
            <w:tcBorders>
              <w:top w:val="nil"/>
              <w:left w:val="nil"/>
              <w:bottom w:val="nil"/>
              <w:right w:val="nil"/>
            </w:tcBorders>
            <w:shd w:val="clear" w:color="auto" w:fill="auto"/>
            <w:noWrap/>
            <w:hideMark/>
          </w:tcPr>
          <w:p w14:paraId="7DEC5FA7"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4%</w:t>
            </w:r>
          </w:p>
        </w:tc>
        <w:tc>
          <w:tcPr>
            <w:tcW w:w="2723" w:type="dxa"/>
            <w:gridSpan w:val="2"/>
            <w:tcBorders>
              <w:top w:val="nil"/>
              <w:left w:val="nil"/>
              <w:bottom w:val="nil"/>
              <w:right w:val="nil"/>
            </w:tcBorders>
            <w:shd w:val="clear" w:color="auto" w:fill="auto"/>
            <w:noWrap/>
            <w:hideMark/>
          </w:tcPr>
          <w:p w14:paraId="701E757D"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Construction, Manufacturing</w:t>
            </w:r>
          </w:p>
        </w:tc>
        <w:tc>
          <w:tcPr>
            <w:tcW w:w="1040" w:type="dxa"/>
            <w:tcBorders>
              <w:top w:val="nil"/>
              <w:left w:val="nil"/>
              <w:bottom w:val="nil"/>
              <w:right w:val="nil"/>
            </w:tcBorders>
            <w:shd w:val="clear" w:color="auto" w:fill="auto"/>
            <w:noWrap/>
            <w:hideMark/>
          </w:tcPr>
          <w:p w14:paraId="5B8E24EF" w14:textId="77777777" w:rsidR="000A146D" w:rsidRPr="003920D7" w:rsidRDefault="000A146D" w:rsidP="00FB4C0C">
            <w:pPr>
              <w:tabs>
                <w:tab w:val="decimal" w:pos="545"/>
              </w:tabs>
              <w:jc w:val="center"/>
              <w:rPr>
                <w:rFonts w:ascii="Arial" w:hAnsi="Arial" w:cs="Arial"/>
                <w:color w:val="000000"/>
                <w:sz w:val="18"/>
                <w:szCs w:val="18"/>
                <w:u w:val="single"/>
                <w:lang w:val="en-GB" w:eastAsia="en-CA"/>
              </w:rPr>
            </w:pPr>
            <w:r w:rsidRPr="003920D7">
              <w:rPr>
                <w:rFonts w:ascii="Arial" w:hAnsi="Arial" w:cs="Arial"/>
                <w:color w:val="000000"/>
                <w:sz w:val="18"/>
                <w:szCs w:val="18"/>
                <w:u w:val="single"/>
                <w:lang w:val="en-GB" w:eastAsia="en-CA"/>
              </w:rPr>
              <w:t>1,357</w:t>
            </w:r>
          </w:p>
        </w:tc>
        <w:tc>
          <w:tcPr>
            <w:tcW w:w="664" w:type="dxa"/>
            <w:tcBorders>
              <w:top w:val="nil"/>
              <w:left w:val="nil"/>
              <w:bottom w:val="nil"/>
              <w:right w:val="nil"/>
            </w:tcBorders>
            <w:shd w:val="clear" w:color="auto" w:fill="auto"/>
            <w:noWrap/>
            <w:hideMark/>
          </w:tcPr>
          <w:p w14:paraId="772BCDA5" w14:textId="62796F46" w:rsidR="000A146D" w:rsidRPr="003920D7" w:rsidRDefault="000A146D" w:rsidP="00FB4C0C">
            <w:pPr>
              <w:tabs>
                <w:tab w:val="decimal" w:pos="347"/>
              </w:tabs>
              <w:jc w:val="center"/>
              <w:rPr>
                <w:rFonts w:ascii="Arial" w:hAnsi="Arial" w:cs="Arial"/>
                <w:color w:val="000000"/>
                <w:sz w:val="18"/>
                <w:szCs w:val="18"/>
                <w:u w:val="single"/>
                <w:lang w:val="en-GB" w:eastAsia="en-CA"/>
              </w:rPr>
            </w:pPr>
            <w:r w:rsidRPr="003920D7">
              <w:rPr>
                <w:rFonts w:ascii="Arial" w:hAnsi="Arial" w:cs="Arial"/>
                <w:color w:val="000000"/>
                <w:sz w:val="18"/>
                <w:szCs w:val="18"/>
                <w:u w:val="single"/>
                <w:lang w:val="en-GB" w:eastAsia="en-CA"/>
              </w:rPr>
              <w:t>29%</w:t>
            </w:r>
          </w:p>
        </w:tc>
      </w:tr>
      <w:tr w:rsidR="000A146D" w:rsidRPr="003920D7" w14:paraId="0D20FC81"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6CC97CA1" w14:textId="2BB270EC"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Bars </w:t>
            </w:r>
            <w:r w:rsidR="000E6301">
              <w:rPr>
                <w:rFonts w:ascii="Arial" w:hAnsi="Arial" w:cs="Arial"/>
                <w:color w:val="000000"/>
                <w:sz w:val="18"/>
                <w:szCs w:val="18"/>
                <w:lang w:val="en-GB" w:eastAsia="en-CA"/>
              </w:rPr>
              <w:t>and</w:t>
            </w:r>
            <w:r w:rsidRPr="003920D7">
              <w:rPr>
                <w:rFonts w:ascii="Arial" w:hAnsi="Arial" w:cs="Arial"/>
                <w:color w:val="000000"/>
                <w:sz w:val="18"/>
                <w:szCs w:val="18"/>
                <w:lang w:val="en-GB" w:eastAsia="en-CA"/>
              </w:rPr>
              <w:t xml:space="preserve"> Wire Rod</w:t>
            </w:r>
          </w:p>
        </w:tc>
        <w:tc>
          <w:tcPr>
            <w:tcW w:w="1601" w:type="dxa"/>
            <w:tcBorders>
              <w:top w:val="nil"/>
              <w:left w:val="nil"/>
              <w:bottom w:val="nil"/>
              <w:right w:val="nil"/>
            </w:tcBorders>
            <w:shd w:val="clear" w:color="auto" w:fill="auto"/>
            <w:noWrap/>
            <w:hideMark/>
          </w:tcPr>
          <w:p w14:paraId="08BF2D38"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$445 </w:t>
            </w:r>
          </w:p>
        </w:tc>
        <w:tc>
          <w:tcPr>
            <w:tcW w:w="1220" w:type="dxa"/>
            <w:tcBorders>
              <w:top w:val="nil"/>
              <w:left w:val="nil"/>
              <w:bottom w:val="nil"/>
              <w:right w:val="nil"/>
            </w:tcBorders>
            <w:shd w:val="clear" w:color="auto" w:fill="auto"/>
            <w:noWrap/>
            <w:hideMark/>
          </w:tcPr>
          <w:p w14:paraId="29367338"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16%</w:t>
            </w:r>
          </w:p>
        </w:tc>
        <w:tc>
          <w:tcPr>
            <w:tcW w:w="1570" w:type="dxa"/>
            <w:tcBorders>
              <w:top w:val="nil"/>
              <w:left w:val="nil"/>
              <w:bottom w:val="nil"/>
              <w:right w:val="nil"/>
            </w:tcBorders>
            <w:shd w:val="clear" w:color="auto" w:fill="auto"/>
            <w:noWrap/>
            <w:hideMark/>
          </w:tcPr>
          <w:p w14:paraId="28EEF5D3"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Total</w:t>
            </w:r>
          </w:p>
        </w:tc>
        <w:tc>
          <w:tcPr>
            <w:tcW w:w="1153" w:type="dxa"/>
            <w:tcBorders>
              <w:top w:val="nil"/>
              <w:left w:val="nil"/>
              <w:bottom w:val="nil"/>
              <w:right w:val="nil"/>
            </w:tcBorders>
            <w:shd w:val="clear" w:color="auto" w:fill="auto"/>
            <w:noWrap/>
            <w:hideMark/>
          </w:tcPr>
          <w:p w14:paraId="72596841" w14:textId="77777777" w:rsidR="000A146D" w:rsidRPr="003920D7" w:rsidRDefault="000A146D" w:rsidP="006F2077">
            <w:pPr>
              <w:rPr>
                <w:rFonts w:ascii="Arial" w:hAnsi="Arial" w:cs="Arial"/>
                <w:color w:val="000000"/>
                <w:sz w:val="18"/>
                <w:szCs w:val="18"/>
                <w:lang w:val="en-GB" w:eastAsia="en-CA"/>
              </w:rPr>
            </w:pPr>
          </w:p>
        </w:tc>
        <w:tc>
          <w:tcPr>
            <w:tcW w:w="1040" w:type="dxa"/>
            <w:tcBorders>
              <w:top w:val="nil"/>
              <w:left w:val="nil"/>
              <w:bottom w:val="nil"/>
              <w:right w:val="nil"/>
            </w:tcBorders>
            <w:shd w:val="clear" w:color="auto" w:fill="auto"/>
            <w:noWrap/>
            <w:hideMark/>
          </w:tcPr>
          <w:p w14:paraId="6B018630" w14:textId="77777777" w:rsidR="000A146D" w:rsidRPr="003920D7" w:rsidRDefault="000A146D" w:rsidP="00FB4C0C">
            <w:pPr>
              <w:tabs>
                <w:tab w:val="decimal" w:pos="545"/>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4,680</w:t>
            </w:r>
          </w:p>
        </w:tc>
        <w:tc>
          <w:tcPr>
            <w:tcW w:w="664" w:type="dxa"/>
            <w:tcBorders>
              <w:top w:val="nil"/>
              <w:left w:val="nil"/>
              <w:bottom w:val="nil"/>
              <w:right w:val="nil"/>
            </w:tcBorders>
            <w:shd w:val="clear" w:color="auto" w:fill="auto"/>
            <w:noWrap/>
            <w:hideMark/>
          </w:tcPr>
          <w:p w14:paraId="3485D3F4" w14:textId="77777777" w:rsidR="000A146D" w:rsidRPr="003920D7" w:rsidRDefault="000A146D" w:rsidP="00FB4C0C">
            <w:pPr>
              <w:tabs>
                <w:tab w:val="decimal" w:pos="34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100%</w:t>
            </w:r>
          </w:p>
        </w:tc>
      </w:tr>
      <w:tr w:rsidR="000A146D" w:rsidRPr="003920D7" w14:paraId="6D0A8397"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45839191" w14:textId="3D11214D" w:rsidR="000A146D" w:rsidRPr="000E6301" w:rsidRDefault="000A146D" w:rsidP="000E6301">
            <w:pPr>
              <w:rPr>
                <w:rFonts w:ascii="Arial" w:hAnsi="Arial" w:cs="Arial"/>
                <w:color w:val="000000"/>
                <w:spacing w:val="-4"/>
                <w:sz w:val="18"/>
                <w:szCs w:val="18"/>
                <w:lang w:val="en-GB" w:eastAsia="en-CA"/>
              </w:rPr>
            </w:pPr>
            <w:r w:rsidRPr="000E6301">
              <w:rPr>
                <w:rFonts w:ascii="Arial" w:hAnsi="Arial" w:cs="Arial"/>
                <w:color w:val="000000"/>
                <w:spacing w:val="-4"/>
                <w:sz w:val="18"/>
                <w:szCs w:val="18"/>
                <w:lang w:val="en-GB" w:eastAsia="en-CA"/>
              </w:rPr>
              <w:t xml:space="preserve">Wire </w:t>
            </w:r>
            <w:r w:rsidR="000E6301" w:rsidRPr="000E6301">
              <w:rPr>
                <w:rFonts w:ascii="Arial" w:hAnsi="Arial" w:cs="Arial"/>
                <w:color w:val="000000"/>
                <w:spacing w:val="-4"/>
                <w:sz w:val="18"/>
                <w:szCs w:val="18"/>
                <w:lang w:val="en-GB" w:eastAsia="en-CA"/>
              </w:rPr>
              <w:t>and</w:t>
            </w:r>
            <w:r w:rsidRPr="000E6301">
              <w:rPr>
                <w:rFonts w:ascii="Arial" w:hAnsi="Arial" w:cs="Arial"/>
                <w:color w:val="000000"/>
                <w:spacing w:val="-4"/>
                <w:sz w:val="18"/>
                <w:szCs w:val="18"/>
                <w:lang w:val="en-GB" w:eastAsia="en-CA"/>
              </w:rPr>
              <w:t xml:space="preserve"> Wire Products</w:t>
            </w:r>
          </w:p>
        </w:tc>
        <w:tc>
          <w:tcPr>
            <w:tcW w:w="1601" w:type="dxa"/>
            <w:tcBorders>
              <w:top w:val="nil"/>
              <w:left w:val="nil"/>
              <w:bottom w:val="nil"/>
              <w:right w:val="nil"/>
            </w:tcBorders>
            <w:shd w:val="clear" w:color="auto" w:fill="auto"/>
            <w:noWrap/>
            <w:hideMark/>
          </w:tcPr>
          <w:p w14:paraId="6374440F"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$195 </w:t>
            </w:r>
          </w:p>
        </w:tc>
        <w:tc>
          <w:tcPr>
            <w:tcW w:w="1220" w:type="dxa"/>
            <w:tcBorders>
              <w:top w:val="nil"/>
              <w:left w:val="nil"/>
              <w:bottom w:val="nil"/>
              <w:right w:val="nil"/>
            </w:tcBorders>
            <w:shd w:val="clear" w:color="auto" w:fill="auto"/>
            <w:noWrap/>
            <w:hideMark/>
          </w:tcPr>
          <w:p w14:paraId="7E63F239"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7%</w:t>
            </w:r>
          </w:p>
        </w:tc>
        <w:tc>
          <w:tcPr>
            <w:tcW w:w="1570" w:type="dxa"/>
            <w:tcBorders>
              <w:top w:val="nil"/>
              <w:left w:val="nil"/>
              <w:bottom w:val="nil"/>
              <w:right w:val="nil"/>
            </w:tcBorders>
            <w:shd w:val="clear" w:color="auto" w:fill="auto"/>
            <w:noWrap/>
            <w:hideMark/>
          </w:tcPr>
          <w:p w14:paraId="5B5081CC"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3A904A26"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4C7961E1"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67ACD8EA" w14:textId="77777777" w:rsidR="000A146D" w:rsidRPr="003920D7" w:rsidRDefault="000A146D" w:rsidP="006F2077">
            <w:pPr>
              <w:rPr>
                <w:rFonts w:ascii="Arial" w:hAnsi="Arial" w:cs="Arial"/>
                <w:sz w:val="18"/>
                <w:szCs w:val="18"/>
                <w:lang w:val="en-GB" w:eastAsia="en-CA"/>
              </w:rPr>
            </w:pPr>
          </w:p>
        </w:tc>
      </w:tr>
      <w:tr w:rsidR="000A146D" w:rsidRPr="003920D7" w14:paraId="7B140CB3"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476717FD" w14:textId="4A10CBA5"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Pipe </w:t>
            </w:r>
            <w:r w:rsidR="000E6301">
              <w:rPr>
                <w:rFonts w:ascii="Arial" w:hAnsi="Arial" w:cs="Arial"/>
                <w:color w:val="000000"/>
                <w:sz w:val="18"/>
                <w:szCs w:val="18"/>
                <w:lang w:val="en-GB" w:eastAsia="en-CA"/>
              </w:rPr>
              <w:t>and</w:t>
            </w:r>
            <w:r w:rsidRPr="003920D7">
              <w:rPr>
                <w:rFonts w:ascii="Arial" w:hAnsi="Arial" w:cs="Arial"/>
                <w:color w:val="000000"/>
                <w:sz w:val="18"/>
                <w:szCs w:val="18"/>
                <w:lang w:val="en-GB" w:eastAsia="en-CA"/>
              </w:rPr>
              <w:t xml:space="preserve"> Tubular Products</w:t>
            </w:r>
          </w:p>
        </w:tc>
        <w:tc>
          <w:tcPr>
            <w:tcW w:w="1601" w:type="dxa"/>
            <w:tcBorders>
              <w:top w:val="nil"/>
              <w:left w:val="nil"/>
              <w:bottom w:val="nil"/>
              <w:right w:val="nil"/>
            </w:tcBorders>
            <w:shd w:val="clear" w:color="auto" w:fill="auto"/>
            <w:noWrap/>
            <w:hideMark/>
          </w:tcPr>
          <w:p w14:paraId="5910208C"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$195 </w:t>
            </w:r>
          </w:p>
        </w:tc>
        <w:tc>
          <w:tcPr>
            <w:tcW w:w="1220" w:type="dxa"/>
            <w:tcBorders>
              <w:top w:val="nil"/>
              <w:left w:val="nil"/>
              <w:bottom w:val="nil"/>
              <w:right w:val="nil"/>
            </w:tcBorders>
            <w:shd w:val="clear" w:color="auto" w:fill="auto"/>
            <w:noWrap/>
            <w:hideMark/>
          </w:tcPr>
          <w:p w14:paraId="5ABD7A51"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7%</w:t>
            </w:r>
          </w:p>
        </w:tc>
        <w:tc>
          <w:tcPr>
            <w:tcW w:w="1570" w:type="dxa"/>
            <w:tcBorders>
              <w:top w:val="nil"/>
              <w:left w:val="nil"/>
              <w:bottom w:val="nil"/>
              <w:right w:val="nil"/>
            </w:tcBorders>
            <w:shd w:val="clear" w:color="auto" w:fill="auto"/>
            <w:noWrap/>
            <w:hideMark/>
          </w:tcPr>
          <w:p w14:paraId="320A5F00"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52EB5A37"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29F0DA4E"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17F3B283" w14:textId="77777777" w:rsidR="000A146D" w:rsidRPr="003920D7" w:rsidRDefault="000A146D" w:rsidP="006F2077">
            <w:pPr>
              <w:rPr>
                <w:rFonts w:ascii="Arial" w:hAnsi="Arial" w:cs="Arial"/>
                <w:sz w:val="18"/>
                <w:szCs w:val="18"/>
                <w:lang w:val="en-GB" w:eastAsia="en-CA"/>
              </w:rPr>
            </w:pPr>
          </w:p>
        </w:tc>
      </w:tr>
      <w:tr w:rsidR="000A146D" w:rsidRPr="003920D7" w14:paraId="42C8E552"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4B38294F" w14:textId="77777777"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Other</w:t>
            </w:r>
          </w:p>
        </w:tc>
        <w:tc>
          <w:tcPr>
            <w:tcW w:w="1601" w:type="dxa"/>
            <w:tcBorders>
              <w:top w:val="nil"/>
              <w:left w:val="nil"/>
              <w:bottom w:val="nil"/>
              <w:right w:val="nil"/>
            </w:tcBorders>
            <w:shd w:val="clear" w:color="auto" w:fill="auto"/>
            <w:noWrap/>
            <w:hideMark/>
          </w:tcPr>
          <w:p w14:paraId="4495A652" w14:textId="4C5C7B77" w:rsidR="000A146D" w:rsidRPr="003920D7" w:rsidRDefault="006B0F8D" w:rsidP="00FB4C0C">
            <w:pPr>
              <w:tabs>
                <w:tab w:val="decimal" w:pos="537"/>
              </w:tabs>
              <w:jc w:val="center"/>
              <w:rPr>
                <w:rFonts w:ascii="Arial" w:hAnsi="Arial" w:cs="Arial"/>
                <w:color w:val="000000"/>
                <w:sz w:val="18"/>
                <w:szCs w:val="18"/>
                <w:u w:val="single"/>
                <w:lang w:val="en-GB" w:eastAsia="en-CA"/>
              </w:rPr>
            </w:pPr>
            <w:r>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 xml:space="preserve">$84 </w:t>
            </w:r>
          </w:p>
        </w:tc>
        <w:tc>
          <w:tcPr>
            <w:tcW w:w="1220" w:type="dxa"/>
            <w:tcBorders>
              <w:top w:val="nil"/>
              <w:left w:val="nil"/>
              <w:bottom w:val="nil"/>
              <w:right w:val="nil"/>
            </w:tcBorders>
            <w:shd w:val="clear" w:color="auto" w:fill="auto"/>
            <w:noWrap/>
            <w:hideMark/>
          </w:tcPr>
          <w:p w14:paraId="3C1A83D6" w14:textId="494A8EFE" w:rsidR="000A146D" w:rsidRPr="003920D7" w:rsidRDefault="006B0F8D" w:rsidP="00FB4C0C">
            <w:pPr>
              <w:tabs>
                <w:tab w:val="decimal" w:pos="353"/>
              </w:tabs>
              <w:jc w:val="center"/>
              <w:rPr>
                <w:rFonts w:ascii="Arial" w:hAnsi="Arial" w:cs="Arial"/>
                <w:color w:val="000000"/>
                <w:sz w:val="18"/>
                <w:szCs w:val="18"/>
                <w:u w:val="single"/>
                <w:lang w:val="en-GB" w:eastAsia="en-CA"/>
              </w:rPr>
            </w:pPr>
            <w:r w:rsidRPr="00D8201C">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3%</w:t>
            </w:r>
          </w:p>
        </w:tc>
        <w:tc>
          <w:tcPr>
            <w:tcW w:w="1570" w:type="dxa"/>
            <w:tcBorders>
              <w:top w:val="nil"/>
              <w:left w:val="nil"/>
              <w:bottom w:val="nil"/>
              <w:right w:val="nil"/>
            </w:tcBorders>
            <w:shd w:val="clear" w:color="auto" w:fill="auto"/>
            <w:noWrap/>
            <w:hideMark/>
          </w:tcPr>
          <w:p w14:paraId="60407FBB" w14:textId="77777777" w:rsidR="000A146D" w:rsidRPr="003920D7" w:rsidRDefault="000A146D" w:rsidP="006F2077">
            <w:pPr>
              <w:jc w:val="center"/>
              <w:rPr>
                <w:rFonts w:ascii="Arial" w:hAnsi="Arial" w:cs="Arial"/>
                <w:color w:val="000000"/>
                <w:sz w:val="18"/>
                <w:szCs w:val="18"/>
                <w:u w:val="single"/>
                <w:lang w:val="en-GB" w:eastAsia="en-CA"/>
              </w:rPr>
            </w:pPr>
          </w:p>
        </w:tc>
        <w:tc>
          <w:tcPr>
            <w:tcW w:w="1153" w:type="dxa"/>
            <w:tcBorders>
              <w:top w:val="nil"/>
              <w:left w:val="nil"/>
              <w:bottom w:val="nil"/>
              <w:right w:val="nil"/>
            </w:tcBorders>
            <w:shd w:val="clear" w:color="auto" w:fill="auto"/>
            <w:noWrap/>
            <w:hideMark/>
          </w:tcPr>
          <w:p w14:paraId="257124B8"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009A5D05"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3CEF48CE" w14:textId="77777777" w:rsidR="000A146D" w:rsidRPr="003920D7" w:rsidRDefault="000A146D" w:rsidP="006F2077">
            <w:pPr>
              <w:rPr>
                <w:rFonts w:ascii="Arial" w:hAnsi="Arial" w:cs="Arial"/>
                <w:sz w:val="18"/>
                <w:szCs w:val="18"/>
                <w:lang w:val="en-GB" w:eastAsia="en-CA"/>
              </w:rPr>
            </w:pPr>
          </w:p>
        </w:tc>
      </w:tr>
      <w:tr w:rsidR="000A146D" w:rsidRPr="003920D7" w14:paraId="3DF509ED" w14:textId="77777777" w:rsidTr="000E6301">
        <w:trPr>
          <w:trHeight w:val="300"/>
          <w:jc w:val="center"/>
        </w:trPr>
        <w:tc>
          <w:tcPr>
            <w:tcW w:w="1999" w:type="dxa"/>
            <w:tcBorders>
              <w:top w:val="nil"/>
              <w:left w:val="nil"/>
              <w:bottom w:val="nil"/>
              <w:right w:val="nil"/>
            </w:tcBorders>
            <w:shd w:val="clear" w:color="auto" w:fill="auto"/>
            <w:noWrap/>
            <w:vAlign w:val="center"/>
            <w:hideMark/>
          </w:tcPr>
          <w:p w14:paraId="301261F7" w14:textId="77777777" w:rsidR="000A146D" w:rsidRPr="003920D7" w:rsidRDefault="000A146D" w:rsidP="000E6301">
            <w:pPr>
              <w:rPr>
                <w:rFonts w:ascii="Arial" w:hAnsi="Arial" w:cs="Arial"/>
                <w:color w:val="000000"/>
                <w:sz w:val="18"/>
                <w:szCs w:val="18"/>
                <w:lang w:val="en-GB" w:eastAsia="en-CA"/>
              </w:rPr>
            </w:pPr>
            <w:r w:rsidRPr="003920D7">
              <w:rPr>
                <w:rFonts w:ascii="Arial" w:hAnsi="Arial" w:cs="Arial"/>
                <w:color w:val="000000"/>
                <w:sz w:val="18"/>
                <w:szCs w:val="18"/>
                <w:lang w:val="en-GB" w:eastAsia="en-CA"/>
              </w:rPr>
              <w:t>Total</w:t>
            </w:r>
          </w:p>
        </w:tc>
        <w:tc>
          <w:tcPr>
            <w:tcW w:w="1601" w:type="dxa"/>
            <w:tcBorders>
              <w:top w:val="nil"/>
              <w:left w:val="nil"/>
              <w:bottom w:val="nil"/>
              <w:right w:val="nil"/>
            </w:tcBorders>
            <w:shd w:val="clear" w:color="auto" w:fill="auto"/>
            <w:noWrap/>
            <w:hideMark/>
          </w:tcPr>
          <w:p w14:paraId="4C451F24" w14:textId="77777777" w:rsidR="000A146D" w:rsidRPr="003920D7" w:rsidRDefault="000A146D" w:rsidP="00FB4C0C">
            <w:pPr>
              <w:tabs>
                <w:tab w:val="decimal" w:pos="53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$2,784 </w:t>
            </w:r>
          </w:p>
        </w:tc>
        <w:tc>
          <w:tcPr>
            <w:tcW w:w="1220" w:type="dxa"/>
            <w:tcBorders>
              <w:top w:val="nil"/>
              <w:left w:val="nil"/>
              <w:bottom w:val="nil"/>
              <w:right w:val="nil"/>
            </w:tcBorders>
            <w:shd w:val="clear" w:color="auto" w:fill="auto"/>
            <w:noWrap/>
            <w:hideMark/>
          </w:tcPr>
          <w:p w14:paraId="12C87CD3" w14:textId="77777777" w:rsidR="000A146D" w:rsidRPr="003920D7" w:rsidRDefault="000A146D" w:rsidP="00FB4C0C">
            <w:pPr>
              <w:tabs>
                <w:tab w:val="decimal" w:pos="353"/>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100%</w:t>
            </w:r>
          </w:p>
        </w:tc>
        <w:tc>
          <w:tcPr>
            <w:tcW w:w="1570" w:type="dxa"/>
            <w:tcBorders>
              <w:top w:val="nil"/>
              <w:left w:val="nil"/>
              <w:bottom w:val="nil"/>
              <w:right w:val="nil"/>
            </w:tcBorders>
            <w:shd w:val="clear" w:color="auto" w:fill="auto"/>
            <w:noWrap/>
            <w:hideMark/>
          </w:tcPr>
          <w:p w14:paraId="30696ED7"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57CDECD2"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12030F68"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1A72B777" w14:textId="77777777" w:rsidR="000A146D" w:rsidRPr="003920D7" w:rsidRDefault="000A146D" w:rsidP="006F2077">
            <w:pPr>
              <w:rPr>
                <w:rFonts w:ascii="Arial" w:hAnsi="Arial" w:cs="Arial"/>
                <w:sz w:val="18"/>
                <w:szCs w:val="18"/>
                <w:lang w:val="en-GB" w:eastAsia="en-CA"/>
              </w:rPr>
            </w:pPr>
          </w:p>
        </w:tc>
      </w:tr>
      <w:tr w:rsidR="000A146D" w:rsidRPr="003920D7" w14:paraId="41EF29D8" w14:textId="77777777" w:rsidTr="00FF1DE0">
        <w:trPr>
          <w:trHeight w:val="300"/>
          <w:jc w:val="center"/>
        </w:trPr>
        <w:tc>
          <w:tcPr>
            <w:tcW w:w="1999" w:type="dxa"/>
            <w:tcBorders>
              <w:top w:val="nil"/>
              <w:left w:val="nil"/>
              <w:bottom w:val="nil"/>
              <w:right w:val="nil"/>
            </w:tcBorders>
            <w:shd w:val="clear" w:color="auto" w:fill="auto"/>
            <w:noWrap/>
            <w:hideMark/>
          </w:tcPr>
          <w:p w14:paraId="7C8A9DB0" w14:textId="77777777" w:rsidR="000A146D" w:rsidRPr="003920D7" w:rsidRDefault="000A146D" w:rsidP="006F2077">
            <w:pPr>
              <w:rPr>
                <w:rFonts w:ascii="Arial" w:hAnsi="Arial" w:cs="Arial"/>
                <w:sz w:val="18"/>
                <w:szCs w:val="18"/>
                <w:lang w:val="en-GB" w:eastAsia="en-CA"/>
              </w:rPr>
            </w:pPr>
          </w:p>
        </w:tc>
        <w:tc>
          <w:tcPr>
            <w:tcW w:w="1601" w:type="dxa"/>
            <w:tcBorders>
              <w:top w:val="nil"/>
              <w:left w:val="nil"/>
              <w:bottom w:val="nil"/>
              <w:right w:val="nil"/>
            </w:tcBorders>
            <w:shd w:val="clear" w:color="auto" w:fill="auto"/>
            <w:noWrap/>
            <w:hideMark/>
          </w:tcPr>
          <w:p w14:paraId="6CD06BE9" w14:textId="77777777" w:rsidR="000A146D" w:rsidRPr="003920D7" w:rsidRDefault="000A146D" w:rsidP="006F2077">
            <w:pPr>
              <w:rPr>
                <w:rFonts w:ascii="Arial" w:hAnsi="Arial" w:cs="Arial"/>
                <w:sz w:val="18"/>
                <w:szCs w:val="18"/>
                <w:lang w:val="en-GB" w:eastAsia="en-CA"/>
              </w:rPr>
            </w:pPr>
          </w:p>
        </w:tc>
        <w:tc>
          <w:tcPr>
            <w:tcW w:w="1220" w:type="dxa"/>
            <w:tcBorders>
              <w:top w:val="nil"/>
              <w:left w:val="nil"/>
              <w:bottom w:val="nil"/>
              <w:right w:val="nil"/>
            </w:tcBorders>
            <w:shd w:val="clear" w:color="auto" w:fill="auto"/>
            <w:noWrap/>
            <w:hideMark/>
          </w:tcPr>
          <w:p w14:paraId="12C8B6F8" w14:textId="77777777" w:rsidR="000A146D" w:rsidRPr="003920D7" w:rsidRDefault="000A146D" w:rsidP="006F2077">
            <w:pPr>
              <w:rPr>
                <w:rFonts w:ascii="Arial" w:hAnsi="Arial" w:cs="Arial"/>
                <w:sz w:val="18"/>
                <w:szCs w:val="18"/>
                <w:lang w:val="en-GB" w:eastAsia="en-CA"/>
              </w:rPr>
            </w:pPr>
          </w:p>
        </w:tc>
        <w:tc>
          <w:tcPr>
            <w:tcW w:w="1570" w:type="dxa"/>
            <w:tcBorders>
              <w:top w:val="nil"/>
              <w:left w:val="nil"/>
              <w:bottom w:val="nil"/>
              <w:right w:val="nil"/>
            </w:tcBorders>
            <w:shd w:val="clear" w:color="auto" w:fill="auto"/>
            <w:noWrap/>
            <w:hideMark/>
          </w:tcPr>
          <w:p w14:paraId="391FFC2B" w14:textId="77777777" w:rsidR="000A146D" w:rsidRPr="003920D7" w:rsidRDefault="000A146D" w:rsidP="006F2077">
            <w:pPr>
              <w:rPr>
                <w:rFonts w:ascii="Arial" w:hAnsi="Arial" w:cs="Arial"/>
                <w:sz w:val="18"/>
                <w:szCs w:val="18"/>
                <w:lang w:val="en-GB" w:eastAsia="en-CA"/>
              </w:rPr>
            </w:pPr>
          </w:p>
        </w:tc>
        <w:tc>
          <w:tcPr>
            <w:tcW w:w="1153" w:type="dxa"/>
            <w:tcBorders>
              <w:top w:val="nil"/>
              <w:left w:val="nil"/>
              <w:bottom w:val="nil"/>
              <w:right w:val="nil"/>
            </w:tcBorders>
            <w:shd w:val="clear" w:color="auto" w:fill="auto"/>
            <w:noWrap/>
            <w:hideMark/>
          </w:tcPr>
          <w:p w14:paraId="1B19E0AE"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4ACD2BA2"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3C0FB713" w14:textId="77777777" w:rsidR="000A146D" w:rsidRPr="003920D7" w:rsidRDefault="000A146D" w:rsidP="006F2077">
            <w:pPr>
              <w:rPr>
                <w:rFonts w:ascii="Arial" w:hAnsi="Arial" w:cs="Arial"/>
                <w:sz w:val="18"/>
                <w:szCs w:val="18"/>
                <w:lang w:val="en-GB" w:eastAsia="en-CA"/>
              </w:rPr>
            </w:pPr>
          </w:p>
        </w:tc>
      </w:tr>
      <w:tr w:rsidR="000A146D" w:rsidRPr="003920D7" w14:paraId="0DC3D9E2" w14:textId="77777777" w:rsidTr="00FF1DE0">
        <w:trPr>
          <w:trHeight w:val="300"/>
          <w:jc w:val="center"/>
        </w:trPr>
        <w:tc>
          <w:tcPr>
            <w:tcW w:w="3600" w:type="dxa"/>
            <w:gridSpan w:val="2"/>
            <w:tcBorders>
              <w:top w:val="nil"/>
              <w:left w:val="nil"/>
              <w:bottom w:val="nil"/>
              <w:right w:val="nil"/>
            </w:tcBorders>
            <w:shd w:val="clear" w:color="auto" w:fill="auto"/>
            <w:noWrap/>
            <w:hideMark/>
          </w:tcPr>
          <w:p w14:paraId="0F252A6C" w14:textId="42266908" w:rsidR="000A146D" w:rsidRPr="003920D7" w:rsidRDefault="000A146D" w:rsidP="00676744">
            <w:pPr>
              <w:rPr>
                <w:rFonts w:ascii="Arial" w:hAnsi="Arial" w:cs="Arial"/>
                <w:b/>
                <w:bCs/>
                <w:color w:val="000000"/>
                <w:sz w:val="18"/>
                <w:szCs w:val="18"/>
                <w:u w:val="single"/>
                <w:lang w:val="en-GB" w:eastAsia="en-CA"/>
              </w:rPr>
            </w:pPr>
            <w:r w:rsidRPr="003920D7">
              <w:rPr>
                <w:rFonts w:ascii="Arial" w:hAnsi="Arial" w:cs="Arial"/>
                <w:b/>
                <w:bCs/>
                <w:color w:val="000000"/>
                <w:sz w:val="18"/>
                <w:szCs w:val="18"/>
                <w:u w:val="single"/>
                <w:lang w:val="en-GB" w:eastAsia="en-CA"/>
              </w:rPr>
              <w:t>Geographical Sales (</w:t>
            </w:r>
            <w:r w:rsidR="00FA0D7B" w:rsidRPr="003920D7">
              <w:rPr>
                <w:rFonts w:ascii="Arial" w:hAnsi="Arial" w:cs="Arial"/>
                <w:b/>
                <w:bCs/>
                <w:color w:val="000000"/>
                <w:sz w:val="18"/>
                <w:szCs w:val="18"/>
                <w:u w:val="single"/>
                <w:lang w:val="en-GB" w:eastAsia="en-CA"/>
              </w:rPr>
              <w:t>CA</w:t>
            </w:r>
            <w:r w:rsidRPr="003920D7">
              <w:rPr>
                <w:rFonts w:ascii="Arial" w:hAnsi="Arial" w:cs="Arial"/>
                <w:b/>
                <w:bCs/>
                <w:color w:val="000000"/>
                <w:sz w:val="18"/>
                <w:szCs w:val="18"/>
                <w:u w:val="single"/>
                <w:lang w:val="en-GB" w:eastAsia="en-CA"/>
              </w:rPr>
              <w:t>$</w:t>
            </w:r>
            <w:r w:rsidR="00FA0D7B" w:rsidRPr="003920D7">
              <w:rPr>
                <w:rFonts w:ascii="Arial" w:hAnsi="Arial" w:cs="Arial"/>
                <w:b/>
                <w:bCs/>
                <w:color w:val="000000"/>
                <w:sz w:val="18"/>
                <w:szCs w:val="18"/>
                <w:u w:val="single"/>
                <w:lang w:val="en-GB" w:eastAsia="en-CA"/>
              </w:rPr>
              <w:t xml:space="preserve"> </w:t>
            </w:r>
            <w:r w:rsidRPr="003920D7">
              <w:rPr>
                <w:rFonts w:ascii="Arial" w:hAnsi="Arial" w:cs="Arial"/>
                <w:b/>
                <w:bCs/>
                <w:color w:val="000000"/>
                <w:sz w:val="18"/>
                <w:szCs w:val="18"/>
                <w:u w:val="single"/>
                <w:lang w:val="en-GB" w:eastAsia="en-CA"/>
              </w:rPr>
              <w:t>m</w:t>
            </w:r>
            <w:r w:rsidR="00FA0D7B" w:rsidRPr="003920D7">
              <w:rPr>
                <w:rFonts w:ascii="Arial" w:hAnsi="Arial" w:cs="Arial"/>
                <w:b/>
                <w:bCs/>
                <w:color w:val="000000"/>
                <w:sz w:val="18"/>
                <w:szCs w:val="18"/>
                <w:u w:val="single"/>
                <w:lang w:val="en-GB" w:eastAsia="en-CA"/>
              </w:rPr>
              <w:t>illions</w:t>
            </w:r>
            <w:r w:rsidRPr="003920D7">
              <w:rPr>
                <w:rFonts w:ascii="Arial" w:hAnsi="Arial" w:cs="Arial"/>
                <w:b/>
                <w:bCs/>
                <w:color w:val="000000"/>
                <w:sz w:val="18"/>
                <w:szCs w:val="18"/>
                <w:u w:val="single"/>
                <w:lang w:val="en-GB" w:eastAsia="en-CA"/>
              </w:rPr>
              <w:t>):</w:t>
            </w:r>
          </w:p>
        </w:tc>
        <w:tc>
          <w:tcPr>
            <w:tcW w:w="1220" w:type="dxa"/>
            <w:tcBorders>
              <w:top w:val="nil"/>
              <w:left w:val="nil"/>
              <w:bottom w:val="nil"/>
              <w:right w:val="nil"/>
            </w:tcBorders>
            <w:shd w:val="clear" w:color="auto" w:fill="auto"/>
            <w:noWrap/>
            <w:hideMark/>
          </w:tcPr>
          <w:p w14:paraId="1FD93ABE" w14:textId="77777777" w:rsidR="000A146D" w:rsidRPr="003920D7" w:rsidRDefault="000A146D" w:rsidP="006F2077">
            <w:pPr>
              <w:rPr>
                <w:rFonts w:ascii="Arial" w:hAnsi="Arial" w:cs="Arial"/>
                <w:b/>
                <w:bCs/>
                <w:color w:val="000000"/>
                <w:sz w:val="18"/>
                <w:szCs w:val="18"/>
                <w:u w:val="single"/>
                <w:lang w:val="en-GB" w:eastAsia="en-CA"/>
              </w:rPr>
            </w:pPr>
          </w:p>
        </w:tc>
        <w:tc>
          <w:tcPr>
            <w:tcW w:w="1570" w:type="dxa"/>
            <w:tcBorders>
              <w:top w:val="nil"/>
              <w:left w:val="nil"/>
              <w:bottom w:val="nil"/>
              <w:right w:val="nil"/>
            </w:tcBorders>
            <w:shd w:val="clear" w:color="auto" w:fill="auto"/>
            <w:noWrap/>
            <w:hideMark/>
          </w:tcPr>
          <w:p w14:paraId="6BAF45C4" w14:textId="77777777" w:rsidR="000A146D" w:rsidRPr="003920D7" w:rsidRDefault="000A146D" w:rsidP="006F2077">
            <w:pPr>
              <w:jc w:val="center"/>
              <w:rPr>
                <w:rFonts w:ascii="Arial" w:hAnsi="Arial" w:cs="Arial"/>
                <w:sz w:val="18"/>
                <w:szCs w:val="18"/>
                <w:lang w:val="en-GB" w:eastAsia="en-CA"/>
              </w:rPr>
            </w:pPr>
          </w:p>
        </w:tc>
        <w:tc>
          <w:tcPr>
            <w:tcW w:w="1153" w:type="dxa"/>
            <w:tcBorders>
              <w:top w:val="nil"/>
              <w:left w:val="nil"/>
              <w:bottom w:val="nil"/>
              <w:right w:val="nil"/>
            </w:tcBorders>
            <w:shd w:val="clear" w:color="auto" w:fill="auto"/>
            <w:noWrap/>
            <w:hideMark/>
          </w:tcPr>
          <w:p w14:paraId="3E1459A1"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2DBF3ED8"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1CDAB7A4" w14:textId="77777777" w:rsidR="000A146D" w:rsidRPr="003920D7" w:rsidRDefault="000A146D" w:rsidP="006F2077">
            <w:pPr>
              <w:rPr>
                <w:rFonts w:ascii="Arial" w:hAnsi="Arial" w:cs="Arial"/>
                <w:sz w:val="18"/>
                <w:szCs w:val="18"/>
                <w:lang w:val="en-GB" w:eastAsia="en-CA"/>
              </w:rPr>
            </w:pPr>
          </w:p>
        </w:tc>
      </w:tr>
      <w:tr w:rsidR="000A146D" w:rsidRPr="003920D7" w14:paraId="2E271317" w14:textId="77777777" w:rsidTr="00FF1DE0">
        <w:trPr>
          <w:trHeight w:val="300"/>
          <w:jc w:val="center"/>
        </w:trPr>
        <w:tc>
          <w:tcPr>
            <w:tcW w:w="1999" w:type="dxa"/>
            <w:tcBorders>
              <w:top w:val="nil"/>
              <w:left w:val="nil"/>
              <w:bottom w:val="nil"/>
              <w:right w:val="nil"/>
            </w:tcBorders>
            <w:shd w:val="clear" w:color="auto" w:fill="auto"/>
            <w:noWrap/>
            <w:hideMark/>
          </w:tcPr>
          <w:p w14:paraId="2D8A7BA2"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Canada</w:t>
            </w:r>
          </w:p>
        </w:tc>
        <w:tc>
          <w:tcPr>
            <w:tcW w:w="1601" w:type="dxa"/>
            <w:tcBorders>
              <w:top w:val="nil"/>
              <w:left w:val="nil"/>
              <w:bottom w:val="nil"/>
              <w:right w:val="nil"/>
            </w:tcBorders>
            <w:shd w:val="clear" w:color="auto" w:fill="auto"/>
            <w:noWrap/>
            <w:hideMark/>
          </w:tcPr>
          <w:p w14:paraId="34B5C919" w14:textId="77777777" w:rsidR="000A146D" w:rsidRPr="003920D7" w:rsidRDefault="000A146D" w:rsidP="00FB4C0C">
            <w:pPr>
              <w:tabs>
                <w:tab w:val="decimal" w:pos="561"/>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$2,317 </w:t>
            </w:r>
          </w:p>
        </w:tc>
        <w:tc>
          <w:tcPr>
            <w:tcW w:w="1220" w:type="dxa"/>
            <w:tcBorders>
              <w:top w:val="nil"/>
              <w:left w:val="nil"/>
              <w:bottom w:val="nil"/>
              <w:right w:val="nil"/>
            </w:tcBorders>
            <w:shd w:val="clear" w:color="auto" w:fill="auto"/>
            <w:noWrap/>
            <w:hideMark/>
          </w:tcPr>
          <w:p w14:paraId="3CF0965B" w14:textId="77777777" w:rsidR="000A146D" w:rsidRPr="003920D7" w:rsidRDefault="000A146D" w:rsidP="00FB4C0C">
            <w:pPr>
              <w:tabs>
                <w:tab w:val="decimal" w:pos="37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83%</w:t>
            </w:r>
          </w:p>
        </w:tc>
        <w:tc>
          <w:tcPr>
            <w:tcW w:w="1570" w:type="dxa"/>
            <w:tcBorders>
              <w:top w:val="nil"/>
              <w:left w:val="nil"/>
              <w:bottom w:val="nil"/>
              <w:right w:val="nil"/>
            </w:tcBorders>
            <w:shd w:val="clear" w:color="auto" w:fill="auto"/>
            <w:noWrap/>
            <w:hideMark/>
          </w:tcPr>
          <w:p w14:paraId="74C4E577"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40A40037"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6EA90CBA"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665A3819" w14:textId="77777777" w:rsidR="000A146D" w:rsidRPr="003920D7" w:rsidRDefault="000A146D" w:rsidP="006F2077">
            <w:pPr>
              <w:rPr>
                <w:rFonts w:ascii="Arial" w:hAnsi="Arial" w:cs="Arial"/>
                <w:sz w:val="18"/>
                <w:szCs w:val="18"/>
                <w:lang w:val="en-GB" w:eastAsia="en-CA"/>
              </w:rPr>
            </w:pPr>
          </w:p>
        </w:tc>
      </w:tr>
      <w:tr w:rsidR="000A146D" w:rsidRPr="003920D7" w14:paraId="67E1906F" w14:textId="77777777" w:rsidTr="00FF1DE0">
        <w:trPr>
          <w:trHeight w:val="300"/>
          <w:jc w:val="center"/>
        </w:trPr>
        <w:tc>
          <w:tcPr>
            <w:tcW w:w="1999" w:type="dxa"/>
            <w:tcBorders>
              <w:top w:val="nil"/>
              <w:left w:val="nil"/>
              <w:bottom w:val="nil"/>
              <w:right w:val="nil"/>
            </w:tcBorders>
            <w:shd w:val="clear" w:color="auto" w:fill="auto"/>
            <w:noWrap/>
            <w:hideMark/>
          </w:tcPr>
          <w:p w14:paraId="2C14246F"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United States</w:t>
            </w:r>
          </w:p>
        </w:tc>
        <w:tc>
          <w:tcPr>
            <w:tcW w:w="1601" w:type="dxa"/>
            <w:tcBorders>
              <w:top w:val="nil"/>
              <w:left w:val="nil"/>
              <w:bottom w:val="nil"/>
              <w:right w:val="nil"/>
            </w:tcBorders>
            <w:shd w:val="clear" w:color="auto" w:fill="auto"/>
            <w:noWrap/>
            <w:hideMark/>
          </w:tcPr>
          <w:p w14:paraId="1BC69051" w14:textId="77777777" w:rsidR="000A146D" w:rsidRPr="003920D7" w:rsidRDefault="000A146D" w:rsidP="00FB4C0C">
            <w:pPr>
              <w:tabs>
                <w:tab w:val="decimal" w:pos="561"/>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$420 </w:t>
            </w:r>
          </w:p>
        </w:tc>
        <w:tc>
          <w:tcPr>
            <w:tcW w:w="1220" w:type="dxa"/>
            <w:tcBorders>
              <w:top w:val="nil"/>
              <w:left w:val="nil"/>
              <w:bottom w:val="nil"/>
              <w:right w:val="nil"/>
            </w:tcBorders>
            <w:shd w:val="clear" w:color="auto" w:fill="auto"/>
            <w:noWrap/>
            <w:hideMark/>
          </w:tcPr>
          <w:p w14:paraId="2B9B2CAC" w14:textId="77777777" w:rsidR="000A146D" w:rsidRPr="003920D7" w:rsidRDefault="000A146D" w:rsidP="00FB4C0C">
            <w:pPr>
              <w:tabs>
                <w:tab w:val="decimal" w:pos="37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15%</w:t>
            </w:r>
          </w:p>
        </w:tc>
        <w:tc>
          <w:tcPr>
            <w:tcW w:w="1570" w:type="dxa"/>
            <w:tcBorders>
              <w:top w:val="nil"/>
              <w:left w:val="nil"/>
              <w:bottom w:val="nil"/>
              <w:right w:val="nil"/>
            </w:tcBorders>
            <w:shd w:val="clear" w:color="auto" w:fill="auto"/>
            <w:noWrap/>
            <w:hideMark/>
          </w:tcPr>
          <w:p w14:paraId="7B0D93A1"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52E57CD3"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48F295E0"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1D6C8972" w14:textId="77777777" w:rsidR="000A146D" w:rsidRPr="003920D7" w:rsidRDefault="000A146D" w:rsidP="006F2077">
            <w:pPr>
              <w:rPr>
                <w:rFonts w:ascii="Arial" w:hAnsi="Arial" w:cs="Arial"/>
                <w:sz w:val="18"/>
                <w:szCs w:val="18"/>
                <w:lang w:val="en-GB" w:eastAsia="en-CA"/>
              </w:rPr>
            </w:pPr>
          </w:p>
        </w:tc>
      </w:tr>
      <w:tr w:rsidR="000A146D" w:rsidRPr="003920D7" w14:paraId="3F37E5F1" w14:textId="77777777" w:rsidTr="00FF1DE0">
        <w:trPr>
          <w:trHeight w:val="300"/>
          <w:jc w:val="center"/>
        </w:trPr>
        <w:tc>
          <w:tcPr>
            <w:tcW w:w="1999" w:type="dxa"/>
            <w:tcBorders>
              <w:top w:val="nil"/>
              <w:left w:val="nil"/>
              <w:bottom w:val="nil"/>
              <w:right w:val="nil"/>
            </w:tcBorders>
            <w:shd w:val="clear" w:color="auto" w:fill="auto"/>
            <w:noWrap/>
            <w:hideMark/>
          </w:tcPr>
          <w:p w14:paraId="536EF11A"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Other</w:t>
            </w:r>
          </w:p>
        </w:tc>
        <w:tc>
          <w:tcPr>
            <w:tcW w:w="1601" w:type="dxa"/>
            <w:tcBorders>
              <w:top w:val="nil"/>
              <w:left w:val="nil"/>
              <w:bottom w:val="nil"/>
              <w:right w:val="nil"/>
            </w:tcBorders>
            <w:shd w:val="clear" w:color="auto" w:fill="auto"/>
            <w:noWrap/>
            <w:hideMark/>
          </w:tcPr>
          <w:p w14:paraId="6224592C" w14:textId="52F5544C" w:rsidR="000A146D" w:rsidRPr="003920D7" w:rsidRDefault="006B0F8D" w:rsidP="00FB4C0C">
            <w:pPr>
              <w:tabs>
                <w:tab w:val="decimal" w:pos="561"/>
              </w:tabs>
              <w:jc w:val="center"/>
              <w:rPr>
                <w:rFonts w:ascii="Arial" w:hAnsi="Arial" w:cs="Arial"/>
                <w:color w:val="000000"/>
                <w:sz w:val="18"/>
                <w:szCs w:val="18"/>
                <w:u w:val="single"/>
                <w:lang w:val="en-GB" w:eastAsia="en-CA"/>
              </w:rPr>
            </w:pPr>
            <w:r>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 xml:space="preserve">$47 </w:t>
            </w:r>
          </w:p>
        </w:tc>
        <w:tc>
          <w:tcPr>
            <w:tcW w:w="1220" w:type="dxa"/>
            <w:tcBorders>
              <w:top w:val="nil"/>
              <w:left w:val="nil"/>
              <w:bottom w:val="nil"/>
              <w:right w:val="nil"/>
            </w:tcBorders>
            <w:shd w:val="clear" w:color="auto" w:fill="auto"/>
            <w:noWrap/>
            <w:hideMark/>
          </w:tcPr>
          <w:p w14:paraId="277DC7F3" w14:textId="28AFC6EB" w:rsidR="000A146D" w:rsidRPr="003920D7" w:rsidRDefault="006B0F8D" w:rsidP="00FB4C0C">
            <w:pPr>
              <w:tabs>
                <w:tab w:val="decimal" w:pos="377"/>
              </w:tabs>
              <w:jc w:val="center"/>
              <w:rPr>
                <w:rFonts w:ascii="Arial" w:hAnsi="Arial" w:cs="Arial"/>
                <w:color w:val="000000"/>
                <w:sz w:val="18"/>
                <w:szCs w:val="18"/>
                <w:u w:val="single"/>
                <w:lang w:val="en-GB" w:eastAsia="en-CA"/>
              </w:rPr>
            </w:pPr>
            <w:r>
              <w:rPr>
                <w:rFonts w:ascii="Arial" w:hAnsi="Arial" w:cs="Arial"/>
                <w:color w:val="000000"/>
                <w:sz w:val="18"/>
                <w:szCs w:val="18"/>
                <w:u w:val="single"/>
                <w:lang w:val="en-GB" w:eastAsia="en-CA"/>
              </w:rPr>
              <w:t xml:space="preserve">    </w:t>
            </w:r>
            <w:r w:rsidR="000A146D" w:rsidRPr="003920D7">
              <w:rPr>
                <w:rFonts w:ascii="Arial" w:hAnsi="Arial" w:cs="Arial"/>
                <w:color w:val="000000"/>
                <w:sz w:val="18"/>
                <w:szCs w:val="18"/>
                <w:u w:val="single"/>
                <w:lang w:val="en-GB" w:eastAsia="en-CA"/>
              </w:rPr>
              <w:t>2%</w:t>
            </w:r>
          </w:p>
        </w:tc>
        <w:tc>
          <w:tcPr>
            <w:tcW w:w="1570" w:type="dxa"/>
            <w:tcBorders>
              <w:top w:val="nil"/>
              <w:left w:val="nil"/>
              <w:bottom w:val="nil"/>
              <w:right w:val="nil"/>
            </w:tcBorders>
            <w:shd w:val="clear" w:color="auto" w:fill="auto"/>
            <w:noWrap/>
            <w:hideMark/>
          </w:tcPr>
          <w:p w14:paraId="1F6C7C63" w14:textId="77777777" w:rsidR="000A146D" w:rsidRPr="003920D7" w:rsidRDefault="000A146D" w:rsidP="006F2077">
            <w:pPr>
              <w:jc w:val="center"/>
              <w:rPr>
                <w:rFonts w:ascii="Arial" w:hAnsi="Arial" w:cs="Arial"/>
                <w:color w:val="000000"/>
                <w:sz w:val="18"/>
                <w:szCs w:val="18"/>
                <w:u w:val="single"/>
                <w:lang w:val="en-GB" w:eastAsia="en-CA"/>
              </w:rPr>
            </w:pPr>
          </w:p>
        </w:tc>
        <w:tc>
          <w:tcPr>
            <w:tcW w:w="1153" w:type="dxa"/>
            <w:tcBorders>
              <w:top w:val="nil"/>
              <w:left w:val="nil"/>
              <w:bottom w:val="nil"/>
              <w:right w:val="nil"/>
            </w:tcBorders>
            <w:shd w:val="clear" w:color="auto" w:fill="auto"/>
            <w:noWrap/>
            <w:hideMark/>
          </w:tcPr>
          <w:p w14:paraId="1FECA3E7"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5458A8C3"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684F247E" w14:textId="77777777" w:rsidR="000A146D" w:rsidRPr="003920D7" w:rsidRDefault="000A146D" w:rsidP="006F2077">
            <w:pPr>
              <w:rPr>
                <w:rFonts w:ascii="Arial" w:hAnsi="Arial" w:cs="Arial"/>
                <w:sz w:val="18"/>
                <w:szCs w:val="18"/>
                <w:lang w:val="en-GB" w:eastAsia="en-CA"/>
              </w:rPr>
            </w:pPr>
          </w:p>
        </w:tc>
      </w:tr>
      <w:tr w:rsidR="000A146D" w:rsidRPr="003920D7" w14:paraId="488D7C3D" w14:textId="77777777" w:rsidTr="00FF1DE0">
        <w:trPr>
          <w:trHeight w:val="300"/>
          <w:jc w:val="center"/>
        </w:trPr>
        <w:tc>
          <w:tcPr>
            <w:tcW w:w="1999" w:type="dxa"/>
            <w:tcBorders>
              <w:top w:val="nil"/>
              <w:left w:val="nil"/>
              <w:bottom w:val="nil"/>
              <w:right w:val="nil"/>
            </w:tcBorders>
            <w:shd w:val="clear" w:color="auto" w:fill="auto"/>
            <w:noWrap/>
            <w:hideMark/>
          </w:tcPr>
          <w:p w14:paraId="5E7D252B" w14:textId="77777777" w:rsidR="000A146D" w:rsidRPr="003920D7" w:rsidRDefault="000A146D" w:rsidP="006F2077">
            <w:pPr>
              <w:rPr>
                <w:rFonts w:ascii="Arial" w:hAnsi="Arial" w:cs="Arial"/>
                <w:color w:val="000000"/>
                <w:sz w:val="18"/>
                <w:szCs w:val="18"/>
                <w:lang w:val="en-GB" w:eastAsia="en-CA"/>
              </w:rPr>
            </w:pPr>
            <w:r w:rsidRPr="003920D7">
              <w:rPr>
                <w:rFonts w:ascii="Arial" w:hAnsi="Arial" w:cs="Arial"/>
                <w:color w:val="000000"/>
                <w:sz w:val="18"/>
                <w:szCs w:val="18"/>
                <w:lang w:val="en-GB" w:eastAsia="en-CA"/>
              </w:rPr>
              <w:t>Total</w:t>
            </w:r>
          </w:p>
        </w:tc>
        <w:tc>
          <w:tcPr>
            <w:tcW w:w="1601" w:type="dxa"/>
            <w:tcBorders>
              <w:top w:val="nil"/>
              <w:left w:val="nil"/>
              <w:bottom w:val="nil"/>
              <w:right w:val="nil"/>
            </w:tcBorders>
            <w:shd w:val="clear" w:color="auto" w:fill="auto"/>
            <w:noWrap/>
            <w:hideMark/>
          </w:tcPr>
          <w:p w14:paraId="0207BB91" w14:textId="77777777" w:rsidR="000A146D" w:rsidRPr="003920D7" w:rsidRDefault="000A146D" w:rsidP="00FB4C0C">
            <w:pPr>
              <w:tabs>
                <w:tab w:val="decimal" w:pos="561"/>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 xml:space="preserve">$2,784 </w:t>
            </w:r>
          </w:p>
        </w:tc>
        <w:tc>
          <w:tcPr>
            <w:tcW w:w="1220" w:type="dxa"/>
            <w:tcBorders>
              <w:top w:val="nil"/>
              <w:left w:val="nil"/>
              <w:bottom w:val="nil"/>
              <w:right w:val="nil"/>
            </w:tcBorders>
            <w:shd w:val="clear" w:color="auto" w:fill="auto"/>
            <w:noWrap/>
            <w:hideMark/>
          </w:tcPr>
          <w:p w14:paraId="7DB34E16" w14:textId="77777777" w:rsidR="000A146D" w:rsidRPr="003920D7" w:rsidRDefault="000A146D" w:rsidP="00FB4C0C">
            <w:pPr>
              <w:tabs>
                <w:tab w:val="decimal" w:pos="377"/>
              </w:tabs>
              <w:jc w:val="center"/>
              <w:rPr>
                <w:rFonts w:ascii="Arial" w:hAnsi="Arial" w:cs="Arial"/>
                <w:color w:val="000000"/>
                <w:sz w:val="18"/>
                <w:szCs w:val="18"/>
                <w:lang w:val="en-GB" w:eastAsia="en-CA"/>
              </w:rPr>
            </w:pPr>
            <w:r w:rsidRPr="003920D7">
              <w:rPr>
                <w:rFonts w:ascii="Arial" w:hAnsi="Arial" w:cs="Arial"/>
                <w:color w:val="000000"/>
                <w:sz w:val="18"/>
                <w:szCs w:val="18"/>
                <w:lang w:val="en-GB" w:eastAsia="en-CA"/>
              </w:rPr>
              <w:t>100%</w:t>
            </w:r>
          </w:p>
        </w:tc>
        <w:tc>
          <w:tcPr>
            <w:tcW w:w="1570" w:type="dxa"/>
            <w:tcBorders>
              <w:top w:val="nil"/>
              <w:left w:val="nil"/>
              <w:bottom w:val="nil"/>
              <w:right w:val="nil"/>
            </w:tcBorders>
            <w:shd w:val="clear" w:color="auto" w:fill="auto"/>
            <w:noWrap/>
            <w:hideMark/>
          </w:tcPr>
          <w:p w14:paraId="62C7ACD6" w14:textId="77777777" w:rsidR="000A146D" w:rsidRPr="003920D7" w:rsidRDefault="000A146D" w:rsidP="006F2077">
            <w:pPr>
              <w:jc w:val="center"/>
              <w:rPr>
                <w:rFonts w:ascii="Arial" w:hAnsi="Arial" w:cs="Arial"/>
                <w:color w:val="000000"/>
                <w:sz w:val="18"/>
                <w:szCs w:val="18"/>
                <w:lang w:val="en-GB" w:eastAsia="en-CA"/>
              </w:rPr>
            </w:pPr>
          </w:p>
        </w:tc>
        <w:tc>
          <w:tcPr>
            <w:tcW w:w="1153" w:type="dxa"/>
            <w:tcBorders>
              <w:top w:val="nil"/>
              <w:left w:val="nil"/>
              <w:bottom w:val="nil"/>
              <w:right w:val="nil"/>
            </w:tcBorders>
            <w:shd w:val="clear" w:color="auto" w:fill="auto"/>
            <w:noWrap/>
            <w:hideMark/>
          </w:tcPr>
          <w:p w14:paraId="213E6E7A" w14:textId="77777777" w:rsidR="000A146D" w:rsidRPr="003920D7" w:rsidRDefault="000A146D" w:rsidP="006F2077">
            <w:pPr>
              <w:rPr>
                <w:rFonts w:ascii="Arial" w:hAnsi="Arial" w:cs="Arial"/>
                <w:sz w:val="18"/>
                <w:szCs w:val="18"/>
                <w:lang w:val="en-GB" w:eastAsia="en-CA"/>
              </w:rPr>
            </w:pPr>
          </w:p>
        </w:tc>
        <w:tc>
          <w:tcPr>
            <w:tcW w:w="1040" w:type="dxa"/>
            <w:tcBorders>
              <w:top w:val="nil"/>
              <w:left w:val="nil"/>
              <w:bottom w:val="nil"/>
              <w:right w:val="nil"/>
            </w:tcBorders>
            <w:shd w:val="clear" w:color="auto" w:fill="auto"/>
            <w:noWrap/>
            <w:hideMark/>
          </w:tcPr>
          <w:p w14:paraId="732104E6" w14:textId="77777777" w:rsidR="000A146D" w:rsidRPr="003920D7" w:rsidRDefault="000A146D" w:rsidP="006F2077">
            <w:pPr>
              <w:rPr>
                <w:rFonts w:ascii="Arial" w:hAnsi="Arial" w:cs="Arial"/>
                <w:sz w:val="18"/>
                <w:szCs w:val="18"/>
                <w:lang w:val="en-GB" w:eastAsia="en-CA"/>
              </w:rPr>
            </w:pPr>
          </w:p>
        </w:tc>
        <w:tc>
          <w:tcPr>
            <w:tcW w:w="664" w:type="dxa"/>
            <w:tcBorders>
              <w:top w:val="nil"/>
              <w:left w:val="nil"/>
              <w:bottom w:val="nil"/>
              <w:right w:val="nil"/>
            </w:tcBorders>
            <w:shd w:val="clear" w:color="auto" w:fill="auto"/>
            <w:noWrap/>
            <w:hideMark/>
          </w:tcPr>
          <w:p w14:paraId="54C5EFCD" w14:textId="77777777" w:rsidR="000A146D" w:rsidRPr="003920D7" w:rsidRDefault="000A146D" w:rsidP="006F2077">
            <w:pPr>
              <w:rPr>
                <w:rFonts w:ascii="Arial" w:hAnsi="Arial" w:cs="Arial"/>
                <w:sz w:val="18"/>
                <w:szCs w:val="18"/>
                <w:lang w:val="en-GB" w:eastAsia="en-CA"/>
              </w:rPr>
            </w:pPr>
          </w:p>
        </w:tc>
      </w:tr>
    </w:tbl>
    <w:p w14:paraId="485D4C5F" w14:textId="77777777" w:rsidR="008F2385" w:rsidRPr="003920D7" w:rsidRDefault="008F2385" w:rsidP="008F2385">
      <w:pPr>
        <w:pStyle w:val="ExhibitText"/>
        <w:rPr>
          <w:sz w:val="18"/>
          <w:szCs w:val="18"/>
          <w:lang w:val="en-GB"/>
        </w:rPr>
      </w:pPr>
    </w:p>
    <w:p w14:paraId="65643049" w14:textId="4F9D5E2C" w:rsidR="00FA0D7B" w:rsidRPr="003920D7" w:rsidRDefault="00FA0D7B" w:rsidP="006F2077">
      <w:pPr>
        <w:pStyle w:val="Footnote"/>
        <w:rPr>
          <w:lang w:val="en-GB"/>
        </w:rPr>
      </w:pPr>
      <w:r w:rsidRPr="003920D7">
        <w:rPr>
          <w:lang w:val="en-GB"/>
        </w:rPr>
        <w:t>Note: ON = Ontario; QC = Quebec; AB = Alberta</w:t>
      </w:r>
    </w:p>
    <w:p w14:paraId="693A7DBD" w14:textId="56982B3A" w:rsidR="006F2077" w:rsidRPr="003920D7" w:rsidRDefault="006F2077" w:rsidP="006F2077">
      <w:pPr>
        <w:pStyle w:val="Footnote"/>
        <w:rPr>
          <w:sz w:val="18"/>
          <w:szCs w:val="18"/>
          <w:lang w:val="en-GB"/>
        </w:rPr>
      </w:pPr>
      <w:r w:rsidRPr="003920D7">
        <w:rPr>
          <w:lang w:val="en-GB"/>
        </w:rPr>
        <w:t xml:space="preserve">Source: </w:t>
      </w:r>
      <w:proofErr w:type="spellStart"/>
      <w:r w:rsidRPr="003920D7">
        <w:rPr>
          <w:lang w:val="en-GB"/>
        </w:rPr>
        <w:t>Stelco</w:t>
      </w:r>
      <w:proofErr w:type="spellEnd"/>
      <w:r w:rsidR="00924C5E" w:rsidRPr="003920D7">
        <w:rPr>
          <w:lang w:val="en-GB"/>
        </w:rPr>
        <w:t xml:space="preserve"> Inc.,</w:t>
      </w:r>
      <w:r w:rsidRPr="003920D7">
        <w:rPr>
          <w:lang w:val="en-GB"/>
        </w:rPr>
        <w:t xml:space="preserve"> </w:t>
      </w:r>
      <w:r w:rsidRPr="003920D7">
        <w:rPr>
          <w:i/>
          <w:lang w:val="en-GB"/>
        </w:rPr>
        <w:t>Annual Report</w:t>
      </w:r>
      <w:r w:rsidR="00924C5E" w:rsidRPr="003920D7">
        <w:rPr>
          <w:i/>
          <w:lang w:val="en-GB"/>
        </w:rPr>
        <w:t xml:space="preserve"> 2002</w:t>
      </w:r>
      <w:r w:rsidR="00924C5E" w:rsidRPr="003920D7">
        <w:rPr>
          <w:lang w:val="en-GB"/>
        </w:rPr>
        <w:t>, 2002</w:t>
      </w:r>
      <w:r w:rsidRPr="003920D7">
        <w:rPr>
          <w:lang w:val="en-GB"/>
        </w:rPr>
        <w:t>.</w:t>
      </w:r>
    </w:p>
    <w:p w14:paraId="7898942B" w14:textId="23928636" w:rsidR="006F2077" w:rsidRPr="003920D7" w:rsidRDefault="006F2077">
      <w:pPr>
        <w:spacing w:after="200" w:line="276" w:lineRule="auto"/>
        <w:rPr>
          <w:rFonts w:ascii="Arial" w:hAnsi="Arial" w:cs="Arial"/>
          <w:sz w:val="18"/>
          <w:szCs w:val="18"/>
          <w:lang w:val="en-GB"/>
        </w:rPr>
      </w:pPr>
      <w:r w:rsidRPr="003920D7">
        <w:rPr>
          <w:sz w:val="18"/>
          <w:szCs w:val="18"/>
          <w:lang w:val="en-GB"/>
        </w:rPr>
        <w:br w:type="page"/>
      </w:r>
    </w:p>
    <w:p w14:paraId="02C922FC" w14:textId="4F46CB93" w:rsidR="006F2077" w:rsidRPr="003920D7" w:rsidRDefault="006B0F8D" w:rsidP="006F2077">
      <w:pPr>
        <w:pStyle w:val="Casehead1"/>
        <w:jc w:val="center"/>
        <w:rPr>
          <w:lang w:val="en-GB"/>
        </w:rPr>
      </w:pPr>
      <w:r>
        <w:rPr>
          <w:lang w:val="en-GB"/>
        </w:rPr>
        <w:lastRenderedPageBreak/>
        <w:t xml:space="preserve"> </w:t>
      </w:r>
      <w:r w:rsidR="006F2077" w:rsidRPr="003920D7">
        <w:rPr>
          <w:lang w:val="en-GB"/>
        </w:rPr>
        <w:t xml:space="preserve">EXHIBIT 3: Stelco </w:t>
      </w:r>
      <w:r w:rsidR="0041796E">
        <w:rPr>
          <w:lang w:val="en-GB"/>
        </w:rPr>
        <w:t xml:space="preserve">inc.’s </w:t>
      </w:r>
      <w:r w:rsidR="006F2077" w:rsidRPr="003920D7">
        <w:rPr>
          <w:lang w:val="en-GB"/>
        </w:rPr>
        <w:t>Financial STATEMENTS, 1999–2002</w:t>
      </w:r>
    </w:p>
    <w:p w14:paraId="794FCC99" w14:textId="77777777" w:rsidR="006F2077" w:rsidRPr="003920D7" w:rsidRDefault="006F2077" w:rsidP="006F2077">
      <w:pPr>
        <w:jc w:val="center"/>
        <w:rPr>
          <w:lang w:val="en-GB"/>
        </w:rPr>
      </w:pPr>
    </w:p>
    <w:tbl>
      <w:tblPr>
        <w:tblW w:w="4677" w:type="pct"/>
        <w:jc w:val="center"/>
        <w:tblLayout w:type="fixed"/>
        <w:tblCellMar>
          <w:left w:w="115" w:type="dxa"/>
          <w:right w:w="115" w:type="dxa"/>
        </w:tblCellMar>
        <w:tblLook w:val="04A0" w:firstRow="1" w:lastRow="0" w:firstColumn="1" w:lastColumn="0" w:noHBand="0" w:noVBand="1"/>
      </w:tblPr>
      <w:tblGrid>
        <w:gridCol w:w="4910"/>
        <w:gridCol w:w="945"/>
        <w:gridCol w:w="1008"/>
        <w:gridCol w:w="946"/>
        <w:gridCol w:w="946"/>
      </w:tblGrid>
      <w:tr w:rsidR="006F2077" w:rsidRPr="003920D7" w14:paraId="53AB4F00" w14:textId="77777777" w:rsidTr="00FF1DE0">
        <w:trPr>
          <w:trHeight w:hRule="exact" w:val="300"/>
          <w:jc w:val="center"/>
        </w:trPr>
        <w:tc>
          <w:tcPr>
            <w:tcW w:w="4911" w:type="dxa"/>
            <w:tcBorders>
              <w:top w:val="nil"/>
              <w:left w:val="nil"/>
              <w:bottom w:val="single" w:sz="8" w:space="0" w:color="231F20"/>
              <w:right w:val="nil"/>
            </w:tcBorders>
            <w:shd w:val="clear" w:color="auto" w:fill="auto"/>
            <w:noWrap/>
            <w:hideMark/>
          </w:tcPr>
          <w:p w14:paraId="05690C7D" w14:textId="7644B834" w:rsidR="006F2077" w:rsidRPr="003920D7" w:rsidRDefault="006F2077" w:rsidP="006F2077">
            <w:pPr>
              <w:rPr>
                <w:rFonts w:ascii="Arial" w:hAnsi="Arial" w:cs="Arial"/>
                <w:b/>
                <w:bCs/>
                <w:color w:val="231F20"/>
                <w:lang w:val="en-GB"/>
              </w:rPr>
            </w:pPr>
            <w:r w:rsidRPr="003920D7">
              <w:rPr>
                <w:rFonts w:ascii="Arial" w:hAnsi="Arial" w:cs="Arial"/>
                <w:b/>
                <w:bCs/>
                <w:color w:val="231F20"/>
                <w:lang w:val="en-GB"/>
              </w:rPr>
              <w:t>(</w:t>
            </w:r>
            <w:r w:rsidR="00916954">
              <w:rPr>
                <w:rFonts w:ascii="Arial" w:hAnsi="Arial" w:cs="Arial"/>
                <w:b/>
                <w:bCs/>
                <w:color w:val="231F20"/>
                <w:lang w:val="en-GB"/>
              </w:rPr>
              <w:t>CA</w:t>
            </w:r>
            <w:r w:rsidRPr="003920D7">
              <w:rPr>
                <w:rFonts w:ascii="Arial" w:hAnsi="Arial" w:cs="Arial"/>
                <w:b/>
                <w:bCs/>
                <w:color w:val="231F20"/>
                <w:lang w:val="en-GB"/>
              </w:rPr>
              <w:t xml:space="preserve">$ in millions unless </w:t>
            </w:r>
            <w:r w:rsidR="00FA0D7B" w:rsidRPr="003920D7">
              <w:rPr>
                <w:rFonts w:ascii="Arial" w:hAnsi="Arial" w:cs="Arial"/>
                <w:b/>
                <w:bCs/>
                <w:color w:val="231F20"/>
                <w:lang w:val="en-GB"/>
              </w:rPr>
              <w:t xml:space="preserve">otherwise </w:t>
            </w:r>
            <w:r w:rsidRPr="003920D7">
              <w:rPr>
                <w:rFonts w:ascii="Arial" w:hAnsi="Arial" w:cs="Arial"/>
                <w:b/>
                <w:bCs/>
                <w:color w:val="231F20"/>
                <w:lang w:val="en-GB"/>
              </w:rPr>
              <w:t>specified)</w:t>
            </w:r>
          </w:p>
        </w:tc>
        <w:tc>
          <w:tcPr>
            <w:tcW w:w="945" w:type="dxa"/>
            <w:tcBorders>
              <w:top w:val="nil"/>
              <w:left w:val="nil"/>
              <w:bottom w:val="single" w:sz="8" w:space="0" w:color="231F20"/>
              <w:right w:val="nil"/>
            </w:tcBorders>
            <w:shd w:val="clear" w:color="auto" w:fill="auto"/>
            <w:noWrap/>
            <w:hideMark/>
          </w:tcPr>
          <w:p w14:paraId="2A10C80A"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2002</w:t>
            </w:r>
          </w:p>
        </w:tc>
        <w:tc>
          <w:tcPr>
            <w:tcW w:w="1008" w:type="dxa"/>
            <w:tcBorders>
              <w:top w:val="nil"/>
              <w:left w:val="nil"/>
              <w:bottom w:val="single" w:sz="8" w:space="0" w:color="231F20"/>
              <w:right w:val="nil"/>
            </w:tcBorders>
            <w:shd w:val="clear" w:color="auto" w:fill="auto"/>
            <w:noWrap/>
            <w:hideMark/>
          </w:tcPr>
          <w:p w14:paraId="60D6FD0D"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2001</w:t>
            </w:r>
          </w:p>
        </w:tc>
        <w:tc>
          <w:tcPr>
            <w:tcW w:w="946" w:type="dxa"/>
            <w:tcBorders>
              <w:top w:val="nil"/>
              <w:left w:val="nil"/>
              <w:bottom w:val="single" w:sz="8" w:space="0" w:color="231F20"/>
              <w:right w:val="nil"/>
            </w:tcBorders>
            <w:shd w:val="clear" w:color="auto" w:fill="auto"/>
            <w:noWrap/>
            <w:hideMark/>
          </w:tcPr>
          <w:p w14:paraId="32B6B843"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2000</w:t>
            </w:r>
          </w:p>
        </w:tc>
        <w:tc>
          <w:tcPr>
            <w:tcW w:w="946" w:type="dxa"/>
            <w:tcBorders>
              <w:top w:val="nil"/>
              <w:left w:val="nil"/>
              <w:bottom w:val="single" w:sz="8" w:space="0" w:color="231F20"/>
              <w:right w:val="nil"/>
            </w:tcBorders>
            <w:shd w:val="clear" w:color="auto" w:fill="auto"/>
            <w:noWrap/>
            <w:hideMark/>
          </w:tcPr>
          <w:p w14:paraId="26C7A255"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1999</w:t>
            </w:r>
          </w:p>
        </w:tc>
      </w:tr>
      <w:tr w:rsidR="006F2077" w:rsidRPr="003920D7" w14:paraId="0B2E246B" w14:textId="77777777" w:rsidTr="00FF1DE0">
        <w:trPr>
          <w:trHeight w:hRule="exact" w:val="288"/>
          <w:jc w:val="center"/>
        </w:trPr>
        <w:tc>
          <w:tcPr>
            <w:tcW w:w="4911" w:type="dxa"/>
            <w:tcBorders>
              <w:top w:val="nil"/>
              <w:left w:val="nil"/>
              <w:bottom w:val="nil"/>
              <w:right w:val="nil"/>
            </w:tcBorders>
            <w:shd w:val="clear" w:color="auto" w:fill="auto"/>
            <w:noWrap/>
            <w:hideMark/>
          </w:tcPr>
          <w:p w14:paraId="6E028EB6" w14:textId="77777777" w:rsidR="006F2077" w:rsidRPr="003920D7" w:rsidRDefault="006F2077" w:rsidP="006F2077">
            <w:pPr>
              <w:rPr>
                <w:rFonts w:ascii="Arial" w:hAnsi="Arial" w:cs="Arial"/>
                <w:b/>
                <w:bCs/>
                <w:color w:val="231F20"/>
                <w:szCs w:val="22"/>
                <w:lang w:val="en-GB"/>
              </w:rPr>
            </w:pPr>
            <w:r w:rsidRPr="003920D7">
              <w:rPr>
                <w:rFonts w:ascii="Arial" w:hAnsi="Arial" w:cs="Arial"/>
                <w:b/>
                <w:bCs/>
                <w:color w:val="231F20"/>
                <w:szCs w:val="22"/>
                <w:lang w:val="en-GB"/>
              </w:rPr>
              <w:t>Consolidated Income Statement</w:t>
            </w:r>
          </w:p>
          <w:p w14:paraId="7329C28B" w14:textId="77777777" w:rsidR="006F2077" w:rsidRPr="003920D7" w:rsidRDefault="006F2077" w:rsidP="006F2077">
            <w:pPr>
              <w:rPr>
                <w:rFonts w:ascii="Arial" w:hAnsi="Arial" w:cs="Arial"/>
                <w:b/>
                <w:bCs/>
                <w:color w:val="231F20"/>
                <w:lang w:val="en-GB"/>
              </w:rPr>
            </w:pPr>
          </w:p>
        </w:tc>
        <w:tc>
          <w:tcPr>
            <w:tcW w:w="945" w:type="dxa"/>
            <w:tcBorders>
              <w:top w:val="nil"/>
              <w:left w:val="nil"/>
              <w:bottom w:val="nil"/>
              <w:right w:val="nil"/>
            </w:tcBorders>
            <w:shd w:val="clear" w:color="auto" w:fill="auto"/>
            <w:noWrap/>
            <w:hideMark/>
          </w:tcPr>
          <w:p w14:paraId="24193407" w14:textId="77777777" w:rsidR="006F2077" w:rsidRPr="003920D7" w:rsidRDefault="006F2077" w:rsidP="006F2077">
            <w:pPr>
              <w:jc w:val="right"/>
              <w:rPr>
                <w:rFonts w:ascii="Arial" w:hAnsi="Arial" w:cs="Arial"/>
                <w:b/>
                <w:bCs/>
                <w:color w:val="231F20"/>
                <w:lang w:val="en-GB"/>
              </w:rPr>
            </w:pPr>
          </w:p>
        </w:tc>
        <w:tc>
          <w:tcPr>
            <w:tcW w:w="1008" w:type="dxa"/>
            <w:tcBorders>
              <w:top w:val="nil"/>
              <w:left w:val="nil"/>
              <w:bottom w:val="nil"/>
              <w:right w:val="nil"/>
            </w:tcBorders>
            <w:shd w:val="clear" w:color="auto" w:fill="auto"/>
            <w:noWrap/>
            <w:hideMark/>
          </w:tcPr>
          <w:p w14:paraId="75EDA8D0" w14:textId="77777777" w:rsidR="006F2077" w:rsidRPr="003920D7" w:rsidRDefault="006F2077" w:rsidP="006F2077">
            <w:pPr>
              <w:jc w:val="right"/>
              <w:rPr>
                <w:rFonts w:ascii="Arial" w:hAnsi="Arial" w:cs="Arial"/>
                <w:lang w:val="en-GB"/>
              </w:rPr>
            </w:pPr>
          </w:p>
        </w:tc>
        <w:tc>
          <w:tcPr>
            <w:tcW w:w="946" w:type="dxa"/>
            <w:tcBorders>
              <w:top w:val="nil"/>
              <w:left w:val="nil"/>
              <w:bottom w:val="nil"/>
              <w:right w:val="nil"/>
            </w:tcBorders>
            <w:shd w:val="clear" w:color="auto" w:fill="auto"/>
            <w:noWrap/>
            <w:hideMark/>
          </w:tcPr>
          <w:p w14:paraId="39721D36" w14:textId="77777777" w:rsidR="006F2077" w:rsidRPr="003920D7" w:rsidRDefault="006F2077" w:rsidP="006F2077">
            <w:pPr>
              <w:jc w:val="right"/>
              <w:rPr>
                <w:rFonts w:ascii="Arial" w:hAnsi="Arial" w:cs="Arial"/>
                <w:lang w:val="en-GB"/>
              </w:rPr>
            </w:pPr>
          </w:p>
        </w:tc>
        <w:tc>
          <w:tcPr>
            <w:tcW w:w="946" w:type="dxa"/>
            <w:tcBorders>
              <w:top w:val="nil"/>
              <w:left w:val="nil"/>
              <w:bottom w:val="nil"/>
              <w:right w:val="nil"/>
            </w:tcBorders>
            <w:shd w:val="clear" w:color="auto" w:fill="auto"/>
            <w:noWrap/>
            <w:hideMark/>
          </w:tcPr>
          <w:p w14:paraId="69D77EF3" w14:textId="77777777" w:rsidR="006F2077" w:rsidRPr="003920D7" w:rsidRDefault="006F2077" w:rsidP="006F2077">
            <w:pPr>
              <w:jc w:val="right"/>
              <w:rPr>
                <w:rFonts w:ascii="Arial" w:hAnsi="Arial" w:cs="Arial"/>
                <w:lang w:val="en-GB"/>
              </w:rPr>
            </w:pPr>
          </w:p>
        </w:tc>
      </w:tr>
      <w:tr w:rsidR="006F2077" w:rsidRPr="003920D7" w14:paraId="04DA4549" w14:textId="77777777" w:rsidTr="00FF1DE0">
        <w:trPr>
          <w:trHeight w:val="288"/>
          <w:jc w:val="center"/>
        </w:trPr>
        <w:tc>
          <w:tcPr>
            <w:tcW w:w="4911" w:type="dxa"/>
            <w:tcBorders>
              <w:top w:val="nil"/>
              <w:left w:val="nil"/>
              <w:right w:val="nil"/>
            </w:tcBorders>
            <w:shd w:val="clear" w:color="auto" w:fill="auto"/>
            <w:noWrap/>
            <w:hideMark/>
          </w:tcPr>
          <w:p w14:paraId="0437E52E"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Net sales</w:t>
            </w:r>
          </w:p>
        </w:tc>
        <w:tc>
          <w:tcPr>
            <w:tcW w:w="945" w:type="dxa"/>
            <w:tcBorders>
              <w:top w:val="nil"/>
              <w:left w:val="nil"/>
              <w:right w:val="nil"/>
            </w:tcBorders>
            <w:shd w:val="clear" w:color="auto" w:fill="auto"/>
            <w:noWrap/>
            <w:hideMark/>
          </w:tcPr>
          <w:p w14:paraId="6F5FD40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2,755 </w:t>
            </w:r>
          </w:p>
        </w:tc>
        <w:tc>
          <w:tcPr>
            <w:tcW w:w="1008" w:type="dxa"/>
            <w:tcBorders>
              <w:top w:val="nil"/>
              <w:left w:val="nil"/>
              <w:right w:val="nil"/>
            </w:tcBorders>
            <w:shd w:val="clear" w:color="auto" w:fill="auto"/>
            <w:noWrap/>
            <w:hideMark/>
          </w:tcPr>
          <w:p w14:paraId="4A56D55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2,561 </w:t>
            </w:r>
          </w:p>
        </w:tc>
        <w:tc>
          <w:tcPr>
            <w:tcW w:w="946" w:type="dxa"/>
            <w:tcBorders>
              <w:top w:val="nil"/>
              <w:left w:val="nil"/>
              <w:right w:val="nil"/>
            </w:tcBorders>
            <w:shd w:val="clear" w:color="auto" w:fill="auto"/>
            <w:noWrap/>
            <w:hideMark/>
          </w:tcPr>
          <w:p w14:paraId="0043EDC9" w14:textId="661C0BB2" w:rsidR="006F2077" w:rsidRPr="003920D7" w:rsidRDefault="00617901" w:rsidP="006F2077">
            <w:pPr>
              <w:jc w:val="right"/>
              <w:rPr>
                <w:rFonts w:ascii="Arial" w:hAnsi="Arial" w:cs="Arial"/>
                <w:color w:val="231F20"/>
                <w:lang w:val="en-GB"/>
              </w:rPr>
            </w:pPr>
            <w:r>
              <w:rPr>
                <w:rFonts w:ascii="Arial" w:hAnsi="Arial" w:cs="Arial"/>
                <w:color w:val="231F20"/>
                <w:w w:val="110"/>
                <w:lang w:val="en-GB"/>
              </w:rPr>
              <w:t xml:space="preserve"> </w:t>
            </w:r>
            <w:r w:rsidR="006F2077" w:rsidRPr="003920D7">
              <w:rPr>
                <w:rFonts w:ascii="Arial" w:hAnsi="Arial" w:cs="Arial"/>
                <w:color w:val="231F20"/>
                <w:w w:val="110"/>
                <w:lang w:val="en-GB"/>
              </w:rPr>
              <w:t xml:space="preserve">2,837 </w:t>
            </w:r>
          </w:p>
        </w:tc>
        <w:tc>
          <w:tcPr>
            <w:tcW w:w="946" w:type="dxa"/>
            <w:tcBorders>
              <w:top w:val="nil"/>
              <w:left w:val="nil"/>
              <w:right w:val="nil"/>
            </w:tcBorders>
            <w:shd w:val="clear" w:color="auto" w:fill="auto"/>
            <w:noWrap/>
            <w:hideMark/>
          </w:tcPr>
          <w:p w14:paraId="4905F6C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3,101 </w:t>
            </w:r>
          </w:p>
        </w:tc>
      </w:tr>
      <w:tr w:rsidR="006F2077" w:rsidRPr="003920D7" w14:paraId="5489DD40" w14:textId="77777777" w:rsidTr="00FF1DE0">
        <w:trPr>
          <w:trHeight w:hRule="exact" w:val="300"/>
          <w:jc w:val="center"/>
        </w:trPr>
        <w:tc>
          <w:tcPr>
            <w:tcW w:w="4911" w:type="dxa"/>
            <w:tcBorders>
              <w:top w:val="nil"/>
              <w:left w:val="nil"/>
              <w:right w:val="nil"/>
            </w:tcBorders>
            <w:shd w:val="clear" w:color="auto" w:fill="auto"/>
            <w:noWrap/>
            <w:hideMark/>
          </w:tcPr>
          <w:p w14:paraId="44A0BA77"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Costs</w:t>
            </w:r>
          </w:p>
        </w:tc>
        <w:tc>
          <w:tcPr>
            <w:tcW w:w="945" w:type="dxa"/>
            <w:tcBorders>
              <w:top w:val="nil"/>
              <w:left w:val="nil"/>
              <w:right w:val="nil"/>
            </w:tcBorders>
            <w:shd w:val="clear" w:color="auto" w:fill="auto"/>
            <w:noWrap/>
            <w:hideMark/>
          </w:tcPr>
          <w:p w14:paraId="651E42D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2,576 </w:t>
            </w:r>
          </w:p>
        </w:tc>
        <w:tc>
          <w:tcPr>
            <w:tcW w:w="1008" w:type="dxa"/>
            <w:tcBorders>
              <w:top w:val="nil"/>
              <w:left w:val="nil"/>
              <w:right w:val="nil"/>
            </w:tcBorders>
            <w:shd w:val="clear" w:color="auto" w:fill="auto"/>
            <w:noWrap/>
            <w:hideMark/>
          </w:tcPr>
          <w:p w14:paraId="54F81E1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2,593 </w:t>
            </w:r>
          </w:p>
        </w:tc>
        <w:tc>
          <w:tcPr>
            <w:tcW w:w="946" w:type="dxa"/>
            <w:tcBorders>
              <w:top w:val="nil"/>
              <w:left w:val="nil"/>
              <w:right w:val="nil"/>
            </w:tcBorders>
            <w:shd w:val="clear" w:color="auto" w:fill="auto"/>
            <w:noWrap/>
            <w:hideMark/>
          </w:tcPr>
          <w:p w14:paraId="4DA7DB6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2,638 </w:t>
            </w:r>
          </w:p>
        </w:tc>
        <w:tc>
          <w:tcPr>
            <w:tcW w:w="946" w:type="dxa"/>
            <w:tcBorders>
              <w:top w:val="nil"/>
              <w:left w:val="nil"/>
              <w:right w:val="nil"/>
            </w:tcBorders>
            <w:shd w:val="clear" w:color="auto" w:fill="auto"/>
            <w:noWrap/>
            <w:hideMark/>
          </w:tcPr>
          <w:p w14:paraId="3B9815D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2,765 </w:t>
            </w:r>
          </w:p>
        </w:tc>
      </w:tr>
      <w:tr w:rsidR="006F2077" w:rsidRPr="003920D7" w14:paraId="3B53493D" w14:textId="77777777" w:rsidTr="00FF1DE0">
        <w:trPr>
          <w:trHeight w:val="288"/>
          <w:jc w:val="center"/>
        </w:trPr>
        <w:tc>
          <w:tcPr>
            <w:tcW w:w="4911" w:type="dxa"/>
            <w:tcBorders>
              <w:left w:val="nil"/>
              <w:right w:val="nil"/>
            </w:tcBorders>
            <w:shd w:val="clear" w:color="auto" w:fill="auto"/>
            <w:noWrap/>
            <w:hideMark/>
          </w:tcPr>
          <w:p w14:paraId="47F9B06C" w14:textId="5B0107FE" w:rsidR="006F2077" w:rsidRPr="003920D7" w:rsidRDefault="006F2077" w:rsidP="006F2077">
            <w:pPr>
              <w:rPr>
                <w:rFonts w:ascii="Arial" w:hAnsi="Arial" w:cs="Arial"/>
                <w:color w:val="231F20"/>
                <w:lang w:val="en-GB"/>
              </w:rPr>
            </w:pPr>
            <w:r w:rsidRPr="003920D7">
              <w:rPr>
                <w:rFonts w:ascii="Arial" w:hAnsi="Arial" w:cs="Arial"/>
                <w:color w:val="231F20"/>
                <w:lang w:val="en-GB"/>
              </w:rPr>
              <w:t>Depreciation of property, plant</w:t>
            </w:r>
            <w:r w:rsidR="00022D4F" w:rsidRPr="003920D7">
              <w:rPr>
                <w:rFonts w:ascii="Arial" w:hAnsi="Arial" w:cs="Arial"/>
                <w:color w:val="231F20"/>
                <w:lang w:val="en-GB"/>
              </w:rPr>
              <w:t>,</w:t>
            </w:r>
            <w:r w:rsidRPr="003920D7">
              <w:rPr>
                <w:rFonts w:ascii="Arial" w:hAnsi="Arial" w:cs="Arial"/>
                <w:color w:val="231F20"/>
                <w:lang w:val="en-GB"/>
              </w:rPr>
              <w:t xml:space="preserve"> and equipment</w:t>
            </w:r>
          </w:p>
        </w:tc>
        <w:tc>
          <w:tcPr>
            <w:tcW w:w="945" w:type="dxa"/>
            <w:tcBorders>
              <w:left w:val="nil"/>
              <w:right w:val="nil"/>
            </w:tcBorders>
            <w:shd w:val="clear" w:color="auto" w:fill="auto"/>
            <w:noWrap/>
            <w:hideMark/>
          </w:tcPr>
          <w:p w14:paraId="50F206B6" w14:textId="4AC3F4E5" w:rsidR="006F2077" w:rsidRPr="003920D7" w:rsidRDefault="006B0F8D"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138 </w:t>
            </w:r>
          </w:p>
        </w:tc>
        <w:tc>
          <w:tcPr>
            <w:tcW w:w="1008" w:type="dxa"/>
            <w:tcBorders>
              <w:left w:val="nil"/>
              <w:right w:val="nil"/>
            </w:tcBorders>
            <w:shd w:val="clear" w:color="auto" w:fill="auto"/>
            <w:noWrap/>
            <w:hideMark/>
          </w:tcPr>
          <w:p w14:paraId="6FF84809" w14:textId="443D6C87" w:rsidR="006F2077" w:rsidRPr="003920D7" w:rsidRDefault="0041796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B0F8D">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132 </w:t>
            </w:r>
          </w:p>
        </w:tc>
        <w:tc>
          <w:tcPr>
            <w:tcW w:w="946" w:type="dxa"/>
            <w:tcBorders>
              <w:left w:val="nil"/>
              <w:right w:val="nil"/>
            </w:tcBorders>
            <w:shd w:val="clear" w:color="auto" w:fill="auto"/>
            <w:noWrap/>
            <w:hideMark/>
          </w:tcPr>
          <w:p w14:paraId="22F06BE5" w14:textId="064924A3" w:rsidR="006F2077" w:rsidRPr="003920D7" w:rsidRDefault="0041796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B0F8D">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149 </w:t>
            </w:r>
          </w:p>
        </w:tc>
        <w:tc>
          <w:tcPr>
            <w:tcW w:w="946" w:type="dxa"/>
            <w:tcBorders>
              <w:left w:val="nil"/>
              <w:right w:val="nil"/>
            </w:tcBorders>
            <w:shd w:val="clear" w:color="auto" w:fill="auto"/>
            <w:noWrap/>
            <w:hideMark/>
          </w:tcPr>
          <w:p w14:paraId="7C67F5F2" w14:textId="17D3E0D8" w:rsidR="006F2077" w:rsidRPr="003920D7" w:rsidRDefault="006B0F8D"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142 </w:t>
            </w:r>
          </w:p>
        </w:tc>
      </w:tr>
      <w:tr w:rsidR="006F2077" w:rsidRPr="003920D7" w14:paraId="71F4F67B" w14:textId="77777777" w:rsidTr="00FF1DE0">
        <w:trPr>
          <w:trHeight w:hRule="exact" w:val="300"/>
          <w:jc w:val="center"/>
        </w:trPr>
        <w:tc>
          <w:tcPr>
            <w:tcW w:w="4911" w:type="dxa"/>
            <w:tcBorders>
              <w:left w:val="nil"/>
              <w:right w:val="nil"/>
            </w:tcBorders>
            <w:shd w:val="clear" w:color="auto" w:fill="auto"/>
            <w:noWrap/>
            <w:hideMark/>
          </w:tcPr>
          <w:p w14:paraId="052D7A9C"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Operating earnings (loss)</w:t>
            </w:r>
          </w:p>
        </w:tc>
        <w:tc>
          <w:tcPr>
            <w:tcW w:w="945" w:type="dxa"/>
            <w:tcBorders>
              <w:left w:val="nil"/>
              <w:right w:val="nil"/>
            </w:tcBorders>
            <w:shd w:val="clear" w:color="auto" w:fill="auto"/>
            <w:noWrap/>
            <w:hideMark/>
          </w:tcPr>
          <w:p w14:paraId="3CC57728"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41 </w:t>
            </w:r>
          </w:p>
        </w:tc>
        <w:tc>
          <w:tcPr>
            <w:tcW w:w="1008" w:type="dxa"/>
            <w:tcBorders>
              <w:left w:val="nil"/>
              <w:right w:val="nil"/>
            </w:tcBorders>
            <w:shd w:val="clear" w:color="auto" w:fill="auto"/>
            <w:noWrap/>
            <w:hideMark/>
          </w:tcPr>
          <w:p w14:paraId="7E79141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05"/>
                <w:lang w:val="en-GB"/>
              </w:rPr>
              <w:t>(164)</w:t>
            </w:r>
          </w:p>
        </w:tc>
        <w:tc>
          <w:tcPr>
            <w:tcW w:w="946" w:type="dxa"/>
            <w:tcBorders>
              <w:left w:val="nil"/>
              <w:right w:val="nil"/>
            </w:tcBorders>
            <w:shd w:val="clear" w:color="auto" w:fill="auto"/>
            <w:noWrap/>
            <w:hideMark/>
          </w:tcPr>
          <w:p w14:paraId="0605B3E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50 </w:t>
            </w:r>
          </w:p>
        </w:tc>
        <w:tc>
          <w:tcPr>
            <w:tcW w:w="946" w:type="dxa"/>
            <w:tcBorders>
              <w:left w:val="nil"/>
              <w:right w:val="nil"/>
            </w:tcBorders>
            <w:shd w:val="clear" w:color="auto" w:fill="auto"/>
            <w:noWrap/>
            <w:hideMark/>
          </w:tcPr>
          <w:p w14:paraId="23D3085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194 </w:t>
            </w:r>
          </w:p>
        </w:tc>
      </w:tr>
      <w:tr w:rsidR="006F2077" w:rsidRPr="003920D7" w14:paraId="434BE60E" w14:textId="77777777" w:rsidTr="00FF1DE0">
        <w:trPr>
          <w:trHeight w:val="288"/>
          <w:jc w:val="center"/>
        </w:trPr>
        <w:tc>
          <w:tcPr>
            <w:tcW w:w="4911" w:type="dxa"/>
            <w:tcBorders>
              <w:left w:val="nil"/>
              <w:bottom w:val="nil"/>
              <w:right w:val="nil"/>
            </w:tcBorders>
            <w:shd w:val="clear" w:color="auto" w:fill="auto"/>
            <w:noWrap/>
            <w:hideMark/>
          </w:tcPr>
          <w:p w14:paraId="5DA0C1F2"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Interest on long-term debt</w:t>
            </w:r>
          </w:p>
        </w:tc>
        <w:tc>
          <w:tcPr>
            <w:tcW w:w="945" w:type="dxa"/>
            <w:tcBorders>
              <w:left w:val="nil"/>
              <w:bottom w:val="nil"/>
              <w:right w:val="nil"/>
            </w:tcBorders>
            <w:shd w:val="clear" w:color="auto" w:fill="auto"/>
            <w:noWrap/>
            <w:hideMark/>
          </w:tcPr>
          <w:p w14:paraId="7B3D451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43 </w:t>
            </w:r>
          </w:p>
        </w:tc>
        <w:tc>
          <w:tcPr>
            <w:tcW w:w="1008" w:type="dxa"/>
            <w:tcBorders>
              <w:left w:val="nil"/>
              <w:bottom w:val="nil"/>
              <w:right w:val="nil"/>
            </w:tcBorders>
            <w:shd w:val="clear" w:color="auto" w:fill="auto"/>
            <w:noWrap/>
            <w:hideMark/>
          </w:tcPr>
          <w:p w14:paraId="78907DE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49 </w:t>
            </w:r>
          </w:p>
        </w:tc>
        <w:tc>
          <w:tcPr>
            <w:tcW w:w="946" w:type="dxa"/>
            <w:tcBorders>
              <w:left w:val="nil"/>
              <w:bottom w:val="nil"/>
              <w:right w:val="nil"/>
            </w:tcBorders>
            <w:shd w:val="clear" w:color="auto" w:fill="auto"/>
            <w:noWrap/>
            <w:hideMark/>
          </w:tcPr>
          <w:p w14:paraId="5A3C405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55 </w:t>
            </w:r>
          </w:p>
        </w:tc>
        <w:tc>
          <w:tcPr>
            <w:tcW w:w="946" w:type="dxa"/>
            <w:tcBorders>
              <w:left w:val="nil"/>
              <w:bottom w:val="nil"/>
              <w:right w:val="nil"/>
            </w:tcBorders>
            <w:shd w:val="clear" w:color="auto" w:fill="auto"/>
            <w:noWrap/>
            <w:hideMark/>
          </w:tcPr>
          <w:p w14:paraId="547C656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57 </w:t>
            </w:r>
          </w:p>
        </w:tc>
      </w:tr>
      <w:tr w:rsidR="006F2077" w:rsidRPr="003920D7" w14:paraId="4DDB3EC4" w14:textId="77777777" w:rsidTr="00FF1DE0">
        <w:trPr>
          <w:trHeight w:hRule="exact" w:val="300"/>
          <w:jc w:val="center"/>
        </w:trPr>
        <w:tc>
          <w:tcPr>
            <w:tcW w:w="4911" w:type="dxa"/>
            <w:tcBorders>
              <w:top w:val="nil"/>
              <w:left w:val="nil"/>
              <w:right w:val="nil"/>
            </w:tcBorders>
            <w:shd w:val="clear" w:color="auto" w:fill="auto"/>
            <w:noWrap/>
            <w:hideMark/>
          </w:tcPr>
          <w:p w14:paraId="51C590A9" w14:textId="43812AB1" w:rsidR="006F2077" w:rsidRPr="003920D7" w:rsidRDefault="006F2077" w:rsidP="00676744">
            <w:pPr>
              <w:rPr>
                <w:rFonts w:ascii="Arial" w:hAnsi="Arial" w:cs="Arial"/>
                <w:color w:val="231F20"/>
                <w:lang w:val="en-GB"/>
              </w:rPr>
            </w:pPr>
            <w:r w:rsidRPr="003920D7">
              <w:rPr>
                <w:rFonts w:ascii="Arial" w:hAnsi="Arial" w:cs="Arial"/>
                <w:color w:val="231F20"/>
                <w:lang w:val="en-GB"/>
              </w:rPr>
              <w:t>Other interest (income) expense</w:t>
            </w:r>
            <w:r w:rsidR="00022D4F" w:rsidRPr="003920D7">
              <w:rPr>
                <w:rFonts w:ascii="Arial" w:hAnsi="Arial" w:cs="Arial"/>
                <w:color w:val="231F20"/>
                <w:lang w:val="en-GB"/>
              </w:rPr>
              <w:t>—</w:t>
            </w:r>
            <w:r w:rsidRPr="003920D7">
              <w:rPr>
                <w:rFonts w:ascii="Arial" w:hAnsi="Arial" w:cs="Arial"/>
                <w:color w:val="231F20"/>
                <w:lang w:val="en-GB"/>
              </w:rPr>
              <w:t>net</w:t>
            </w:r>
          </w:p>
        </w:tc>
        <w:tc>
          <w:tcPr>
            <w:tcW w:w="945" w:type="dxa"/>
            <w:tcBorders>
              <w:top w:val="nil"/>
              <w:left w:val="nil"/>
              <w:right w:val="nil"/>
            </w:tcBorders>
            <w:shd w:val="clear" w:color="auto" w:fill="auto"/>
            <w:noWrap/>
            <w:hideMark/>
          </w:tcPr>
          <w:p w14:paraId="234B7A9D"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1"/>
                <w:u w:val="single"/>
                <w:lang w:val="en-GB"/>
              </w:rPr>
              <w:t xml:space="preserve">5 </w:t>
            </w:r>
          </w:p>
        </w:tc>
        <w:tc>
          <w:tcPr>
            <w:tcW w:w="1008" w:type="dxa"/>
            <w:tcBorders>
              <w:top w:val="nil"/>
              <w:left w:val="nil"/>
              <w:right w:val="nil"/>
            </w:tcBorders>
            <w:shd w:val="clear" w:color="auto" w:fill="auto"/>
            <w:noWrap/>
            <w:hideMark/>
          </w:tcPr>
          <w:p w14:paraId="21AB9CFF"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1"/>
                <w:u w:val="single"/>
                <w:lang w:val="en-GB"/>
              </w:rPr>
              <w:t xml:space="preserve">4 </w:t>
            </w:r>
          </w:p>
        </w:tc>
        <w:tc>
          <w:tcPr>
            <w:tcW w:w="946" w:type="dxa"/>
            <w:tcBorders>
              <w:top w:val="nil"/>
              <w:left w:val="nil"/>
              <w:right w:val="nil"/>
            </w:tcBorders>
            <w:shd w:val="clear" w:color="auto" w:fill="auto"/>
            <w:noWrap/>
            <w:hideMark/>
          </w:tcPr>
          <w:p w14:paraId="4FB2B2CF"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95"/>
                <w:u w:val="single"/>
                <w:lang w:val="en-GB"/>
              </w:rPr>
              <w:t>(7)</w:t>
            </w:r>
          </w:p>
        </w:tc>
        <w:tc>
          <w:tcPr>
            <w:tcW w:w="946" w:type="dxa"/>
            <w:tcBorders>
              <w:top w:val="nil"/>
              <w:left w:val="nil"/>
              <w:right w:val="nil"/>
            </w:tcBorders>
            <w:shd w:val="clear" w:color="auto" w:fill="auto"/>
            <w:noWrap/>
            <w:hideMark/>
          </w:tcPr>
          <w:p w14:paraId="158296AE"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u w:val="single"/>
                <w:lang w:val="en-GB"/>
              </w:rPr>
              <w:t>(13)</w:t>
            </w:r>
          </w:p>
        </w:tc>
      </w:tr>
      <w:tr w:rsidR="006F2077" w:rsidRPr="003920D7" w14:paraId="6AD47A53" w14:textId="77777777" w:rsidTr="00FF1DE0">
        <w:trPr>
          <w:trHeight w:hRule="exact" w:val="444"/>
          <w:jc w:val="center"/>
        </w:trPr>
        <w:tc>
          <w:tcPr>
            <w:tcW w:w="4911" w:type="dxa"/>
            <w:tcBorders>
              <w:top w:val="nil"/>
              <w:left w:val="nil"/>
              <w:right w:val="nil"/>
            </w:tcBorders>
            <w:shd w:val="clear" w:color="auto" w:fill="auto"/>
            <w:noWrap/>
            <w:hideMark/>
          </w:tcPr>
          <w:p w14:paraId="6F03CFD3"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Earnings (loss) from continuing operations before income taxes</w:t>
            </w:r>
          </w:p>
        </w:tc>
        <w:tc>
          <w:tcPr>
            <w:tcW w:w="945" w:type="dxa"/>
            <w:tcBorders>
              <w:top w:val="nil"/>
              <w:left w:val="nil"/>
              <w:right w:val="nil"/>
            </w:tcBorders>
            <w:shd w:val="clear" w:color="auto" w:fill="auto"/>
            <w:noWrap/>
            <w:hideMark/>
          </w:tcPr>
          <w:p w14:paraId="0048BDB4"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95"/>
                <w:lang w:val="en-GB"/>
              </w:rPr>
              <w:t>(7)</w:t>
            </w:r>
          </w:p>
        </w:tc>
        <w:tc>
          <w:tcPr>
            <w:tcW w:w="1008" w:type="dxa"/>
            <w:tcBorders>
              <w:top w:val="nil"/>
              <w:left w:val="nil"/>
              <w:right w:val="nil"/>
            </w:tcBorders>
            <w:shd w:val="clear" w:color="auto" w:fill="auto"/>
            <w:noWrap/>
            <w:hideMark/>
          </w:tcPr>
          <w:p w14:paraId="01A2532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05"/>
                <w:lang w:val="en-GB"/>
              </w:rPr>
              <w:t>(217)</w:t>
            </w:r>
          </w:p>
        </w:tc>
        <w:tc>
          <w:tcPr>
            <w:tcW w:w="946" w:type="dxa"/>
            <w:tcBorders>
              <w:top w:val="nil"/>
              <w:left w:val="nil"/>
              <w:right w:val="nil"/>
            </w:tcBorders>
            <w:shd w:val="clear" w:color="auto" w:fill="auto"/>
            <w:noWrap/>
            <w:hideMark/>
          </w:tcPr>
          <w:p w14:paraId="4B5D7BF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1"/>
                <w:lang w:val="en-GB"/>
              </w:rPr>
              <w:t xml:space="preserve">2 </w:t>
            </w:r>
          </w:p>
        </w:tc>
        <w:tc>
          <w:tcPr>
            <w:tcW w:w="946" w:type="dxa"/>
            <w:tcBorders>
              <w:top w:val="nil"/>
              <w:left w:val="nil"/>
              <w:right w:val="nil"/>
            </w:tcBorders>
            <w:shd w:val="clear" w:color="auto" w:fill="auto"/>
            <w:noWrap/>
            <w:hideMark/>
          </w:tcPr>
          <w:p w14:paraId="5C6A087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150 </w:t>
            </w:r>
          </w:p>
        </w:tc>
      </w:tr>
      <w:tr w:rsidR="006F2077" w:rsidRPr="003920D7" w14:paraId="0AA18EF0" w14:textId="77777777" w:rsidTr="00FF1DE0">
        <w:trPr>
          <w:trHeight w:val="288"/>
          <w:jc w:val="center"/>
        </w:trPr>
        <w:tc>
          <w:tcPr>
            <w:tcW w:w="4911" w:type="dxa"/>
            <w:tcBorders>
              <w:top w:val="nil"/>
              <w:left w:val="nil"/>
              <w:right w:val="nil"/>
            </w:tcBorders>
            <w:shd w:val="clear" w:color="auto" w:fill="auto"/>
            <w:noWrap/>
            <w:hideMark/>
          </w:tcPr>
          <w:p w14:paraId="7465B6F6" w14:textId="4D4F9387" w:rsidR="006F2077" w:rsidRPr="003920D7" w:rsidRDefault="006F2077" w:rsidP="00676744">
            <w:pPr>
              <w:rPr>
                <w:rFonts w:ascii="Arial" w:hAnsi="Arial" w:cs="Arial"/>
                <w:color w:val="231F20"/>
                <w:lang w:val="en-GB"/>
              </w:rPr>
            </w:pPr>
            <w:r w:rsidRPr="003920D7">
              <w:rPr>
                <w:rFonts w:ascii="Arial" w:hAnsi="Arial" w:cs="Arial"/>
                <w:color w:val="231F20"/>
                <w:lang w:val="en-GB"/>
              </w:rPr>
              <w:t>Income taxes</w:t>
            </w:r>
            <w:r w:rsidR="00022D4F" w:rsidRPr="003920D7">
              <w:rPr>
                <w:rFonts w:ascii="Arial" w:hAnsi="Arial" w:cs="Arial"/>
                <w:color w:val="231F20"/>
                <w:lang w:val="en-GB"/>
              </w:rPr>
              <w:t>—</w:t>
            </w:r>
            <w:r w:rsidRPr="003920D7">
              <w:rPr>
                <w:rFonts w:ascii="Arial" w:hAnsi="Arial" w:cs="Arial"/>
                <w:color w:val="231F20"/>
                <w:lang w:val="en-GB"/>
              </w:rPr>
              <w:t>recovery (expense)</w:t>
            </w:r>
          </w:p>
        </w:tc>
        <w:tc>
          <w:tcPr>
            <w:tcW w:w="945" w:type="dxa"/>
            <w:tcBorders>
              <w:top w:val="nil"/>
              <w:left w:val="nil"/>
              <w:right w:val="nil"/>
            </w:tcBorders>
            <w:shd w:val="clear" w:color="auto" w:fill="auto"/>
            <w:noWrap/>
            <w:hideMark/>
          </w:tcPr>
          <w:p w14:paraId="7D290276"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10 </w:t>
            </w:r>
          </w:p>
        </w:tc>
        <w:tc>
          <w:tcPr>
            <w:tcW w:w="1008" w:type="dxa"/>
            <w:tcBorders>
              <w:top w:val="nil"/>
              <w:left w:val="nil"/>
              <w:right w:val="nil"/>
            </w:tcBorders>
            <w:shd w:val="clear" w:color="auto" w:fill="auto"/>
            <w:noWrap/>
            <w:hideMark/>
          </w:tcPr>
          <w:p w14:paraId="295055E4"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39 </w:t>
            </w:r>
          </w:p>
        </w:tc>
        <w:tc>
          <w:tcPr>
            <w:tcW w:w="946" w:type="dxa"/>
            <w:tcBorders>
              <w:top w:val="nil"/>
              <w:left w:val="nil"/>
              <w:right w:val="nil"/>
            </w:tcBorders>
            <w:shd w:val="clear" w:color="auto" w:fill="auto"/>
            <w:noWrap/>
            <w:hideMark/>
          </w:tcPr>
          <w:p w14:paraId="09FBCA66"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1"/>
                <w:u w:val="single"/>
                <w:lang w:val="en-GB"/>
              </w:rPr>
              <w:t xml:space="preserve">2 </w:t>
            </w:r>
          </w:p>
        </w:tc>
        <w:tc>
          <w:tcPr>
            <w:tcW w:w="946" w:type="dxa"/>
            <w:tcBorders>
              <w:top w:val="nil"/>
              <w:left w:val="nil"/>
              <w:right w:val="nil"/>
            </w:tcBorders>
            <w:shd w:val="clear" w:color="auto" w:fill="auto"/>
            <w:noWrap/>
            <w:hideMark/>
          </w:tcPr>
          <w:p w14:paraId="1B9051DF"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u w:val="single"/>
                <w:lang w:val="en-GB"/>
              </w:rPr>
              <w:t>(43)</w:t>
            </w:r>
          </w:p>
        </w:tc>
      </w:tr>
      <w:tr w:rsidR="006F2077" w:rsidRPr="003920D7" w14:paraId="2BE70EC3" w14:textId="77777777" w:rsidTr="00FF1DE0">
        <w:trPr>
          <w:trHeight w:hRule="exact" w:val="300"/>
          <w:jc w:val="center"/>
        </w:trPr>
        <w:tc>
          <w:tcPr>
            <w:tcW w:w="4911" w:type="dxa"/>
            <w:tcBorders>
              <w:left w:val="nil"/>
              <w:right w:val="nil"/>
            </w:tcBorders>
            <w:shd w:val="clear" w:color="auto" w:fill="auto"/>
            <w:noWrap/>
            <w:hideMark/>
          </w:tcPr>
          <w:p w14:paraId="72F54621"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Net earnings (loss)</w:t>
            </w:r>
          </w:p>
        </w:tc>
        <w:tc>
          <w:tcPr>
            <w:tcW w:w="945" w:type="dxa"/>
            <w:tcBorders>
              <w:left w:val="nil"/>
              <w:right w:val="nil"/>
            </w:tcBorders>
            <w:shd w:val="clear" w:color="auto" w:fill="auto"/>
            <w:noWrap/>
            <w:hideMark/>
          </w:tcPr>
          <w:p w14:paraId="469061F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3 </w:t>
            </w:r>
          </w:p>
        </w:tc>
        <w:tc>
          <w:tcPr>
            <w:tcW w:w="1008" w:type="dxa"/>
            <w:tcBorders>
              <w:left w:val="nil"/>
              <w:right w:val="nil"/>
            </w:tcBorders>
            <w:shd w:val="clear" w:color="auto" w:fill="auto"/>
            <w:noWrap/>
            <w:hideMark/>
          </w:tcPr>
          <w:p w14:paraId="2C0C067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(178)</w:t>
            </w:r>
          </w:p>
        </w:tc>
        <w:tc>
          <w:tcPr>
            <w:tcW w:w="946" w:type="dxa"/>
            <w:tcBorders>
              <w:left w:val="nil"/>
              <w:right w:val="nil"/>
            </w:tcBorders>
            <w:shd w:val="clear" w:color="auto" w:fill="auto"/>
            <w:noWrap/>
            <w:hideMark/>
          </w:tcPr>
          <w:p w14:paraId="64600D9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4 </w:t>
            </w:r>
          </w:p>
        </w:tc>
        <w:tc>
          <w:tcPr>
            <w:tcW w:w="946" w:type="dxa"/>
            <w:tcBorders>
              <w:left w:val="nil"/>
              <w:right w:val="nil"/>
            </w:tcBorders>
            <w:shd w:val="clear" w:color="auto" w:fill="auto"/>
            <w:noWrap/>
            <w:hideMark/>
          </w:tcPr>
          <w:p w14:paraId="53F6535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107 </w:t>
            </w:r>
          </w:p>
        </w:tc>
      </w:tr>
      <w:tr w:rsidR="006F2077" w:rsidRPr="003920D7" w14:paraId="4DED668E" w14:textId="77777777" w:rsidTr="00FF1DE0">
        <w:trPr>
          <w:trHeight w:val="288"/>
          <w:jc w:val="center"/>
        </w:trPr>
        <w:tc>
          <w:tcPr>
            <w:tcW w:w="4911" w:type="dxa"/>
            <w:tcBorders>
              <w:left w:val="nil"/>
              <w:bottom w:val="nil"/>
              <w:right w:val="nil"/>
            </w:tcBorders>
            <w:shd w:val="clear" w:color="auto" w:fill="auto"/>
            <w:noWrap/>
            <w:hideMark/>
          </w:tcPr>
          <w:p w14:paraId="5A2E1B7D"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Earnings (loss) per common share ($ per share)</w:t>
            </w:r>
          </w:p>
        </w:tc>
        <w:tc>
          <w:tcPr>
            <w:tcW w:w="945" w:type="dxa"/>
            <w:tcBorders>
              <w:left w:val="nil"/>
              <w:bottom w:val="nil"/>
              <w:right w:val="nil"/>
            </w:tcBorders>
            <w:shd w:val="clear" w:color="auto" w:fill="auto"/>
            <w:noWrap/>
            <w:hideMark/>
          </w:tcPr>
          <w:p w14:paraId="35E183A5" w14:textId="00DB89F9" w:rsidR="006F2077" w:rsidRPr="003920D7" w:rsidRDefault="006F2077" w:rsidP="00676744">
            <w:pPr>
              <w:jc w:val="right"/>
              <w:rPr>
                <w:rFonts w:ascii="Arial" w:hAnsi="Arial" w:cs="Arial"/>
                <w:color w:val="231F20"/>
                <w:lang w:val="en-GB"/>
              </w:rPr>
            </w:pPr>
            <w:r w:rsidRPr="003920D7">
              <w:rPr>
                <w:rFonts w:ascii="Arial" w:hAnsi="Arial" w:cs="Arial"/>
                <w:color w:val="231F20"/>
                <w:szCs w:val="22"/>
                <w:lang w:val="en-GB"/>
              </w:rPr>
              <w:t xml:space="preserve"> $0.03 </w:t>
            </w:r>
          </w:p>
        </w:tc>
        <w:tc>
          <w:tcPr>
            <w:tcW w:w="1008" w:type="dxa"/>
            <w:tcBorders>
              <w:left w:val="nil"/>
              <w:bottom w:val="nil"/>
              <w:right w:val="nil"/>
            </w:tcBorders>
            <w:shd w:val="clear" w:color="auto" w:fill="auto"/>
            <w:noWrap/>
            <w:hideMark/>
          </w:tcPr>
          <w:p w14:paraId="278426BC" w14:textId="0148C677" w:rsidR="006F2077" w:rsidRPr="003920D7" w:rsidRDefault="006F2077" w:rsidP="0031787A">
            <w:pPr>
              <w:jc w:val="right"/>
              <w:rPr>
                <w:rFonts w:ascii="Arial" w:hAnsi="Arial" w:cs="Arial"/>
                <w:color w:val="231F20"/>
                <w:lang w:val="en-GB"/>
              </w:rPr>
            </w:pPr>
            <w:r w:rsidRPr="003920D7">
              <w:rPr>
                <w:rFonts w:ascii="Arial" w:hAnsi="Arial" w:cs="Arial"/>
                <w:color w:val="231F20"/>
                <w:szCs w:val="22"/>
                <w:lang w:val="en-GB"/>
              </w:rPr>
              <w:t xml:space="preserve"> $(1.74)</w:t>
            </w:r>
          </w:p>
        </w:tc>
        <w:tc>
          <w:tcPr>
            <w:tcW w:w="946" w:type="dxa"/>
            <w:tcBorders>
              <w:left w:val="nil"/>
              <w:bottom w:val="nil"/>
              <w:right w:val="nil"/>
            </w:tcBorders>
            <w:shd w:val="clear" w:color="auto" w:fill="auto"/>
            <w:noWrap/>
            <w:hideMark/>
          </w:tcPr>
          <w:p w14:paraId="13CED351" w14:textId="5FF26EC3" w:rsidR="006F2077" w:rsidRPr="003920D7" w:rsidRDefault="006F2077" w:rsidP="002904F1">
            <w:pPr>
              <w:jc w:val="right"/>
              <w:rPr>
                <w:rFonts w:ascii="Arial" w:hAnsi="Arial" w:cs="Arial"/>
                <w:color w:val="231F20"/>
                <w:lang w:val="en-GB"/>
              </w:rPr>
            </w:pPr>
            <w:r w:rsidRPr="003920D7">
              <w:rPr>
                <w:rFonts w:ascii="Arial" w:hAnsi="Arial" w:cs="Arial"/>
                <w:color w:val="231F20"/>
                <w:szCs w:val="22"/>
                <w:lang w:val="en-GB"/>
              </w:rPr>
              <w:t xml:space="preserve"> $0.04 </w:t>
            </w:r>
          </w:p>
        </w:tc>
        <w:tc>
          <w:tcPr>
            <w:tcW w:w="946" w:type="dxa"/>
            <w:tcBorders>
              <w:left w:val="nil"/>
              <w:bottom w:val="nil"/>
              <w:right w:val="nil"/>
            </w:tcBorders>
            <w:shd w:val="clear" w:color="auto" w:fill="auto"/>
            <w:noWrap/>
            <w:hideMark/>
          </w:tcPr>
          <w:p w14:paraId="008D75D0" w14:textId="729028A1" w:rsidR="006F2077" w:rsidRPr="003920D7" w:rsidRDefault="006F2077" w:rsidP="00DA5C89">
            <w:pPr>
              <w:jc w:val="right"/>
              <w:rPr>
                <w:rFonts w:ascii="Arial" w:hAnsi="Arial" w:cs="Arial"/>
                <w:color w:val="231F20"/>
                <w:lang w:val="en-GB"/>
              </w:rPr>
            </w:pPr>
            <w:r w:rsidRPr="003920D7">
              <w:rPr>
                <w:rFonts w:ascii="Arial" w:hAnsi="Arial" w:cs="Arial"/>
                <w:color w:val="231F20"/>
                <w:szCs w:val="22"/>
                <w:lang w:val="en-GB"/>
              </w:rPr>
              <w:t xml:space="preserve"> $1.01 </w:t>
            </w:r>
          </w:p>
        </w:tc>
      </w:tr>
      <w:tr w:rsidR="006F2077" w:rsidRPr="003920D7" w14:paraId="4D698E1E" w14:textId="77777777" w:rsidTr="00FF1DE0">
        <w:trPr>
          <w:trHeight w:val="288"/>
          <w:jc w:val="center"/>
        </w:trPr>
        <w:tc>
          <w:tcPr>
            <w:tcW w:w="4911" w:type="dxa"/>
            <w:tcBorders>
              <w:left w:val="nil"/>
              <w:bottom w:val="nil"/>
              <w:right w:val="nil"/>
            </w:tcBorders>
            <w:shd w:val="clear" w:color="auto" w:fill="auto"/>
            <w:noWrap/>
          </w:tcPr>
          <w:p w14:paraId="2784460E" w14:textId="77777777" w:rsidR="006F2077" w:rsidRPr="003920D7" w:rsidRDefault="006F2077" w:rsidP="006F2077">
            <w:pPr>
              <w:rPr>
                <w:rFonts w:ascii="Arial" w:hAnsi="Arial" w:cs="Arial"/>
                <w:color w:val="231F20"/>
                <w:lang w:val="en-GB"/>
              </w:rPr>
            </w:pPr>
          </w:p>
        </w:tc>
        <w:tc>
          <w:tcPr>
            <w:tcW w:w="945" w:type="dxa"/>
            <w:tcBorders>
              <w:left w:val="nil"/>
              <w:bottom w:val="nil"/>
              <w:right w:val="nil"/>
            </w:tcBorders>
            <w:shd w:val="clear" w:color="auto" w:fill="auto"/>
            <w:noWrap/>
          </w:tcPr>
          <w:p w14:paraId="18805EAE" w14:textId="77777777" w:rsidR="006F2077" w:rsidRPr="003920D7" w:rsidRDefault="006F2077" w:rsidP="006F2077">
            <w:pPr>
              <w:jc w:val="right"/>
              <w:rPr>
                <w:rFonts w:ascii="Arial" w:hAnsi="Arial" w:cs="Arial"/>
                <w:color w:val="231F20"/>
                <w:szCs w:val="22"/>
                <w:lang w:val="en-GB"/>
              </w:rPr>
            </w:pPr>
          </w:p>
        </w:tc>
        <w:tc>
          <w:tcPr>
            <w:tcW w:w="1008" w:type="dxa"/>
            <w:tcBorders>
              <w:left w:val="nil"/>
              <w:bottom w:val="nil"/>
              <w:right w:val="nil"/>
            </w:tcBorders>
            <w:shd w:val="clear" w:color="auto" w:fill="auto"/>
            <w:noWrap/>
          </w:tcPr>
          <w:p w14:paraId="0FBCF9A7" w14:textId="77777777" w:rsidR="006F2077" w:rsidRPr="003920D7" w:rsidRDefault="006F2077" w:rsidP="006F2077">
            <w:pPr>
              <w:jc w:val="right"/>
              <w:rPr>
                <w:rFonts w:ascii="Arial" w:hAnsi="Arial" w:cs="Arial"/>
                <w:color w:val="231F20"/>
                <w:szCs w:val="22"/>
                <w:lang w:val="en-GB"/>
              </w:rPr>
            </w:pPr>
          </w:p>
        </w:tc>
        <w:tc>
          <w:tcPr>
            <w:tcW w:w="946" w:type="dxa"/>
            <w:tcBorders>
              <w:left w:val="nil"/>
              <w:bottom w:val="nil"/>
              <w:right w:val="nil"/>
            </w:tcBorders>
            <w:shd w:val="clear" w:color="auto" w:fill="auto"/>
            <w:noWrap/>
          </w:tcPr>
          <w:p w14:paraId="5FC2373C" w14:textId="77777777" w:rsidR="006F2077" w:rsidRPr="003920D7" w:rsidRDefault="006F2077" w:rsidP="006F2077">
            <w:pPr>
              <w:jc w:val="right"/>
              <w:rPr>
                <w:rFonts w:ascii="Arial" w:hAnsi="Arial" w:cs="Arial"/>
                <w:color w:val="231F20"/>
                <w:szCs w:val="22"/>
                <w:lang w:val="en-GB"/>
              </w:rPr>
            </w:pPr>
          </w:p>
        </w:tc>
        <w:tc>
          <w:tcPr>
            <w:tcW w:w="946" w:type="dxa"/>
            <w:tcBorders>
              <w:left w:val="nil"/>
              <w:bottom w:val="nil"/>
              <w:right w:val="nil"/>
            </w:tcBorders>
            <w:shd w:val="clear" w:color="auto" w:fill="auto"/>
            <w:noWrap/>
          </w:tcPr>
          <w:p w14:paraId="38CDE226" w14:textId="77777777" w:rsidR="006F2077" w:rsidRPr="003920D7" w:rsidRDefault="006F2077" w:rsidP="006F2077">
            <w:pPr>
              <w:jc w:val="right"/>
              <w:rPr>
                <w:rFonts w:ascii="Arial" w:hAnsi="Arial" w:cs="Arial"/>
                <w:color w:val="231F20"/>
                <w:szCs w:val="22"/>
                <w:lang w:val="en-GB"/>
              </w:rPr>
            </w:pPr>
          </w:p>
        </w:tc>
      </w:tr>
      <w:tr w:rsidR="006F2077" w:rsidRPr="003920D7" w14:paraId="24FF94DC" w14:textId="77777777" w:rsidTr="00FF1DE0">
        <w:trPr>
          <w:trHeight w:hRule="exact" w:val="288"/>
          <w:jc w:val="center"/>
        </w:trPr>
        <w:tc>
          <w:tcPr>
            <w:tcW w:w="4911" w:type="dxa"/>
            <w:tcBorders>
              <w:top w:val="nil"/>
              <w:left w:val="nil"/>
              <w:bottom w:val="nil"/>
              <w:right w:val="nil"/>
            </w:tcBorders>
            <w:shd w:val="clear" w:color="auto" w:fill="auto"/>
            <w:noWrap/>
            <w:hideMark/>
          </w:tcPr>
          <w:p w14:paraId="657DE538" w14:textId="77777777" w:rsidR="006F2077" w:rsidRPr="003920D7" w:rsidRDefault="006F2077" w:rsidP="006F2077">
            <w:pPr>
              <w:rPr>
                <w:rFonts w:ascii="Arial" w:hAnsi="Arial" w:cs="Arial"/>
                <w:b/>
                <w:bCs/>
                <w:color w:val="231F20"/>
                <w:lang w:val="en-GB"/>
              </w:rPr>
            </w:pPr>
            <w:r w:rsidRPr="003920D7">
              <w:rPr>
                <w:rFonts w:ascii="Arial" w:hAnsi="Arial" w:cs="Arial"/>
                <w:b/>
                <w:bCs/>
                <w:color w:val="231F20"/>
                <w:lang w:val="en-GB"/>
              </w:rPr>
              <w:t>Consolidated Balance Sheet</w:t>
            </w:r>
          </w:p>
        </w:tc>
        <w:tc>
          <w:tcPr>
            <w:tcW w:w="945" w:type="dxa"/>
            <w:tcBorders>
              <w:top w:val="nil"/>
              <w:left w:val="nil"/>
              <w:bottom w:val="nil"/>
              <w:right w:val="nil"/>
            </w:tcBorders>
            <w:shd w:val="clear" w:color="auto" w:fill="auto"/>
            <w:noWrap/>
            <w:hideMark/>
          </w:tcPr>
          <w:p w14:paraId="29CF8AC2" w14:textId="77777777" w:rsidR="006F2077" w:rsidRPr="003920D7" w:rsidRDefault="006F2077" w:rsidP="006F2077">
            <w:pPr>
              <w:jc w:val="right"/>
              <w:rPr>
                <w:rFonts w:ascii="Arial" w:hAnsi="Arial" w:cs="Arial"/>
                <w:b/>
                <w:bCs/>
                <w:color w:val="231F20"/>
                <w:lang w:val="en-GB"/>
              </w:rPr>
            </w:pPr>
          </w:p>
        </w:tc>
        <w:tc>
          <w:tcPr>
            <w:tcW w:w="1008" w:type="dxa"/>
            <w:tcBorders>
              <w:top w:val="nil"/>
              <w:left w:val="nil"/>
              <w:bottom w:val="nil"/>
              <w:right w:val="nil"/>
            </w:tcBorders>
            <w:shd w:val="clear" w:color="auto" w:fill="auto"/>
            <w:noWrap/>
            <w:hideMark/>
          </w:tcPr>
          <w:p w14:paraId="1A0B0028" w14:textId="77777777" w:rsidR="006F2077" w:rsidRPr="003920D7" w:rsidRDefault="006F2077" w:rsidP="006F2077">
            <w:pPr>
              <w:jc w:val="right"/>
              <w:rPr>
                <w:rFonts w:ascii="Arial" w:hAnsi="Arial" w:cs="Arial"/>
                <w:lang w:val="en-GB"/>
              </w:rPr>
            </w:pPr>
          </w:p>
        </w:tc>
        <w:tc>
          <w:tcPr>
            <w:tcW w:w="946" w:type="dxa"/>
            <w:tcBorders>
              <w:top w:val="nil"/>
              <w:left w:val="nil"/>
              <w:bottom w:val="nil"/>
              <w:right w:val="nil"/>
            </w:tcBorders>
            <w:shd w:val="clear" w:color="auto" w:fill="auto"/>
            <w:noWrap/>
            <w:hideMark/>
          </w:tcPr>
          <w:p w14:paraId="3311C38B" w14:textId="77777777" w:rsidR="006F2077" w:rsidRPr="003920D7" w:rsidRDefault="006F2077" w:rsidP="006F2077">
            <w:pPr>
              <w:jc w:val="right"/>
              <w:rPr>
                <w:rFonts w:ascii="Arial" w:hAnsi="Arial" w:cs="Arial"/>
                <w:lang w:val="en-GB"/>
              </w:rPr>
            </w:pPr>
          </w:p>
        </w:tc>
        <w:tc>
          <w:tcPr>
            <w:tcW w:w="946" w:type="dxa"/>
            <w:tcBorders>
              <w:top w:val="nil"/>
              <w:left w:val="nil"/>
              <w:bottom w:val="nil"/>
              <w:right w:val="nil"/>
            </w:tcBorders>
            <w:shd w:val="clear" w:color="auto" w:fill="auto"/>
            <w:noWrap/>
            <w:hideMark/>
          </w:tcPr>
          <w:p w14:paraId="4B876A23" w14:textId="77777777" w:rsidR="006F2077" w:rsidRPr="003920D7" w:rsidRDefault="006F2077" w:rsidP="006F2077">
            <w:pPr>
              <w:jc w:val="right"/>
              <w:rPr>
                <w:rFonts w:ascii="Arial" w:hAnsi="Arial" w:cs="Arial"/>
                <w:lang w:val="en-GB"/>
              </w:rPr>
            </w:pPr>
          </w:p>
        </w:tc>
      </w:tr>
      <w:tr w:rsidR="006F2077" w:rsidRPr="003920D7" w14:paraId="518C2E77" w14:textId="77777777" w:rsidTr="00FF1DE0">
        <w:trPr>
          <w:trHeight w:val="288"/>
          <w:jc w:val="center"/>
        </w:trPr>
        <w:tc>
          <w:tcPr>
            <w:tcW w:w="4911" w:type="dxa"/>
            <w:tcBorders>
              <w:top w:val="nil"/>
              <w:left w:val="nil"/>
              <w:right w:val="nil"/>
            </w:tcBorders>
            <w:shd w:val="clear" w:color="auto" w:fill="auto"/>
            <w:noWrap/>
            <w:hideMark/>
          </w:tcPr>
          <w:p w14:paraId="7BFE9515"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Cash and cash equivalents</w:t>
            </w:r>
          </w:p>
        </w:tc>
        <w:tc>
          <w:tcPr>
            <w:tcW w:w="945" w:type="dxa"/>
            <w:tcBorders>
              <w:top w:val="nil"/>
              <w:left w:val="nil"/>
              <w:right w:val="nil"/>
            </w:tcBorders>
            <w:shd w:val="clear" w:color="auto" w:fill="auto"/>
            <w:noWrap/>
            <w:hideMark/>
          </w:tcPr>
          <w:p w14:paraId="70AA4CA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67 </w:t>
            </w:r>
          </w:p>
        </w:tc>
        <w:tc>
          <w:tcPr>
            <w:tcW w:w="1008" w:type="dxa"/>
            <w:tcBorders>
              <w:top w:val="nil"/>
              <w:left w:val="nil"/>
              <w:right w:val="nil"/>
            </w:tcBorders>
            <w:shd w:val="clear" w:color="auto" w:fill="auto"/>
            <w:noWrap/>
            <w:hideMark/>
          </w:tcPr>
          <w:p w14:paraId="504C610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41 </w:t>
            </w:r>
          </w:p>
        </w:tc>
        <w:tc>
          <w:tcPr>
            <w:tcW w:w="946" w:type="dxa"/>
            <w:tcBorders>
              <w:top w:val="nil"/>
              <w:left w:val="nil"/>
              <w:right w:val="nil"/>
            </w:tcBorders>
            <w:shd w:val="clear" w:color="auto" w:fill="auto"/>
            <w:noWrap/>
            <w:hideMark/>
          </w:tcPr>
          <w:p w14:paraId="1D338E88"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45 </w:t>
            </w:r>
          </w:p>
        </w:tc>
        <w:tc>
          <w:tcPr>
            <w:tcW w:w="946" w:type="dxa"/>
            <w:tcBorders>
              <w:top w:val="nil"/>
              <w:left w:val="nil"/>
              <w:right w:val="nil"/>
            </w:tcBorders>
            <w:shd w:val="clear" w:color="auto" w:fill="auto"/>
            <w:noWrap/>
            <w:hideMark/>
          </w:tcPr>
          <w:p w14:paraId="5DEFBF5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176 </w:t>
            </w:r>
          </w:p>
        </w:tc>
      </w:tr>
      <w:tr w:rsidR="006F2077" w:rsidRPr="003920D7" w14:paraId="330C57F4" w14:textId="77777777" w:rsidTr="00FF1DE0">
        <w:trPr>
          <w:trHeight w:hRule="exact" w:val="300"/>
          <w:jc w:val="center"/>
        </w:trPr>
        <w:tc>
          <w:tcPr>
            <w:tcW w:w="4911" w:type="dxa"/>
            <w:tcBorders>
              <w:top w:val="nil"/>
              <w:left w:val="nil"/>
              <w:right w:val="nil"/>
            </w:tcBorders>
            <w:shd w:val="clear" w:color="auto" w:fill="auto"/>
            <w:noWrap/>
            <w:hideMark/>
          </w:tcPr>
          <w:p w14:paraId="09DF7E79"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Other current assets</w:t>
            </w:r>
          </w:p>
        </w:tc>
        <w:tc>
          <w:tcPr>
            <w:tcW w:w="945" w:type="dxa"/>
            <w:tcBorders>
              <w:top w:val="nil"/>
              <w:left w:val="nil"/>
              <w:right w:val="nil"/>
            </w:tcBorders>
            <w:shd w:val="clear" w:color="auto" w:fill="auto"/>
            <w:noWrap/>
            <w:hideMark/>
          </w:tcPr>
          <w:p w14:paraId="5E03A95E"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1,234 </w:t>
            </w:r>
          </w:p>
        </w:tc>
        <w:tc>
          <w:tcPr>
            <w:tcW w:w="1008" w:type="dxa"/>
            <w:tcBorders>
              <w:top w:val="nil"/>
              <w:left w:val="nil"/>
              <w:right w:val="nil"/>
            </w:tcBorders>
            <w:shd w:val="clear" w:color="auto" w:fill="auto"/>
            <w:noWrap/>
            <w:hideMark/>
          </w:tcPr>
          <w:p w14:paraId="4D856AF1"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1,060 </w:t>
            </w:r>
          </w:p>
        </w:tc>
        <w:tc>
          <w:tcPr>
            <w:tcW w:w="946" w:type="dxa"/>
            <w:tcBorders>
              <w:top w:val="nil"/>
              <w:left w:val="nil"/>
              <w:right w:val="nil"/>
            </w:tcBorders>
            <w:shd w:val="clear" w:color="auto" w:fill="auto"/>
            <w:noWrap/>
            <w:hideMark/>
          </w:tcPr>
          <w:p w14:paraId="126479B1"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1,192 </w:t>
            </w:r>
          </w:p>
        </w:tc>
        <w:tc>
          <w:tcPr>
            <w:tcW w:w="946" w:type="dxa"/>
            <w:tcBorders>
              <w:top w:val="nil"/>
              <w:left w:val="nil"/>
              <w:right w:val="nil"/>
            </w:tcBorders>
            <w:shd w:val="clear" w:color="auto" w:fill="auto"/>
            <w:noWrap/>
            <w:hideMark/>
          </w:tcPr>
          <w:p w14:paraId="339D427C"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1,147 </w:t>
            </w:r>
          </w:p>
        </w:tc>
      </w:tr>
      <w:tr w:rsidR="006F2077" w:rsidRPr="003920D7" w14:paraId="7A2B63B5" w14:textId="77777777" w:rsidTr="00FF1DE0">
        <w:trPr>
          <w:trHeight w:hRule="exact" w:val="300"/>
          <w:jc w:val="center"/>
        </w:trPr>
        <w:tc>
          <w:tcPr>
            <w:tcW w:w="4911" w:type="dxa"/>
            <w:tcBorders>
              <w:top w:val="nil"/>
              <w:left w:val="nil"/>
              <w:right w:val="nil"/>
            </w:tcBorders>
            <w:shd w:val="clear" w:color="auto" w:fill="auto"/>
            <w:noWrap/>
            <w:hideMark/>
          </w:tcPr>
          <w:p w14:paraId="7B96FB5C"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Total current assets</w:t>
            </w:r>
          </w:p>
        </w:tc>
        <w:tc>
          <w:tcPr>
            <w:tcW w:w="945" w:type="dxa"/>
            <w:tcBorders>
              <w:top w:val="nil"/>
              <w:left w:val="nil"/>
              <w:right w:val="nil"/>
            </w:tcBorders>
            <w:shd w:val="clear" w:color="auto" w:fill="auto"/>
            <w:noWrap/>
            <w:hideMark/>
          </w:tcPr>
          <w:p w14:paraId="6A3602D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1,301 </w:t>
            </w:r>
          </w:p>
        </w:tc>
        <w:tc>
          <w:tcPr>
            <w:tcW w:w="1008" w:type="dxa"/>
            <w:tcBorders>
              <w:top w:val="nil"/>
              <w:left w:val="nil"/>
              <w:right w:val="nil"/>
            </w:tcBorders>
            <w:shd w:val="clear" w:color="auto" w:fill="auto"/>
            <w:noWrap/>
            <w:hideMark/>
          </w:tcPr>
          <w:p w14:paraId="3516D24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1,101 </w:t>
            </w:r>
          </w:p>
        </w:tc>
        <w:tc>
          <w:tcPr>
            <w:tcW w:w="946" w:type="dxa"/>
            <w:tcBorders>
              <w:top w:val="nil"/>
              <w:left w:val="nil"/>
              <w:right w:val="nil"/>
            </w:tcBorders>
            <w:shd w:val="clear" w:color="auto" w:fill="auto"/>
            <w:noWrap/>
            <w:hideMark/>
          </w:tcPr>
          <w:p w14:paraId="478E038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1,237 </w:t>
            </w:r>
          </w:p>
        </w:tc>
        <w:tc>
          <w:tcPr>
            <w:tcW w:w="946" w:type="dxa"/>
            <w:tcBorders>
              <w:top w:val="nil"/>
              <w:left w:val="nil"/>
              <w:right w:val="nil"/>
            </w:tcBorders>
            <w:shd w:val="clear" w:color="auto" w:fill="auto"/>
            <w:noWrap/>
            <w:hideMark/>
          </w:tcPr>
          <w:p w14:paraId="2E291C3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1,323 </w:t>
            </w:r>
          </w:p>
        </w:tc>
      </w:tr>
      <w:tr w:rsidR="006F2077" w:rsidRPr="003920D7" w14:paraId="27D66159" w14:textId="77777777" w:rsidTr="00FF1DE0">
        <w:trPr>
          <w:trHeight w:val="288"/>
          <w:jc w:val="center"/>
        </w:trPr>
        <w:tc>
          <w:tcPr>
            <w:tcW w:w="4911" w:type="dxa"/>
            <w:tcBorders>
              <w:top w:val="nil"/>
              <w:left w:val="nil"/>
              <w:bottom w:val="nil"/>
              <w:right w:val="nil"/>
            </w:tcBorders>
            <w:shd w:val="clear" w:color="auto" w:fill="auto"/>
            <w:noWrap/>
            <w:hideMark/>
          </w:tcPr>
          <w:p w14:paraId="6D9D03C6"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Property, plant, and equipment (net)</w:t>
            </w:r>
          </w:p>
        </w:tc>
        <w:tc>
          <w:tcPr>
            <w:tcW w:w="945" w:type="dxa"/>
            <w:tcBorders>
              <w:top w:val="nil"/>
              <w:left w:val="nil"/>
              <w:bottom w:val="nil"/>
              <w:right w:val="nil"/>
            </w:tcBorders>
            <w:shd w:val="clear" w:color="auto" w:fill="auto"/>
            <w:noWrap/>
            <w:hideMark/>
          </w:tcPr>
          <w:p w14:paraId="3BA6A7D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1,291 </w:t>
            </w:r>
          </w:p>
        </w:tc>
        <w:tc>
          <w:tcPr>
            <w:tcW w:w="1008" w:type="dxa"/>
            <w:tcBorders>
              <w:top w:val="nil"/>
              <w:left w:val="nil"/>
              <w:bottom w:val="nil"/>
              <w:right w:val="nil"/>
            </w:tcBorders>
            <w:shd w:val="clear" w:color="auto" w:fill="auto"/>
            <w:noWrap/>
            <w:hideMark/>
          </w:tcPr>
          <w:p w14:paraId="0382702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1,299 </w:t>
            </w:r>
          </w:p>
        </w:tc>
        <w:tc>
          <w:tcPr>
            <w:tcW w:w="946" w:type="dxa"/>
            <w:tcBorders>
              <w:top w:val="nil"/>
              <w:left w:val="nil"/>
              <w:bottom w:val="nil"/>
              <w:right w:val="nil"/>
            </w:tcBorders>
            <w:shd w:val="clear" w:color="auto" w:fill="auto"/>
            <w:noWrap/>
            <w:hideMark/>
          </w:tcPr>
          <w:p w14:paraId="3E162C3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1,384 </w:t>
            </w:r>
          </w:p>
        </w:tc>
        <w:tc>
          <w:tcPr>
            <w:tcW w:w="946" w:type="dxa"/>
            <w:tcBorders>
              <w:top w:val="nil"/>
              <w:left w:val="nil"/>
              <w:bottom w:val="nil"/>
              <w:right w:val="nil"/>
            </w:tcBorders>
            <w:shd w:val="clear" w:color="auto" w:fill="auto"/>
            <w:noWrap/>
            <w:hideMark/>
          </w:tcPr>
          <w:p w14:paraId="73ABFB58"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1,386 </w:t>
            </w:r>
          </w:p>
        </w:tc>
      </w:tr>
      <w:tr w:rsidR="006F2077" w:rsidRPr="003920D7" w14:paraId="304BD806" w14:textId="77777777" w:rsidTr="00FF1DE0">
        <w:trPr>
          <w:trHeight w:val="288"/>
          <w:jc w:val="center"/>
        </w:trPr>
        <w:tc>
          <w:tcPr>
            <w:tcW w:w="4911" w:type="dxa"/>
            <w:tcBorders>
              <w:top w:val="nil"/>
              <w:left w:val="nil"/>
              <w:bottom w:val="nil"/>
              <w:right w:val="nil"/>
            </w:tcBorders>
            <w:shd w:val="clear" w:color="auto" w:fill="auto"/>
            <w:noWrap/>
            <w:hideMark/>
          </w:tcPr>
          <w:p w14:paraId="666148E7"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Intangible assets (net)</w:t>
            </w:r>
          </w:p>
        </w:tc>
        <w:tc>
          <w:tcPr>
            <w:tcW w:w="945" w:type="dxa"/>
            <w:tcBorders>
              <w:top w:val="nil"/>
              <w:left w:val="nil"/>
              <w:bottom w:val="nil"/>
              <w:right w:val="nil"/>
            </w:tcBorders>
            <w:shd w:val="clear" w:color="auto" w:fill="auto"/>
            <w:noWrap/>
            <w:hideMark/>
          </w:tcPr>
          <w:p w14:paraId="3D36C14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38 </w:t>
            </w:r>
          </w:p>
        </w:tc>
        <w:tc>
          <w:tcPr>
            <w:tcW w:w="1008" w:type="dxa"/>
            <w:tcBorders>
              <w:top w:val="nil"/>
              <w:left w:val="nil"/>
              <w:bottom w:val="nil"/>
              <w:right w:val="nil"/>
            </w:tcBorders>
            <w:shd w:val="clear" w:color="auto" w:fill="auto"/>
            <w:noWrap/>
            <w:hideMark/>
          </w:tcPr>
          <w:p w14:paraId="78A08D5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13 </w:t>
            </w:r>
          </w:p>
        </w:tc>
        <w:tc>
          <w:tcPr>
            <w:tcW w:w="946" w:type="dxa"/>
            <w:tcBorders>
              <w:top w:val="nil"/>
              <w:left w:val="nil"/>
              <w:bottom w:val="nil"/>
              <w:right w:val="nil"/>
            </w:tcBorders>
            <w:shd w:val="clear" w:color="auto" w:fill="auto"/>
            <w:noWrap/>
            <w:hideMark/>
          </w:tcPr>
          <w:p w14:paraId="425B1B5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0</w:t>
            </w:r>
          </w:p>
        </w:tc>
        <w:tc>
          <w:tcPr>
            <w:tcW w:w="946" w:type="dxa"/>
            <w:tcBorders>
              <w:top w:val="nil"/>
              <w:left w:val="nil"/>
              <w:bottom w:val="nil"/>
              <w:right w:val="nil"/>
            </w:tcBorders>
            <w:shd w:val="clear" w:color="auto" w:fill="auto"/>
            <w:noWrap/>
            <w:hideMark/>
          </w:tcPr>
          <w:p w14:paraId="3C33F507" w14:textId="77777777" w:rsidR="006F2077" w:rsidRPr="003920D7" w:rsidRDefault="006F2077" w:rsidP="006F2077">
            <w:pPr>
              <w:jc w:val="right"/>
              <w:rPr>
                <w:rFonts w:ascii="Arial" w:hAnsi="Arial" w:cs="Arial"/>
                <w:lang w:val="en-GB"/>
              </w:rPr>
            </w:pPr>
            <w:r w:rsidRPr="003920D7">
              <w:rPr>
                <w:rFonts w:ascii="Arial" w:hAnsi="Arial" w:cs="Arial"/>
                <w:lang w:val="en-GB"/>
              </w:rPr>
              <w:t>0</w:t>
            </w:r>
          </w:p>
        </w:tc>
      </w:tr>
      <w:tr w:rsidR="006F2077" w:rsidRPr="003920D7" w14:paraId="4D886127" w14:textId="77777777" w:rsidTr="00FF1DE0">
        <w:trPr>
          <w:trHeight w:hRule="exact" w:val="300"/>
          <w:jc w:val="center"/>
        </w:trPr>
        <w:tc>
          <w:tcPr>
            <w:tcW w:w="4911" w:type="dxa"/>
            <w:tcBorders>
              <w:top w:val="nil"/>
              <w:left w:val="nil"/>
              <w:right w:val="nil"/>
            </w:tcBorders>
            <w:shd w:val="clear" w:color="auto" w:fill="auto"/>
            <w:noWrap/>
            <w:hideMark/>
          </w:tcPr>
          <w:p w14:paraId="68AB26C8"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Other non-current assets</w:t>
            </w:r>
          </w:p>
        </w:tc>
        <w:tc>
          <w:tcPr>
            <w:tcW w:w="945" w:type="dxa"/>
            <w:tcBorders>
              <w:top w:val="nil"/>
              <w:left w:val="nil"/>
              <w:right w:val="nil"/>
            </w:tcBorders>
            <w:shd w:val="clear" w:color="auto" w:fill="auto"/>
            <w:noWrap/>
            <w:hideMark/>
          </w:tcPr>
          <w:p w14:paraId="08FBC73D" w14:textId="14A508EB"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351 </w:t>
            </w:r>
          </w:p>
        </w:tc>
        <w:tc>
          <w:tcPr>
            <w:tcW w:w="1008" w:type="dxa"/>
            <w:tcBorders>
              <w:top w:val="nil"/>
              <w:left w:val="nil"/>
              <w:right w:val="nil"/>
            </w:tcBorders>
            <w:shd w:val="clear" w:color="auto" w:fill="auto"/>
            <w:noWrap/>
            <w:hideMark/>
          </w:tcPr>
          <w:p w14:paraId="3E1716F3" w14:textId="1A53DF96"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415 </w:t>
            </w:r>
          </w:p>
        </w:tc>
        <w:tc>
          <w:tcPr>
            <w:tcW w:w="946" w:type="dxa"/>
            <w:tcBorders>
              <w:top w:val="nil"/>
              <w:left w:val="nil"/>
              <w:right w:val="nil"/>
            </w:tcBorders>
            <w:shd w:val="clear" w:color="auto" w:fill="auto"/>
            <w:noWrap/>
            <w:hideMark/>
          </w:tcPr>
          <w:p w14:paraId="16D82D10" w14:textId="1EB54A85"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347 </w:t>
            </w:r>
          </w:p>
        </w:tc>
        <w:tc>
          <w:tcPr>
            <w:tcW w:w="946" w:type="dxa"/>
            <w:tcBorders>
              <w:top w:val="nil"/>
              <w:left w:val="nil"/>
              <w:right w:val="nil"/>
            </w:tcBorders>
            <w:shd w:val="clear" w:color="auto" w:fill="auto"/>
            <w:noWrap/>
            <w:hideMark/>
          </w:tcPr>
          <w:p w14:paraId="7E458EE8" w14:textId="2BF89FAB"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201 </w:t>
            </w:r>
          </w:p>
        </w:tc>
      </w:tr>
      <w:tr w:rsidR="006F2077" w:rsidRPr="003920D7" w14:paraId="244B6C1B" w14:textId="77777777" w:rsidTr="00FF1DE0">
        <w:trPr>
          <w:trHeight w:hRule="exact" w:val="288"/>
          <w:jc w:val="center"/>
        </w:trPr>
        <w:tc>
          <w:tcPr>
            <w:tcW w:w="4911" w:type="dxa"/>
            <w:tcBorders>
              <w:top w:val="nil"/>
              <w:left w:val="nil"/>
              <w:bottom w:val="nil"/>
              <w:right w:val="nil"/>
            </w:tcBorders>
            <w:shd w:val="clear" w:color="auto" w:fill="auto"/>
            <w:noWrap/>
            <w:hideMark/>
          </w:tcPr>
          <w:p w14:paraId="0403ED36" w14:textId="77777777" w:rsidR="006F2077" w:rsidRPr="003920D7" w:rsidRDefault="006F2077" w:rsidP="006F2077">
            <w:pPr>
              <w:rPr>
                <w:rFonts w:ascii="Arial" w:hAnsi="Arial" w:cs="Arial"/>
                <w:b/>
                <w:color w:val="231F20"/>
                <w:lang w:val="en-GB"/>
              </w:rPr>
            </w:pPr>
            <w:r w:rsidRPr="003920D7">
              <w:rPr>
                <w:rFonts w:ascii="Arial" w:hAnsi="Arial" w:cs="Arial"/>
                <w:b/>
                <w:color w:val="231F20"/>
                <w:lang w:val="en-GB"/>
              </w:rPr>
              <w:t>Total Assets</w:t>
            </w:r>
          </w:p>
        </w:tc>
        <w:tc>
          <w:tcPr>
            <w:tcW w:w="945" w:type="dxa"/>
            <w:tcBorders>
              <w:top w:val="nil"/>
              <w:left w:val="nil"/>
              <w:bottom w:val="nil"/>
              <w:right w:val="nil"/>
            </w:tcBorders>
            <w:shd w:val="clear" w:color="auto" w:fill="auto"/>
            <w:noWrap/>
            <w:hideMark/>
          </w:tcPr>
          <w:p w14:paraId="25AFF481"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2,981 </w:t>
            </w:r>
          </w:p>
        </w:tc>
        <w:tc>
          <w:tcPr>
            <w:tcW w:w="1008" w:type="dxa"/>
            <w:tcBorders>
              <w:top w:val="nil"/>
              <w:left w:val="nil"/>
              <w:bottom w:val="nil"/>
              <w:right w:val="nil"/>
            </w:tcBorders>
            <w:shd w:val="clear" w:color="auto" w:fill="auto"/>
            <w:noWrap/>
            <w:hideMark/>
          </w:tcPr>
          <w:p w14:paraId="6A43C211"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2,828 </w:t>
            </w:r>
          </w:p>
        </w:tc>
        <w:tc>
          <w:tcPr>
            <w:tcW w:w="946" w:type="dxa"/>
            <w:tcBorders>
              <w:top w:val="nil"/>
              <w:left w:val="nil"/>
              <w:bottom w:val="nil"/>
              <w:right w:val="nil"/>
            </w:tcBorders>
            <w:shd w:val="clear" w:color="auto" w:fill="auto"/>
            <w:noWrap/>
            <w:hideMark/>
          </w:tcPr>
          <w:p w14:paraId="4478F1C6"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2,968 </w:t>
            </w:r>
          </w:p>
        </w:tc>
        <w:tc>
          <w:tcPr>
            <w:tcW w:w="946" w:type="dxa"/>
            <w:tcBorders>
              <w:top w:val="nil"/>
              <w:left w:val="nil"/>
              <w:bottom w:val="nil"/>
              <w:right w:val="nil"/>
            </w:tcBorders>
            <w:shd w:val="clear" w:color="auto" w:fill="auto"/>
            <w:noWrap/>
            <w:hideMark/>
          </w:tcPr>
          <w:p w14:paraId="6EE00C79"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2,910 </w:t>
            </w:r>
          </w:p>
        </w:tc>
      </w:tr>
      <w:tr w:rsidR="006F2077" w:rsidRPr="003920D7" w14:paraId="7DDCEB3E" w14:textId="77777777" w:rsidTr="00FF1DE0">
        <w:trPr>
          <w:trHeight w:hRule="exact" w:val="288"/>
          <w:jc w:val="center"/>
        </w:trPr>
        <w:tc>
          <w:tcPr>
            <w:tcW w:w="4911" w:type="dxa"/>
            <w:tcBorders>
              <w:top w:val="nil"/>
              <w:left w:val="nil"/>
              <w:bottom w:val="nil"/>
              <w:right w:val="nil"/>
            </w:tcBorders>
            <w:shd w:val="clear" w:color="auto" w:fill="auto"/>
            <w:noWrap/>
          </w:tcPr>
          <w:p w14:paraId="7C7EFBE1" w14:textId="77777777" w:rsidR="006F2077" w:rsidRPr="003920D7" w:rsidRDefault="006F2077" w:rsidP="006F2077">
            <w:pPr>
              <w:rPr>
                <w:rFonts w:ascii="Arial" w:hAnsi="Arial" w:cs="Arial"/>
                <w:b/>
                <w:color w:val="231F20"/>
                <w:lang w:val="en-GB"/>
              </w:rPr>
            </w:pPr>
          </w:p>
        </w:tc>
        <w:tc>
          <w:tcPr>
            <w:tcW w:w="945" w:type="dxa"/>
            <w:tcBorders>
              <w:top w:val="nil"/>
              <w:left w:val="nil"/>
              <w:bottom w:val="nil"/>
              <w:right w:val="nil"/>
            </w:tcBorders>
            <w:shd w:val="clear" w:color="auto" w:fill="auto"/>
            <w:noWrap/>
          </w:tcPr>
          <w:p w14:paraId="2E91F028" w14:textId="77777777" w:rsidR="006F2077" w:rsidRPr="003920D7" w:rsidRDefault="006F2077" w:rsidP="006F2077">
            <w:pPr>
              <w:jc w:val="right"/>
              <w:rPr>
                <w:rFonts w:ascii="Arial" w:hAnsi="Arial" w:cs="Arial"/>
                <w:b/>
                <w:color w:val="231F20"/>
                <w:szCs w:val="22"/>
                <w:lang w:val="en-GB"/>
              </w:rPr>
            </w:pPr>
          </w:p>
        </w:tc>
        <w:tc>
          <w:tcPr>
            <w:tcW w:w="1008" w:type="dxa"/>
            <w:tcBorders>
              <w:top w:val="nil"/>
              <w:left w:val="nil"/>
              <w:bottom w:val="nil"/>
              <w:right w:val="nil"/>
            </w:tcBorders>
            <w:shd w:val="clear" w:color="auto" w:fill="auto"/>
            <w:noWrap/>
          </w:tcPr>
          <w:p w14:paraId="2FB70D77" w14:textId="77777777" w:rsidR="006F2077" w:rsidRPr="003920D7" w:rsidRDefault="006F2077" w:rsidP="006F2077">
            <w:pPr>
              <w:jc w:val="right"/>
              <w:rPr>
                <w:rFonts w:ascii="Arial" w:hAnsi="Arial" w:cs="Arial"/>
                <w:b/>
                <w:color w:val="231F20"/>
                <w:szCs w:val="22"/>
                <w:lang w:val="en-GB"/>
              </w:rPr>
            </w:pPr>
          </w:p>
        </w:tc>
        <w:tc>
          <w:tcPr>
            <w:tcW w:w="946" w:type="dxa"/>
            <w:tcBorders>
              <w:top w:val="nil"/>
              <w:left w:val="nil"/>
              <w:bottom w:val="nil"/>
              <w:right w:val="nil"/>
            </w:tcBorders>
            <w:shd w:val="clear" w:color="auto" w:fill="auto"/>
            <w:noWrap/>
          </w:tcPr>
          <w:p w14:paraId="1C8C6D64" w14:textId="77777777" w:rsidR="006F2077" w:rsidRPr="003920D7" w:rsidRDefault="006F2077" w:rsidP="006F2077">
            <w:pPr>
              <w:jc w:val="right"/>
              <w:rPr>
                <w:rFonts w:ascii="Arial" w:hAnsi="Arial" w:cs="Arial"/>
                <w:b/>
                <w:color w:val="231F20"/>
                <w:szCs w:val="22"/>
                <w:lang w:val="en-GB"/>
              </w:rPr>
            </w:pPr>
          </w:p>
        </w:tc>
        <w:tc>
          <w:tcPr>
            <w:tcW w:w="946" w:type="dxa"/>
            <w:tcBorders>
              <w:top w:val="nil"/>
              <w:left w:val="nil"/>
              <w:bottom w:val="nil"/>
              <w:right w:val="nil"/>
            </w:tcBorders>
            <w:shd w:val="clear" w:color="auto" w:fill="auto"/>
            <w:noWrap/>
          </w:tcPr>
          <w:p w14:paraId="524D6307" w14:textId="77777777" w:rsidR="006F2077" w:rsidRPr="003920D7" w:rsidRDefault="006F2077" w:rsidP="006F2077">
            <w:pPr>
              <w:jc w:val="right"/>
              <w:rPr>
                <w:rFonts w:ascii="Arial" w:hAnsi="Arial" w:cs="Arial"/>
                <w:b/>
                <w:color w:val="231F20"/>
                <w:szCs w:val="22"/>
                <w:lang w:val="en-GB"/>
              </w:rPr>
            </w:pPr>
          </w:p>
        </w:tc>
      </w:tr>
      <w:tr w:rsidR="006F2077" w:rsidRPr="003920D7" w14:paraId="5B5ACE8A" w14:textId="77777777" w:rsidTr="00FF1DE0">
        <w:trPr>
          <w:trHeight w:hRule="exact" w:val="288"/>
          <w:jc w:val="center"/>
        </w:trPr>
        <w:tc>
          <w:tcPr>
            <w:tcW w:w="4911" w:type="dxa"/>
            <w:tcBorders>
              <w:top w:val="nil"/>
              <w:left w:val="nil"/>
              <w:bottom w:val="nil"/>
              <w:right w:val="nil"/>
            </w:tcBorders>
            <w:shd w:val="clear" w:color="auto" w:fill="auto"/>
            <w:noWrap/>
            <w:hideMark/>
          </w:tcPr>
          <w:p w14:paraId="1F39925A"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Bank indebtedness</w:t>
            </w:r>
          </w:p>
        </w:tc>
        <w:tc>
          <w:tcPr>
            <w:tcW w:w="945" w:type="dxa"/>
            <w:tcBorders>
              <w:top w:val="nil"/>
              <w:left w:val="nil"/>
              <w:bottom w:val="nil"/>
              <w:right w:val="nil"/>
            </w:tcBorders>
            <w:shd w:val="clear" w:color="auto" w:fill="auto"/>
            <w:noWrap/>
            <w:hideMark/>
          </w:tcPr>
          <w:p w14:paraId="7EB03EA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145 </w:t>
            </w:r>
          </w:p>
        </w:tc>
        <w:tc>
          <w:tcPr>
            <w:tcW w:w="1008" w:type="dxa"/>
            <w:tcBorders>
              <w:top w:val="nil"/>
              <w:left w:val="nil"/>
              <w:bottom w:val="nil"/>
              <w:right w:val="nil"/>
            </w:tcBorders>
            <w:shd w:val="clear" w:color="auto" w:fill="auto"/>
            <w:noWrap/>
            <w:hideMark/>
          </w:tcPr>
          <w:p w14:paraId="4A60F3E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76 </w:t>
            </w:r>
          </w:p>
        </w:tc>
        <w:tc>
          <w:tcPr>
            <w:tcW w:w="946" w:type="dxa"/>
            <w:tcBorders>
              <w:top w:val="nil"/>
              <w:left w:val="nil"/>
              <w:bottom w:val="nil"/>
              <w:right w:val="nil"/>
            </w:tcBorders>
            <w:shd w:val="clear" w:color="auto" w:fill="auto"/>
            <w:noWrap/>
            <w:hideMark/>
          </w:tcPr>
          <w:p w14:paraId="04798704"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43 </w:t>
            </w:r>
          </w:p>
        </w:tc>
        <w:tc>
          <w:tcPr>
            <w:tcW w:w="946" w:type="dxa"/>
            <w:tcBorders>
              <w:top w:val="nil"/>
              <w:left w:val="nil"/>
              <w:bottom w:val="nil"/>
              <w:right w:val="nil"/>
            </w:tcBorders>
            <w:shd w:val="clear" w:color="auto" w:fill="auto"/>
            <w:noWrap/>
            <w:hideMark/>
          </w:tcPr>
          <w:p w14:paraId="453D4A5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1"/>
                <w:lang w:val="en-GB"/>
              </w:rPr>
              <w:t xml:space="preserve">6 </w:t>
            </w:r>
          </w:p>
        </w:tc>
      </w:tr>
      <w:tr w:rsidR="006F2077" w:rsidRPr="003920D7" w14:paraId="790872B7" w14:textId="77777777" w:rsidTr="00FF1DE0">
        <w:trPr>
          <w:trHeight w:hRule="exact" w:val="300"/>
          <w:jc w:val="center"/>
        </w:trPr>
        <w:tc>
          <w:tcPr>
            <w:tcW w:w="4911" w:type="dxa"/>
            <w:tcBorders>
              <w:top w:val="nil"/>
              <w:left w:val="nil"/>
              <w:right w:val="nil"/>
            </w:tcBorders>
            <w:shd w:val="clear" w:color="auto" w:fill="auto"/>
            <w:noWrap/>
            <w:hideMark/>
          </w:tcPr>
          <w:p w14:paraId="45B26E88"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Other current liabilities</w:t>
            </w:r>
          </w:p>
        </w:tc>
        <w:tc>
          <w:tcPr>
            <w:tcW w:w="945" w:type="dxa"/>
            <w:tcBorders>
              <w:top w:val="nil"/>
              <w:left w:val="nil"/>
              <w:right w:val="nil"/>
            </w:tcBorders>
            <w:shd w:val="clear" w:color="auto" w:fill="auto"/>
            <w:noWrap/>
            <w:hideMark/>
          </w:tcPr>
          <w:p w14:paraId="69472E8C"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556 </w:t>
            </w:r>
          </w:p>
        </w:tc>
        <w:tc>
          <w:tcPr>
            <w:tcW w:w="1008" w:type="dxa"/>
            <w:tcBorders>
              <w:top w:val="nil"/>
              <w:left w:val="nil"/>
              <w:right w:val="nil"/>
            </w:tcBorders>
            <w:shd w:val="clear" w:color="auto" w:fill="auto"/>
            <w:noWrap/>
            <w:hideMark/>
          </w:tcPr>
          <w:p w14:paraId="6AD19436"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587 </w:t>
            </w:r>
          </w:p>
        </w:tc>
        <w:tc>
          <w:tcPr>
            <w:tcW w:w="946" w:type="dxa"/>
            <w:tcBorders>
              <w:top w:val="nil"/>
              <w:left w:val="nil"/>
              <w:right w:val="nil"/>
            </w:tcBorders>
            <w:shd w:val="clear" w:color="auto" w:fill="auto"/>
            <w:noWrap/>
            <w:hideMark/>
          </w:tcPr>
          <w:p w14:paraId="052FD647"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571 </w:t>
            </w:r>
          </w:p>
        </w:tc>
        <w:tc>
          <w:tcPr>
            <w:tcW w:w="946" w:type="dxa"/>
            <w:tcBorders>
              <w:top w:val="nil"/>
              <w:left w:val="nil"/>
              <w:right w:val="nil"/>
            </w:tcBorders>
            <w:shd w:val="clear" w:color="auto" w:fill="auto"/>
            <w:noWrap/>
            <w:hideMark/>
          </w:tcPr>
          <w:p w14:paraId="173C229C"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614 </w:t>
            </w:r>
          </w:p>
        </w:tc>
      </w:tr>
      <w:tr w:rsidR="006F2077" w:rsidRPr="003920D7" w14:paraId="33754AC0" w14:textId="77777777" w:rsidTr="00FF1DE0">
        <w:trPr>
          <w:trHeight w:hRule="exact" w:val="300"/>
          <w:jc w:val="center"/>
        </w:trPr>
        <w:tc>
          <w:tcPr>
            <w:tcW w:w="4911" w:type="dxa"/>
            <w:tcBorders>
              <w:top w:val="nil"/>
              <w:left w:val="nil"/>
              <w:right w:val="nil"/>
            </w:tcBorders>
            <w:shd w:val="clear" w:color="auto" w:fill="auto"/>
            <w:noWrap/>
            <w:hideMark/>
          </w:tcPr>
          <w:p w14:paraId="5425D196" w14:textId="77777777" w:rsidR="006F2077" w:rsidRPr="003920D7" w:rsidRDefault="006F2077" w:rsidP="006F2077">
            <w:pPr>
              <w:rPr>
                <w:rFonts w:ascii="Arial" w:hAnsi="Arial" w:cs="Arial"/>
                <w:color w:val="231F20"/>
                <w:lang w:val="en-GB"/>
              </w:rPr>
            </w:pPr>
            <w:r w:rsidRPr="003920D7">
              <w:rPr>
                <w:rFonts w:ascii="Arial" w:hAnsi="Arial" w:cs="Arial"/>
                <w:color w:val="231F20"/>
                <w:w w:val="105"/>
                <w:lang w:val="en-GB"/>
              </w:rPr>
              <w:t>Total current liabilities</w:t>
            </w:r>
          </w:p>
        </w:tc>
        <w:tc>
          <w:tcPr>
            <w:tcW w:w="945" w:type="dxa"/>
            <w:tcBorders>
              <w:top w:val="nil"/>
              <w:left w:val="nil"/>
              <w:right w:val="nil"/>
            </w:tcBorders>
            <w:shd w:val="clear" w:color="auto" w:fill="auto"/>
            <w:noWrap/>
            <w:hideMark/>
          </w:tcPr>
          <w:p w14:paraId="49E6521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701 </w:t>
            </w:r>
          </w:p>
        </w:tc>
        <w:tc>
          <w:tcPr>
            <w:tcW w:w="1008" w:type="dxa"/>
            <w:tcBorders>
              <w:top w:val="nil"/>
              <w:left w:val="nil"/>
              <w:right w:val="nil"/>
            </w:tcBorders>
            <w:shd w:val="clear" w:color="auto" w:fill="auto"/>
            <w:noWrap/>
            <w:hideMark/>
          </w:tcPr>
          <w:p w14:paraId="23E90E9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663 </w:t>
            </w:r>
          </w:p>
        </w:tc>
        <w:tc>
          <w:tcPr>
            <w:tcW w:w="946" w:type="dxa"/>
            <w:tcBorders>
              <w:top w:val="nil"/>
              <w:left w:val="nil"/>
              <w:right w:val="nil"/>
            </w:tcBorders>
            <w:shd w:val="clear" w:color="auto" w:fill="auto"/>
            <w:noWrap/>
            <w:hideMark/>
          </w:tcPr>
          <w:p w14:paraId="3EE1411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614 </w:t>
            </w:r>
          </w:p>
        </w:tc>
        <w:tc>
          <w:tcPr>
            <w:tcW w:w="946" w:type="dxa"/>
            <w:tcBorders>
              <w:top w:val="nil"/>
              <w:left w:val="nil"/>
              <w:right w:val="nil"/>
            </w:tcBorders>
            <w:shd w:val="clear" w:color="auto" w:fill="auto"/>
            <w:noWrap/>
            <w:hideMark/>
          </w:tcPr>
          <w:p w14:paraId="628C17A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620 </w:t>
            </w:r>
          </w:p>
        </w:tc>
      </w:tr>
      <w:tr w:rsidR="006F2077" w:rsidRPr="003920D7" w14:paraId="168086F4" w14:textId="77777777" w:rsidTr="00FF1DE0">
        <w:trPr>
          <w:trHeight w:val="288"/>
          <w:jc w:val="center"/>
        </w:trPr>
        <w:tc>
          <w:tcPr>
            <w:tcW w:w="4911" w:type="dxa"/>
            <w:tcBorders>
              <w:top w:val="nil"/>
              <w:left w:val="nil"/>
              <w:bottom w:val="nil"/>
              <w:right w:val="nil"/>
            </w:tcBorders>
            <w:shd w:val="clear" w:color="auto" w:fill="auto"/>
            <w:noWrap/>
            <w:hideMark/>
          </w:tcPr>
          <w:p w14:paraId="35C167BD"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Long-term debt</w:t>
            </w:r>
          </w:p>
        </w:tc>
        <w:tc>
          <w:tcPr>
            <w:tcW w:w="945" w:type="dxa"/>
            <w:tcBorders>
              <w:top w:val="nil"/>
              <w:left w:val="nil"/>
              <w:bottom w:val="nil"/>
              <w:right w:val="nil"/>
            </w:tcBorders>
            <w:shd w:val="clear" w:color="auto" w:fill="auto"/>
            <w:noWrap/>
            <w:hideMark/>
          </w:tcPr>
          <w:p w14:paraId="57B59C25" w14:textId="5A76E823" w:rsidR="006F2077" w:rsidRPr="003920D7" w:rsidRDefault="00895F14" w:rsidP="006F2077">
            <w:pPr>
              <w:jc w:val="right"/>
              <w:rPr>
                <w:rFonts w:ascii="Arial" w:hAnsi="Arial" w:cs="Arial"/>
                <w:color w:val="231F20"/>
                <w:lang w:val="en-GB"/>
              </w:rPr>
            </w:pPr>
            <w:r>
              <w:rPr>
                <w:rFonts w:ascii="Arial" w:hAnsi="Arial" w:cs="Arial"/>
                <w:color w:val="231F20"/>
                <w:w w:val="110"/>
                <w:lang w:val="en-GB"/>
              </w:rPr>
              <w:t>419</w:t>
            </w:r>
            <w:r w:rsidR="006F2077" w:rsidRPr="003920D7">
              <w:rPr>
                <w:rFonts w:ascii="Arial" w:hAnsi="Arial" w:cs="Arial"/>
                <w:color w:val="231F20"/>
                <w:w w:val="110"/>
                <w:lang w:val="en-GB"/>
              </w:rPr>
              <w:t xml:space="preserve"> </w:t>
            </w:r>
          </w:p>
        </w:tc>
        <w:tc>
          <w:tcPr>
            <w:tcW w:w="1008" w:type="dxa"/>
            <w:tcBorders>
              <w:top w:val="nil"/>
              <w:left w:val="nil"/>
              <w:bottom w:val="nil"/>
              <w:right w:val="nil"/>
            </w:tcBorders>
            <w:shd w:val="clear" w:color="auto" w:fill="auto"/>
            <w:noWrap/>
            <w:hideMark/>
          </w:tcPr>
          <w:p w14:paraId="6D34132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456 </w:t>
            </w:r>
          </w:p>
        </w:tc>
        <w:tc>
          <w:tcPr>
            <w:tcW w:w="946" w:type="dxa"/>
            <w:tcBorders>
              <w:top w:val="nil"/>
              <w:left w:val="nil"/>
              <w:bottom w:val="nil"/>
              <w:right w:val="nil"/>
            </w:tcBorders>
            <w:shd w:val="clear" w:color="auto" w:fill="auto"/>
            <w:noWrap/>
            <w:hideMark/>
          </w:tcPr>
          <w:p w14:paraId="01CFA59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508 </w:t>
            </w:r>
          </w:p>
        </w:tc>
        <w:tc>
          <w:tcPr>
            <w:tcW w:w="946" w:type="dxa"/>
            <w:tcBorders>
              <w:top w:val="nil"/>
              <w:left w:val="nil"/>
              <w:bottom w:val="nil"/>
              <w:right w:val="nil"/>
            </w:tcBorders>
            <w:shd w:val="clear" w:color="auto" w:fill="auto"/>
            <w:noWrap/>
            <w:hideMark/>
          </w:tcPr>
          <w:p w14:paraId="16109DC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576 </w:t>
            </w:r>
          </w:p>
        </w:tc>
      </w:tr>
      <w:tr w:rsidR="006F2077" w:rsidRPr="003920D7" w14:paraId="450E65EB" w14:textId="77777777" w:rsidTr="00FF1DE0">
        <w:trPr>
          <w:trHeight w:hRule="exact" w:val="300"/>
          <w:jc w:val="center"/>
        </w:trPr>
        <w:tc>
          <w:tcPr>
            <w:tcW w:w="4911" w:type="dxa"/>
            <w:tcBorders>
              <w:top w:val="nil"/>
              <w:left w:val="nil"/>
              <w:right w:val="nil"/>
            </w:tcBorders>
            <w:shd w:val="clear" w:color="auto" w:fill="auto"/>
            <w:noWrap/>
            <w:hideMark/>
          </w:tcPr>
          <w:p w14:paraId="5BC5EB99"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Other non-current liabilities</w:t>
            </w:r>
          </w:p>
        </w:tc>
        <w:tc>
          <w:tcPr>
            <w:tcW w:w="945" w:type="dxa"/>
            <w:tcBorders>
              <w:top w:val="nil"/>
              <w:left w:val="nil"/>
              <w:right w:val="nil"/>
            </w:tcBorders>
            <w:shd w:val="clear" w:color="auto" w:fill="auto"/>
            <w:noWrap/>
            <w:hideMark/>
          </w:tcPr>
          <w:p w14:paraId="52EC25D2" w14:textId="0A3C2A00" w:rsidR="006F2077" w:rsidRPr="003920D7" w:rsidRDefault="006F2077" w:rsidP="00895F14">
            <w:pPr>
              <w:jc w:val="right"/>
              <w:rPr>
                <w:rFonts w:ascii="Arial" w:hAnsi="Arial" w:cs="Arial"/>
                <w:color w:val="231F20"/>
                <w:lang w:val="en-GB"/>
              </w:rPr>
            </w:pPr>
            <w:r w:rsidRPr="003920D7">
              <w:rPr>
                <w:rFonts w:ascii="Arial" w:hAnsi="Arial" w:cs="Arial"/>
                <w:color w:val="231F20"/>
                <w:w w:val="110"/>
                <w:lang w:val="en-GB"/>
              </w:rPr>
              <w:t>8</w:t>
            </w:r>
            <w:r w:rsidR="00895F14">
              <w:rPr>
                <w:rFonts w:ascii="Arial" w:hAnsi="Arial" w:cs="Arial"/>
                <w:color w:val="231F20"/>
                <w:w w:val="110"/>
                <w:lang w:val="en-GB"/>
              </w:rPr>
              <w:t>4</w:t>
            </w:r>
            <w:r w:rsidRPr="003920D7">
              <w:rPr>
                <w:rFonts w:ascii="Arial" w:hAnsi="Arial" w:cs="Arial"/>
                <w:color w:val="231F20"/>
                <w:w w:val="110"/>
                <w:lang w:val="en-GB"/>
              </w:rPr>
              <w:t xml:space="preserve">5 </w:t>
            </w:r>
          </w:p>
        </w:tc>
        <w:tc>
          <w:tcPr>
            <w:tcW w:w="1008" w:type="dxa"/>
            <w:tcBorders>
              <w:top w:val="nil"/>
              <w:left w:val="nil"/>
              <w:right w:val="nil"/>
            </w:tcBorders>
            <w:shd w:val="clear" w:color="auto" w:fill="auto"/>
            <w:noWrap/>
            <w:hideMark/>
          </w:tcPr>
          <w:p w14:paraId="4873CFF1"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892 </w:t>
            </w:r>
          </w:p>
        </w:tc>
        <w:tc>
          <w:tcPr>
            <w:tcW w:w="946" w:type="dxa"/>
            <w:tcBorders>
              <w:top w:val="nil"/>
              <w:left w:val="nil"/>
              <w:right w:val="nil"/>
            </w:tcBorders>
            <w:shd w:val="clear" w:color="auto" w:fill="auto"/>
            <w:noWrap/>
            <w:hideMark/>
          </w:tcPr>
          <w:p w14:paraId="1DFD248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851 </w:t>
            </w:r>
          </w:p>
        </w:tc>
        <w:tc>
          <w:tcPr>
            <w:tcW w:w="946" w:type="dxa"/>
            <w:tcBorders>
              <w:top w:val="nil"/>
              <w:left w:val="nil"/>
              <w:right w:val="nil"/>
            </w:tcBorders>
            <w:shd w:val="clear" w:color="auto" w:fill="auto"/>
            <w:noWrap/>
            <w:hideMark/>
          </w:tcPr>
          <w:p w14:paraId="136FDA1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258 </w:t>
            </w:r>
          </w:p>
        </w:tc>
      </w:tr>
      <w:tr w:rsidR="006F2077" w:rsidRPr="003920D7" w14:paraId="527CC916" w14:textId="77777777" w:rsidTr="00FF1DE0">
        <w:trPr>
          <w:trHeight w:hRule="exact" w:val="288"/>
          <w:jc w:val="center"/>
        </w:trPr>
        <w:tc>
          <w:tcPr>
            <w:tcW w:w="4911" w:type="dxa"/>
            <w:tcBorders>
              <w:top w:val="nil"/>
              <w:left w:val="nil"/>
              <w:bottom w:val="nil"/>
              <w:right w:val="nil"/>
            </w:tcBorders>
            <w:shd w:val="clear" w:color="auto" w:fill="auto"/>
            <w:noWrap/>
            <w:hideMark/>
          </w:tcPr>
          <w:p w14:paraId="5468BFBD"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Convertible debentures</w:t>
            </w:r>
          </w:p>
        </w:tc>
        <w:tc>
          <w:tcPr>
            <w:tcW w:w="945" w:type="dxa"/>
            <w:tcBorders>
              <w:top w:val="nil"/>
              <w:left w:val="nil"/>
              <w:bottom w:val="nil"/>
              <w:right w:val="nil"/>
            </w:tcBorders>
            <w:shd w:val="clear" w:color="auto" w:fill="auto"/>
            <w:noWrap/>
            <w:hideMark/>
          </w:tcPr>
          <w:p w14:paraId="5190878E" w14:textId="68845C53" w:rsidR="006F2077" w:rsidRPr="003920D7" w:rsidRDefault="00895F14" w:rsidP="006F2077">
            <w:pPr>
              <w:jc w:val="right"/>
              <w:rPr>
                <w:rFonts w:ascii="Arial" w:hAnsi="Arial" w:cs="Arial"/>
                <w:color w:val="231F20"/>
                <w:lang w:val="en-GB"/>
              </w:rPr>
            </w:pPr>
            <w:r>
              <w:rPr>
                <w:rFonts w:ascii="Arial" w:hAnsi="Arial" w:cs="Arial"/>
                <w:color w:val="231F20"/>
                <w:w w:val="110"/>
                <w:lang w:val="en-GB"/>
              </w:rPr>
              <w:t>92</w:t>
            </w:r>
            <w:r w:rsidR="006F2077" w:rsidRPr="003920D7">
              <w:rPr>
                <w:rFonts w:ascii="Arial" w:hAnsi="Arial" w:cs="Arial"/>
                <w:color w:val="231F20"/>
                <w:w w:val="110"/>
                <w:lang w:val="en-GB"/>
              </w:rPr>
              <w:t xml:space="preserve"> </w:t>
            </w:r>
          </w:p>
        </w:tc>
        <w:tc>
          <w:tcPr>
            <w:tcW w:w="1008" w:type="dxa"/>
            <w:tcBorders>
              <w:top w:val="nil"/>
              <w:left w:val="nil"/>
              <w:bottom w:val="nil"/>
              <w:right w:val="nil"/>
            </w:tcBorders>
            <w:shd w:val="clear" w:color="auto" w:fill="auto"/>
            <w:noWrap/>
            <w:hideMark/>
          </w:tcPr>
          <w:p w14:paraId="30AD40E2"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0 </w:t>
            </w:r>
          </w:p>
        </w:tc>
        <w:tc>
          <w:tcPr>
            <w:tcW w:w="946" w:type="dxa"/>
            <w:tcBorders>
              <w:top w:val="nil"/>
              <w:left w:val="nil"/>
              <w:bottom w:val="nil"/>
              <w:right w:val="nil"/>
            </w:tcBorders>
            <w:shd w:val="clear" w:color="auto" w:fill="auto"/>
            <w:noWrap/>
            <w:hideMark/>
          </w:tcPr>
          <w:p w14:paraId="019EDFF8"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0 </w:t>
            </w:r>
          </w:p>
        </w:tc>
        <w:tc>
          <w:tcPr>
            <w:tcW w:w="946" w:type="dxa"/>
            <w:tcBorders>
              <w:top w:val="nil"/>
              <w:left w:val="nil"/>
              <w:bottom w:val="nil"/>
              <w:right w:val="nil"/>
            </w:tcBorders>
            <w:shd w:val="clear" w:color="auto" w:fill="auto"/>
            <w:noWrap/>
            <w:hideMark/>
          </w:tcPr>
          <w:p w14:paraId="4702D39B"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0 </w:t>
            </w:r>
          </w:p>
        </w:tc>
      </w:tr>
      <w:tr w:rsidR="006F2077" w:rsidRPr="003920D7" w14:paraId="46FFC872" w14:textId="77777777" w:rsidTr="00FF1DE0">
        <w:trPr>
          <w:trHeight w:hRule="exact" w:val="300"/>
          <w:jc w:val="center"/>
        </w:trPr>
        <w:tc>
          <w:tcPr>
            <w:tcW w:w="4911" w:type="dxa"/>
            <w:tcBorders>
              <w:top w:val="nil"/>
              <w:left w:val="nil"/>
              <w:right w:val="nil"/>
            </w:tcBorders>
            <w:shd w:val="clear" w:color="auto" w:fill="auto"/>
            <w:noWrap/>
            <w:hideMark/>
          </w:tcPr>
          <w:p w14:paraId="183B25E4"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Common equity</w:t>
            </w:r>
          </w:p>
        </w:tc>
        <w:tc>
          <w:tcPr>
            <w:tcW w:w="945" w:type="dxa"/>
            <w:tcBorders>
              <w:top w:val="nil"/>
              <w:left w:val="nil"/>
              <w:right w:val="nil"/>
            </w:tcBorders>
            <w:shd w:val="clear" w:color="auto" w:fill="auto"/>
            <w:noWrap/>
            <w:hideMark/>
          </w:tcPr>
          <w:p w14:paraId="30294796" w14:textId="0BDA6992"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924 </w:t>
            </w:r>
          </w:p>
        </w:tc>
        <w:tc>
          <w:tcPr>
            <w:tcW w:w="1008" w:type="dxa"/>
            <w:tcBorders>
              <w:top w:val="nil"/>
              <w:left w:val="nil"/>
              <w:right w:val="nil"/>
            </w:tcBorders>
            <w:shd w:val="clear" w:color="auto" w:fill="auto"/>
            <w:noWrap/>
            <w:hideMark/>
          </w:tcPr>
          <w:p w14:paraId="3AAC2254" w14:textId="4833F212"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817 </w:t>
            </w:r>
          </w:p>
        </w:tc>
        <w:tc>
          <w:tcPr>
            <w:tcW w:w="946" w:type="dxa"/>
            <w:tcBorders>
              <w:top w:val="nil"/>
              <w:left w:val="nil"/>
              <w:right w:val="nil"/>
            </w:tcBorders>
            <w:shd w:val="clear" w:color="auto" w:fill="auto"/>
            <w:noWrap/>
            <w:hideMark/>
          </w:tcPr>
          <w:p w14:paraId="78ADCC60" w14:textId="5F07C596" w:rsidR="006F2077" w:rsidRPr="003920D7" w:rsidRDefault="000F02EE" w:rsidP="006F2077">
            <w:pPr>
              <w:jc w:val="right"/>
              <w:rPr>
                <w:rFonts w:ascii="Arial" w:hAnsi="Arial" w:cs="Arial"/>
                <w:color w:val="231F20"/>
                <w:u w:val="single"/>
                <w:lang w:val="en-GB"/>
              </w:rPr>
            </w:pPr>
            <w:r>
              <w:rPr>
                <w:rFonts w:ascii="Arial" w:hAnsi="Arial" w:cs="Arial"/>
                <w:color w:val="231F20"/>
                <w:w w:val="110"/>
                <w:u w:val="single"/>
                <w:lang w:val="en-GB"/>
              </w:rPr>
              <w:t xml:space="preserve">  </w:t>
            </w:r>
            <w:r w:rsidR="006F2077" w:rsidRPr="003920D7">
              <w:rPr>
                <w:rFonts w:ascii="Arial" w:hAnsi="Arial" w:cs="Arial"/>
                <w:color w:val="231F20"/>
                <w:w w:val="110"/>
                <w:u w:val="single"/>
                <w:lang w:val="en-GB"/>
              </w:rPr>
              <w:t xml:space="preserve">995 </w:t>
            </w:r>
          </w:p>
        </w:tc>
        <w:tc>
          <w:tcPr>
            <w:tcW w:w="946" w:type="dxa"/>
            <w:tcBorders>
              <w:top w:val="nil"/>
              <w:left w:val="nil"/>
              <w:right w:val="nil"/>
            </w:tcBorders>
            <w:shd w:val="clear" w:color="auto" w:fill="auto"/>
            <w:noWrap/>
            <w:hideMark/>
          </w:tcPr>
          <w:p w14:paraId="3E86733D"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w w:val="110"/>
                <w:u w:val="single"/>
                <w:lang w:val="en-GB"/>
              </w:rPr>
              <w:t xml:space="preserve">1,456 </w:t>
            </w:r>
          </w:p>
        </w:tc>
      </w:tr>
      <w:tr w:rsidR="006F2077" w:rsidRPr="003920D7" w14:paraId="6197E35A" w14:textId="77777777" w:rsidTr="00FF1DE0">
        <w:trPr>
          <w:trHeight w:hRule="exact" w:val="300"/>
          <w:jc w:val="center"/>
        </w:trPr>
        <w:tc>
          <w:tcPr>
            <w:tcW w:w="4911" w:type="dxa"/>
            <w:tcBorders>
              <w:left w:val="nil"/>
              <w:bottom w:val="single" w:sz="8" w:space="0" w:color="231F20"/>
              <w:right w:val="nil"/>
            </w:tcBorders>
            <w:shd w:val="clear" w:color="auto" w:fill="auto"/>
            <w:noWrap/>
            <w:hideMark/>
          </w:tcPr>
          <w:p w14:paraId="5DB99CB9" w14:textId="4A2B15F5" w:rsidR="006F2077" w:rsidRPr="003920D7" w:rsidRDefault="006F2077" w:rsidP="006F2077">
            <w:pPr>
              <w:rPr>
                <w:rFonts w:ascii="Arial" w:hAnsi="Arial" w:cs="Arial"/>
                <w:b/>
                <w:color w:val="231F20"/>
                <w:lang w:val="en-GB"/>
              </w:rPr>
            </w:pPr>
            <w:r w:rsidRPr="003920D7">
              <w:rPr>
                <w:rFonts w:ascii="Arial" w:hAnsi="Arial" w:cs="Arial"/>
                <w:b/>
                <w:color w:val="231F20"/>
                <w:lang w:val="en-GB"/>
              </w:rPr>
              <w:t>Total Liabilities and Shareholders</w:t>
            </w:r>
            <w:r w:rsidR="00FA0D7B" w:rsidRPr="003920D7">
              <w:rPr>
                <w:rFonts w:ascii="Arial" w:hAnsi="Arial" w:cs="Arial"/>
                <w:b/>
                <w:color w:val="231F20"/>
                <w:lang w:val="en-GB"/>
              </w:rPr>
              <w:t>’</w:t>
            </w:r>
            <w:r w:rsidRPr="003920D7">
              <w:rPr>
                <w:rFonts w:ascii="Arial" w:hAnsi="Arial" w:cs="Arial"/>
                <w:b/>
                <w:color w:val="231F20"/>
                <w:lang w:val="en-GB"/>
              </w:rPr>
              <w:t xml:space="preserve"> Equity</w:t>
            </w:r>
          </w:p>
        </w:tc>
        <w:tc>
          <w:tcPr>
            <w:tcW w:w="945" w:type="dxa"/>
            <w:tcBorders>
              <w:left w:val="nil"/>
              <w:bottom w:val="single" w:sz="8" w:space="0" w:color="231F20"/>
              <w:right w:val="nil"/>
            </w:tcBorders>
            <w:shd w:val="clear" w:color="auto" w:fill="auto"/>
            <w:noWrap/>
            <w:hideMark/>
          </w:tcPr>
          <w:p w14:paraId="34BE40D8"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2,981 </w:t>
            </w:r>
          </w:p>
        </w:tc>
        <w:tc>
          <w:tcPr>
            <w:tcW w:w="1008" w:type="dxa"/>
            <w:tcBorders>
              <w:left w:val="nil"/>
              <w:bottom w:val="single" w:sz="8" w:space="0" w:color="231F20"/>
              <w:right w:val="nil"/>
            </w:tcBorders>
            <w:shd w:val="clear" w:color="auto" w:fill="auto"/>
            <w:noWrap/>
            <w:hideMark/>
          </w:tcPr>
          <w:p w14:paraId="01CA7DEE"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2,828 </w:t>
            </w:r>
          </w:p>
        </w:tc>
        <w:tc>
          <w:tcPr>
            <w:tcW w:w="946" w:type="dxa"/>
            <w:tcBorders>
              <w:left w:val="nil"/>
              <w:bottom w:val="single" w:sz="8" w:space="0" w:color="231F20"/>
              <w:right w:val="nil"/>
            </w:tcBorders>
            <w:shd w:val="clear" w:color="auto" w:fill="auto"/>
            <w:noWrap/>
            <w:hideMark/>
          </w:tcPr>
          <w:p w14:paraId="504DD6AC"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2,968 </w:t>
            </w:r>
          </w:p>
        </w:tc>
        <w:tc>
          <w:tcPr>
            <w:tcW w:w="946" w:type="dxa"/>
            <w:tcBorders>
              <w:left w:val="nil"/>
              <w:bottom w:val="single" w:sz="8" w:space="0" w:color="231F20"/>
              <w:right w:val="nil"/>
            </w:tcBorders>
            <w:shd w:val="clear" w:color="auto" w:fill="auto"/>
            <w:noWrap/>
            <w:hideMark/>
          </w:tcPr>
          <w:p w14:paraId="55315BB4"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szCs w:val="22"/>
                <w:lang w:val="en-GB"/>
              </w:rPr>
              <w:t xml:space="preserve">2,910 </w:t>
            </w:r>
          </w:p>
        </w:tc>
      </w:tr>
    </w:tbl>
    <w:p w14:paraId="1AF9E12B" w14:textId="77777777" w:rsidR="006F2077" w:rsidRPr="003920D7" w:rsidRDefault="006F2077" w:rsidP="006F2077">
      <w:pPr>
        <w:pStyle w:val="Casehead1"/>
        <w:rPr>
          <w:lang w:val="en-GB"/>
        </w:rPr>
      </w:pPr>
    </w:p>
    <w:p w14:paraId="47339E42" w14:textId="1F73AEC3" w:rsidR="006F2077" w:rsidRPr="003920D7" w:rsidRDefault="006F2077" w:rsidP="006F2077">
      <w:pPr>
        <w:pStyle w:val="Footnote"/>
        <w:rPr>
          <w:lang w:val="en-GB"/>
        </w:rPr>
      </w:pPr>
      <w:r w:rsidRPr="003920D7">
        <w:rPr>
          <w:lang w:val="en-GB"/>
        </w:rPr>
        <w:t xml:space="preserve">Source: </w:t>
      </w:r>
      <w:proofErr w:type="spellStart"/>
      <w:r w:rsidRPr="003920D7">
        <w:rPr>
          <w:lang w:val="en-GB"/>
        </w:rPr>
        <w:t>Stelco</w:t>
      </w:r>
      <w:proofErr w:type="spellEnd"/>
      <w:r w:rsidR="00FA0D7B" w:rsidRPr="003920D7">
        <w:rPr>
          <w:lang w:val="en-GB"/>
        </w:rPr>
        <w:t xml:space="preserve"> Inc.,</w:t>
      </w:r>
      <w:r w:rsidRPr="003920D7">
        <w:rPr>
          <w:lang w:val="en-GB"/>
        </w:rPr>
        <w:t xml:space="preserve"> </w:t>
      </w:r>
      <w:r w:rsidRPr="003920D7">
        <w:rPr>
          <w:i/>
          <w:lang w:val="en-GB"/>
        </w:rPr>
        <w:t>Annual Report</w:t>
      </w:r>
      <w:r w:rsidR="00FA0D7B" w:rsidRPr="003920D7">
        <w:rPr>
          <w:i/>
          <w:lang w:val="en-GB"/>
        </w:rPr>
        <w:t xml:space="preserve"> 2002</w:t>
      </w:r>
      <w:r w:rsidR="00FA0D7B" w:rsidRPr="003920D7">
        <w:rPr>
          <w:lang w:val="en-GB"/>
        </w:rPr>
        <w:t>, 2002</w:t>
      </w:r>
      <w:r w:rsidRPr="003920D7">
        <w:rPr>
          <w:lang w:val="en-GB"/>
        </w:rPr>
        <w:t>.</w:t>
      </w:r>
    </w:p>
    <w:p w14:paraId="7562A1F1" w14:textId="77777777" w:rsidR="006F2077" w:rsidRPr="003920D7" w:rsidRDefault="006F2077">
      <w:pPr>
        <w:spacing w:after="200" w:line="276" w:lineRule="auto"/>
        <w:rPr>
          <w:rFonts w:ascii="Arial" w:hAnsi="Arial" w:cs="Arial"/>
          <w:sz w:val="17"/>
          <w:szCs w:val="17"/>
          <w:lang w:val="en-GB"/>
        </w:rPr>
      </w:pPr>
      <w:r w:rsidRPr="003920D7">
        <w:rPr>
          <w:lang w:val="en-GB"/>
        </w:rPr>
        <w:br w:type="page"/>
      </w:r>
    </w:p>
    <w:p w14:paraId="3093CA45" w14:textId="1FF7BB5C" w:rsidR="006F2077" w:rsidRPr="003920D7" w:rsidRDefault="006F2077" w:rsidP="006F2077">
      <w:pPr>
        <w:pStyle w:val="Casehead1"/>
        <w:jc w:val="center"/>
        <w:rPr>
          <w:lang w:val="en-GB"/>
        </w:rPr>
      </w:pPr>
      <w:r w:rsidRPr="003920D7">
        <w:rPr>
          <w:lang w:val="en-GB"/>
        </w:rPr>
        <w:lastRenderedPageBreak/>
        <w:t>EXHIBIT 3 (Continued)</w:t>
      </w:r>
    </w:p>
    <w:p w14:paraId="30C376E2" w14:textId="77777777" w:rsidR="006F2077" w:rsidRPr="003920D7" w:rsidRDefault="006F2077" w:rsidP="006F2077">
      <w:pPr>
        <w:rPr>
          <w:lang w:val="en-GB"/>
        </w:rPr>
      </w:pPr>
    </w:p>
    <w:tbl>
      <w:tblPr>
        <w:tblW w:w="9595" w:type="dxa"/>
        <w:jc w:val="center"/>
        <w:tblLook w:val="04A0" w:firstRow="1" w:lastRow="0" w:firstColumn="1" w:lastColumn="0" w:noHBand="0" w:noVBand="1"/>
      </w:tblPr>
      <w:tblGrid>
        <w:gridCol w:w="5740"/>
        <w:gridCol w:w="965"/>
        <w:gridCol w:w="965"/>
        <w:gridCol w:w="965"/>
        <w:gridCol w:w="960"/>
      </w:tblGrid>
      <w:tr w:rsidR="006F2077" w:rsidRPr="003920D7" w14:paraId="38802723" w14:textId="77777777" w:rsidTr="006F2077">
        <w:trPr>
          <w:trHeight w:hRule="exact" w:val="300"/>
          <w:jc w:val="center"/>
        </w:trPr>
        <w:tc>
          <w:tcPr>
            <w:tcW w:w="5740" w:type="dxa"/>
            <w:tcBorders>
              <w:top w:val="nil"/>
              <w:left w:val="nil"/>
              <w:bottom w:val="single" w:sz="8" w:space="0" w:color="231F20"/>
              <w:right w:val="nil"/>
            </w:tcBorders>
            <w:shd w:val="clear" w:color="auto" w:fill="auto"/>
            <w:noWrap/>
            <w:vAlign w:val="bottom"/>
            <w:hideMark/>
          </w:tcPr>
          <w:p w14:paraId="55B49052" w14:textId="455B930F" w:rsidR="006F2077" w:rsidRPr="003920D7" w:rsidRDefault="006F2077" w:rsidP="006F2077">
            <w:pPr>
              <w:rPr>
                <w:rFonts w:ascii="Arial" w:hAnsi="Arial" w:cs="Arial"/>
                <w:b/>
                <w:bCs/>
                <w:color w:val="231F20"/>
                <w:lang w:val="en-GB"/>
              </w:rPr>
            </w:pPr>
            <w:r w:rsidRPr="003920D7">
              <w:rPr>
                <w:rFonts w:ascii="Arial" w:hAnsi="Arial" w:cs="Arial"/>
                <w:b/>
                <w:bCs/>
                <w:color w:val="231F20"/>
                <w:lang w:val="en-GB"/>
              </w:rPr>
              <w:t>(</w:t>
            </w:r>
            <w:r w:rsidR="00916954">
              <w:rPr>
                <w:rFonts w:ascii="Arial" w:hAnsi="Arial" w:cs="Arial"/>
                <w:b/>
                <w:bCs/>
                <w:color w:val="231F20"/>
                <w:lang w:val="en-GB"/>
              </w:rPr>
              <w:t>CA</w:t>
            </w:r>
            <w:r w:rsidRPr="003920D7">
              <w:rPr>
                <w:rFonts w:ascii="Arial" w:hAnsi="Arial" w:cs="Arial"/>
                <w:b/>
                <w:bCs/>
                <w:color w:val="231F20"/>
                <w:lang w:val="en-GB"/>
              </w:rPr>
              <w:t xml:space="preserve">$ in millions, except as </w:t>
            </w:r>
            <w:r w:rsidR="00022D4F" w:rsidRPr="003920D7">
              <w:rPr>
                <w:rFonts w:ascii="Arial" w:hAnsi="Arial" w:cs="Arial"/>
                <w:b/>
                <w:bCs/>
                <w:color w:val="231F20"/>
                <w:lang w:val="en-GB"/>
              </w:rPr>
              <w:t xml:space="preserve">otherwise </w:t>
            </w:r>
            <w:r w:rsidRPr="003920D7">
              <w:rPr>
                <w:rFonts w:ascii="Arial" w:hAnsi="Arial" w:cs="Arial"/>
                <w:b/>
                <w:bCs/>
                <w:color w:val="231F20"/>
                <w:lang w:val="en-GB"/>
              </w:rPr>
              <w:t>indicated)</w:t>
            </w:r>
          </w:p>
        </w:tc>
        <w:tc>
          <w:tcPr>
            <w:tcW w:w="965" w:type="dxa"/>
            <w:tcBorders>
              <w:top w:val="nil"/>
              <w:left w:val="nil"/>
              <w:bottom w:val="single" w:sz="8" w:space="0" w:color="231F20"/>
              <w:right w:val="nil"/>
            </w:tcBorders>
            <w:shd w:val="clear" w:color="auto" w:fill="auto"/>
            <w:noWrap/>
            <w:vAlign w:val="bottom"/>
            <w:hideMark/>
          </w:tcPr>
          <w:p w14:paraId="0B1179ED"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2002</w:t>
            </w:r>
          </w:p>
        </w:tc>
        <w:tc>
          <w:tcPr>
            <w:tcW w:w="965" w:type="dxa"/>
            <w:tcBorders>
              <w:top w:val="nil"/>
              <w:left w:val="nil"/>
              <w:bottom w:val="single" w:sz="8" w:space="0" w:color="231F20"/>
              <w:right w:val="nil"/>
            </w:tcBorders>
            <w:shd w:val="clear" w:color="auto" w:fill="auto"/>
            <w:noWrap/>
            <w:vAlign w:val="bottom"/>
            <w:hideMark/>
          </w:tcPr>
          <w:p w14:paraId="387F2E4C"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2001</w:t>
            </w:r>
          </w:p>
        </w:tc>
        <w:tc>
          <w:tcPr>
            <w:tcW w:w="965" w:type="dxa"/>
            <w:tcBorders>
              <w:top w:val="nil"/>
              <w:left w:val="nil"/>
              <w:bottom w:val="single" w:sz="8" w:space="0" w:color="231F20"/>
              <w:right w:val="nil"/>
            </w:tcBorders>
            <w:shd w:val="clear" w:color="auto" w:fill="auto"/>
            <w:noWrap/>
            <w:vAlign w:val="bottom"/>
            <w:hideMark/>
          </w:tcPr>
          <w:p w14:paraId="021FF21B"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2000</w:t>
            </w:r>
          </w:p>
        </w:tc>
        <w:tc>
          <w:tcPr>
            <w:tcW w:w="960" w:type="dxa"/>
            <w:tcBorders>
              <w:top w:val="nil"/>
              <w:left w:val="nil"/>
              <w:bottom w:val="single" w:sz="8" w:space="0" w:color="231F20"/>
              <w:right w:val="nil"/>
            </w:tcBorders>
            <w:shd w:val="clear" w:color="auto" w:fill="auto"/>
            <w:noWrap/>
            <w:vAlign w:val="bottom"/>
            <w:hideMark/>
          </w:tcPr>
          <w:p w14:paraId="1E9796C8" w14:textId="77777777" w:rsidR="006F2077" w:rsidRPr="003920D7" w:rsidRDefault="006F2077" w:rsidP="006F2077">
            <w:pPr>
              <w:jc w:val="right"/>
              <w:rPr>
                <w:rFonts w:ascii="Arial" w:hAnsi="Arial" w:cs="Arial"/>
                <w:b/>
                <w:bCs/>
                <w:color w:val="231F20"/>
                <w:lang w:val="en-GB"/>
              </w:rPr>
            </w:pPr>
            <w:r w:rsidRPr="003920D7">
              <w:rPr>
                <w:rFonts w:ascii="Arial" w:hAnsi="Arial" w:cs="Arial"/>
                <w:b/>
                <w:bCs/>
                <w:color w:val="231F20"/>
                <w:lang w:val="en-GB"/>
              </w:rPr>
              <w:t>1999</w:t>
            </w:r>
          </w:p>
        </w:tc>
      </w:tr>
      <w:tr w:rsidR="006F2077" w:rsidRPr="003920D7" w14:paraId="65A0FBAA"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276A4834" w14:textId="41240177" w:rsidR="006F2077" w:rsidRPr="003920D7" w:rsidRDefault="00895F14" w:rsidP="00676744">
            <w:pPr>
              <w:rPr>
                <w:rFonts w:ascii="Arial" w:hAnsi="Arial" w:cs="Arial"/>
                <w:b/>
                <w:bCs/>
                <w:color w:val="231F20"/>
                <w:lang w:val="en-GB"/>
              </w:rPr>
            </w:pPr>
            <w:r>
              <w:rPr>
                <w:rFonts w:ascii="Arial" w:hAnsi="Arial" w:cs="Arial"/>
                <w:b/>
                <w:bCs/>
                <w:color w:val="231F20"/>
                <w:lang w:val="en-GB"/>
              </w:rPr>
              <w:t xml:space="preserve">Consolidated </w:t>
            </w:r>
            <w:r w:rsidR="006F2077" w:rsidRPr="003920D7">
              <w:rPr>
                <w:rFonts w:ascii="Arial" w:hAnsi="Arial" w:cs="Arial"/>
                <w:b/>
                <w:bCs/>
                <w:color w:val="231F20"/>
                <w:lang w:val="en-GB"/>
              </w:rPr>
              <w:t xml:space="preserve">Statement of Cash </w:t>
            </w:r>
            <w:r w:rsidR="00022D4F" w:rsidRPr="003920D7">
              <w:rPr>
                <w:rFonts w:ascii="Arial" w:hAnsi="Arial" w:cs="Arial"/>
                <w:b/>
                <w:bCs/>
                <w:color w:val="231F20"/>
                <w:lang w:val="en-GB"/>
              </w:rPr>
              <w:t>F</w:t>
            </w:r>
            <w:r w:rsidR="006F2077" w:rsidRPr="003920D7">
              <w:rPr>
                <w:rFonts w:ascii="Arial" w:hAnsi="Arial" w:cs="Arial"/>
                <w:b/>
                <w:bCs/>
                <w:color w:val="231F20"/>
                <w:lang w:val="en-GB"/>
              </w:rPr>
              <w:t>lows</w:t>
            </w:r>
          </w:p>
        </w:tc>
        <w:tc>
          <w:tcPr>
            <w:tcW w:w="965" w:type="dxa"/>
            <w:tcBorders>
              <w:top w:val="nil"/>
              <w:left w:val="nil"/>
              <w:bottom w:val="nil"/>
              <w:right w:val="nil"/>
            </w:tcBorders>
            <w:shd w:val="clear" w:color="auto" w:fill="auto"/>
            <w:noWrap/>
            <w:vAlign w:val="bottom"/>
            <w:hideMark/>
          </w:tcPr>
          <w:p w14:paraId="3360A83E" w14:textId="77777777" w:rsidR="006F2077" w:rsidRPr="003920D7" w:rsidRDefault="006F2077" w:rsidP="006F2077">
            <w:pPr>
              <w:jc w:val="right"/>
              <w:rPr>
                <w:rFonts w:ascii="Arial" w:hAnsi="Arial" w:cs="Arial"/>
                <w:b/>
                <w:bCs/>
                <w:color w:val="231F20"/>
                <w:lang w:val="en-GB"/>
              </w:rPr>
            </w:pPr>
          </w:p>
        </w:tc>
        <w:tc>
          <w:tcPr>
            <w:tcW w:w="965" w:type="dxa"/>
            <w:tcBorders>
              <w:top w:val="nil"/>
              <w:left w:val="nil"/>
              <w:bottom w:val="nil"/>
              <w:right w:val="nil"/>
            </w:tcBorders>
            <w:shd w:val="clear" w:color="auto" w:fill="auto"/>
            <w:noWrap/>
            <w:vAlign w:val="bottom"/>
            <w:hideMark/>
          </w:tcPr>
          <w:p w14:paraId="1E231297" w14:textId="77777777" w:rsidR="006F2077" w:rsidRPr="003920D7" w:rsidRDefault="006F2077" w:rsidP="006F2077">
            <w:pPr>
              <w:jc w:val="right"/>
              <w:rPr>
                <w:rFonts w:ascii="Arial" w:hAnsi="Arial" w:cs="Arial"/>
                <w:lang w:val="en-GB"/>
              </w:rPr>
            </w:pPr>
          </w:p>
        </w:tc>
        <w:tc>
          <w:tcPr>
            <w:tcW w:w="965" w:type="dxa"/>
            <w:tcBorders>
              <w:top w:val="nil"/>
              <w:left w:val="nil"/>
              <w:bottom w:val="nil"/>
              <w:right w:val="nil"/>
            </w:tcBorders>
            <w:shd w:val="clear" w:color="auto" w:fill="auto"/>
            <w:noWrap/>
            <w:vAlign w:val="bottom"/>
            <w:hideMark/>
          </w:tcPr>
          <w:p w14:paraId="428CE9F2" w14:textId="77777777" w:rsidR="006F2077" w:rsidRPr="003920D7" w:rsidRDefault="006F2077" w:rsidP="006F2077">
            <w:pPr>
              <w:jc w:val="right"/>
              <w:rPr>
                <w:rFonts w:ascii="Arial" w:hAnsi="Arial" w:cs="Arial"/>
                <w:lang w:val="en-GB"/>
              </w:rPr>
            </w:pPr>
          </w:p>
        </w:tc>
        <w:tc>
          <w:tcPr>
            <w:tcW w:w="960" w:type="dxa"/>
            <w:tcBorders>
              <w:top w:val="nil"/>
              <w:left w:val="nil"/>
              <w:bottom w:val="nil"/>
              <w:right w:val="nil"/>
            </w:tcBorders>
            <w:shd w:val="clear" w:color="auto" w:fill="auto"/>
            <w:noWrap/>
            <w:vAlign w:val="bottom"/>
            <w:hideMark/>
          </w:tcPr>
          <w:p w14:paraId="32F7C082" w14:textId="77777777" w:rsidR="006F2077" w:rsidRPr="003920D7" w:rsidRDefault="006F2077" w:rsidP="006F2077">
            <w:pPr>
              <w:jc w:val="right"/>
              <w:rPr>
                <w:rFonts w:ascii="Arial" w:hAnsi="Arial" w:cs="Arial"/>
                <w:lang w:val="en-GB"/>
              </w:rPr>
            </w:pPr>
          </w:p>
        </w:tc>
      </w:tr>
      <w:tr w:rsidR="006F2077" w:rsidRPr="003920D7" w14:paraId="01A4D2B2" w14:textId="77777777" w:rsidTr="006F2077">
        <w:trPr>
          <w:trHeight w:val="288"/>
          <w:jc w:val="center"/>
        </w:trPr>
        <w:tc>
          <w:tcPr>
            <w:tcW w:w="5740" w:type="dxa"/>
            <w:tcBorders>
              <w:top w:val="nil"/>
              <w:left w:val="nil"/>
              <w:bottom w:val="nil"/>
              <w:right w:val="nil"/>
            </w:tcBorders>
            <w:shd w:val="clear" w:color="auto" w:fill="auto"/>
            <w:noWrap/>
            <w:vAlign w:val="bottom"/>
            <w:hideMark/>
          </w:tcPr>
          <w:p w14:paraId="6BE38AB0" w14:textId="77777777" w:rsidR="006F2077" w:rsidRPr="003920D7" w:rsidRDefault="006F2077" w:rsidP="006F2077">
            <w:pPr>
              <w:rPr>
                <w:rFonts w:ascii="Arial" w:hAnsi="Arial" w:cs="Arial"/>
                <w:b/>
                <w:color w:val="231F20"/>
                <w:lang w:val="en-GB"/>
              </w:rPr>
            </w:pPr>
            <w:r w:rsidRPr="003920D7">
              <w:rPr>
                <w:rFonts w:ascii="Arial" w:hAnsi="Arial" w:cs="Arial"/>
                <w:b/>
                <w:color w:val="231F20"/>
                <w:lang w:val="en-GB"/>
              </w:rPr>
              <w:t>Cash from (used for) Operations (CFO):</w:t>
            </w:r>
          </w:p>
        </w:tc>
        <w:tc>
          <w:tcPr>
            <w:tcW w:w="965" w:type="dxa"/>
            <w:tcBorders>
              <w:top w:val="nil"/>
              <w:left w:val="nil"/>
              <w:bottom w:val="nil"/>
              <w:right w:val="nil"/>
            </w:tcBorders>
            <w:shd w:val="clear" w:color="auto" w:fill="auto"/>
            <w:noWrap/>
            <w:vAlign w:val="bottom"/>
            <w:hideMark/>
          </w:tcPr>
          <w:p w14:paraId="134C6B4A"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lang w:val="en-GB"/>
              </w:rPr>
              <w:t>(10)</w:t>
            </w:r>
          </w:p>
        </w:tc>
        <w:tc>
          <w:tcPr>
            <w:tcW w:w="965" w:type="dxa"/>
            <w:tcBorders>
              <w:top w:val="nil"/>
              <w:left w:val="nil"/>
              <w:bottom w:val="nil"/>
              <w:right w:val="nil"/>
            </w:tcBorders>
            <w:shd w:val="clear" w:color="auto" w:fill="auto"/>
            <w:noWrap/>
            <w:vAlign w:val="bottom"/>
            <w:hideMark/>
          </w:tcPr>
          <w:p w14:paraId="75BCB857"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lang w:val="en-GB"/>
              </w:rPr>
              <w:t xml:space="preserve">69 </w:t>
            </w:r>
          </w:p>
        </w:tc>
        <w:tc>
          <w:tcPr>
            <w:tcW w:w="965" w:type="dxa"/>
            <w:tcBorders>
              <w:top w:val="nil"/>
              <w:left w:val="nil"/>
              <w:bottom w:val="nil"/>
              <w:right w:val="nil"/>
            </w:tcBorders>
            <w:shd w:val="clear" w:color="auto" w:fill="auto"/>
            <w:noWrap/>
            <w:vAlign w:val="bottom"/>
            <w:hideMark/>
          </w:tcPr>
          <w:p w14:paraId="63F8E63A"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lang w:val="en-GB"/>
              </w:rPr>
              <w:t xml:space="preserve">75 </w:t>
            </w:r>
          </w:p>
        </w:tc>
        <w:tc>
          <w:tcPr>
            <w:tcW w:w="960" w:type="dxa"/>
            <w:tcBorders>
              <w:top w:val="nil"/>
              <w:left w:val="nil"/>
              <w:bottom w:val="nil"/>
              <w:right w:val="nil"/>
            </w:tcBorders>
            <w:shd w:val="clear" w:color="auto" w:fill="auto"/>
            <w:noWrap/>
            <w:vAlign w:val="bottom"/>
            <w:hideMark/>
          </w:tcPr>
          <w:p w14:paraId="5EA52C64" w14:textId="77777777" w:rsidR="006F2077" w:rsidRPr="003920D7" w:rsidRDefault="006F2077" w:rsidP="006F2077">
            <w:pPr>
              <w:jc w:val="right"/>
              <w:rPr>
                <w:rFonts w:ascii="Arial" w:hAnsi="Arial" w:cs="Arial"/>
                <w:b/>
                <w:color w:val="231F20"/>
                <w:lang w:val="en-GB"/>
              </w:rPr>
            </w:pPr>
            <w:r w:rsidRPr="003920D7">
              <w:rPr>
                <w:rFonts w:ascii="Arial" w:hAnsi="Arial" w:cs="Arial"/>
                <w:b/>
                <w:color w:val="231F20"/>
                <w:lang w:val="en-GB"/>
              </w:rPr>
              <w:t xml:space="preserve">224 </w:t>
            </w:r>
          </w:p>
        </w:tc>
      </w:tr>
      <w:tr w:rsidR="006F2077" w:rsidRPr="003920D7" w14:paraId="7145555B" w14:textId="77777777" w:rsidTr="006F2077">
        <w:trPr>
          <w:trHeight w:val="288"/>
          <w:jc w:val="center"/>
        </w:trPr>
        <w:tc>
          <w:tcPr>
            <w:tcW w:w="5740" w:type="dxa"/>
            <w:tcBorders>
              <w:top w:val="nil"/>
              <w:left w:val="nil"/>
              <w:bottom w:val="nil"/>
              <w:right w:val="nil"/>
            </w:tcBorders>
            <w:shd w:val="clear" w:color="auto" w:fill="auto"/>
            <w:noWrap/>
            <w:vAlign w:val="bottom"/>
          </w:tcPr>
          <w:p w14:paraId="2B33AC64" w14:textId="77777777" w:rsidR="006F2077" w:rsidRPr="003920D7" w:rsidRDefault="006F2077" w:rsidP="006F2077">
            <w:pPr>
              <w:rPr>
                <w:rFonts w:ascii="Arial" w:hAnsi="Arial" w:cs="Arial"/>
                <w:b/>
                <w:color w:val="231F20"/>
                <w:lang w:val="en-GB"/>
              </w:rPr>
            </w:pPr>
          </w:p>
        </w:tc>
        <w:tc>
          <w:tcPr>
            <w:tcW w:w="965" w:type="dxa"/>
            <w:tcBorders>
              <w:top w:val="nil"/>
              <w:left w:val="nil"/>
              <w:bottom w:val="nil"/>
              <w:right w:val="nil"/>
            </w:tcBorders>
            <w:shd w:val="clear" w:color="auto" w:fill="auto"/>
            <w:noWrap/>
            <w:vAlign w:val="bottom"/>
          </w:tcPr>
          <w:p w14:paraId="786934DE" w14:textId="77777777" w:rsidR="006F2077" w:rsidRPr="003920D7" w:rsidRDefault="006F2077" w:rsidP="006F2077">
            <w:pPr>
              <w:jc w:val="right"/>
              <w:rPr>
                <w:rFonts w:ascii="Arial" w:hAnsi="Arial" w:cs="Arial"/>
                <w:b/>
                <w:color w:val="231F20"/>
                <w:lang w:val="en-GB"/>
              </w:rPr>
            </w:pPr>
          </w:p>
        </w:tc>
        <w:tc>
          <w:tcPr>
            <w:tcW w:w="965" w:type="dxa"/>
            <w:tcBorders>
              <w:top w:val="nil"/>
              <w:left w:val="nil"/>
              <w:bottom w:val="nil"/>
              <w:right w:val="nil"/>
            </w:tcBorders>
            <w:shd w:val="clear" w:color="auto" w:fill="auto"/>
            <w:noWrap/>
            <w:vAlign w:val="bottom"/>
          </w:tcPr>
          <w:p w14:paraId="771E2B5C" w14:textId="77777777" w:rsidR="006F2077" w:rsidRPr="003920D7" w:rsidRDefault="006F2077" w:rsidP="006F2077">
            <w:pPr>
              <w:jc w:val="right"/>
              <w:rPr>
                <w:rFonts w:ascii="Arial" w:hAnsi="Arial" w:cs="Arial"/>
                <w:b/>
                <w:color w:val="231F20"/>
                <w:lang w:val="en-GB"/>
              </w:rPr>
            </w:pPr>
          </w:p>
        </w:tc>
        <w:tc>
          <w:tcPr>
            <w:tcW w:w="965" w:type="dxa"/>
            <w:tcBorders>
              <w:top w:val="nil"/>
              <w:left w:val="nil"/>
              <w:bottom w:val="nil"/>
              <w:right w:val="nil"/>
            </w:tcBorders>
            <w:shd w:val="clear" w:color="auto" w:fill="auto"/>
            <w:noWrap/>
            <w:vAlign w:val="bottom"/>
          </w:tcPr>
          <w:p w14:paraId="5B7250A5" w14:textId="77777777" w:rsidR="006F2077" w:rsidRPr="003920D7" w:rsidRDefault="006F2077" w:rsidP="006F2077">
            <w:pPr>
              <w:jc w:val="right"/>
              <w:rPr>
                <w:rFonts w:ascii="Arial" w:hAnsi="Arial" w:cs="Arial"/>
                <w:b/>
                <w:color w:val="231F20"/>
                <w:lang w:val="en-GB"/>
              </w:rPr>
            </w:pPr>
          </w:p>
        </w:tc>
        <w:tc>
          <w:tcPr>
            <w:tcW w:w="960" w:type="dxa"/>
            <w:tcBorders>
              <w:top w:val="nil"/>
              <w:left w:val="nil"/>
              <w:bottom w:val="nil"/>
              <w:right w:val="nil"/>
            </w:tcBorders>
            <w:shd w:val="clear" w:color="auto" w:fill="auto"/>
            <w:noWrap/>
            <w:vAlign w:val="bottom"/>
          </w:tcPr>
          <w:p w14:paraId="4B8CBD41" w14:textId="77777777" w:rsidR="006F2077" w:rsidRPr="003920D7" w:rsidRDefault="006F2077" w:rsidP="006F2077">
            <w:pPr>
              <w:jc w:val="right"/>
              <w:rPr>
                <w:rFonts w:ascii="Arial" w:hAnsi="Arial" w:cs="Arial"/>
                <w:b/>
                <w:color w:val="231F20"/>
                <w:lang w:val="en-GB"/>
              </w:rPr>
            </w:pPr>
          </w:p>
        </w:tc>
      </w:tr>
      <w:tr w:rsidR="006F2077" w:rsidRPr="003920D7" w14:paraId="1676D60A" w14:textId="77777777" w:rsidTr="006F2077">
        <w:trPr>
          <w:trHeight w:val="288"/>
          <w:jc w:val="center"/>
        </w:trPr>
        <w:tc>
          <w:tcPr>
            <w:tcW w:w="5740" w:type="dxa"/>
            <w:tcBorders>
              <w:top w:val="nil"/>
              <w:left w:val="nil"/>
              <w:bottom w:val="nil"/>
              <w:right w:val="nil"/>
            </w:tcBorders>
            <w:shd w:val="clear" w:color="auto" w:fill="auto"/>
            <w:noWrap/>
            <w:vAlign w:val="bottom"/>
            <w:hideMark/>
          </w:tcPr>
          <w:p w14:paraId="0BE86FBC" w14:textId="6402BCBA"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Expenditures for capital assets</w:t>
            </w:r>
          </w:p>
        </w:tc>
        <w:tc>
          <w:tcPr>
            <w:tcW w:w="965" w:type="dxa"/>
            <w:tcBorders>
              <w:top w:val="nil"/>
              <w:left w:val="nil"/>
              <w:bottom w:val="nil"/>
              <w:right w:val="nil"/>
            </w:tcBorders>
            <w:shd w:val="clear" w:color="auto" w:fill="auto"/>
            <w:noWrap/>
            <w:vAlign w:val="bottom"/>
            <w:hideMark/>
          </w:tcPr>
          <w:p w14:paraId="6F13338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(48)</w:t>
            </w:r>
          </w:p>
        </w:tc>
        <w:tc>
          <w:tcPr>
            <w:tcW w:w="965" w:type="dxa"/>
            <w:tcBorders>
              <w:top w:val="nil"/>
              <w:left w:val="nil"/>
              <w:bottom w:val="nil"/>
              <w:right w:val="nil"/>
            </w:tcBorders>
            <w:shd w:val="clear" w:color="auto" w:fill="auto"/>
            <w:noWrap/>
            <w:vAlign w:val="bottom"/>
            <w:hideMark/>
          </w:tcPr>
          <w:p w14:paraId="4EAC664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(73)</w:t>
            </w:r>
          </w:p>
        </w:tc>
        <w:tc>
          <w:tcPr>
            <w:tcW w:w="965" w:type="dxa"/>
            <w:tcBorders>
              <w:top w:val="nil"/>
              <w:left w:val="nil"/>
              <w:bottom w:val="nil"/>
              <w:right w:val="nil"/>
            </w:tcBorders>
            <w:shd w:val="clear" w:color="auto" w:fill="auto"/>
            <w:noWrap/>
            <w:vAlign w:val="bottom"/>
            <w:hideMark/>
          </w:tcPr>
          <w:p w14:paraId="46DDBB3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(148)</w:t>
            </w:r>
          </w:p>
        </w:tc>
        <w:tc>
          <w:tcPr>
            <w:tcW w:w="960" w:type="dxa"/>
            <w:tcBorders>
              <w:top w:val="nil"/>
              <w:left w:val="nil"/>
              <w:bottom w:val="nil"/>
              <w:right w:val="nil"/>
            </w:tcBorders>
            <w:shd w:val="clear" w:color="auto" w:fill="auto"/>
            <w:noWrap/>
            <w:vAlign w:val="bottom"/>
            <w:hideMark/>
          </w:tcPr>
          <w:p w14:paraId="43650B7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(222)</w:t>
            </w:r>
          </w:p>
        </w:tc>
      </w:tr>
      <w:tr w:rsidR="006F2077" w:rsidRPr="003920D7" w14:paraId="5C4969FA"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67FDFB5F" w14:textId="586E23D8"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Proceeds from sale of assets</w:t>
            </w:r>
          </w:p>
        </w:tc>
        <w:tc>
          <w:tcPr>
            <w:tcW w:w="965" w:type="dxa"/>
            <w:tcBorders>
              <w:top w:val="nil"/>
              <w:left w:val="nil"/>
              <w:bottom w:val="nil"/>
              <w:right w:val="nil"/>
            </w:tcBorders>
            <w:shd w:val="clear" w:color="auto" w:fill="auto"/>
            <w:noWrap/>
            <w:vAlign w:val="bottom"/>
            <w:hideMark/>
          </w:tcPr>
          <w:p w14:paraId="15A15F21"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6ACB32E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21 </w:t>
            </w:r>
          </w:p>
        </w:tc>
        <w:tc>
          <w:tcPr>
            <w:tcW w:w="965" w:type="dxa"/>
            <w:tcBorders>
              <w:top w:val="nil"/>
              <w:left w:val="nil"/>
              <w:bottom w:val="nil"/>
              <w:right w:val="nil"/>
            </w:tcBorders>
            <w:shd w:val="clear" w:color="auto" w:fill="auto"/>
            <w:noWrap/>
            <w:vAlign w:val="bottom"/>
            <w:hideMark/>
          </w:tcPr>
          <w:p w14:paraId="106BBCE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0 </w:t>
            </w:r>
          </w:p>
        </w:tc>
        <w:tc>
          <w:tcPr>
            <w:tcW w:w="960" w:type="dxa"/>
            <w:tcBorders>
              <w:top w:val="nil"/>
              <w:left w:val="nil"/>
              <w:bottom w:val="nil"/>
              <w:right w:val="nil"/>
            </w:tcBorders>
            <w:shd w:val="clear" w:color="auto" w:fill="auto"/>
            <w:noWrap/>
            <w:vAlign w:val="bottom"/>
            <w:hideMark/>
          </w:tcPr>
          <w:p w14:paraId="103BAC30"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r>
      <w:tr w:rsidR="006F2077" w:rsidRPr="003920D7" w14:paraId="3A62DBAE"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07739309" w14:textId="0C2C3B1E"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Other investment activities (net)</w:t>
            </w:r>
          </w:p>
        </w:tc>
        <w:tc>
          <w:tcPr>
            <w:tcW w:w="965" w:type="dxa"/>
            <w:tcBorders>
              <w:top w:val="nil"/>
              <w:left w:val="nil"/>
              <w:bottom w:val="nil"/>
              <w:right w:val="nil"/>
            </w:tcBorders>
            <w:shd w:val="clear" w:color="auto" w:fill="auto"/>
            <w:noWrap/>
            <w:vAlign w:val="bottom"/>
            <w:hideMark/>
          </w:tcPr>
          <w:p w14:paraId="77DC735E" w14:textId="5510AF06" w:rsidR="006F2077" w:rsidRPr="003920D7" w:rsidRDefault="000F02E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 xml:space="preserve">8 </w:t>
            </w:r>
          </w:p>
        </w:tc>
        <w:tc>
          <w:tcPr>
            <w:tcW w:w="965" w:type="dxa"/>
            <w:tcBorders>
              <w:top w:val="nil"/>
              <w:left w:val="nil"/>
              <w:bottom w:val="nil"/>
              <w:right w:val="nil"/>
            </w:tcBorders>
            <w:shd w:val="clear" w:color="auto" w:fill="auto"/>
            <w:noWrap/>
            <w:vAlign w:val="bottom"/>
            <w:hideMark/>
          </w:tcPr>
          <w:p w14:paraId="5F42D8B4" w14:textId="7C1760BA" w:rsidR="006F2077" w:rsidRPr="003920D7" w:rsidRDefault="000F02E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 xml:space="preserve">0 </w:t>
            </w:r>
          </w:p>
        </w:tc>
        <w:tc>
          <w:tcPr>
            <w:tcW w:w="965" w:type="dxa"/>
            <w:tcBorders>
              <w:top w:val="nil"/>
              <w:left w:val="nil"/>
              <w:bottom w:val="nil"/>
              <w:right w:val="nil"/>
            </w:tcBorders>
            <w:shd w:val="clear" w:color="auto" w:fill="auto"/>
            <w:noWrap/>
            <w:vAlign w:val="bottom"/>
            <w:hideMark/>
          </w:tcPr>
          <w:p w14:paraId="22805F76" w14:textId="27E6C0D3" w:rsidR="006F2077" w:rsidRPr="003920D7" w:rsidRDefault="000F02E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 xml:space="preserve">6 </w:t>
            </w:r>
          </w:p>
        </w:tc>
        <w:tc>
          <w:tcPr>
            <w:tcW w:w="960" w:type="dxa"/>
            <w:tcBorders>
              <w:top w:val="nil"/>
              <w:left w:val="nil"/>
              <w:bottom w:val="nil"/>
              <w:right w:val="nil"/>
            </w:tcBorders>
            <w:shd w:val="clear" w:color="auto" w:fill="auto"/>
            <w:noWrap/>
            <w:vAlign w:val="bottom"/>
            <w:hideMark/>
          </w:tcPr>
          <w:p w14:paraId="31DB0530" w14:textId="5A801EDD" w:rsidR="006F2077" w:rsidRPr="003920D7" w:rsidRDefault="000F02E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 xml:space="preserve">20 </w:t>
            </w:r>
          </w:p>
        </w:tc>
      </w:tr>
      <w:tr w:rsidR="006F2077" w:rsidRPr="003920D7" w14:paraId="5046D3E8" w14:textId="77777777" w:rsidTr="006F2077">
        <w:trPr>
          <w:trHeight w:val="288"/>
          <w:jc w:val="center"/>
        </w:trPr>
        <w:tc>
          <w:tcPr>
            <w:tcW w:w="5740" w:type="dxa"/>
            <w:tcBorders>
              <w:top w:val="nil"/>
              <w:left w:val="nil"/>
              <w:bottom w:val="nil"/>
              <w:right w:val="nil"/>
            </w:tcBorders>
            <w:shd w:val="clear" w:color="auto" w:fill="auto"/>
            <w:noWrap/>
            <w:vAlign w:val="bottom"/>
          </w:tcPr>
          <w:p w14:paraId="02E596F9" w14:textId="77777777" w:rsidR="00022D4F" w:rsidRPr="003920D7" w:rsidRDefault="00022D4F" w:rsidP="003920D7">
            <w:pPr>
              <w:tabs>
                <w:tab w:val="left" w:pos="294"/>
              </w:tabs>
              <w:rPr>
                <w:rFonts w:ascii="Arial" w:hAnsi="Arial" w:cs="Arial"/>
                <w:b/>
                <w:color w:val="231F20"/>
                <w:lang w:val="en-GB"/>
              </w:rPr>
            </w:pPr>
          </w:p>
          <w:p w14:paraId="7D92627F" w14:textId="77777777" w:rsidR="006F2077" w:rsidRPr="003920D7" w:rsidRDefault="006F2077" w:rsidP="003920D7">
            <w:pPr>
              <w:tabs>
                <w:tab w:val="left" w:pos="294"/>
              </w:tabs>
              <w:rPr>
                <w:rFonts w:ascii="Arial" w:hAnsi="Arial" w:cs="Arial"/>
                <w:b/>
                <w:color w:val="231F20"/>
                <w:lang w:val="en-GB"/>
              </w:rPr>
            </w:pPr>
            <w:r w:rsidRPr="003920D7">
              <w:rPr>
                <w:rFonts w:ascii="Arial" w:hAnsi="Arial" w:cs="Arial"/>
                <w:b/>
                <w:color w:val="231F20"/>
                <w:lang w:val="en-GB"/>
              </w:rPr>
              <w:t>Cash from (used for) Investing (CFI):</w:t>
            </w:r>
          </w:p>
        </w:tc>
        <w:tc>
          <w:tcPr>
            <w:tcW w:w="965" w:type="dxa"/>
            <w:tcBorders>
              <w:top w:val="nil"/>
              <w:left w:val="nil"/>
              <w:bottom w:val="nil"/>
              <w:right w:val="nil"/>
            </w:tcBorders>
            <w:shd w:val="clear" w:color="auto" w:fill="auto"/>
            <w:noWrap/>
            <w:vAlign w:val="bottom"/>
          </w:tcPr>
          <w:p w14:paraId="73D99C7E" w14:textId="77777777" w:rsidR="006F2077" w:rsidRPr="003920D7" w:rsidRDefault="006F2077" w:rsidP="006F2077">
            <w:pPr>
              <w:jc w:val="right"/>
              <w:rPr>
                <w:rFonts w:ascii="Arial" w:hAnsi="Arial" w:cs="Arial"/>
                <w:b/>
                <w:color w:val="231F20"/>
                <w:lang w:val="en-GB"/>
              </w:rPr>
            </w:pPr>
            <w:r w:rsidRPr="003920D7">
              <w:rPr>
                <w:rFonts w:ascii="Arial" w:hAnsi="Arial" w:cs="Arial"/>
                <w:b/>
                <w:color w:val="000000"/>
                <w:lang w:val="en-GB"/>
              </w:rPr>
              <w:t>(40)</w:t>
            </w:r>
          </w:p>
        </w:tc>
        <w:tc>
          <w:tcPr>
            <w:tcW w:w="965" w:type="dxa"/>
            <w:tcBorders>
              <w:top w:val="nil"/>
              <w:left w:val="nil"/>
              <w:bottom w:val="nil"/>
              <w:right w:val="nil"/>
            </w:tcBorders>
            <w:shd w:val="clear" w:color="auto" w:fill="auto"/>
            <w:noWrap/>
            <w:vAlign w:val="bottom"/>
          </w:tcPr>
          <w:p w14:paraId="7E557F70" w14:textId="77777777" w:rsidR="006F2077" w:rsidRPr="003920D7" w:rsidRDefault="006F2077" w:rsidP="006F2077">
            <w:pPr>
              <w:jc w:val="right"/>
              <w:rPr>
                <w:rFonts w:ascii="Arial" w:hAnsi="Arial" w:cs="Arial"/>
                <w:b/>
                <w:color w:val="231F20"/>
                <w:w w:val="110"/>
                <w:lang w:val="en-GB"/>
              </w:rPr>
            </w:pPr>
            <w:r w:rsidRPr="003920D7">
              <w:rPr>
                <w:rFonts w:ascii="Arial" w:hAnsi="Arial" w:cs="Arial"/>
                <w:b/>
                <w:color w:val="000000"/>
                <w:lang w:val="en-GB"/>
              </w:rPr>
              <w:t>(52)</w:t>
            </w:r>
          </w:p>
        </w:tc>
        <w:tc>
          <w:tcPr>
            <w:tcW w:w="965" w:type="dxa"/>
            <w:tcBorders>
              <w:top w:val="nil"/>
              <w:left w:val="nil"/>
              <w:bottom w:val="nil"/>
              <w:right w:val="nil"/>
            </w:tcBorders>
            <w:shd w:val="clear" w:color="auto" w:fill="auto"/>
            <w:noWrap/>
            <w:vAlign w:val="bottom"/>
          </w:tcPr>
          <w:p w14:paraId="3106DAA8" w14:textId="77777777" w:rsidR="006F2077" w:rsidRPr="003920D7" w:rsidRDefault="006F2077" w:rsidP="006F2077">
            <w:pPr>
              <w:jc w:val="right"/>
              <w:rPr>
                <w:rFonts w:ascii="Arial" w:hAnsi="Arial" w:cs="Arial"/>
                <w:b/>
                <w:color w:val="231F20"/>
                <w:w w:val="110"/>
                <w:lang w:val="en-GB"/>
              </w:rPr>
            </w:pPr>
            <w:r w:rsidRPr="003920D7">
              <w:rPr>
                <w:rFonts w:ascii="Arial" w:hAnsi="Arial" w:cs="Arial"/>
                <w:b/>
                <w:color w:val="000000"/>
                <w:lang w:val="en-GB"/>
              </w:rPr>
              <w:t>(142)</w:t>
            </w:r>
          </w:p>
        </w:tc>
        <w:tc>
          <w:tcPr>
            <w:tcW w:w="960" w:type="dxa"/>
            <w:tcBorders>
              <w:top w:val="nil"/>
              <w:left w:val="nil"/>
              <w:bottom w:val="nil"/>
              <w:right w:val="nil"/>
            </w:tcBorders>
            <w:shd w:val="clear" w:color="auto" w:fill="auto"/>
            <w:noWrap/>
            <w:vAlign w:val="bottom"/>
          </w:tcPr>
          <w:p w14:paraId="6EFF3951" w14:textId="77777777" w:rsidR="006F2077" w:rsidRPr="003920D7" w:rsidRDefault="006F2077" w:rsidP="006F2077">
            <w:pPr>
              <w:jc w:val="right"/>
              <w:rPr>
                <w:rFonts w:ascii="Arial" w:hAnsi="Arial" w:cs="Arial"/>
                <w:b/>
                <w:color w:val="231F20"/>
                <w:w w:val="110"/>
                <w:lang w:val="en-GB"/>
              </w:rPr>
            </w:pPr>
            <w:r w:rsidRPr="003920D7">
              <w:rPr>
                <w:rFonts w:ascii="Arial" w:hAnsi="Arial" w:cs="Arial"/>
                <w:b/>
                <w:color w:val="000000"/>
                <w:lang w:val="en-GB"/>
              </w:rPr>
              <w:t>(202)</w:t>
            </w:r>
          </w:p>
        </w:tc>
      </w:tr>
      <w:tr w:rsidR="006F2077" w:rsidRPr="003920D7" w14:paraId="204AB63D" w14:textId="77777777" w:rsidTr="006F2077">
        <w:trPr>
          <w:trHeight w:val="288"/>
          <w:jc w:val="center"/>
        </w:trPr>
        <w:tc>
          <w:tcPr>
            <w:tcW w:w="5740" w:type="dxa"/>
            <w:tcBorders>
              <w:top w:val="nil"/>
              <w:left w:val="nil"/>
              <w:bottom w:val="nil"/>
              <w:right w:val="nil"/>
            </w:tcBorders>
            <w:shd w:val="clear" w:color="auto" w:fill="auto"/>
            <w:noWrap/>
            <w:vAlign w:val="bottom"/>
          </w:tcPr>
          <w:p w14:paraId="483C524F" w14:textId="77777777" w:rsidR="006F2077" w:rsidRPr="003920D7" w:rsidRDefault="006F2077" w:rsidP="003920D7">
            <w:pPr>
              <w:tabs>
                <w:tab w:val="left" w:pos="294"/>
              </w:tabs>
              <w:rPr>
                <w:rFonts w:ascii="Arial" w:hAnsi="Arial" w:cs="Arial"/>
                <w:b/>
                <w:color w:val="231F20"/>
                <w:lang w:val="en-GB"/>
              </w:rPr>
            </w:pPr>
          </w:p>
        </w:tc>
        <w:tc>
          <w:tcPr>
            <w:tcW w:w="965" w:type="dxa"/>
            <w:tcBorders>
              <w:top w:val="nil"/>
              <w:left w:val="nil"/>
              <w:bottom w:val="nil"/>
              <w:right w:val="nil"/>
            </w:tcBorders>
            <w:shd w:val="clear" w:color="auto" w:fill="auto"/>
            <w:noWrap/>
            <w:vAlign w:val="bottom"/>
          </w:tcPr>
          <w:p w14:paraId="4D2E712C" w14:textId="77777777" w:rsidR="006F2077" w:rsidRPr="003920D7" w:rsidRDefault="006F2077" w:rsidP="006F2077">
            <w:pPr>
              <w:jc w:val="right"/>
              <w:rPr>
                <w:rFonts w:ascii="Arial" w:hAnsi="Arial" w:cs="Arial"/>
                <w:b/>
                <w:color w:val="000000"/>
                <w:lang w:val="en-GB"/>
              </w:rPr>
            </w:pPr>
          </w:p>
        </w:tc>
        <w:tc>
          <w:tcPr>
            <w:tcW w:w="965" w:type="dxa"/>
            <w:tcBorders>
              <w:top w:val="nil"/>
              <w:left w:val="nil"/>
              <w:bottom w:val="nil"/>
              <w:right w:val="nil"/>
            </w:tcBorders>
            <w:shd w:val="clear" w:color="auto" w:fill="auto"/>
            <w:noWrap/>
            <w:vAlign w:val="bottom"/>
          </w:tcPr>
          <w:p w14:paraId="09B881F9" w14:textId="77777777" w:rsidR="006F2077" w:rsidRPr="003920D7" w:rsidRDefault="006F2077" w:rsidP="006F2077">
            <w:pPr>
              <w:jc w:val="right"/>
              <w:rPr>
                <w:rFonts w:ascii="Arial" w:hAnsi="Arial" w:cs="Arial"/>
                <w:b/>
                <w:color w:val="000000"/>
                <w:lang w:val="en-GB"/>
              </w:rPr>
            </w:pPr>
          </w:p>
        </w:tc>
        <w:tc>
          <w:tcPr>
            <w:tcW w:w="965" w:type="dxa"/>
            <w:tcBorders>
              <w:top w:val="nil"/>
              <w:left w:val="nil"/>
              <w:bottom w:val="nil"/>
              <w:right w:val="nil"/>
            </w:tcBorders>
            <w:shd w:val="clear" w:color="auto" w:fill="auto"/>
            <w:noWrap/>
            <w:vAlign w:val="bottom"/>
          </w:tcPr>
          <w:p w14:paraId="065EF0E5" w14:textId="77777777" w:rsidR="006F2077" w:rsidRPr="003920D7" w:rsidRDefault="006F2077" w:rsidP="006F2077">
            <w:pPr>
              <w:jc w:val="right"/>
              <w:rPr>
                <w:rFonts w:ascii="Arial" w:hAnsi="Arial" w:cs="Arial"/>
                <w:b/>
                <w:color w:val="000000"/>
                <w:lang w:val="en-GB"/>
              </w:rPr>
            </w:pPr>
          </w:p>
        </w:tc>
        <w:tc>
          <w:tcPr>
            <w:tcW w:w="960" w:type="dxa"/>
            <w:tcBorders>
              <w:top w:val="nil"/>
              <w:left w:val="nil"/>
              <w:bottom w:val="nil"/>
              <w:right w:val="nil"/>
            </w:tcBorders>
            <w:shd w:val="clear" w:color="auto" w:fill="auto"/>
            <w:noWrap/>
            <w:vAlign w:val="bottom"/>
          </w:tcPr>
          <w:p w14:paraId="034C46F4" w14:textId="77777777" w:rsidR="006F2077" w:rsidRPr="003920D7" w:rsidRDefault="006F2077" w:rsidP="006F2077">
            <w:pPr>
              <w:jc w:val="right"/>
              <w:rPr>
                <w:rFonts w:ascii="Arial" w:hAnsi="Arial" w:cs="Arial"/>
                <w:b/>
                <w:color w:val="000000"/>
                <w:lang w:val="en-GB"/>
              </w:rPr>
            </w:pPr>
          </w:p>
        </w:tc>
      </w:tr>
      <w:tr w:rsidR="006F2077" w:rsidRPr="003920D7" w14:paraId="5EC8785E"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6D3E1375" w14:textId="37C2408D"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Increase (reduction) in bank indebtedness</w:t>
            </w:r>
          </w:p>
        </w:tc>
        <w:tc>
          <w:tcPr>
            <w:tcW w:w="965" w:type="dxa"/>
            <w:tcBorders>
              <w:top w:val="nil"/>
              <w:left w:val="nil"/>
              <w:bottom w:val="nil"/>
              <w:right w:val="nil"/>
            </w:tcBorders>
            <w:shd w:val="clear" w:color="auto" w:fill="auto"/>
            <w:noWrap/>
            <w:vAlign w:val="bottom"/>
            <w:hideMark/>
          </w:tcPr>
          <w:p w14:paraId="017D636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69 </w:t>
            </w:r>
          </w:p>
        </w:tc>
        <w:tc>
          <w:tcPr>
            <w:tcW w:w="965" w:type="dxa"/>
            <w:tcBorders>
              <w:top w:val="nil"/>
              <w:left w:val="nil"/>
              <w:bottom w:val="nil"/>
              <w:right w:val="nil"/>
            </w:tcBorders>
            <w:shd w:val="clear" w:color="auto" w:fill="auto"/>
            <w:noWrap/>
            <w:vAlign w:val="bottom"/>
            <w:hideMark/>
          </w:tcPr>
          <w:p w14:paraId="425BD9B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33 </w:t>
            </w:r>
          </w:p>
        </w:tc>
        <w:tc>
          <w:tcPr>
            <w:tcW w:w="965" w:type="dxa"/>
            <w:tcBorders>
              <w:top w:val="nil"/>
              <w:left w:val="nil"/>
              <w:bottom w:val="nil"/>
              <w:right w:val="nil"/>
            </w:tcBorders>
            <w:shd w:val="clear" w:color="auto" w:fill="auto"/>
            <w:noWrap/>
            <w:vAlign w:val="bottom"/>
            <w:hideMark/>
          </w:tcPr>
          <w:p w14:paraId="58BBECC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37 </w:t>
            </w:r>
          </w:p>
        </w:tc>
        <w:tc>
          <w:tcPr>
            <w:tcW w:w="960" w:type="dxa"/>
            <w:tcBorders>
              <w:top w:val="nil"/>
              <w:left w:val="nil"/>
              <w:bottom w:val="nil"/>
              <w:right w:val="nil"/>
            </w:tcBorders>
            <w:shd w:val="clear" w:color="auto" w:fill="auto"/>
            <w:noWrap/>
            <w:vAlign w:val="bottom"/>
            <w:hideMark/>
          </w:tcPr>
          <w:p w14:paraId="3C77E63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(7)</w:t>
            </w:r>
          </w:p>
        </w:tc>
      </w:tr>
      <w:tr w:rsidR="006F2077" w:rsidRPr="003920D7" w14:paraId="23EC0BC8"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4BBE8F8E" w14:textId="237189CF"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Net proceeds from issue of long-term debt</w:t>
            </w:r>
          </w:p>
        </w:tc>
        <w:tc>
          <w:tcPr>
            <w:tcW w:w="965" w:type="dxa"/>
            <w:tcBorders>
              <w:top w:val="nil"/>
              <w:left w:val="nil"/>
              <w:bottom w:val="nil"/>
              <w:right w:val="nil"/>
            </w:tcBorders>
            <w:shd w:val="clear" w:color="auto" w:fill="auto"/>
            <w:noWrap/>
            <w:vAlign w:val="bottom"/>
            <w:hideMark/>
          </w:tcPr>
          <w:p w14:paraId="6896198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11 </w:t>
            </w:r>
          </w:p>
        </w:tc>
        <w:tc>
          <w:tcPr>
            <w:tcW w:w="965" w:type="dxa"/>
            <w:tcBorders>
              <w:top w:val="nil"/>
              <w:left w:val="nil"/>
              <w:bottom w:val="nil"/>
              <w:right w:val="nil"/>
            </w:tcBorders>
            <w:shd w:val="clear" w:color="auto" w:fill="auto"/>
            <w:noWrap/>
            <w:vAlign w:val="bottom"/>
            <w:hideMark/>
          </w:tcPr>
          <w:p w14:paraId="615DE27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19 </w:t>
            </w:r>
          </w:p>
        </w:tc>
        <w:tc>
          <w:tcPr>
            <w:tcW w:w="965" w:type="dxa"/>
            <w:tcBorders>
              <w:top w:val="nil"/>
              <w:left w:val="nil"/>
              <w:bottom w:val="nil"/>
              <w:right w:val="nil"/>
            </w:tcBorders>
            <w:shd w:val="clear" w:color="auto" w:fill="auto"/>
            <w:noWrap/>
            <w:vAlign w:val="bottom"/>
            <w:hideMark/>
          </w:tcPr>
          <w:p w14:paraId="69C6300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1 </w:t>
            </w:r>
          </w:p>
        </w:tc>
        <w:tc>
          <w:tcPr>
            <w:tcW w:w="960" w:type="dxa"/>
            <w:tcBorders>
              <w:top w:val="nil"/>
              <w:left w:val="nil"/>
              <w:bottom w:val="nil"/>
              <w:right w:val="nil"/>
            </w:tcBorders>
            <w:shd w:val="clear" w:color="auto" w:fill="auto"/>
            <w:noWrap/>
            <w:vAlign w:val="bottom"/>
            <w:hideMark/>
          </w:tcPr>
          <w:p w14:paraId="732D1784"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168 </w:t>
            </w:r>
          </w:p>
        </w:tc>
      </w:tr>
      <w:tr w:rsidR="006F2077" w:rsidRPr="003920D7" w14:paraId="639D73C2"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318CAFA1" w14:textId="58ACF8F6"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Reduction of long-term debt</w:t>
            </w:r>
          </w:p>
        </w:tc>
        <w:tc>
          <w:tcPr>
            <w:tcW w:w="965" w:type="dxa"/>
            <w:tcBorders>
              <w:top w:val="nil"/>
              <w:left w:val="nil"/>
              <w:bottom w:val="nil"/>
              <w:right w:val="nil"/>
            </w:tcBorders>
            <w:shd w:val="clear" w:color="auto" w:fill="auto"/>
            <w:noWrap/>
            <w:vAlign w:val="bottom"/>
            <w:hideMark/>
          </w:tcPr>
          <w:p w14:paraId="7D3A8143"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(87)</w:t>
            </w:r>
          </w:p>
        </w:tc>
        <w:tc>
          <w:tcPr>
            <w:tcW w:w="965" w:type="dxa"/>
            <w:tcBorders>
              <w:top w:val="nil"/>
              <w:left w:val="nil"/>
              <w:bottom w:val="nil"/>
              <w:right w:val="nil"/>
            </w:tcBorders>
            <w:shd w:val="clear" w:color="auto" w:fill="auto"/>
            <w:noWrap/>
            <w:vAlign w:val="bottom"/>
            <w:hideMark/>
          </w:tcPr>
          <w:p w14:paraId="487DD60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(70)</w:t>
            </w:r>
          </w:p>
        </w:tc>
        <w:tc>
          <w:tcPr>
            <w:tcW w:w="965" w:type="dxa"/>
            <w:tcBorders>
              <w:top w:val="nil"/>
              <w:left w:val="nil"/>
              <w:bottom w:val="nil"/>
              <w:right w:val="nil"/>
            </w:tcBorders>
            <w:shd w:val="clear" w:color="auto" w:fill="auto"/>
            <w:noWrap/>
            <w:vAlign w:val="bottom"/>
            <w:hideMark/>
          </w:tcPr>
          <w:p w14:paraId="1E87EF8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(64)</w:t>
            </w:r>
          </w:p>
        </w:tc>
        <w:tc>
          <w:tcPr>
            <w:tcW w:w="960" w:type="dxa"/>
            <w:tcBorders>
              <w:top w:val="nil"/>
              <w:left w:val="nil"/>
              <w:bottom w:val="nil"/>
              <w:right w:val="nil"/>
            </w:tcBorders>
            <w:shd w:val="clear" w:color="auto" w:fill="auto"/>
            <w:noWrap/>
            <w:vAlign w:val="bottom"/>
            <w:hideMark/>
          </w:tcPr>
          <w:p w14:paraId="5FFC0D7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(64)</w:t>
            </w:r>
          </w:p>
        </w:tc>
      </w:tr>
      <w:tr w:rsidR="006F2077" w:rsidRPr="003920D7" w14:paraId="34BFEA1A"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2A6EB80A" w14:textId="3A06A0FA"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Net proceeds from issue of convertible debentures</w:t>
            </w:r>
          </w:p>
        </w:tc>
        <w:tc>
          <w:tcPr>
            <w:tcW w:w="965" w:type="dxa"/>
            <w:tcBorders>
              <w:top w:val="nil"/>
              <w:left w:val="nil"/>
              <w:bottom w:val="nil"/>
              <w:right w:val="nil"/>
            </w:tcBorders>
            <w:shd w:val="clear" w:color="auto" w:fill="auto"/>
            <w:noWrap/>
            <w:vAlign w:val="bottom"/>
            <w:hideMark/>
          </w:tcPr>
          <w:p w14:paraId="749713F2"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87 </w:t>
            </w:r>
          </w:p>
        </w:tc>
        <w:tc>
          <w:tcPr>
            <w:tcW w:w="965" w:type="dxa"/>
            <w:tcBorders>
              <w:top w:val="nil"/>
              <w:left w:val="nil"/>
              <w:bottom w:val="nil"/>
              <w:right w:val="nil"/>
            </w:tcBorders>
            <w:shd w:val="clear" w:color="auto" w:fill="auto"/>
            <w:noWrap/>
            <w:vAlign w:val="bottom"/>
            <w:hideMark/>
          </w:tcPr>
          <w:p w14:paraId="62E53395"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0 </w:t>
            </w:r>
          </w:p>
        </w:tc>
        <w:tc>
          <w:tcPr>
            <w:tcW w:w="965" w:type="dxa"/>
            <w:tcBorders>
              <w:top w:val="nil"/>
              <w:left w:val="nil"/>
              <w:bottom w:val="nil"/>
              <w:right w:val="nil"/>
            </w:tcBorders>
            <w:shd w:val="clear" w:color="auto" w:fill="auto"/>
            <w:noWrap/>
            <w:vAlign w:val="bottom"/>
            <w:hideMark/>
          </w:tcPr>
          <w:p w14:paraId="0DF8C0F6" w14:textId="77777777" w:rsidR="006F2077" w:rsidRPr="003920D7" w:rsidRDefault="006F2077" w:rsidP="006F2077">
            <w:pPr>
              <w:jc w:val="right"/>
              <w:rPr>
                <w:rFonts w:ascii="Arial" w:hAnsi="Arial" w:cs="Arial"/>
                <w:lang w:val="en-GB"/>
              </w:rPr>
            </w:pPr>
            <w:r w:rsidRPr="003920D7">
              <w:rPr>
                <w:rFonts w:ascii="Arial" w:hAnsi="Arial" w:cs="Arial"/>
                <w:color w:val="000000"/>
                <w:lang w:val="en-GB"/>
              </w:rPr>
              <w:t xml:space="preserve">0 </w:t>
            </w:r>
          </w:p>
        </w:tc>
        <w:tc>
          <w:tcPr>
            <w:tcW w:w="960" w:type="dxa"/>
            <w:tcBorders>
              <w:top w:val="nil"/>
              <w:left w:val="nil"/>
              <w:bottom w:val="nil"/>
              <w:right w:val="nil"/>
            </w:tcBorders>
            <w:shd w:val="clear" w:color="auto" w:fill="auto"/>
            <w:noWrap/>
            <w:vAlign w:val="bottom"/>
            <w:hideMark/>
          </w:tcPr>
          <w:p w14:paraId="1B0F4B13" w14:textId="77777777" w:rsidR="006F2077" w:rsidRPr="003920D7" w:rsidRDefault="006F2077" w:rsidP="006F2077">
            <w:pPr>
              <w:jc w:val="right"/>
              <w:rPr>
                <w:rFonts w:ascii="Arial" w:hAnsi="Arial" w:cs="Arial"/>
                <w:lang w:val="en-GB"/>
              </w:rPr>
            </w:pPr>
            <w:r w:rsidRPr="003920D7">
              <w:rPr>
                <w:rFonts w:ascii="Arial" w:hAnsi="Arial" w:cs="Arial"/>
                <w:color w:val="000000"/>
                <w:lang w:val="en-GB"/>
              </w:rPr>
              <w:t xml:space="preserve">0 </w:t>
            </w:r>
          </w:p>
        </w:tc>
      </w:tr>
      <w:tr w:rsidR="006F2077" w:rsidRPr="003920D7" w14:paraId="3C6D740C"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4184A4E3" w14:textId="2CEBED72"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Purchase or redemption of preferred shares</w:t>
            </w:r>
          </w:p>
        </w:tc>
        <w:tc>
          <w:tcPr>
            <w:tcW w:w="965" w:type="dxa"/>
            <w:tcBorders>
              <w:top w:val="nil"/>
              <w:left w:val="nil"/>
              <w:bottom w:val="nil"/>
              <w:right w:val="nil"/>
            </w:tcBorders>
            <w:shd w:val="clear" w:color="auto" w:fill="auto"/>
            <w:noWrap/>
            <w:vAlign w:val="bottom"/>
            <w:hideMark/>
          </w:tcPr>
          <w:p w14:paraId="18B6703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29FB6FA1"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2DF64D2E"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c>
          <w:tcPr>
            <w:tcW w:w="960" w:type="dxa"/>
            <w:tcBorders>
              <w:top w:val="nil"/>
              <w:left w:val="nil"/>
              <w:bottom w:val="nil"/>
              <w:right w:val="nil"/>
            </w:tcBorders>
            <w:shd w:val="clear" w:color="auto" w:fill="auto"/>
            <w:noWrap/>
            <w:vAlign w:val="bottom"/>
            <w:hideMark/>
          </w:tcPr>
          <w:p w14:paraId="5CFBA17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(67)</w:t>
            </w:r>
          </w:p>
        </w:tc>
      </w:tr>
      <w:tr w:rsidR="006F2077" w:rsidRPr="003920D7" w14:paraId="04AA7AD0"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4E09BDD6" w14:textId="27D2C2D0"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Net proceeds from issue of common shares</w:t>
            </w:r>
          </w:p>
        </w:tc>
        <w:tc>
          <w:tcPr>
            <w:tcW w:w="965" w:type="dxa"/>
            <w:tcBorders>
              <w:top w:val="nil"/>
              <w:left w:val="nil"/>
              <w:bottom w:val="nil"/>
              <w:right w:val="nil"/>
            </w:tcBorders>
            <w:shd w:val="clear" w:color="auto" w:fill="auto"/>
            <w:noWrap/>
            <w:vAlign w:val="bottom"/>
            <w:hideMark/>
          </w:tcPr>
          <w:p w14:paraId="66C48D8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1D76B5F6"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6E2F5523"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c>
          <w:tcPr>
            <w:tcW w:w="960" w:type="dxa"/>
            <w:tcBorders>
              <w:top w:val="nil"/>
              <w:left w:val="nil"/>
              <w:bottom w:val="nil"/>
              <w:right w:val="nil"/>
            </w:tcBorders>
            <w:shd w:val="clear" w:color="auto" w:fill="auto"/>
            <w:noWrap/>
            <w:vAlign w:val="bottom"/>
            <w:hideMark/>
          </w:tcPr>
          <w:p w14:paraId="28E21774"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3 </w:t>
            </w:r>
          </w:p>
        </w:tc>
      </w:tr>
      <w:tr w:rsidR="006F2077" w:rsidRPr="003920D7" w14:paraId="69147CAE"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1B361D7C" w14:textId="77E3B71A"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Purchase of common shares</w:t>
            </w:r>
          </w:p>
        </w:tc>
        <w:tc>
          <w:tcPr>
            <w:tcW w:w="965" w:type="dxa"/>
            <w:tcBorders>
              <w:top w:val="nil"/>
              <w:left w:val="nil"/>
              <w:bottom w:val="nil"/>
              <w:right w:val="nil"/>
            </w:tcBorders>
            <w:shd w:val="clear" w:color="auto" w:fill="auto"/>
            <w:noWrap/>
            <w:vAlign w:val="bottom"/>
            <w:hideMark/>
          </w:tcPr>
          <w:p w14:paraId="0615E01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10417A44" w14:textId="77777777" w:rsidR="006F2077" w:rsidRPr="003920D7" w:rsidRDefault="006F2077" w:rsidP="006F2077">
            <w:pPr>
              <w:jc w:val="right"/>
              <w:rPr>
                <w:rFonts w:ascii="Arial" w:hAnsi="Arial" w:cs="Arial"/>
                <w:lang w:val="en-GB"/>
              </w:rPr>
            </w:pPr>
            <w:r w:rsidRPr="003920D7">
              <w:rPr>
                <w:rFonts w:ascii="Arial" w:hAnsi="Arial" w:cs="Arial"/>
                <w:color w:val="231F20"/>
                <w:lang w:val="en-GB"/>
              </w:rPr>
              <w:t xml:space="preserve">0 </w:t>
            </w:r>
          </w:p>
        </w:tc>
        <w:tc>
          <w:tcPr>
            <w:tcW w:w="965" w:type="dxa"/>
            <w:tcBorders>
              <w:top w:val="nil"/>
              <w:left w:val="nil"/>
              <w:bottom w:val="nil"/>
              <w:right w:val="nil"/>
            </w:tcBorders>
            <w:shd w:val="clear" w:color="auto" w:fill="auto"/>
            <w:noWrap/>
            <w:vAlign w:val="bottom"/>
            <w:hideMark/>
          </w:tcPr>
          <w:p w14:paraId="3AFC3BE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(26)</w:t>
            </w:r>
          </w:p>
        </w:tc>
        <w:tc>
          <w:tcPr>
            <w:tcW w:w="960" w:type="dxa"/>
            <w:tcBorders>
              <w:top w:val="nil"/>
              <w:left w:val="nil"/>
              <w:bottom w:val="nil"/>
              <w:right w:val="nil"/>
            </w:tcBorders>
            <w:shd w:val="clear" w:color="auto" w:fill="auto"/>
            <w:noWrap/>
            <w:vAlign w:val="bottom"/>
            <w:hideMark/>
          </w:tcPr>
          <w:p w14:paraId="7991CA8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(8)</w:t>
            </w:r>
          </w:p>
        </w:tc>
      </w:tr>
      <w:tr w:rsidR="006F2077" w:rsidRPr="003920D7" w14:paraId="405822E5" w14:textId="77777777" w:rsidTr="006F2077">
        <w:trPr>
          <w:trHeight w:hRule="exact" w:val="288"/>
          <w:jc w:val="center"/>
        </w:trPr>
        <w:tc>
          <w:tcPr>
            <w:tcW w:w="5740" w:type="dxa"/>
            <w:tcBorders>
              <w:top w:val="nil"/>
              <w:left w:val="nil"/>
              <w:right w:val="nil"/>
            </w:tcBorders>
            <w:shd w:val="clear" w:color="auto" w:fill="auto"/>
            <w:noWrap/>
            <w:vAlign w:val="bottom"/>
            <w:hideMark/>
          </w:tcPr>
          <w:p w14:paraId="520009FC" w14:textId="3C37E5F3"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Interest paid on convertible debentures</w:t>
            </w:r>
          </w:p>
        </w:tc>
        <w:tc>
          <w:tcPr>
            <w:tcW w:w="965" w:type="dxa"/>
            <w:tcBorders>
              <w:top w:val="nil"/>
              <w:left w:val="nil"/>
              <w:right w:val="nil"/>
            </w:tcBorders>
            <w:shd w:val="clear" w:color="auto" w:fill="auto"/>
            <w:noWrap/>
            <w:vAlign w:val="bottom"/>
            <w:hideMark/>
          </w:tcPr>
          <w:p w14:paraId="668BDC2A"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(4)</w:t>
            </w:r>
          </w:p>
        </w:tc>
        <w:tc>
          <w:tcPr>
            <w:tcW w:w="965" w:type="dxa"/>
            <w:tcBorders>
              <w:top w:val="nil"/>
              <w:left w:val="nil"/>
              <w:right w:val="nil"/>
            </w:tcBorders>
            <w:shd w:val="clear" w:color="auto" w:fill="auto"/>
            <w:noWrap/>
            <w:vAlign w:val="bottom"/>
            <w:hideMark/>
          </w:tcPr>
          <w:p w14:paraId="1E8A2C60" w14:textId="77777777" w:rsidR="006F2077" w:rsidRPr="003920D7" w:rsidRDefault="006F2077" w:rsidP="006F2077">
            <w:pPr>
              <w:jc w:val="right"/>
              <w:rPr>
                <w:rFonts w:ascii="Arial" w:hAnsi="Arial" w:cs="Arial"/>
                <w:color w:val="000000"/>
                <w:lang w:val="en-GB"/>
              </w:rPr>
            </w:pPr>
            <w:r w:rsidRPr="003920D7">
              <w:rPr>
                <w:rFonts w:ascii="Arial" w:hAnsi="Arial" w:cs="Arial"/>
                <w:color w:val="000000"/>
                <w:lang w:val="en-GB"/>
              </w:rPr>
              <w:t xml:space="preserve">0 </w:t>
            </w:r>
          </w:p>
        </w:tc>
        <w:tc>
          <w:tcPr>
            <w:tcW w:w="965" w:type="dxa"/>
            <w:tcBorders>
              <w:top w:val="nil"/>
              <w:left w:val="nil"/>
              <w:right w:val="nil"/>
            </w:tcBorders>
            <w:shd w:val="clear" w:color="auto" w:fill="auto"/>
            <w:noWrap/>
            <w:vAlign w:val="bottom"/>
            <w:hideMark/>
          </w:tcPr>
          <w:p w14:paraId="35D50EAE" w14:textId="77777777" w:rsidR="006F2077" w:rsidRPr="003920D7" w:rsidRDefault="006F2077" w:rsidP="006F2077">
            <w:pPr>
              <w:jc w:val="right"/>
              <w:rPr>
                <w:rFonts w:ascii="Arial" w:hAnsi="Arial" w:cs="Arial"/>
                <w:lang w:val="en-GB"/>
              </w:rPr>
            </w:pPr>
            <w:r w:rsidRPr="003920D7">
              <w:rPr>
                <w:rFonts w:ascii="Arial" w:hAnsi="Arial" w:cs="Arial"/>
                <w:color w:val="000000"/>
                <w:lang w:val="en-GB"/>
              </w:rPr>
              <w:t xml:space="preserve">0 </w:t>
            </w:r>
          </w:p>
        </w:tc>
        <w:tc>
          <w:tcPr>
            <w:tcW w:w="960" w:type="dxa"/>
            <w:tcBorders>
              <w:top w:val="nil"/>
              <w:left w:val="nil"/>
              <w:right w:val="nil"/>
            </w:tcBorders>
            <w:shd w:val="clear" w:color="auto" w:fill="auto"/>
            <w:noWrap/>
            <w:vAlign w:val="bottom"/>
            <w:hideMark/>
          </w:tcPr>
          <w:p w14:paraId="49A0FEB4" w14:textId="77777777" w:rsidR="006F2077" w:rsidRPr="003920D7" w:rsidRDefault="006F2077" w:rsidP="006F2077">
            <w:pPr>
              <w:jc w:val="right"/>
              <w:rPr>
                <w:rFonts w:ascii="Arial" w:hAnsi="Arial" w:cs="Arial"/>
                <w:lang w:val="en-GB"/>
              </w:rPr>
            </w:pPr>
            <w:r w:rsidRPr="003920D7">
              <w:rPr>
                <w:rFonts w:ascii="Arial" w:hAnsi="Arial" w:cs="Arial"/>
                <w:color w:val="000000"/>
                <w:lang w:val="en-GB"/>
              </w:rPr>
              <w:t xml:space="preserve">0 </w:t>
            </w:r>
          </w:p>
        </w:tc>
      </w:tr>
      <w:tr w:rsidR="006F2077" w:rsidRPr="003920D7" w14:paraId="1C4FACD3" w14:textId="77777777" w:rsidTr="006F2077">
        <w:trPr>
          <w:trHeight w:hRule="exact" w:val="300"/>
          <w:jc w:val="center"/>
        </w:trPr>
        <w:tc>
          <w:tcPr>
            <w:tcW w:w="5740" w:type="dxa"/>
            <w:tcBorders>
              <w:top w:val="nil"/>
              <w:left w:val="nil"/>
              <w:right w:val="nil"/>
            </w:tcBorders>
            <w:shd w:val="clear" w:color="auto" w:fill="auto"/>
            <w:noWrap/>
            <w:vAlign w:val="bottom"/>
            <w:hideMark/>
          </w:tcPr>
          <w:p w14:paraId="103F8D6D" w14:textId="3302D192" w:rsidR="006F2077" w:rsidRPr="003920D7" w:rsidRDefault="003920D7" w:rsidP="003920D7">
            <w:pPr>
              <w:tabs>
                <w:tab w:val="left" w:pos="294"/>
              </w:tabs>
              <w:rPr>
                <w:rFonts w:ascii="Arial" w:hAnsi="Arial" w:cs="Arial"/>
                <w:color w:val="231F20"/>
                <w:lang w:val="en-GB"/>
              </w:rPr>
            </w:pPr>
            <w:r w:rsidRPr="003920D7">
              <w:rPr>
                <w:rFonts w:ascii="Arial" w:hAnsi="Arial" w:cs="Arial"/>
                <w:color w:val="231F20"/>
                <w:lang w:val="en-GB"/>
              </w:rPr>
              <w:tab/>
            </w:r>
            <w:r w:rsidR="006F2077" w:rsidRPr="003920D7">
              <w:rPr>
                <w:rFonts w:ascii="Arial" w:hAnsi="Arial" w:cs="Arial"/>
                <w:color w:val="231F20"/>
                <w:lang w:val="en-GB"/>
              </w:rPr>
              <w:t>Cash dividends paid</w:t>
            </w:r>
          </w:p>
        </w:tc>
        <w:tc>
          <w:tcPr>
            <w:tcW w:w="965" w:type="dxa"/>
            <w:tcBorders>
              <w:top w:val="nil"/>
              <w:left w:val="nil"/>
              <w:right w:val="nil"/>
            </w:tcBorders>
            <w:shd w:val="clear" w:color="auto" w:fill="auto"/>
            <w:noWrap/>
            <w:vAlign w:val="bottom"/>
            <w:hideMark/>
          </w:tcPr>
          <w:p w14:paraId="71214717" w14:textId="76A240E6" w:rsidR="006F2077" w:rsidRPr="003920D7" w:rsidRDefault="0041796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 xml:space="preserve">0 </w:t>
            </w:r>
          </w:p>
        </w:tc>
        <w:tc>
          <w:tcPr>
            <w:tcW w:w="965" w:type="dxa"/>
            <w:tcBorders>
              <w:top w:val="nil"/>
              <w:left w:val="nil"/>
              <w:right w:val="nil"/>
            </w:tcBorders>
            <w:shd w:val="clear" w:color="auto" w:fill="auto"/>
            <w:noWrap/>
            <w:vAlign w:val="bottom"/>
            <w:hideMark/>
          </w:tcPr>
          <w:p w14:paraId="24B13BE9" w14:textId="7061810B" w:rsidR="006F2077" w:rsidRPr="003920D7" w:rsidRDefault="0041796E" w:rsidP="006F2077">
            <w:pPr>
              <w:jc w:val="right"/>
              <w:rPr>
                <w:rFonts w:ascii="Arial" w:hAnsi="Arial" w:cs="Arial"/>
                <w:color w:val="231F20"/>
                <w:u w:val="single"/>
                <w:lang w:val="en-GB"/>
              </w:rPr>
            </w:pPr>
            <w:r>
              <w:rPr>
                <w:rFonts w:ascii="Arial" w:hAnsi="Arial" w:cs="Arial"/>
                <w:color w:val="231F20"/>
                <w:u w:val="single"/>
                <w:lang w:val="en-GB"/>
              </w:rPr>
              <w:t xml:space="preserve">  </w:t>
            </w:r>
            <w:r w:rsidR="006F2077" w:rsidRPr="003920D7">
              <w:rPr>
                <w:rFonts w:ascii="Arial" w:hAnsi="Arial" w:cs="Arial"/>
                <w:color w:val="231F20"/>
                <w:u w:val="single"/>
                <w:lang w:val="en-GB"/>
              </w:rPr>
              <w:t>(3)</w:t>
            </w:r>
          </w:p>
        </w:tc>
        <w:tc>
          <w:tcPr>
            <w:tcW w:w="965" w:type="dxa"/>
            <w:tcBorders>
              <w:top w:val="nil"/>
              <w:left w:val="nil"/>
              <w:right w:val="nil"/>
            </w:tcBorders>
            <w:shd w:val="clear" w:color="auto" w:fill="auto"/>
            <w:noWrap/>
            <w:vAlign w:val="bottom"/>
            <w:hideMark/>
          </w:tcPr>
          <w:p w14:paraId="3E542B8B"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u w:val="single"/>
                <w:lang w:val="en-GB"/>
              </w:rPr>
              <w:t>(12)</w:t>
            </w:r>
          </w:p>
        </w:tc>
        <w:tc>
          <w:tcPr>
            <w:tcW w:w="960" w:type="dxa"/>
            <w:tcBorders>
              <w:top w:val="nil"/>
              <w:left w:val="nil"/>
              <w:right w:val="nil"/>
            </w:tcBorders>
            <w:shd w:val="clear" w:color="auto" w:fill="auto"/>
            <w:noWrap/>
            <w:vAlign w:val="bottom"/>
            <w:hideMark/>
          </w:tcPr>
          <w:p w14:paraId="3E173B6D" w14:textId="77777777" w:rsidR="006F2077" w:rsidRPr="003920D7" w:rsidRDefault="006F2077" w:rsidP="006F2077">
            <w:pPr>
              <w:jc w:val="right"/>
              <w:rPr>
                <w:rFonts w:ascii="Arial" w:hAnsi="Arial" w:cs="Arial"/>
                <w:color w:val="231F20"/>
                <w:u w:val="single"/>
                <w:lang w:val="en-GB"/>
              </w:rPr>
            </w:pPr>
            <w:r w:rsidRPr="003920D7">
              <w:rPr>
                <w:rFonts w:ascii="Arial" w:hAnsi="Arial" w:cs="Arial"/>
                <w:color w:val="231F20"/>
                <w:u w:val="single"/>
                <w:lang w:val="en-GB"/>
              </w:rPr>
              <w:t>(18)</w:t>
            </w:r>
          </w:p>
        </w:tc>
      </w:tr>
      <w:tr w:rsidR="006F2077" w:rsidRPr="003920D7" w14:paraId="00149ED8" w14:textId="77777777" w:rsidTr="006F2077">
        <w:trPr>
          <w:trHeight w:val="288"/>
          <w:jc w:val="center"/>
        </w:trPr>
        <w:tc>
          <w:tcPr>
            <w:tcW w:w="5740" w:type="dxa"/>
            <w:tcBorders>
              <w:top w:val="nil"/>
              <w:left w:val="nil"/>
              <w:bottom w:val="nil"/>
              <w:right w:val="nil"/>
            </w:tcBorders>
            <w:shd w:val="clear" w:color="auto" w:fill="auto"/>
            <w:noWrap/>
            <w:vAlign w:val="bottom"/>
            <w:hideMark/>
          </w:tcPr>
          <w:p w14:paraId="3CDD8874" w14:textId="77777777" w:rsidR="00022D4F" w:rsidRPr="003920D7" w:rsidRDefault="00022D4F" w:rsidP="006F2077">
            <w:pPr>
              <w:rPr>
                <w:rFonts w:ascii="Arial" w:hAnsi="Arial" w:cs="Arial"/>
                <w:b/>
                <w:color w:val="231F20"/>
                <w:lang w:val="en-GB"/>
              </w:rPr>
            </w:pPr>
          </w:p>
          <w:p w14:paraId="37A5E788" w14:textId="77777777" w:rsidR="006F2077" w:rsidRPr="003920D7" w:rsidRDefault="006F2077" w:rsidP="006F2077">
            <w:pPr>
              <w:rPr>
                <w:rFonts w:ascii="Arial" w:hAnsi="Arial" w:cs="Arial"/>
                <w:b/>
                <w:color w:val="231F20"/>
                <w:lang w:val="en-GB"/>
              </w:rPr>
            </w:pPr>
            <w:r w:rsidRPr="003920D7">
              <w:rPr>
                <w:rFonts w:ascii="Arial" w:hAnsi="Arial" w:cs="Arial"/>
                <w:b/>
                <w:color w:val="231F20"/>
                <w:lang w:val="en-GB"/>
              </w:rPr>
              <w:t>Cash from (used for) Financing (CFF):</w:t>
            </w:r>
          </w:p>
        </w:tc>
        <w:tc>
          <w:tcPr>
            <w:tcW w:w="965" w:type="dxa"/>
            <w:tcBorders>
              <w:top w:val="nil"/>
              <w:left w:val="nil"/>
              <w:bottom w:val="nil"/>
              <w:right w:val="nil"/>
            </w:tcBorders>
            <w:shd w:val="clear" w:color="auto" w:fill="auto"/>
            <w:noWrap/>
            <w:vAlign w:val="bottom"/>
            <w:hideMark/>
          </w:tcPr>
          <w:p w14:paraId="72B00DD1" w14:textId="77777777" w:rsidR="006F2077" w:rsidRPr="003920D7" w:rsidRDefault="006F2077" w:rsidP="006F2077">
            <w:pPr>
              <w:jc w:val="right"/>
              <w:rPr>
                <w:rFonts w:ascii="Arial" w:hAnsi="Arial" w:cs="Arial"/>
                <w:b/>
                <w:color w:val="231F20"/>
                <w:lang w:val="en-GB"/>
              </w:rPr>
            </w:pPr>
            <w:r w:rsidRPr="003920D7">
              <w:rPr>
                <w:rFonts w:ascii="Arial" w:hAnsi="Arial" w:cs="Arial"/>
                <w:b/>
                <w:color w:val="000000"/>
                <w:lang w:val="en-GB"/>
              </w:rPr>
              <w:t xml:space="preserve">76 </w:t>
            </w:r>
          </w:p>
        </w:tc>
        <w:tc>
          <w:tcPr>
            <w:tcW w:w="965" w:type="dxa"/>
            <w:tcBorders>
              <w:top w:val="nil"/>
              <w:left w:val="nil"/>
              <w:bottom w:val="nil"/>
              <w:right w:val="nil"/>
            </w:tcBorders>
            <w:shd w:val="clear" w:color="auto" w:fill="auto"/>
            <w:noWrap/>
            <w:vAlign w:val="bottom"/>
            <w:hideMark/>
          </w:tcPr>
          <w:p w14:paraId="670EFAB7" w14:textId="77777777" w:rsidR="006F2077" w:rsidRPr="003920D7" w:rsidRDefault="006F2077" w:rsidP="006F2077">
            <w:pPr>
              <w:jc w:val="right"/>
              <w:rPr>
                <w:rFonts w:ascii="Arial" w:hAnsi="Arial" w:cs="Arial"/>
                <w:b/>
                <w:lang w:val="en-GB"/>
              </w:rPr>
            </w:pPr>
            <w:r w:rsidRPr="003920D7">
              <w:rPr>
                <w:rFonts w:ascii="Arial" w:hAnsi="Arial" w:cs="Arial"/>
                <w:b/>
                <w:color w:val="000000"/>
                <w:lang w:val="en-GB"/>
              </w:rPr>
              <w:t>(21)</w:t>
            </w:r>
          </w:p>
        </w:tc>
        <w:tc>
          <w:tcPr>
            <w:tcW w:w="965" w:type="dxa"/>
            <w:tcBorders>
              <w:top w:val="nil"/>
              <w:left w:val="nil"/>
              <w:bottom w:val="nil"/>
              <w:right w:val="nil"/>
            </w:tcBorders>
            <w:shd w:val="clear" w:color="auto" w:fill="auto"/>
            <w:noWrap/>
            <w:vAlign w:val="bottom"/>
            <w:hideMark/>
          </w:tcPr>
          <w:p w14:paraId="44B53EFC" w14:textId="77777777" w:rsidR="006F2077" w:rsidRPr="003920D7" w:rsidRDefault="006F2077" w:rsidP="006F2077">
            <w:pPr>
              <w:jc w:val="right"/>
              <w:rPr>
                <w:rFonts w:ascii="Arial" w:hAnsi="Arial" w:cs="Arial"/>
                <w:b/>
                <w:lang w:val="en-GB"/>
              </w:rPr>
            </w:pPr>
            <w:r w:rsidRPr="003920D7">
              <w:rPr>
                <w:rFonts w:ascii="Arial" w:hAnsi="Arial" w:cs="Arial"/>
                <w:b/>
                <w:color w:val="000000"/>
                <w:lang w:val="en-GB"/>
              </w:rPr>
              <w:t>(64)</w:t>
            </w:r>
          </w:p>
        </w:tc>
        <w:tc>
          <w:tcPr>
            <w:tcW w:w="960" w:type="dxa"/>
            <w:tcBorders>
              <w:top w:val="nil"/>
              <w:left w:val="nil"/>
              <w:bottom w:val="nil"/>
              <w:right w:val="nil"/>
            </w:tcBorders>
            <w:shd w:val="clear" w:color="auto" w:fill="auto"/>
            <w:noWrap/>
            <w:vAlign w:val="bottom"/>
            <w:hideMark/>
          </w:tcPr>
          <w:p w14:paraId="783E10BA" w14:textId="77777777" w:rsidR="006F2077" w:rsidRPr="003920D7" w:rsidRDefault="006F2077" w:rsidP="006F2077">
            <w:pPr>
              <w:jc w:val="right"/>
              <w:rPr>
                <w:rFonts w:ascii="Arial" w:hAnsi="Arial" w:cs="Arial"/>
                <w:b/>
                <w:lang w:val="en-GB"/>
              </w:rPr>
            </w:pPr>
            <w:r w:rsidRPr="003920D7">
              <w:rPr>
                <w:rFonts w:ascii="Arial" w:hAnsi="Arial" w:cs="Arial"/>
                <w:b/>
                <w:color w:val="000000"/>
                <w:lang w:val="en-GB"/>
              </w:rPr>
              <w:t xml:space="preserve">7 </w:t>
            </w:r>
          </w:p>
        </w:tc>
      </w:tr>
      <w:tr w:rsidR="006F2077" w:rsidRPr="003920D7" w14:paraId="0EDCB77D" w14:textId="77777777" w:rsidTr="006F2077">
        <w:trPr>
          <w:trHeight w:hRule="exact" w:val="300"/>
          <w:jc w:val="center"/>
        </w:trPr>
        <w:tc>
          <w:tcPr>
            <w:tcW w:w="5740" w:type="dxa"/>
            <w:tcBorders>
              <w:top w:val="nil"/>
              <w:left w:val="nil"/>
              <w:right w:val="nil"/>
            </w:tcBorders>
            <w:shd w:val="clear" w:color="auto" w:fill="auto"/>
            <w:noWrap/>
            <w:vAlign w:val="bottom"/>
            <w:hideMark/>
          </w:tcPr>
          <w:p w14:paraId="321E6DE8" w14:textId="20852DFE" w:rsidR="006F2077" w:rsidRPr="003920D7" w:rsidRDefault="006F2077" w:rsidP="00676744">
            <w:pPr>
              <w:rPr>
                <w:rFonts w:ascii="Arial" w:hAnsi="Arial" w:cs="Arial"/>
                <w:color w:val="231F20"/>
                <w:lang w:val="en-GB"/>
              </w:rPr>
            </w:pPr>
            <w:r w:rsidRPr="003920D7">
              <w:rPr>
                <w:rFonts w:ascii="Arial" w:hAnsi="Arial" w:cs="Arial"/>
                <w:color w:val="231F20"/>
                <w:lang w:val="en-GB"/>
              </w:rPr>
              <w:t xml:space="preserve">Net increase (decrease) in </w:t>
            </w:r>
            <w:r w:rsidR="00022D4F" w:rsidRPr="003920D7">
              <w:rPr>
                <w:rFonts w:ascii="Arial" w:hAnsi="Arial" w:cs="Arial"/>
                <w:color w:val="231F20"/>
                <w:lang w:val="en-GB"/>
              </w:rPr>
              <w:t>c</w:t>
            </w:r>
            <w:r w:rsidRPr="003920D7">
              <w:rPr>
                <w:rFonts w:ascii="Arial" w:hAnsi="Arial" w:cs="Arial"/>
                <w:color w:val="231F20"/>
                <w:lang w:val="en-GB"/>
              </w:rPr>
              <w:t>ash and cash equivalents</w:t>
            </w:r>
          </w:p>
        </w:tc>
        <w:tc>
          <w:tcPr>
            <w:tcW w:w="965" w:type="dxa"/>
            <w:tcBorders>
              <w:top w:val="nil"/>
              <w:left w:val="nil"/>
              <w:right w:val="nil"/>
            </w:tcBorders>
            <w:shd w:val="clear" w:color="auto" w:fill="auto"/>
            <w:noWrap/>
            <w:vAlign w:val="bottom"/>
            <w:hideMark/>
          </w:tcPr>
          <w:p w14:paraId="546B21E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26 </w:t>
            </w:r>
          </w:p>
        </w:tc>
        <w:tc>
          <w:tcPr>
            <w:tcW w:w="965" w:type="dxa"/>
            <w:tcBorders>
              <w:top w:val="nil"/>
              <w:left w:val="nil"/>
              <w:right w:val="nil"/>
            </w:tcBorders>
            <w:shd w:val="clear" w:color="auto" w:fill="auto"/>
            <w:noWrap/>
            <w:vAlign w:val="bottom"/>
            <w:hideMark/>
          </w:tcPr>
          <w:p w14:paraId="2D01042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(4)</w:t>
            </w:r>
          </w:p>
        </w:tc>
        <w:tc>
          <w:tcPr>
            <w:tcW w:w="965" w:type="dxa"/>
            <w:tcBorders>
              <w:top w:val="nil"/>
              <w:left w:val="nil"/>
              <w:right w:val="nil"/>
            </w:tcBorders>
            <w:shd w:val="clear" w:color="auto" w:fill="auto"/>
            <w:noWrap/>
            <w:vAlign w:val="bottom"/>
            <w:hideMark/>
          </w:tcPr>
          <w:p w14:paraId="1B09D09F"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(131)</w:t>
            </w:r>
          </w:p>
        </w:tc>
        <w:tc>
          <w:tcPr>
            <w:tcW w:w="960" w:type="dxa"/>
            <w:tcBorders>
              <w:top w:val="nil"/>
              <w:left w:val="nil"/>
              <w:right w:val="nil"/>
            </w:tcBorders>
            <w:shd w:val="clear" w:color="auto" w:fill="auto"/>
            <w:noWrap/>
            <w:vAlign w:val="bottom"/>
            <w:hideMark/>
          </w:tcPr>
          <w:p w14:paraId="629525E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29 </w:t>
            </w:r>
          </w:p>
        </w:tc>
      </w:tr>
      <w:tr w:rsidR="006F2077" w:rsidRPr="003920D7" w14:paraId="4DD74D56" w14:textId="77777777" w:rsidTr="006F2077">
        <w:trPr>
          <w:trHeight w:hRule="exact" w:val="300"/>
          <w:jc w:val="center"/>
        </w:trPr>
        <w:tc>
          <w:tcPr>
            <w:tcW w:w="5740" w:type="dxa"/>
            <w:tcBorders>
              <w:top w:val="nil"/>
              <w:left w:val="nil"/>
              <w:right w:val="nil"/>
            </w:tcBorders>
            <w:shd w:val="clear" w:color="auto" w:fill="auto"/>
            <w:noWrap/>
            <w:vAlign w:val="bottom"/>
            <w:hideMark/>
          </w:tcPr>
          <w:p w14:paraId="4477E757"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Cash and cash equivalents at end of year</w:t>
            </w:r>
          </w:p>
        </w:tc>
        <w:tc>
          <w:tcPr>
            <w:tcW w:w="965" w:type="dxa"/>
            <w:tcBorders>
              <w:top w:val="nil"/>
              <w:left w:val="nil"/>
              <w:right w:val="nil"/>
            </w:tcBorders>
            <w:shd w:val="clear" w:color="auto" w:fill="auto"/>
            <w:noWrap/>
            <w:vAlign w:val="bottom"/>
            <w:hideMark/>
          </w:tcPr>
          <w:p w14:paraId="46F2BF8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67 </w:t>
            </w:r>
          </w:p>
        </w:tc>
        <w:tc>
          <w:tcPr>
            <w:tcW w:w="965" w:type="dxa"/>
            <w:tcBorders>
              <w:top w:val="nil"/>
              <w:left w:val="nil"/>
              <w:right w:val="nil"/>
            </w:tcBorders>
            <w:shd w:val="clear" w:color="auto" w:fill="auto"/>
            <w:noWrap/>
            <w:vAlign w:val="bottom"/>
            <w:hideMark/>
          </w:tcPr>
          <w:p w14:paraId="69AAB6D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41 </w:t>
            </w:r>
          </w:p>
        </w:tc>
        <w:tc>
          <w:tcPr>
            <w:tcW w:w="965" w:type="dxa"/>
            <w:tcBorders>
              <w:top w:val="nil"/>
              <w:left w:val="nil"/>
              <w:right w:val="nil"/>
            </w:tcBorders>
            <w:shd w:val="clear" w:color="auto" w:fill="auto"/>
            <w:noWrap/>
            <w:vAlign w:val="bottom"/>
            <w:hideMark/>
          </w:tcPr>
          <w:p w14:paraId="55347E24"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lang w:val="en-GB"/>
              </w:rPr>
              <w:t xml:space="preserve">45 </w:t>
            </w:r>
          </w:p>
        </w:tc>
        <w:tc>
          <w:tcPr>
            <w:tcW w:w="960" w:type="dxa"/>
            <w:tcBorders>
              <w:top w:val="nil"/>
              <w:left w:val="nil"/>
              <w:right w:val="nil"/>
            </w:tcBorders>
            <w:shd w:val="clear" w:color="auto" w:fill="auto"/>
            <w:noWrap/>
            <w:vAlign w:val="bottom"/>
            <w:hideMark/>
          </w:tcPr>
          <w:p w14:paraId="59D7FB7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w w:val="110"/>
                <w:lang w:val="en-GB"/>
              </w:rPr>
              <w:t xml:space="preserve">176 </w:t>
            </w:r>
          </w:p>
        </w:tc>
      </w:tr>
      <w:tr w:rsidR="006F2077" w:rsidRPr="003920D7" w14:paraId="08F5FD60" w14:textId="77777777" w:rsidTr="006F2077">
        <w:trPr>
          <w:trHeight w:hRule="exact" w:val="300"/>
          <w:jc w:val="center"/>
        </w:trPr>
        <w:tc>
          <w:tcPr>
            <w:tcW w:w="5740" w:type="dxa"/>
            <w:tcBorders>
              <w:top w:val="nil"/>
              <w:left w:val="nil"/>
              <w:right w:val="nil"/>
            </w:tcBorders>
            <w:shd w:val="clear" w:color="auto" w:fill="auto"/>
            <w:noWrap/>
            <w:vAlign w:val="bottom"/>
          </w:tcPr>
          <w:p w14:paraId="57BECA29" w14:textId="77777777" w:rsidR="006F2077" w:rsidRPr="003920D7" w:rsidRDefault="006F2077" w:rsidP="006F2077">
            <w:pPr>
              <w:rPr>
                <w:rFonts w:ascii="Arial" w:hAnsi="Arial" w:cs="Arial"/>
                <w:color w:val="231F20"/>
                <w:lang w:val="en-GB"/>
              </w:rPr>
            </w:pPr>
          </w:p>
        </w:tc>
        <w:tc>
          <w:tcPr>
            <w:tcW w:w="965" w:type="dxa"/>
            <w:tcBorders>
              <w:top w:val="nil"/>
              <w:left w:val="nil"/>
              <w:right w:val="nil"/>
            </w:tcBorders>
            <w:shd w:val="clear" w:color="auto" w:fill="auto"/>
            <w:noWrap/>
            <w:vAlign w:val="bottom"/>
          </w:tcPr>
          <w:p w14:paraId="4D5E72A4" w14:textId="77777777" w:rsidR="006F2077" w:rsidRPr="003920D7" w:rsidRDefault="006F2077" w:rsidP="006F2077">
            <w:pPr>
              <w:jc w:val="right"/>
              <w:rPr>
                <w:rFonts w:ascii="Arial" w:hAnsi="Arial" w:cs="Arial"/>
                <w:color w:val="231F20"/>
                <w:lang w:val="en-GB"/>
              </w:rPr>
            </w:pPr>
          </w:p>
        </w:tc>
        <w:tc>
          <w:tcPr>
            <w:tcW w:w="965" w:type="dxa"/>
            <w:tcBorders>
              <w:top w:val="nil"/>
              <w:left w:val="nil"/>
              <w:right w:val="nil"/>
            </w:tcBorders>
            <w:shd w:val="clear" w:color="auto" w:fill="auto"/>
            <w:noWrap/>
            <w:vAlign w:val="bottom"/>
          </w:tcPr>
          <w:p w14:paraId="3B60DF0F" w14:textId="77777777" w:rsidR="006F2077" w:rsidRPr="003920D7" w:rsidRDefault="006F2077" w:rsidP="006F2077">
            <w:pPr>
              <w:jc w:val="right"/>
              <w:rPr>
                <w:rFonts w:ascii="Arial" w:hAnsi="Arial" w:cs="Arial"/>
                <w:color w:val="231F20"/>
                <w:lang w:val="en-GB"/>
              </w:rPr>
            </w:pPr>
          </w:p>
        </w:tc>
        <w:tc>
          <w:tcPr>
            <w:tcW w:w="965" w:type="dxa"/>
            <w:tcBorders>
              <w:top w:val="nil"/>
              <w:left w:val="nil"/>
              <w:right w:val="nil"/>
            </w:tcBorders>
            <w:shd w:val="clear" w:color="auto" w:fill="auto"/>
            <w:noWrap/>
            <w:vAlign w:val="bottom"/>
          </w:tcPr>
          <w:p w14:paraId="0E5A285B" w14:textId="77777777" w:rsidR="006F2077" w:rsidRPr="003920D7" w:rsidRDefault="006F2077" w:rsidP="006F2077">
            <w:pPr>
              <w:jc w:val="right"/>
              <w:rPr>
                <w:rFonts w:ascii="Arial" w:hAnsi="Arial" w:cs="Arial"/>
                <w:color w:val="231F20"/>
                <w:lang w:val="en-GB"/>
              </w:rPr>
            </w:pPr>
          </w:p>
        </w:tc>
        <w:tc>
          <w:tcPr>
            <w:tcW w:w="960" w:type="dxa"/>
            <w:tcBorders>
              <w:top w:val="nil"/>
              <w:left w:val="nil"/>
              <w:right w:val="nil"/>
            </w:tcBorders>
            <w:shd w:val="clear" w:color="auto" w:fill="auto"/>
            <w:noWrap/>
            <w:vAlign w:val="bottom"/>
          </w:tcPr>
          <w:p w14:paraId="33CADFBC" w14:textId="77777777" w:rsidR="006F2077" w:rsidRPr="003920D7" w:rsidRDefault="006F2077" w:rsidP="006F2077">
            <w:pPr>
              <w:jc w:val="right"/>
              <w:rPr>
                <w:rFonts w:ascii="Arial" w:hAnsi="Arial" w:cs="Arial"/>
                <w:color w:val="231F20"/>
                <w:w w:val="110"/>
                <w:lang w:val="en-GB"/>
              </w:rPr>
            </w:pPr>
          </w:p>
        </w:tc>
      </w:tr>
      <w:tr w:rsidR="006F2077" w:rsidRPr="003920D7" w14:paraId="1ABB846B" w14:textId="77777777" w:rsidTr="006F2077">
        <w:trPr>
          <w:trHeight w:hRule="exact" w:val="288"/>
          <w:jc w:val="center"/>
        </w:trPr>
        <w:tc>
          <w:tcPr>
            <w:tcW w:w="5740" w:type="dxa"/>
            <w:tcBorders>
              <w:left w:val="nil"/>
              <w:bottom w:val="nil"/>
              <w:right w:val="nil"/>
            </w:tcBorders>
            <w:shd w:val="clear" w:color="auto" w:fill="auto"/>
            <w:noWrap/>
            <w:vAlign w:val="bottom"/>
            <w:hideMark/>
          </w:tcPr>
          <w:p w14:paraId="600609B0" w14:textId="30422F7C" w:rsidR="006F2077" w:rsidRPr="003920D7" w:rsidRDefault="006F2077" w:rsidP="00676744">
            <w:pPr>
              <w:rPr>
                <w:rFonts w:ascii="Arial" w:hAnsi="Arial" w:cs="Arial"/>
                <w:b/>
                <w:bCs/>
                <w:color w:val="231F20"/>
                <w:lang w:val="en-GB"/>
              </w:rPr>
            </w:pPr>
            <w:r w:rsidRPr="003920D7">
              <w:rPr>
                <w:rFonts w:ascii="Arial" w:hAnsi="Arial" w:cs="Arial"/>
                <w:b/>
                <w:bCs/>
                <w:color w:val="231F20"/>
                <w:lang w:val="en-GB"/>
              </w:rPr>
              <w:t xml:space="preserve">Other </w:t>
            </w:r>
            <w:r w:rsidR="00022D4F" w:rsidRPr="003920D7">
              <w:rPr>
                <w:rFonts w:ascii="Arial" w:hAnsi="Arial" w:cs="Arial"/>
                <w:b/>
                <w:bCs/>
                <w:color w:val="231F20"/>
                <w:lang w:val="en-GB"/>
              </w:rPr>
              <w:t>D</w:t>
            </w:r>
            <w:r w:rsidRPr="003920D7">
              <w:rPr>
                <w:rFonts w:ascii="Arial" w:hAnsi="Arial" w:cs="Arial"/>
                <w:b/>
                <w:bCs/>
                <w:color w:val="231F20"/>
                <w:lang w:val="en-GB"/>
              </w:rPr>
              <w:t>ata</w:t>
            </w:r>
          </w:p>
        </w:tc>
        <w:tc>
          <w:tcPr>
            <w:tcW w:w="965" w:type="dxa"/>
            <w:tcBorders>
              <w:left w:val="nil"/>
              <w:bottom w:val="nil"/>
              <w:right w:val="nil"/>
            </w:tcBorders>
            <w:shd w:val="clear" w:color="auto" w:fill="auto"/>
            <w:noWrap/>
            <w:vAlign w:val="bottom"/>
            <w:hideMark/>
          </w:tcPr>
          <w:p w14:paraId="62AE9F85" w14:textId="77777777" w:rsidR="006F2077" w:rsidRPr="003920D7" w:rsidRDefault="006F2077" w:rsidP="006F2077">
            <w:pPr>
              <w:rPr>
                <w:rFonts w:ascii="Arial" w:hAnsi="Arial" w:cs="Arial"/>
                <w:b/>
                <w:bCs/>
                <w:color w:val="231F20"/>
                <w:lang w:val="en-GB"/>
              </w:rPr>
            </w:pPr>
          </w:p>
        </w:tc>
        <w:tc>
          <w:tcPr>
            <w:tcW w:w="965" w:type="dxa"/>
            <w:tcBorders>
              <w:left w:val="nil"/>
              <w:bottom w:val="nil"/>
              <w:right w:val="nil"/>
            </w:tcBorders>
            <w:shd w:val="clear" w:color="auto" w:fill="auto"/>
            <w:noWrap/>
            <w:vAlign w:val="bottom"/>
            <w:hideMark/>
          </w:tcPr>
          <w:p w14:paraId="602A9173" w14:textId="77777777" w:rsidR="006F2077" w:rsidRPr="003920D7" w:rsidRDefault="006F2077" w:rsidP="006F2077">
            <w:pPr>
              <w:jc w:val="right"/>
              <w:rPr>
                <w:rFonts w:ascii="Arial" w:hAnsi="Arial" w:cs="Arial"/>
                <w:lang w:val="en-GB"/>
              </w:rPr>
            </w:pPr>
          </w:p>
        </w:tc>
        <w:tc>
          <w:tcPr>
            <w:tcW w:w="965" w:type="dxa"/>
            <w:tcBorders>
              <w:left w:val="nil"/>
              <w:bottom w:val="nil"/>
              <w:right w:val="nil"/>
            </w:tcBorders>
            <w:shd w:val="clear" w:color="auto" w:fill="auto"/>
            <w:noWrap/>
            <w:vAlign w:val="bottom"/>
            <w:hideMark/>
          </w:tcPr>
          <w:p w14:paraId="5C1AC457" w14:textId="77777777" w:rsidR="006F2077" w:rsidRPr="003920D7" w:rsidRDefault="006F2077" w:rsidP="006F2077">
            <w:pPr>
              <w:jc w:val="right"/>
              <w:rPr>
                <w:rFonts w:ascii="Arial" w:hAnsi="Arial" w:cs="Arial"/>
                <w:lang w:val="en-GB"/>
              </w:rPr>
            </w:pPr>
          </w:p>
        </w:tc>
        <w:tc>
          <w:tcPr>
            <w:tcW w:w="960" w:type="dxa"/>
            <w:tcBorders>
              <w:left w:val="nil"/>
              <w:bottom w:val="nil"/>
              <w:right w:val="nil"/>
            </w:tcBorders>
            <w:shd w:val="clear" w:color="auto" w:fill="auto"/>
            <w:noWrap/>
            <w:vAlign w:val="bottom"/>
            <w:hideMark/>
          </w:tcPr>
          <w:p w14:paraId="09EB1619" w14:textId="77777777" w:rsidR="006F2077" w:rsidRPr="003920D7" w:rsidRDefault="006F2077" w:rsidP="006F2077">
            <w:pPr>
              <w:jc w:val="right"/>
              <w:rPr>
                <w:rFonts w:ascii="Arial" w:hAnsi="Arial" w:cs="Arial"/>
                <w:lang w:val="en-GB"/>
              </w:rPr>
            </w:pPr>
          </w:p>
        </w:tc>
      </w:tr>
      <w:tr w:rsidR="006F2077" w:rsidRPr="003920D7" w14:paraId="6A5B1F37"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26D3AD5A"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Return on average capital employed (%)</w:t>
            </w:r>
          </w:p>
        </w:tc>
        <w:tc>
          <w:tcPr>
            <w:tcW w:w="965" w:type="dxa"/>
            <w:tcBorders>
              <w:top w:val="nil"/>
              <w:left w:val="nil"/>
              <w:bottom w:val="nil"/>
              <w:right w:val="nil"/>
            </w:tcBorders>
            <w:shd w:val="clear" w:color="auto" w:fill="auto"/>
            <w:noWrap/>
            <w:vAlign w:val="bottom"/>
          </w:tcPr>
          <w:p w14:paraId="21AE1D2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1.1 </w:t>
            </w:r>
          </w:p>
        </w:tc>
        <w:tc>
          <w:tcPr>
            <w:tcW w:w="965" w:type="dxa"/>
            <w:tcBorders>
              <w:top w:val="nil"/>
              <w:left w:val="nil"/>
              <w:bottom w:val="nil"/>
              <w:right w:val="nil"/>
            </w:tcBorders>
            <w:shd w:val="clear" w:color="auto" w:fill="auto"/>
            <w:noWrap/>
            <w:vAlign w:val="bottom"/>
          </w:tcPr>
          <w:p w14:paraId="2FA22C21"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(6.7)</w:t>
            </w:r>
          </w:p>
        </w:tc>
        <w:tc>
          <w:tcPr>
            <w:tcW w:w="965" w:type="dxa"/>
            <w:tcBorders>
              <w:top w:val="nil"/>
              <w:left w:val="nil"/>
              <w:bottom w:val="nil"/>
              <w:right w:val="nil"/>
            </w:tcBorders>
            <w:shd w:val="clear" w:color="auto" w:fill="auto"/>
            <w:noWrap/>
            <w:vAlign w:val="bottom"/>
          </w:tcPr>
          <w:p w14:paraId="7B83AD3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1.5 </w:t>
            </w:r>
          </w:p>
        </w:tc>
        <w:tc>
          <w:tcPr>
            <w:tcW w:w="960" w:type="dxa"/>
            <w:tcBorders>
              <w:top w:val="nil"/>
              <w:left w:val="nil"/>
              <w:bottom w:val="nil"/>
              <w:right w:val="nil"/>
            </w:tcBorders>
            <w:shd w:val="clear" w:color="auto" w:fill="auto"/>
            <w:noWrap/>
            <w:vAlign w:val="bottom"/>
          </w:tcPr>
          <w:p w14:paraId="05996F9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6.2 </w:t>
            </w:r>
          </w:p>
        </w:tc>
      </w:tr>
      <w:tr w:rsidR="006F2077" w:rsidRPr="003920D7" w14:paraId="237C66AE"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44C96AA1" w14:textId="56CFF48D" w:rsidR="006F2077" w:rsidRPr="003920D7" w:rsidRDefault="006F2077" w:rsidP="006F2077">
            <w:pPr>
              <w:rPr>
                <w:rFonts w:ascii="Arial" w:hAnsi="Arial" w:cs="Arial"/>
                <w:color w:val="231F20"/>
                <w:lang w:val="en-GB"/>
              </w:rPr>
            </w:pPr>
            <w:r w:rsidRPr="003920D7">
              <w:rPr>
                <w:rFonts w:ascii="Arial" w:hAnsi="Arial" w:cs="Arial"/>
                <w:color w:val="231F20"/>
                <w:lang w:val="en-GB"/>
              </w:rPr>
              <w:t>Return on average common shareholders</w:t>
            </w:r>
            <w:r w:rsidR="00022D4F" w:rsidRPr="003920D7">
              <w:rPr>
                <w:rFonts w:ascii="Arial" w:hAnsi="Arial" w:cs="Arial"/>
                <w:color w:val="231F20"/>
                <w:lang w:val="en-GB"/>
              </w:rPr>
              <w:t>’</w:t>
            </w:r>
            <w:r w:rsidRPr="003920D7">
              <w:rPr>
                <w:rFonts w:ascii="Arial" w:hAnsi="Arial" w:cs="Arial"/>
                <w:color w:val="231F20"/>
                <w:lang w:val="en-GB"/>
              </w:rPr>
              <w:t xml:space="preserve"> equity (%)</w:t>
            </w:r>
          </w:p>
        </w:tc>
        <w:tc>
          <w:tcPr>
            <w:tcW w:w="965" w:type="dxa"/>
            <w:tcBorders>
              <w:top w:val="nil"/>
              <w:left w:val="nil"/>
              <w:bottom w:val="nil"/>
              <w:right w:val="nil"/>
            </w:tcBorders>
            <w:shd w:val="clear" w:color="auto" w:fill="auto"/>
            <w:noWrap/>
            <w:vAlign w:val="bottom"/>
          </w:tcPr>
          <w:p w14:paraId="7E0C80A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0.1 </w:t>
            </w:r>
          </w:p>
        </w:tc>
        <w:tc>
          <w:tcPr>
            <w:tcW w:w="965" w:type="dxa"/>
            <w:tcBorders>
              <w:top w:val="nil"/>
              <w:left w:val="nil"/>
              <w:bottom w:val="nil"/>
              <w:right w:val="nil"/>
            </w:tcBorders>
            <w:shd w:val="clear" w:color="auto" w:fill="auto"/>
            <w:noWrap/>
            <w:vAlign w:val="bottom"/>
          </w:tcPr>
          <w:p w14:paraId="40B12CB0"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(19.7)</w:t>
            </w:r>
          </w:p>
        </w:tc>
        <w:tc>
          <w:tcPr>
            <w:tcW w:w="965" w:type="dxa"/>
            <w:tcBorders>
              <w:top w:val="nil"/>
              <w:left w:val="nil"/>
              <w:bottom w:val="nil"/>
              <w:right w:val="nil"/>
            </w:tcBorders>
            <w:shd w:val="clear" w:color="auto" w:fill="auto"/>
            <w:noWrap/>
            <w:vAlign w:val="bottom"/>
          </w:tcPr>
          <w:p w14:paraId="680C2C7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0.3 </w:t>
            </w:r>
          </w:p>
        </w:tc>
        <w:tc>
          <w:tcPr>
            <w:tcW w:w="960" w:type="dxa"/>
            <w:tcBorders>
              <w:top w:val="nil"/>
              <w:left w:val="nil"/>
              <w:bottom w:val="nil"/>
              <w:right w:val="nil"/>
            </w:tcBorders>
            <w:shd w:val="clear" w:color="auto" w:fill="auto"/>
            <w:noWrap/>
            <w:vAlign w:val="bottom"/>
          </w:tcPr>
          <w:p w14:paraId="36137501"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 xml:space="preserve">7.3 </w:t>
            </w:r>
          </w:p>
        </w:tc>
      </w:tr>
      <w:tr w:rsidR="006F2077" w:rsidRPr="003920D7" w14:paraId="2C947FDA"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767BE757" w14:textId="469B6487" w:rsidR="006F2077" w:rsidRPr="003920D7" w:rsidRDefault="007F798C" w:rsidP="00916954">
            <w:pPr>
              <w:rPr>
                <w:rFonts w:ascii="Arial" w:hAnsi="Arial" w:cs="Arial"/>
                <w:color w:val="231F20"/>
                <w:lang w:val="en-GB"/>
              </w:rPr>
            </w:pPr>
            <w:r w:rsidRPr="007F798C">
              <w:rPr>
                <w:rFonts w:ascii="Arial" w:hAnsi="Arial" w:cs="Arial"/>
                <w:color w:val="231F20"/>
                <w:lang w:val="en-GB"/>
              </w:rPr>
              <w:t>Long-term debt/equity</w:t>
            </w:r>
            <w:r w:rsidR="00916954">
              <w:rPr>
                <w:rFonts w:ascii="Arial" w:hAnsi="Arial" w:cs="Arial"/>
                <w:color w:val="231F20"/>
                <w:lang w:val="en-GB"/>
              </w:rPr>
              <w:t>—</w:t>
            </w:r>
            <w:r w:rsidRPr="007F798C">
              <w:rPr>
                <w:rFonts w:ascii="Arial" w:hAnsi="Arial" w:cs="Arial"/>
                <w:color w:val="231F20"/>
                <w:lang w:val="en-GB"/>
              </w:rPr>
              <w:t>% of total capital</w:t>
            </w:r>
          </w:p>
        </w:tc>
        <w:tc>
          <w:tcPr>
            <w:tcW w:w="965" w:type="dxa"/>
            <w:tcBorders>
              <w:top w:val="nil"/>
              <w:left w:val="nil"/>
              <w:bottom w:val="nil"/>
              <w:right w:val="nil"/>
            </w:tcBorders>
            <w:shd w:val="clear" w:color="auto" w:fill="auto"/>
            <w:noWrap/>
            <w:vAlign w:val="bottom"/>
          </w:tcPr>
          <w:p w14:paraId="0A66F56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32/68</w:t>
            </w:r>
          </w:p>
        </w:tc>
        <w:tc>
          <w:tcPr>
            <w:tcW w:w="965" w:type="dxa"/>
            <w:tcBorders>
              <w:top w:val="nil"/>
              <w:left w:val="nil"/>
              <w:bottom w:val="nil"/>
              <w:right w:val="nil"/>
            </w:tcBorders>
            <w:shd w:val="clear" w:color="auto" w:fill="auto"/>
            <w:noWrap/>
            <w:vAlign w:val="bottom"/>
          </w:tcPr>
          <w:p w14:paraId="2AE179E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39/61</w:t>
            </w:r>
          </w:p>
        </w:tc>
        <w:tc>
          <w:tcPr>
            <w:tcW w:w="965" w:type="dxa"/>
            <w:tcBorders>
              <w:top w:val="nil"/>
              <w:left w:val="nil"/>
              <w:bottom w:val="nil"/>
              <w:right w:val="nil"/>
            </w:tcBorders>
            <w:shd w:val="clear" w:color="auto" w:fill="auto"/>
            <w:noWrap/>
            <w:vAlign w:val="bottom"/>
          </w:tcPr>
          <w:p w14:paraId="270EC56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37/63</w:t>
            </w:r>
          </w:p>
        </w:tc>
        <w:tc>
          <w:tcPr>
            <w:tcW w:w="960" w:type="dxa"/>
            <w:tcBorders>
              <w:top w:val="nil"/>
              <w:left w:val="nil"/>
              <w:bottom w:val="nil"/>
              <w:right w:val="nil"/>
            </w:tcBorders>
            <w:shd w:val="clear" w:color="auto" w:fill="auto"/>
            <w:noWrap/>
            <w:vAlign w:val="bottom"/>
          </w:tcPr>
          <w:p w14:paraId="7CB7A72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31/69</w:t>
            </w:r>
          </w:p>
        </w:tc>
      </w:tr>
      <w:tr w:rsidR="006F2077" w:rsidRPr="003920D7" w14:paraId="0C9CC544"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57F98B43" w14:textId="6CFA484A" w:rsidR="006F2077" w:rsidRPr="003920D7" w:rsidRDefault="006F2077" w:rsidP="00676744">
            <w:pPr>
              <w:rPr>
                <w:rFonts w:ascii="Arial" w:hAnsi="Arial" w:cs="Arial"/>
                <w:color w:val="231F20"/>
                <w:lang w:val="en-GB"/>
              </w:rPr>
            </w:pPr>
            <w:r w:rsidRPr="003920D7">
              <w:rPr>
                <w:rFonts w:ascii="Arial" w:hAnsi="Arial" w:cs="Arial"/>
                <w:color w:val="231F20"/>
                <w:lang w:val="en-GB"/>
              </w:rPr>
              <w:t>Dividends declared</w:t>
            </w:r>
            <w:r w:rsidR="00022D4F" w:rsidRPr="003920D7">
              <w:rPr>
                <w:rFonts w:ascii="Arial" w:hAnsi="Arial" w:cs="Arial"/>
                <w:color w:val="231F20"/>
                <w:lang w:val="en-GB"/>
              </w:rPr>
              <w:t>—</w:t>
            </w:r>
            <w:r w:rsidRPr="003920D7">
              <w:rPr>
                <w:rFonts w:ascii="Arial" w:hAnsi="Arial" w:cs="Arial"/>
                <w:color w:val="231F20"/>
                <w:lang w:val="en-GB"/>
              </w:rPr>
              <w:t>common (millions)</w:t>
            </w:r>
          </w:p>
        </w:tc>
        <w:tc>
          <w:tcPr>
            <w:tcW w:w="965" w:type="dxa"/>
            <w:tcBorders>
              <w:top w:val="nil"/>
              <w:left w:val="nil"/>
              <w:bottom w:val="nil"/>
              <w:right w:val="nil"/>
            </w:tcBorders>
            <w:shd w:val="clear" w:color="auto" w:fill="auto"/>
            <w:noWrap/>
            <w:vAlign w:val="bottom"/>
          </w:tcPr>
          <w:p w14:paraId="1B60649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0.00</w:t>
            </w:r>
          </w:p>
        </w:tc>
        <w:tc>
          <w:tcPr>
            <w:tcW w:w="965" w:type="dxa"/>
            <w:tcBorders>
              <w:top w:val="nil"/>
              <w:left w:val="nil"/>
              <w:bottom w:val="nil"/>
              <w:right w:val="nil"/>
            </w:tcBorders>
            <w:shd w:val="clear" w:color="auto" w:fill="auto"/>
            <w:noWrap/>
            <w:vAlign w:val="bottom"/>
          </w:tcPr>
          <w:p w14:paraId="5C004AE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0.00</w:t>
            </w:r>
          </w:p>
        </w:tc>
        <w:tc>
          <w:tcPr>
            <w:tcW w:w="965" w:type="dxa"/>
            <w:tcBorders>
              <w:top w:val="nil"/>
              <w:left w:val="nil"/>
              <w:bottom w:val="nil"/>
              <w:right w:val="nil"/>
            </w:tcBorders>
            <w:shd w:val="clear" w:color="auto" w:fill="auto"/>
            <w:noWrap/>
            <w:vAlign w:val="bottom"/>
          </w:tcPr>
          <w:p w14:paraId="12473DE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12.00</w:t>
            </w:r>
          </w:p>
        </w:tc>
        <w:tc>
          <w:tcPr>
            <w:tcW w:w="960" w:type="dxa"/>
            <w:tcBorders>
              <w:top w:val="nil"/>
              <w:left w:val="nil"/>
              <w:bottom w:val="nil"/>
              <w:right w:val="nil"/>
            </w:tcBorders>
            <w:shd w:val="clear" w:color="auto" w:fill="auto"/>
            <w:noWrap/>
            <w:vAlign w:val="bottom"/>
          </w:tcPr>
          <w:p w14:paraId="521F0F5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13.00</w:t>
            </w:r>
          </w:p>
        </w:tc>
      </w:tr>
      <w:tr w:rsidR="006F2077" w:rsidRPr="003920D7" w14:paraId="31B6A7B6" w14:textId="77777777" w:rsidTr="006F2077">
        <w:trPr>
          <w:trHeight w:hRule="exact" w:val="288"/>
          <w:jc w:val="center"/>
        </w:trPr>
        <w:tc>
          <w:tcPr>
            <w:tcW w:w="5740" w:type="dxa"/>
            <w:tcBorders>
              <w:top w:val="nil"/>
              <w:left w:val="nil"/>
              <w:right w:val="nil"/>
            </w:tcBorders>
            <w:shd w:val="clear" w:color="auto" w:fill="auto"/>
            <w:noWrap/>
            <w:vAlign w:val="bottom"/>
            <w:hideMark/>
          </w:tcPr>
          <w:p w14:paraId="754885CF"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Common shares outstanding at year-end (millions)</w:t>
            </w:r>
          </w:p>
        </w:tc>
        <w:tc>
          <w:tcPr>
            <w:tcW w:w="965" w:type="dxa"/>
            <w:tcBorders>
              <w:top w:val="nil"/>
              <w:left w:val="nil"/>
              <w:right w:val="nil"/>
            </w:tcBorders>
            <w:shd w:val="clear" w:color="auto" w:fill="auto"/>
            <w:noWrap/>
            <w:vAlign w:val="bottom"/>
          </w:tcPr>
          <w:p w14:paraId="7A425AAB"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102.2</w:t>
            </w:r>
          </w:p>
        </w:tc>
        <w:tc>
          <w:tcPr>
            <w:tcW w:w="965" w:type="dxa"/>
            <w:tcBorders>
              <w:top w:val="nil"/>
              <w:left w:val="nil"/>
              <w:right w:val="nil"/>
            </w:tcBorders>
            <w:shd w:val="clear" w:color="auto" w:fill="auto"/>
            <w:noWrap/>
            <w:vAlign w:val="bottom"/>
          </w:tcPr>
          <w:p w14:paraId="5E9D57B7"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102.2</w:t>
            </w:r>
          </w:p>
        </w:tc>
        <w:tc>
          <w:tcPr>
            <w:tcW w:w="965" w:type="dxa"/>
            <w:tcBorders>
              <w:top w:val="nil"/>
              <w:left w:val="nil"/>
              <w:right w:val="nil"/>
            </w:tcBorders>
            <w:shd w:val="clear" w:color="auto" w:fill="auto"/>
            <w:noWrap/>
            <w:vAlign w:val="bottom"/>
          </w:tcPr>
          <w:p w14:paraId="553B029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102.2</w:t>
            </w:r>
          </w:p>
        </w:tc>
        <w:tc>
          <w:tcPr>
            <w:tcW w:w="960" w:type="dxa"/>
            <w:tcBorders>
              <w:top w:val="nil"/>
              <w:left w:val="nil"/>
              <w:right w:val="nil"/>
            </w:tcBorders>
            <w:shd w:val="clear" w:color="auto" w:fill="auto"/>
            <w:noWrap/>
            <w:vAlign w:val="bottom"/>
          </w:tcPr>
          <w:p w14:paraId="53DF1F0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105.5</w:t>
            </w:r>
          </w:p>
        </w:tc>
      </w:tr>
      <w:tr w:rsidR="006F2077" w:rsidRPr="003920D7" w14:paraId="3AD0373B" w14:textId="77777777" w:rsidTr="006F2077">
        <w:trPr>
          <w:trHeight w:hRule="exact" w:val="300"/>
          <w:jc w:val="center"/>
        </w:trPr>
        <w:tc>
          <w:tcPr>
            <w:tcW w:w="5740" w:type="dxa"/>
            <w:tcBorders>
              <w:top w:val="nil"/>
              <w:left w:val="nil"/>
              <w:right w:val="nil"/>
            </w:tcBorders>
            <w:shd w:val="clear" w:color="auto" w:fill="auto"/>
            <w:noWrap/>
            <w:vAlign w:val="bottom"/>
            <w:hideMark/>
          </w:tcPr>
          <w:p w14:paraId="474CCC3B"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Book value per common share ($ per share)</w:t>
            </w:r>
          </w:p>
        </w:tc>
        <w:tc>
          <w:tcPr>
            <w:tcW w:w="965" w:type="dxa"/>
            <w:tcBorders>
              <w:top w:val="nil"/>
              <w:left w:val="nil"/>
              <w:right w:val="nil"/>
            </w:tcBorders>
            <w:shd w:val="clear" w:color="auto" w:fill="auto"/>
            <w:noWrap/>
            <w:vAlign w:val="bottom"/>
          </w:tcPr>
          <w:p w14:paraId="6843C87A" w14:textId="58B41E1E" w:rsidR="006F2077" w:rsidRPr="003920D7" w:rsidRDefault="006F2077" w:rsidP="00676744">
            <w:pPr>
              <w:jc w:val="right"/>
              <w:rPr>
                <w:rFonts w:ascii="Arial" w:hAnsi="Arial" w:cs="Arial"/>
                <w:color w:val="231F20"/>
                <w:lang w:val="en-GB"/>
              </w:rPr>
            </w:pPr>
            <w:r w:rsidRPr="003920D7">
              <w:rPr>
                <w:rFonts w:ascii="Arial" w:hAnsi="Arial" w:cs="Arial"/>
                <w:color w:val="231F20"/>
                <w:szCs w:val="22"/>
                <w:lang w:val="en-GB"/>
              </w:rPr>
              <w:t>$9.03</w:t>
            </w:r>
          </w:p>
        </w:tc>
        <w:tc>
          <w:tcPr>
            <w:tcW w:w="965" w:type="dxa"/>
            <w:tcBorders>
              <w:top w:val="nil"/>
              <w:left w:val="nil"/>
              <w:right w:val="nil"/>
            </w:tcBorders>
            <w:shd w:val="clear" w:color="auto" w:fill="auto"/>
            <w:noWrap/>
            <w:vAlign w:val="bottom"/>
          </w:tcPr>
          <w:p w14:paraId="0B6ED062" w14:textId="10F439A5" w:rsidR="006F2077" w:rsidRPr="003920D7" w:rsidRDefault="006F2077" w:rsidP="0031787A">
            <w:pPr>
              <w:jc w:val="right"/>
              <w:rPr>
                <w:rFonts w:ascii="Arial" w:hAnsi="Arial" w:cs="Arial"/>
                <w:color w:val="231F20"/>
                <w:lang w:val="en-GB"/>
              </w:rPr>
            </w:pPr>
            <w:r w:rsidRPr="003920D7">
              <w:rPr>
                <w:rFonts w:ascii="Arial" w:hAnsi="Arial" w:cs="Arial"/>
                <w:color w:val="231F20"/>
                <w:szCs w:val="22"/>
                <w:lang w:val="en-GB"/>
              </w:rPr>
              <w:t>$7.99</w:t>
            </w:r>
          </w:p>
        </w:tc>
        <w:tc>
          <w:tcPr>
            <w:tcW w:w="965" w:type="dxa"/>
            <w:tcBorders>
              <w:top w:val="nil"/>
              <w:left w:val="nil"/>
              <w:right w:val="nil"/>
            </w:tcBorders>
            <w:shd w:val="clear" w:color="auto" w:fill="auto"/>
            <w:noWrap/>
            <w:vAlign w:val="bottom"/>
          </w:tcPr>
          <w:p w14:paraId="353CEDD5" w14:textId="04543321" w:rsidR="006F2077" w:rsidRPr="003920D7" w:rsidRDefault="006F2077" w:rsidP="002904F1">
            <w:pPr>
              <w:jc w:val="right"/>
              <w:rPr>
                <w:rFonts w:ascii="Arial" w:hAnsi="Arial" w:cs="Arial"/>
                <w:color w:val="231F20"/>
                <w:lang w:val="en-GB"/>
              </w:rPr>
            </w:pPr>
            <w:r w:rsidRPr="003920D7">
              <w:rPr>
                <w:rFonts w:ascii="Arial" w:hAnsi="Arial" w:cs="Arial"/>
                <w:color w:val="231F20"/>
                <w:szCs w:val="22"/>
                <w:lang w:val="en-GB"/>
              </w:rPr>
              <w:t>$9.73</w:t>
            </w:r>
          </w:p>
        </w:tc>
        <w:tc>
          <w:tcPr>
            <w:tcW w:w="960" w:type="dxa"/>
            <w:tcBorders>
              <w:top w:val="nil"/>
              <w:left w:val="nil"/>
              <w:right w:val="nil"/>
            </w:tcBorders>
            <w:shd w:val="clear" w:color="auto" w:fill="auto"/>
            <w:noWrap/>
            <w:vAlign w:val="bottom"/>
          </w:tcPr>
          <w:p w14:paraId="7D7CE0FD" w14:textId="2D3A37B4" w:rsidR="006F2077" w:rsidRPr="003920D7" w:rsidRDefault="006F2077" w:rsidP="00DA5C89">
            <w:pPr>
              <w:jc w:val="right"/>
              <w:rPr>
                <w:rFonts w:ascii="Arial" w:hAnsi="Arial" w:cs="Arial"/>
                <w:color w:val="231F20"/>
                <w:lang w:val="en-GB"/>
              </w:rPr>
            </w:pPr>
            <w:r w:rsidRPr="003920D7">
              <w:rPr>
                <w:rFonts w:ascii="Arial" w:hAnsi="Arial" w:cs="Arial"/>
                <w:color w:val="231F20"/>
                <w:szCs w:val="22"/>
                <w:lang w:val="en-GB"/>
              </w:rPr>
              <w:t>$13.80</w:t>
            </w:r>
          </w:p>
        </w:tc>
      </w:tr>
      <w:tr w:rsidR="006F2077" w:rsidRPr="003920D7" w14:paraId="636BF122"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60E3ACDF"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Average number of employees including joint ventures</w:t>
            </w:r>
          </w:p>
        </w:tc>
        <w:tc>
          <w:tcPr>
            <w:tcW w:w="965" w:type="dxa"/>
            <w:tcBorders>
              <w:top w:val="nil"/>
              <w:left w:val="nil"/>
              <w:bottom w:val="nil"/>
              <w:right w:val="nil"/>
            </w:tcBorders>
            <w:shd w:val="clear" w:color="auto" w:fill="auto"/>
            <w:noWrap/>
            <w:vAlign w:val="bottom"/>
          </w:tcPr>
          <w:p w14:paraId="196BCA1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9,749</w:t>
            </w:r>
          </w:p>
        </w:tc>
        <w:tc>
          <w:tcPr>
            <w:tcW w:w="965" w:type="dxa"/>
            <w:tcBorders>
              <w:top w:val="nil"/>
              <w:left w:val="nil"/>
              <w:bottom w:val="nil"/>
              <w:right w:val="nil"/>
            </w:tcBorders>
            <w:shd w:val="clear" w:color="auto" w:fill="auto"/>
            <w:noWrap/>
            <w:vAlign w:val="bottom"/>
          </w:tcPr>
          <w:p w14:paraId="5733CCF5"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10,096</w:t>
            </w:r>
          </w:p>
        </w:tc>
        <w:tc>
          <w:tcPr>
            <w:tcW w:w="965" w:type="dxa"/>
            <w:tcBorders>
              <w:top w:val="nil"/>
              <w:left w:val="nil"/>
              <w:bottom w:val="nil"/>
              <w:right w:val="nil"/>
            </w:tcBorders>
            <w:shd w:val="clear" w:color="auto" w:fill="auto"/>
            <w:noWrap/>
            <w:vAlign w:val="bottom"/>
          </w:tcPr>
          <w:p w14:paraId="794ACA96"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10,811</w:t>
            </w:r>
          </w:p>
        </w:tc>
        <w:tc>
          <w:tcPr>
            <w:tcW w:w="960" w:type="dxa"/>
            <w:tcBorders>
              <w:top w:val="nil"/>
              <w:left w:val="nil"/>
              <w:bottom w:val="nil"/>
              <w:right w:val="nil"/>
            </w:tcBorders>
            <w:shd w:val="clear" w:color="auto" w:fill="auto"/>
            <w:noWrap/>
            <w:vAlign w:val="bottom"/>
          </w:tcPr>
          <w:p w14:paraId="454AD8CC"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11,133</w:t>
            </w:r>
          </w:p>
        </w:tc>
      </w:tr>
      <w:tr w:rsidR="006F2077" w:rsidRPr="003920D7" w14:paraId="3A14D62A" w14:textId="77777777" w:rsidTr="006F2077">
        <w:trPr>
          <w:trHeight w:hRule="exact" w:val="288"/>
          <w:jc w:val="center"/>
        </w:trPr>
        <w:tc>
          <w:tcPr>
            <w:tcW w:w="5740" w:type="dxa"/>
            <w:tcBorders>
              <w:top w:val="nil"/>
              <w:left w:val="nil"/>
              <w:bottom w:val="nil"/>
              <w:right w:val="nil"/>
            </w:tcBorders>
            <w:shd w:val="clear" w:color="auto" w:fill="auto"/>
            <w:noWrap/>
            <w:vAlign w:val="bottom"/>
            <w:hideMark/>
          </w:tcPr>
          <w:p w14:paraId="3F0E9C30"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Number of pensioners at year-end</w:t>
            </w:r>
          </w:p>
        </w:tc>
        <w:tc>
          <w:tcPr>
            <w:tcW w:w="965" w:type="dxa"/>
            <w:tcBorders>
              <w:top w:val="nil"/>
              <w:left w:val="nil"/>
              <w:bottom w:val="nil"/>
              <w:right w:val="nil"/>
            </w:tcBorders>
            <w:shd w:val="clear" w:color="auto" w:fill="auto"/>
            <w:noWrap/>
            <w:vAlign w:val="bottom"/>
          </w:tcPr>
          <w:p w14:paraId="2E8ABA6D"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12,803</w:t>
            </w:r>
          </w:p>
        </w:tc>
        <w:tc>
          <w:tcPr>
            <w:tcW w:w="965" w:type="dxa"/>
            <w:tcBorders>
              <w:top w:val="nil"/>
              <w:left w:val="nil"/>
              <w:bottom w:val="nil"/>
              <w:right w:val="nil"/>
            </w:tcBorders>
            <w:shd w:val="clear" w:color="auto" w:fill="auto"/>
            <w:noWrap/>
            <w:vAlign w:val="bottom"/>
          </w:tcPr>
          <w:p w14:paraId="1B1EAB09"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12,276</w:t>
            </w:r>
          </w:p>
        </w:tc>
        <w:tc>
          <w:tcPr>
            <w:tcW w:w="965" w:type="dxa"/>
            <w:tcBorders>
              <w:top w:val="nil"/>
              <w:left w:val="nil"/>
              <w:bottom w:val="nil"/>
              <w:right w:val="nil"/>
            </w:tcBorders>
            <w:shd w:val="clear" w:color="auto" w:fill="auto"/>
            <w:noWrap/>
            <w:vAlign w:val="bottom"/>
          </w:tcPr>
          <w:p w14:paraId="02943E08"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12,134</w:t>
            </w:r>
          </w:p>
        </w:tc>
        <w:tc>
          <w:tcPr>
            <w:tcW w:w="960" w:type="dxa"/>
            <w:tcBorders>
              <w:top w:val="nil"/>
              <w:left w:val="nil"/>
              <w:bottom w:val="nil"/>
              <w:right w:val="nil"/>
            </w:tcBorders>
            <w:shd w:val="clear" w:color="auto" w:fill="auto"/>
            <w:noWrap/>
            <w:vAlign w:val="bottom"/>
          </w:tcPr>
          <w:p w14:paraId="0C1C7082"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12,019</w:t>
            </w:r>
          </w:p>
        </w:tc>
      </w:tr>
      <w:tr w:rsidR="006F2077" w:rsidRPr="003920D7" w14:paraId="1677E321" w14:textId="77777777" w:rsidTr="006F2077">
        <w:trPr>
          <w:trHeight w:hRule="exact" w:val="300"/>
          <w:jc w:val="center"/>
        </w:trPr>
        <w:tc>
          <w:tcPr>
            <w:tcW w:w="5740" w:type="dxa"/>
            <w:tcBorders>
              <w:top w:val="nil"/>
              <w:left w:val="nil"/>
              <w:bottom w:val="single" w:sz="8" w:space="0" w:color="231F20"/>
              <w:right w:val="nil"/>
            </w:tcBorders>
            <w:shd w:val="clear" w:color="auto" w:fill="auto"/>
            <w:noWrap/>
            <w:vAlign w:val="bottom"/>
            <w:hideMark/>
          </w:tcPr>
          <w:p w14:paraId="4C68D6CC" w14:textId="77777777" w:rsidR="006F2077" w:rsidRPr="003920D7" w:rsidRDefault="006F2077" w:rsidP="006F2077">
            <w:pPr>
              <w:rPr>
                <w:rFonts w:ascii="Arial" w:hAnsi="Arial" w:cs="Arial"/>
                <w:color w:val="231F20"/>
                <w:lang w:val="en-GB"/>
              </w:rPr>
            </w:pPr>
            <w:r w:rsidRPr="003920D7">
              <w:rPr>
                <w:rFonts w:ascii="Arial" w:hAnsi="Arial" w:cs="Arial"/>
                <w:color w:val="231F20"/>
                <w:lang w:val="en-GB"/>
              </w:rPr>
              <w:t>Pensions paid during the year (millions)</w:t>
            </w:r>
          </w:p>
        </w:tc>
        <w:tc>
          <w:tcPr>
            <w:tcW w:w="965" w:type="dxa"/>
            <w:tcBorders>
              <w:top w:val="nil"/>
              <w:left w:val="nil"/>
              <w:bottom w:val="single" w:sz="8" w:space="0" w:color="231F20"/>
              <w:right w:val="nil"/>
            </w:tcBorders>
            <w:shd w:val="clear" w:color="auto" w:fill="auto"/>
            <w:noWrap/>
            <w:vAlign w:val="bottom"/>
          </w:tcPr>
          <w:p w14:paraId="6D0540F3"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181</w:t>
            </w:r>
          </w:p>
        </w:tc>
        <w:tc>
          <w:tcPr>
            <w:tcW w:w="965" w:type="dxa"/>
            <w:tcBorders>
              <w:top w:val="nil"/>
              <w:left w:val="nil"/>
              <w:bottom w:val="single" w:sz="8" w:space="0" w:color="231F20"/>
              <w:right w:val="nil"/>
            </w:tcBorders>
            <w:shd w:val="clear" w:color="auto" w:fill="auto"/>
            <w:noWrap/>
            <w:vAlign w:val="bottom"/>
          </w:tcPr>
          <w:p w14:paraId="7D99993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167</w:t>
            </w:r>
          </w:p>
        </w:tc>
        <w:tc>
          <w:tcPr>
            <w:tcW w:w="965" w:type="dxa"/>
            <w:tcBorders>
              <w:top w:val="nil"/>
              <w:left w:val="nil"/>
              <w:bottom w:val="single" w:sz="8" w:space="0" w:color="231F20"/>
              <w:right w:val="nil"/>
            </w:tcBorders>
            <w:shd w:val="clear" w:color="auto" w:fill="auto"/>
            <w:noWrap/>
            <w:vAlign w:val="bottom"/>
          </w:tcPr>
          <w:p w14:paraId="0898E02E"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156</w:t>
            </w:r>
          </w:p>
        </w:tc>
        <w:tc>
          <w:tcPr>
            <w:tcW w:w="960" w:type="dxa"/>
            <w:tcBorders>
              <w:top w:val="nil"/>
              <w:left w:val="nil"/>
              <w:bottom w:val="single" w:sz="8" w:space="0" w:color="231F20"/>
              <w:right w:val="nil"/>
            </w:tcBorders>
            <w:shd w:val="clear" w:color="auto" w:fill="auto"/>
            <w:noWrap/>
            <w:vAlign w:val="bottom"/>
          </w:tcPr>
          <w:p w14:paraId="6BDCF38A" w14:textId="77777777" w:rsidR="006F2077" w:rsidRPr="003920D7" w:rsidRDefault="006F2077" w:rsidP="006F2077">
            <w:pPr>
              <w:jc w:val="right"/>
              <w:rPr>
                <w:rFonts w:ascii="Arial" w:hAnsi="Arial" w:cs="Arial"/>
                <w:color w:val="231F20"/>
                <w:lang w:val="en-GB"/>
              </w:rPr>
            </w:pPr>
            <w:r w:rsidRPr="003920D7">
              <w:rPr>
                <w:rFonts w:ascii="Arial" w:hAnsi="Arial" w:cs="Arial"/>
                <w:color w:val="231F20"/>
                <w:szCs w:val="22"/>
                <w:lang w:val="en-GB"/>
              </w:rPr>
              <w:t>145</w:t>
            </w:r>
          </w:p>
        </w:tc>
      </w:tr>
    </w:tbl>
    <w:p w14:paraId="10513558" w14:textId="77777777" w:rsidR="006F2077" w:rsidRPr="003920D7" w:rsidRDefault="006F2077" w:rsidP="006F2077">
      <w:pPr>
        <w:rPr>
          <w:lang w:val="en-GB"/>
        </w:rPr>
      </w:pPr>
    </w:p>
    <w:p w14:paraId="56CC0D48" w14:textId="2D77CF81" w:rsidR="0016293A" w:rsidRPr="003920D7" w:rsidRDefault="006F2077" w:rsidP="006F2077">
      <w:pPr>
        <w:pStyle w:val="Footnote"/>
        <w:rPr>
          <w:lang w:val="en-GB"/>
        </w:rPr>
      </w:pPr>
      <w:r w:rsidRPr="003920D7">
        <w:rPr>
          <w:lang w:val="en-GB"/>
        </w:rPr>
        <w:t xml:space="preserve">Source: </w:t>
      </w:r>
      <w:proofErr w:type="spellStart"/>
      <w:r w:rsidRPr="003920D7">
        <w:rPr>
          <w:lang w:val="en-GB"/>
        </w:rPr>
        <w:t>Stelco</w:t>
      </w:r>
      <w:proofErr w:type="spellEnd"/>
      <w:r w:rsidR="00022D4F" w:rsidRPr="003920D7">
        <w:rPr>
          <w:lang w:val="en-GB"/>
        </w:rPr>
        <w:t xml:space="preserve"> Inc.,</w:t>
      </w:r>
      <w:r w:rsidRPr="003920D7">
        <w:rPr>
          <w:lang w:val="en-GB"/>
        </w:rPr>
        <w:t xml:space="preserve"> </w:t>
      </w:r>
      <w:r w:rsidRPr="003920D7">
        <w:rPr>
          <w:i/>
          <w:lang w:val="en-GB"/>
        </w:rPr>
        <w:t>Annual Report</w:t>
      </w:r>
      <w:r w:rsidR="00022D4F" w:rsidRPr="003920D7">
        <w:rPr>
          <w:i/>
          <w:lang w:val="en-GB"/>
        </w:rPr>
        <w:t xml:space="preserve"> 2002</w:t>
      </w:r>
      <w:r w:rsidR="00022D4F" w:rsidRPr="003920D7">
        <w:rPr>
          <w:lang w:val="en-GB"/>
        </w:rPr>
        <w:t>, 2002</w:t>
      </w:r>
      <w:r w:rsidRPr="003920D7">
        <w:rPr>
          <w:lang w:val="en-GB"/>
        </w:rPr>
        <w:t>.</w:t>
      </w:r>
    </w:p>
    <w:p w14:paraId="29A9F32C" w14:textId="77777777" w:rsidR="0016293A" w:rsidRPr="003920D7" w:rsidRDefault="0016293A">
      <w:pPr>
        <w:spacing w:after="200" w:line="276" w:lineRule="auto"/>
        <w:rPr>
          <w:rFonts w:ascii="Arial" w:hAnsi="Arial" w:cs="Arial"/>
          <w:sz w:val="17"/>
          <w:szCs w:val="17"/>
          <w:lang w:val="en-GB"/>
        </w:rPr>
      </w:pPr>
      <w:r w:rsidRPr="003920D7">
        <w:rPr>
          <w:lang w:val="en-GB"/>
        </w:rPr>
        <w:br w:type="page"/>
      </w:r>
    </w:p>
    <w:p w14:paraId="40E2EEBE" w14:textId="32882161" w:rsidR="008F2385" w:rsidRPr="003920D7" w:rsidRDefault="0016293A" w:rsidP="0016293A">
      <w:pPr>
        <w:pStyle w:val="ExhibitHeading"/>
        <w:rPr>
          <w:lang w:val="en-GB"/>
        </w:rPr>
      </w:pPr>
      <w:r w:rsidRPr="003920D7">
        <w:rPr>
          <w:lang w:val="en-GB"/>
        </w:rPr>
        <w:lastRenderedPageBreak/>
        <w:t xml:space="preserve">EXHIBIT 4: Stelco </w:t>
      </w:r>
      <w:r w:rsidR="0041796E">
        <w:rPr>
          <w:lang w:val="en-GB"/>
        </w:rPr>
        <w:t xml:space="preserve">inc.’s </w:t>
      </w:r>
      <w:r w:rsidRPr="003920D7">
        <w:rPr>
          <w:lang w:val="en-GB"/>
        </w:rPr>
        <w:t xml:space="preserve">Operating Performance, January 1 to September </w:t>
      </w:r>
      <w:r w:rsidR="00B7442B" w:rsidRPr="003920D7">
        <w:rPr>
          <w:lang w:val="en-GB"/>
        </w:rPr>
        <w:t>3</w:t>
      </w:r>
      <w:r w:rsidR="00B7442B">
        <w:rPr>
          <w:lang w:val="en-GB"/>
        </w:rPr>
        <w:t>0</w:t>
      </w:r>
      <w:r w:rsidRPr="003920D7">
        <w:rPr>
          <w:lang w:val="en-GB"/>
        </w:rPr>
        <w:t>, 2003</w:t>
      </w:r>
    </w:p>
    <w:p w14:paraId="4DAB173D" w14:textId="77777777" w:rsidR="0016293A" w:rsidRPr="003920D7" w:rsidRDefault="0016293A" w:rsidP="0016293A">
      <w:pPr>
        <w:pStyle w:val="BodyTextMain"/>
        <w:rPr>
          <w:lang w:val="en-GB"/>
        </w:rPr>
      </w:pPr>
    </w:p>
    <w:tbl>
      <w:tblPr>
        <w:tblW w:w="4500" w:type="pct"/>
        <w:jc w:val="center"/>
        <w:tblLayout w:type="fixed"/>
        <w:tblCellMar>
          <w:left w:w="0" w:type="dxa"/>
          <w:right w:w="0" w:type="dxa"/>
        </w:tblCellMar>
        <w:tblLook w:val="01E0" w:firstRow="1" w:lastRow="1" w:firstColumn="1" w:lastColumn="1" w:noHBand="0" w:noVBand="0"/>
      </w:tblPr>
      <w:tblGrid>
        <w:gridCol w:w="3676"/>
        <w:gridCol w:w="155"/>
        <w:gridCol w:w="1072"/>
        <w:gridCol w:w="1072"/>
        <w:gridCol w:w="1072"/>
        <w:gridCol w:w="1377"/>
      </w:tblGrid>
      <w:tr w:rsidR="0016293A" w:rsidRPr="003920D7" w14:paraId="0C24B8B6" w14:textId="77777777" w:rsidTr="00FF1DE0">
        <w:trPr>
          <w:jc w:val="center"/>
        </w:trPr>
        <w:tc>
          <w:tcPr>
            <w:tcW w:w="3962" w:type="dxa"/>
            <w:vAlign w:val="bottom"/>
          </w:tcPr>
          <w:p w14:paraId="05DBE84E" w14:textId="77777777" w:rsidR="0016293A" w:rsidRPr="003920D7" w:rsidRDefault="0016293A" w:rsidP="00F53247">
            <w:pPr>
              <w:pStyle w:val="TableParagraph"/>
              <w:spacing w:before="1"/>
              <w:jc w:val="left"/>
              <w:rPr>
                <w:rFonts w:ascii="Arial" w:hAnsi="Arial" w:cs="Arial"/>
                <w:sz w:val="20"/>
                <w:szCs w:val="20"/>
                <w:lang w:val="en-GB"/>
              </w:rPr>
            </w:pPr>
          </w:p>
        </w:tc>
        <w:tc>
          <w:tcPr>
            <w:tcW w:w="165" w:type="dxa"/>
            <w:vAlign w:val="bottom"/>
          </w:tcPr>
          <w:p w14:paraId="606BB21B" w14:textId="77777777" w:rsidR="0016293A" w:rsidRPr="003920D7" w:rsidRDefault="0016293A" w:rsidP="00F53247">
            <w:pPr>
              <w:pStyle w:val="TableParagraph"/>
              <w:spacing w:before="1"/>
              <w:ind w:right="40"/>
              <w:rPr>
                <w:rFonts w:ascii="Arial" w:hAnsi="Arial" w:cs="Arial"/>
                <w:sz w:val="20"/>
                <w:szCs w:val="20"/>
                <w:lang w:val="en-GB"/>
              </w:rPr>
            </w:pPr>
          </w:p>
        </w:tc>
        <w:tc>
          <w:tcPr>
            <w:tcW w:w="1154" w:type="dxa"/>
            <w:vAlign w:val="bottom"/>
          </w:tcPr>
          <w:p w14:paraId="1E9C9160" w14:textId="77777777" w:rsidR="0016293A" w:rsidRPr="003920D7" w:rsidRDefault="0016293A" w:rsidP="00F53247">
            <w:pPr>
              <w:pStyle w:val="TableParagraph"/>
              <w:spacing w:before="1"/>
              <w:ind w:right="40"/>
              <w:rPr>
                <w:rFonts w:ascii="Arial" w:hAnsi="Arial" w:cs="Arial"/>
                <w:sz w:val="20"/>
                <w:szCs w:val="20"/>
                <w:lang w:val="en-GB"/>
              </w:rPr>
            </w:pPr>
          </w:p>
        </w:tc>
        <w:tc>
          <w:tcPr>
            <w:tcW w:w="1154" w:type="dxa"/>
            <w:vAlign w:val="bottom"/>
          </w:tcPr>
          <w:p w14:paraId="7781C200" w14:textId="77777777" w:rsidR="0016293A" w:rsidRPr="003920D7" w:rsidRDefault="0016293A" w:rsidP="00F53247">
            <w:pPr>
              <w:pStyle w:val="TableParagraph"/>
              <w:spacing w:before="1"/>
              <w:ind w:right="117"/>
              <w:rPr>
                <w:rFonts w:ascii="Arial" w:hAnsi="Arial" w:cs="Arial"/>
                <w:sz w:val="20"/>
                <w:szCs w:val="20"/>
                <w:lang w:val="en-GB"/>
              </w:rPr>
            </w:pPr>
          </w:p>
        </w:tc>
        <w:tc>
          <w:tcPr>
            <w:tcW w:w="1154" w:type="dxa"/>
            <w:vAlign w:val="bottom"/>
          </w:tcPr>
          <w:p w14:paraId="47FC67B2" w14:textId="77777777" w:rsidR="0016293A" w:rsidRPr="003920D7" w:rsidRDefault="0016293A" w:rsidP="00F53247">
            <w:pPr>
              <w:pStyle w:val="TableParagraph"/>
              <w:spacing w:before="1"/>
              <w:rPr>
                <w:rFonts w:ascii="Arial" w:hAnsi="Arial" w:cs="Arial"/>
                <w:sz w:val="20"/>
                <w:szCs w:val="20"/>
                <w:lang w:val="en-GB"/>
              </w:rPr>
            </w:pPr>
          </w:p>
        </w:tc>
        <w:tc>
          <w:tcPr>
            <w:tcW w:w="1483" w:type="dxa"/>
            <w:vAlign w:val="bottom"/>
          </w:tcPr>
          <w:p w14:paraId="3922EE82" w14:textId="68605CE8" w:rsidR="0016293A" w:rsidRPr="003920D7" w:rsidRDefault="0016293A" w:rsidP="00676744">
            <w:pPr>
              <w:pStyle w:val="TableParagraph"/>
              <w:spacing w:before="1"/>
              <w:ind w:right="1"/>
              <w:rPr>
                <w:rFonts w:ascii="Arial" w:hAnsi="Arial" w:cs="Arial"/>
                <w:sz w:val="20"/>
                <w:szCs w:val="20"/>
                <w:lang w:val="en-GB"/>
              </w:rPr>
            </w:pPr>
            <w:r w:rsidRPr="003920D7">
              <w:rPr>
                <w:rFonts w:ascii="Arial" w:hAnsi="Arial" w:cs="Arial"/>
                <w:sz w:val="20"/>
                <w:szCs w:val="20"/>
                <w:lang w:val="en-GB"/>
              </w:rPr>
              <w:t>9</w:t>
            </w:r>
            <w:r w:rsidR="00022D4F" w:rsidRPr="003920D7">
              <w:rPr>
                <w:rFonts w:ascii="Arial" w:hAnsi="Arial" w:cs="Arial"/>
                <w:sz w:val="20"/>
                <w:szCs w:val="20"/>
                <w:lang w:val="en-GB"/>
              </w:rPr>
              <w:t xml:space="preserve"> </w:t>
            </w:r>
            <w:r w:rsidRPr="003920D7">
              <w:rPr>
                <w:rFonts w:ascii="Arial" w:hAnsi="Arial" w:cs="Arial"/>
                <w:sz w:val="20"/>
                <w:szCs w:val="20"/>
                <w:lang w:val="en-GB"/>
              </w:rPr>
              <w:t>m</w:t>
            </w:r>
            <w:r w:rsidR="00022D4F" w:rsidRPr="003920D7">
              <w:rPr>
                <w:rFonts w:ascii="Arial" w:hAnsi="Arial" w:cs="Arial"/>
                <w:sz w:val="20"/>
                <w:szCs w:val="20"/>
                <w:lang w:val="en-GB"/>
              </w:rPr>
              <w:t>on</w:t>
            </w:r>
            <w:r w:rsidRPr="003920D7">
              <w:rPr>
                <w:rFonts w:ascii="Arial" w:hAnsi="Arial" w:cs="Arial"/>
                <w:sz w:val="20"/>
                <w:szCs w:val="20"/>
                <w:lang w:val="en-GB"/>
              </w:rPr>
              <w:t>ths ending</w:t>
            </w:r>
          </w:p>
        </w:tc>
      </w:tr>
      <w:tr w:rsidR="0016293A" w:rsidRPr="003920D7" w14:paraId="1F1EADA5" w14:textId="77777777" w:rsidTr="00FF1DE0">
        <w:trPr>
          <w:jc w:val="center"/>
        </w:trPr>
        <w:tc>
          <w:tcPr>
            <w:tcW w:w="3962" w:type="dxa"/>
            <w:vAlign w:val="bottom"/>
          </w:tcPr>
          <w:p w14:paraId="77CEDC88" w14:textId="77777777" w:rsidR="0016293A" w:rsidRPr="003920D7" w:rsidRDefault="0016293A" w:rsidP="00F53247">
            <w:pPr>
              <w:pStyle w:val="TableParagraph"/>
              <w:spacing w:before="4"/>
              <w:jc w:val="left"/>
              <w:rPr>
                <w:rFonts w:ascii="Arial" w:hAnsi="Arial" w:cs="Arial"/>
                <w:sz w:val="20"/>
                <w:szCs w:val="20"/>
                <w:lang w:val="en-GB"/>
              </w:rPr>
            </w:pPr>
          </w:p>
        </w:tc>
        <w:tc>
          <w:tcPr>
            <w:tcW w:w="165" w:type="dxa"/>
            <w:vAlign w:val="bottom"/>
          </w:tcPr>
          <w:p w14:paraId="55EF3302" w14:textId="77777777" w:rsidR="0016293A" w:rsidRPr="003920D7" w:rsidRDefault="0016293A" w:rsidP="00F53247">
            <w:pPr>
              <w:pStyle w:val="TableParagraph"/>
              <w:spacing w:before="15"/>
              <w:ind w:right="40"/>
              <w:rPr>
                <w:rFonts w:ascii="Arial" w:hAnsi="Arial" w:cs="Arial"/>
                <w:sz w:val="20"/>
                <w:szCs w:val="20"/>
                <w:lang w:val="en-GB"/>
              </w:rPr>
            </w:pPr>
          </w:p>
        </w:tc>
        <w:tc>
          <w:tcPr>
            <w:tcW w:w="1154" w:type="dxa"/>
            <w:vAlign w:val="bottom"/>
          </w:tcPr>
          <w:p w14:paraId="5484B941" w14:textId="77777777" w:rsidR="0016293A" w:rsidRPr="003920D7" w:rsidRDefault="0016293A" w:rsidP="00F53247">
            <w:pPr>
              <w:pStyle w:val="TableParagraph"/>
              <w:spacing w:before="15"/>
              <w:ind w:right="40"/>
              <w:rPr>
                <w:rFonts w:ascii="Arial" w:hAnsi="Arial" w:cs="Arial"/>
                <w:sz w:val="20"/>
                <w:szCs w:val="20"/>
                <w:lang w:val="en-GB"/>
              </w:rPr>
            </w:pPr>
            <w:r w:rsidRPr="003920D7">
              <w:rPr>
                <w:rFonts w:ascii="Arial" w:hAnsi="Arial" w:cs="Arial"/>
                <w:sz w:val="20"/>
                <w:szCs w:val="20"/>
                <w:lang w:val="en-GB"/>
              </w:rPr>
              <w:t>Q1 2003</w:t>
            </w:r>
          </w:p>
        </w:tc>
        <w:tc>
          <w:tcPr>
            <w:tcW w:w="1154" w:type="dxa"/>
            <w:vAlign w:val="bottom"/>
          </w:tcPr>
          <w:p w14:paraId="02C3D12D" w14:textId="77777777" w:rsidR="0016293A" w:rsidRPr="003920D7" w:rsidRDefault="0016293A" w:rsidP="00F53247">
            <w:pPr>
              <w:pStyle w:val="TableParagraph"/>
              <w:spacing w:before="15"/>
              <w:ind w:right="117"/>
              <w:rPr>
                <w:rFonts w:ascii="Arial" w:hAnsi="Arial" w:cs="Arial"/>
                <w:sz w:val="20"/>
                <w:szCs w:val="20"/>
                <w:lang w:val="en-GB"/>
              </w:rPr>
            </w:pPr>
            <w:r w:rsidRPr="003920D7">
              <w:rPr>
                <w:rFonts w:ascii="Arial" w:hAnsi="Arial" w:cs="Arial"/>
                <w:sz w:val="20"/>
                <w:szCs w:val="20"/>
                <w:lang w:val="en-GB"/>
              </w:rPr>
              <w:t>Q2 2003</w:t>
            </w:r>
          </w:p>
        </w:tc>
        <w:tc>
          <w:tcPr>
            <w:tcW w:w="1154" w:type="dxa"/>
            <w:vAlign w:val="bottom"/>
          </w:tcPr>
          <w:p w14:paraId="2D3C67AB" w14:textId="77777777" w:rsidR="0016293A" w:rsidRPr="003920D7" w:rsidRDefault="0016293A" w:rsidP="00F53247">
            <w:pPr>
              <w:pStyle w:val="TableParagraph"/>
              <w:spacing w:before="4"/>
              <w:rPr>
                <w:rFonts w:ascii="Arial" w:hAnsi="Arial" w:cs="Arial"/>
                <w:sz w:val="20"/>
                <w:szCs w:val="20"/>
                <w:lang w:val="en-GB"/>
              </w:rPr>
            </w:pPr>
            <w:r w:rsidRPr="003920D7">
              <w:rPr>
                <w:rFonts w:ascii="Arial" w:hAnsi="Arial" w:cs="Arial"/>
                <w:sz w:val="20"/>
                <w:szCs w:val="20"/>
                <w:lang w:val="en-GB"/>
              </w:rPr>
              <w:t>Q3 2003</w:t>
            </w:r>
          </w:p>
        </w:tc>
        <w:tc>
          <w:tcPr>
            <w:tcW w:w="1483" w:type="dxa"/>
            <w:vAlign w:val="bottom"/>
          </w:tcPr>
          <w:p w14:paraId="0161C712" w14:textId="77777777" w:rsidR="0016293A" w:rsidRPr="003920D7" w:rsidRDefault="0016293A" w:rsidP="00F53247">
            <w:pPr>
              <w:pStyle w:val="TableParagraph"/>
              <w:spacing w:before="4"/>
              <w:ind w:right="1"/>
              <w:rPr>
                <w:rFonts w:ascii="Arial" w:hAnsi="Arial" w:cs="Arial"/>
                <w:sz w:val="20"/>
                <w:szCs w:val="20"/>
                <w:lang w:val="en-GB"/>
              </w:rPr>
            </w:pPr>
            <w:r w:rsidRPr="003920D7">
              <w:rPr>
                <w:rFonts w:ascii="Arial" w:hAnsi="Arial" w:cs="Arial"/>
                <w:sz w:val="20"/>
                <w:szCs w:val="20"/>
                <w:lang w:val="en-GB"/>
              </w:rPr>
              <w:t>Sep 30, 2003</w:t>
            </w:r>
          </w:p>
        </w:tc>
      </w:tr>
      <w:tr w:rsidR="0016293A" w:rsidRPr="003920D7" w14:paraId="1D81E6CD" w14:textId="77777777" w:rsidTr="00FF1DE0">
        <w:trPr>
          <w:jc w:val="center"/>
        </w:trPr>
        <w:tc>
          <w:tcPr>
            <w:tcW w:w="3962" w:type="dxa"/>
            <w:vAlign w:val="bottom"/>
          </w:tcPr>
          <w:p w14:paraId="76F85DF1" w14:textId="2B755357" w:rsidR="0016293A" w:rsidRPr="003920D7" w:rsidRDefault="0016293A" w:rsidP="00F53247">
            <w:pPr>
              <w:pStyle w:val="TableParagraph"/>
              <w:spacing w:before="10"/>
              <w:jc w:val="left"/>
              <w:rPr>
                <w:rFonts w:ascii="Arial" w:hAnsi="Arial" w:cs="Arial"/>
                <w:b/>
                <w:sz w:val="20"/>
                <w:szCs w:val="20"/>
                <w:lang w:val="en-GB"/>
              </w:rPr>
            </w:pPr>
            <w:r w:rsidRPr="003920D7">
              <w:rPr>
                <w:rFonts w:ascii="Arial" w:hAnsi="Arial" w:cs="Arial"/>
                <w:b/>
                <w:sz w:val="20"/>
                <w:szCs w:val="20"/>
                <w:u w:val="single"/>
                <w:lang w:val="en-GB"/>
              </w:rPr>
              <w:t>Tons Shipped (000s)</w:t>
            </w:r>
          </w:p>
        </w:tc>
        <w:tc>
          <w:tcPr>
            <w:tcW w:w="165" w:type="dxa"/>
            <w:vAlign w:val="bottom"/>
          </w:tcPr>
          <w:p w14:paraId="3138EB70" w14:textId="77777777" w:rsidR="0016293A" w:rsidRPr="003920D7" w:rsidRDefault="0016293A" w:rsidP="00F53247">
            <w:pPr>
              <w:jc w:val="right"/>
              <w:rPr>
                <w:rFonts w:ascii="Arial" w:hAnsi="Arial" w:cs="Arial"/>
                <w:b/>
                <w:lang w:val="en-GB"/>
              </w:rPr>
            </w:pPr>
          </w:p>
        </w:tc>
        <w:tc>
          <w:tcPr>
            <w:tcW w:w="1154" w:type="dxa"/>
            <w:vAlign w:val="bottom"/>
          </w:tcPr>
          <w:p w14:paraId="6FACF3BD" w14:textId="77777777" w:rsidR="0016293A" w:rsidRPr="003920D7" w:rsidRDefault="0016293A" w:rsidP="00F53247">
            <w:pPr>
              <w:jc w:val="right"/>
              <w:rPr>
                <w:rFonts w:ascii="Arial" w:hAnsi="Arial" w:cs="Arial"/>
                <w:b/>
                <w:lang w:val="en-GB"/>
              </w:rPr>
            </w:pPr>
          </w:p>
        </w:tc>
        <w:tc>
          <w:tcPr>
            <w:tcW w:w="1154" w:type="dxa"/>
            <w:vAlign w:val="bottom"/>
          </w:tcPr>
          <w:p w14:paraId="590F8182" w14:textId="77777777" w:rsidR="0016293A" w:rsidRPr="003920D7" w:rsidRDefault="0016293A" w:rsidP="00F53247">
            <w:pPr>
              <w:jc w:val="right"/>
              <w:rPr>
                <w:rFonts w:ascii="Arial" w:hAnsi="Arial" w:cs="Arial"/>
                <w:b/>
                <w:lang w:val="en-GB"/>
              </w:rPr>
            </w:pPr>
          </w:p>
        </w:tc>
        <w:tc>
          <w:tcPr>
            <w:tcW w:w="1154" w:type="dxa"/>
            <w:vAlign w:val="bottom"/>
          </w:tcPr>
          <w:p w14:paraId="42E84F23" w14:textId="77777777" w:rsidR="0016293A" w:rsidRPr="003920D7" w:rsidRDefault="0016293A" w:rsidP="00F53247">
            <w:pPr>
              <w:jc w:val="right"/>
              <w:rPr>
                <w:rFonts w:ascii="Arial" w:hAnsi="Arial" w:cs="Arial"/>
                <w:b/>
                <w:lang w:val="en-GB"/>
              </w:rPr>
            </w:pPr>
          </w:p>
        </w:tc>
        <w:tc>
          <w:tcPr>
            <w:tcW w:w="1483" w:type="dxa"/>
            <w:vAlign w:val="bottom"/>
          </w:tcPr>
          <w:p w14:paraId="6530D5AB" w14:textId="77777777" w:rsidR="0016293A" w:rsidRPr="003920D7" w:rsidRDefault="0016293A" w:rsidP="00F53247">
            <w:pPr>
              <w:jc w:val="right"/>
              <w:rPr>
                <w:rFonts w:ascii="Arial" w:hAnsi="Arial" w:cs="Arial"/>
                <w:b/>
                <w:lang w:val="en-GB"/>
              </w:rPr>
            </w:pPr>
          </w:p>
        </w:tc>
      </w:tr>
      <w:tr w:rsidR="0016293A" w:rsidRPr="003920D7" w14:paraId="14129B78" w14:textId="77777777" w:rsidTr="00FF1DE0">
        <w:trPr>
          <w:jc w:val="center"/>
        </w:trPr>
        <w:tc>
          <w:tcPr>
            <w:tcW w:w="3962" w:type="dxa"/>
            <w:vAlign w:val="bottom"/>
          </w:tcPr>
          <w:p w14:paraId="281C481C" w14:textId="77777777" w:rsidR="0016293A" w:rsidRPr="003920D7" w:rsidRDefault="0016293A" w:rsidP="00F53247">
            <w:pPr>
              <w:pStyle w:val="TableParagraph"/>
              <w:spacing w:before="10"/>
              <w:jc w:val="left"/>
              <w:rPr>
                <w:rFonts w:ascii="Arial" w:hAnsi="Arial" w:cs="Arial"/>
                <w:b/>
                <w:sz w:val="20"/>
                <w:szCs w:val="20"/>
                <w:u w:val="single"/>
                <w:lang w:val="en-GB"/>
              </w:rPr>
            </w:pPr>
          </w:p>
        </w:tc>
        <w:tc>
          <w:tcPr>
            <w:tcW w:w="165" w:type="dxa"/>
            <w:vAlign w:val="bottom"/>
          </w:tcPr>
          <w:p w14:paraId="600732A9" w14:textId="77777777" w:rsidR="0016293A" w:rsidRPr="003920D7" w:rsidRDefault="0016293A" w:rsidP="00F53247">
            <w:pPr>
              <w:jc w:val="right"/>
              <w:rPr>
                <w:rFonts w:ascii="Arial" w:hAnsi="Arial" w:cs="Arial"/>
                <w:b/>
                <w:lang w:val="en-GB"/>
              </w:rPr>
            </w:pPr>
          </w:p>
        </w:tc>
        <w:tc>
          <w:tcPr>
            <w:tcW w:w="1154" w:type="dxa"/>
            <w:vAlign w:val="bottom"/>
          </w:tcPr>
          <w:p w14:paraId="0F2F6B18" w14:textId="77777777" w:rsidR="0016293A" w:rsidRPr="003920D7" w:rsidRDefault="0016293A" w:rsidP="00F53247">
            <w:pPr>
              <w:jc w:val="right"/>
              <w:rPr>
                <w:rFonts w:ascii="Arial" w:hAnsi="Arial" w:cs="Arial"/>
                <w:b/>
                <w:lang w:val="en-GB"/>
              </w:rPr>
            </w:pPr>
          </w:p>
        </w:tc>
        <w:tc>
          <w:tcPr>
            <w:tcW w:w="1154" w:type="dxa"/>
            <w:vAlign w:val="bottom"/>
          </w:tcPr>
          <w:p w14:paraId="292C2833" w14:textId="77777777" w:rsidR="0016293A" w:rsidRPr="003920D7" w:rsidRDefault="0016293A" w:rsidP="00F53247">
            <w:pPr>
              <w:jc w:val="right"/>
              <w:rPr>
                <w:rFonts w:ascii="Arial" w:hAnsi="Arial" w:cs="Arial"/>
                <w:b/>
                <w:lang w:val="en-GB"/>
              </w:rPr>
            </w:pPr>
          </w:p>
        </w:tc>
        <w:tc>
          <w:tcPr>
            <w:tcW w:w="1154" w:type="dxa"/>
            <w:vAlign w:val="bottom"/>
          </w:tcPr>
          <w:p w14:paraId="1E0EF403" w14:textId="77777777" w:rsidR="0016293A" w:rsidRPr="003920D7" w:rsidRDefault="0016293A" w:rsidP="00F53247">
            <w:pPr>
              <w:jc w:val="right"/>
              <w:rPr>
                <w:rFonts w:ascii="Arial" w:hAnsi="Arial" w:cs="Arial"/>
                <w:b/>
                <w:lang w:val="en-GB"/>
              </w:rPr>
            </w:pPr>
          </w:p>
        </w:tc>
        <w:tc>
          <w:tcPr>
            <w:tcW w:w="1483" w:type="dxa"/>
            <w:vAlign w:val="bottom"/>
          </w:tcPr>
          <w:p w14:paraId="3EB3D581" w14:textId="77777777" w:rsidR="0016293A" w:rsidRPr="003920D7" w:rsidRDefault="0016293A" w:rsidP="00F53247">
            <w:pPr>
              <w:jc w:val="right"/>
              <w:rPr>
                <w:rFonts w:ascii="Arial" w:hAnsi="Arial" w:cs="Arial"/>
                <w:b/>
                <w:lang w:val="en-GB"/>
              </w:rPr>
            </w:pPr>
          </w:p>
        </w:tc>
      </w:tr>
      <w:tr w:rsidR="0016293A" w:rsidRPr="003920D7" w14:paraId="0CD5C770" w14:textId="77777777" w:rsidTr="00FF1DE0">
        <w:trPr>
          <w:jc w:val="center"/>
        </w:trPr>
        <w:tc>
          <w:tcPr>
            <w:tcW w:w="3962" w:type="dxa"/>
            <w:vAlign w:val="bottom"/>
          </w:tcPr>
          <w:p w14:paraId="1B800C9C"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Integrated Steel</w:t>
            </w:r>
          </w:p>
        </w:tc>
        <w:tc>
          <w:tcPr>
            <w:tcW w:w="165" w:type="dxa"/>
            <w:vAlign w:val="bottom"/>
          </w:tcPr>
          <w:p w14:paraId="1A7070C0"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66A23271"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925</w:t>
            </w:r>
          </w:p>
        </w:tc>
        <w:tc>
          <w:tcPr>
            <w:tcW w:w="1154" w:type="dxa"/>
            <w:vAlign w:val="bottom"/>
          </w:tcPr>
          <w:p w14:paraId="7775F7D5"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982</w:t>
            </w:r>
          </w:p>
        </w:tc>
        <w:tc>
          <w:tcPr>
            <w:tcW w:w="1154" w:type="dxa"/>
            <w:vAlign w:val="bottom"/>
          </w:tcPr>
          <w:p w14:paraId="03B19DF8"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932</w:t>
            </w:r>
          </w:p>
        </w:tc>
        <w:tc>
          <w:tcPr>
            <w:tcW w:w="1483" w:type="dxa"/>
            <w:vAlign w:val="bottom"/>
          </w:tcPr>
          <w:p w14:paraId="5005E2AC"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2,839</w:t>
            </w:r>
          </w:p>
        </w:tc>
      </w:tr>
      <w:tr w:rsidR="0016293A" w:rsidRPr="003920D7" w14:paraId="196B6FB1" w14:textId="77777777" w:rsidTr="00FF1DE0">
        <w:trPr>
          <w:jc w:val="center"/>
        </w:trPr>
        <w:tc>
          <w:tcPr>
            <w:tcW w:w="3962" w:type="dxa"/>
            <w:vAlign w:val="bottom"/>
          </w:tcPr>
          <w:p w14:paraId="0050DD32"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Mini-mill</w:t>
            </w:r>
          </w:p>
        </w:tc>
        <w:tc>
          <w:tcPr>
            <w:tcW w:w="165" w:type="dxa"/>
            <w:vAlign w:val="bottom"/>
          </w:tcPr>
          <w:p w14:paraId="394281E9"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477E8AB5"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125</w:t>
            </w:r>
          </w:p>
        </w:tc>
        <w:tc>
          <w:tcPr>
            <w:tcW w:w="1154" w:type="dxa"/>
            <w:vAlign w:val="bottom"/>
          </w:tcPr>
          <w:p w14:paraId="5C9C196B"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161</w:t>
            </w:r>
          </w:p>
        </w:tc>
        <w:tc>
          <w:tcPr>
            <w:tcW w:w="1154" w:type="dxa"/>
            <w:vAlign w:val="bottom"/>
          </w:tcPr>
          <w:p w14:paraId="6B880BA4"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158</w:t>
            </w:r>
          </w:p>
        </w:tc>
        <w:tc>
          <w:tcPr>
            <w:tcW w:w="1483" w:type="dxa"/>
            <w:vAlign w:val="bottom"/>
          </w:tcPr>
          <w:p w14:paraId="5D337063"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444</w:t>
            </w:r>
          </w:p>
        </w:tc>
      </w:tr>
      <w:tr w:rsidR="0016293A" w:rsidRPr="003920D7" w14:paraId="204ACF01" w14:textId="77777777" w:rsidTr="00FF1DE0">
        <w:trPr>
          <w:jc w:val="center"/>
        </w:trPr>
        <w:tc>
          <w:tcPr>
            <w:tcW w:w="3962" w:type="dxa"/>
            <w:vAlign w:val="bottom"/>
          </w:tcPr>
          <w:p w14:paraId="49A89817" w14:textId="77777777" w:rsidR="0016293A" w:rsidRPr="003920D7" w:rsidRDefault="0016293A" w:rsidP="00F53247">
            <w:pPr>
              <w:pStyle w:val="TableParagraph"/>
              <w:spacing w:before="18"/>
              <w:jc w:val="left"/>
              <w:rPr>
                <w:rFonts w:ascii="Arial" w:hAnsi="Arial" w:cs="Arial"/>
                <w:sz w:val="20"/>
                <w:szCs w:val="20"/>
                <w:lang w:val="en-GB"/>
              </w:rPr>
            </w:pPr>
            <w:r w:rsidRPr="003920D7">
              <w:rPr>
                <w:rFonts w:ascii="Arial" w:hAnsi="Arial" w:cs="Arial"/>
                <w:sz w:val="20"/>
                <w:szCs w:val="20"/>
                <w:lang w:val="en-GB"/>
              </w:rPr>
              <w:t>Manufactured Products</w:t>
            </w:r>
          </w:p>
        </w:tc>
        <w:tc>
          <w:tcPr>
            <w:tcW w:w="165" w:type="dxa"/>
            <w:vAlign w:val="bottom"/>
          </w:tcPr>
          <w:p w14:paraId="63DF8C6F" w14:textId="77777777" w:rsidR="0016293A" w:rsidRPr="003920D7" w:rsidRDefault="0016293A" w:rsidP="00F53247">
            <w:pPr>
              <w:pStyle w:val="TableParagraph"/>
              <w:spacing w:before="18"/>
              <w:ind w:right="38"/>
              <w:rPr>
                <w:rFonts w:ascii="Arial" w:hAnsi="Arial" w:cs="Arial"/>
                <w:sz w:val="20"/>
                <w:szCs w:val="20"/>
                <w:u w:val="single"/>
                <w:lang w:val="en-GB"/>
              </w:rPr>
            </w:pPr>
          </w:p>
        </w:tc>
        <w:tc>
          <w:tcPr>
            <w:tcW w:w="1154" w:type="dxa"/>
            <w:vAlign w:val="bottom"/>
          </w:tcPr>
          <w:p w14:paraId="121B759D" w14:textId="56B7A0B7" w:rsidR="0016293A" w:rsidRPr="003920D7" w:rsidRDefault="002C5825" w:rsidP="00F53247">
            <w:pPr>
              <w:pStyle w:val="TableParagraph"/>
              <w:spacing w:before="18"/>
              <w:ind w:right="38"/>
              <w:rPr>
                <w:rFonts w:ascii="Arial" w:hAnsi="Arial" w:cs="Arial"/>
                <w:sz w:val="20"/>
                <w:szCs w:val="20"/>
                <w:u w:val="single"/>
                <w:lang w:val="en-GB"/>
              </w:rPr>
            </w:pPr>
            <w:r>
              <w:rPr>
                <w:rFonts w:ascii="Arial" w:hAnsi="Arial" w:cs="Arial"/>
                <w:sz w:val="20"/>
                <w:szCs w:val="20"/>
                <w:u w:val="single"/>
                <w:lang w:val="en-GB"/>
              </w:rPr>
              <w:t xml:space="preserve">   </w:t>
            </w:r>
            <w:r w:rsidR="0016293A" w:rsidRPr="003920D7">
              <w:rPr>
                <w:rFonts w:ascii="Arial" w:hAnsi="Arial" w:cs="Arial"/>
                <w:sz w:val="20"/>
                <w:szCs w:val="20"/>
                <w:u w:val="single"/>
                <w:lang w:val="en-GB"/>
              </w:rPr>
              <w:t>116</w:t>
            </w:r>
          </w:p>
        </w:tc>
        <w:tc>
          <w:tcPr>
            <w:tcW w:w="1154" w:type="dxa"/>
            <w:vAlign w:val="bottom"/>
          </w:tcPr>
          <w:p w14:paraId="427BC21B" w14:textId="5D9D75C1" w:rsidR="0016293A" w:rsidRPr="003920D7" w:rsidRDefault="002C5825" w:rsidP="00F53247">
            <w:pPr>
              <w:pStyle w:val="TableParagraph"/>
              <w:spacing w:before="18"/>
              <w:ind w:right="115"/>
              <w:rPr>
                <w:rFonts w:ascii="Arial" w:hAnsi="Arial" w:cs="Arial"/>
                <w:sz w:val="20"/>
                <w:szCs w:val="20"/>
                <w:u w:val="single"/>
                <w:lang w:val="en-GB"/>
              </w:rPr>
            </w:pPr>
            <w:r>
              <w:rPr>
                <w:rFonts w:ascii="Arial" w:hAnsi="Arial" w:cs="Arial"/>
                <w:sz w:val="20"/>
                <w:szCs w:val="20"/>
                <w:u w:val="single"/>
                <w:lang w:val="en-GB"/>
              </w:rPr>
              <w:t xml:space="preserve">   </w:t>
            </w:r>
            <w:r w:rsidR="0016293A" w:rsidRPr="003920D7">
              <w:rPr>
                <w:rFonts w:ascii="Arial" w:hAnsi="Arial" w:cs="Arial"/>
                <w:sz w:val="20"/>
                <w:szCs w:val="20"/>
                <w:u w:val="single"/>
                <w:lang w:val="en-GB"/>
              </w:rPr>
              <w:t>115</w:t>
            </w:r>
          </w:p>
        </w:tc>
        <w:tc>
          <w:tcPr>
            <w:tcW w:w="1154" w:type="dxa"/>
            <w:vAlign w:val="bottom"/>
          </w:tcPr>
          <w:p w14:paraId="20D256E2" w14:textId="7CBB4ED1" w:rsidR="0016293A" w:rsidRPr="003920D7" w:rsidRDefault="002C5825" w:rsidP="00F53247">
            <w:pPr>
              <w:pStyle w:val="TableParagraph"/>
              <w:spacing w:before="18"/>
              <w:ind w:right="-2"/>
              <w:rPr>
                <w:rFonts w:ascii="Arial" w:hAnsi="Arial" w:cs="Arial"/>
                <w:sz w:val="20"/>
                <w:szCs w:val="20"/>
                <w:u w:val="single"/>
                <w:lang w:val="en-GB"/>
              </w:rPr>
            </w:pPr>
            <w:r>
              <w:rPr>
                <w:rFonts w:ascii="Arial" w:hAnsi="Arial" w:cs="Arial"/>
                <w:sz w:val="20"/>
                <w:szCs w:val="20"/>
                <w:u w:val="single"/>
                <w:lang w:val="en-GB"/>
              </w:rPr>
              <w:t xml:space="preserve">   </w:t>
            </w:r>
            <w:r w:rsidR="0016293A" w:rsidRPr="003920D7">
              <w:rPr>
                <w:rFonts w:ascii="Arial" w:hAnsi="Arial" w:cs="Arial"/>
                <w:sz w:val="20"/>
                <w:szCs w:val="20"/>
                <w:u w:val="single"/>
                <w:lang w:val="en-GB"/>
              </w:rPr>
              <w:t>115</w:t>
            </w:r>
          </w:p>
        </w:tc>
        <w:tc>
          <w:tcPr>
            <w:tcW w:w="1483" w:type="dxa"/>
            <w:vAlign w:val="bottom"/>
          </w:tcPr>
          <w:p w14:paraId="405BE41C" w14:textId="38CBA2BC" w:rsidR="0016293A" w:rsidRPr="003920D7" w:rsidRDefault="002C5825" w:rsidP="00F53247">
            <w:pPr>
              <w:pStyle w:val="TableParagraph"/>
              <w:spacing w:before="18"/>
              <w:ind w:right="-1"/>
              <w:rPr>
                <w:rFonts w:ascii="Arial" w:hAnsi="Arial" w:cs="Arial"/>
                <w:sz w:val="20"/>
                <w:szCs w:val="20"/>
                <w:u w:val="single"/>
                <w:lang w:val="en-GB"/>
              </w:rPr>
            </w:pPr>
            <w:r>
              <w:rPr>
                <w:rFonts w:ascii="Arial" w:hAnsi="Arial" w:cs="Arial"/>
                <w:sz w:val="20"/>
                <w:szCs w:val="20"/>
                <w:u w:val="single"/>
                <w:lang w:val="en-GB"/>
              </w:rPr>
              <w:t xml:space="preserve">   </w:t>
            </w:r>
            <w:r w:rsidR="0016293A" w:rsidRPr="003920D7">
              <w:rPr>
                <w:rFonts w:ascii="Arial" w:hAnsi="Arial" w:cs="Arial"/>
                <w:sz w:val="20"/>
                <w:szCs w:val="20"/>
                <w:u w:val="single"/>
                <w:lang w:val="en-GB"/>
              </w:rPr>
              <w:t>346</w:t>
            </w:r>
          </w:p>
        </w:tc>
      </w:tr>
      <w:tr w:rsidR="0016293A" w:rsidRPr="003920D7" w14:paraId="1610D3D9" w14:textId="77777777" w:rsidTr="00FF1DE0">
        <w:trPr>
          <w:jc w:val="center"/>
        </w:trPr>
        <w:tc>
          <w:tcPr>
            <w:tcW w:w="3962" w:type="dxa"/>
            <w:vAlign w:val="bottom"/>
          </w:tcPr>
          <w:p w14:paraId="70F4221E" w14:textId="53D91057" w:rsidR="0016293A" w:rsidRPr="003920D7" w:rsidRDefault="0016293A" w:rsidP="00F53247">
            <w:pPr>
              <w:rPr>
                <w:rFonts w:ascii="Arial" w:hAnsi="Arial" w:cs="Arial"/>
                <w:lang w:val="en-GB"/>
              </w:rPr>
            </w:pPr>
            <w:r w:rsidRPr="003920D7">
              <w:rPr>
                <w:rFonts w:ascii="Arial" w:hAnsi="Arial" w:cs="Arial"/>
                <w:lang w:val="en-GB"/>
              </w:rPr>
              <w:t>Total Tons Shipped</w:t>
            </w:r>
          </w:p>
        </w:tc>
        <w:tc>
          <w:tcPr>
            <w:tcW w:w="165" w:type="dxa"/>
            <w:vAlign w:val="bottom"/>
          </w:tcPr>
          <w:p w14:paraId="60CDC10C" w14:textId="77777777" w:rsidR="0016293A" w:rsidRPr="003920D7" w:rsidRDefault="0016293A" w:rsidP="00F53247">
            <w:pPr>
              <w:pStyle w:val="TableParagraph"/>
              <w:spacing w:before="21"/>
              <w:ind w:right="39"/>
              <w:rPr>
                <w:rFonts w:ascii="Arial" w:hAnsi="Arial" w:cs="Arial"/>
                <w:sz w:val="20"/>
                <w:szCs w:val="20"/>
                <w:lang w:val="en-GB"/>
              </w:rPr>
            </w:pPr>
          </w:p>
        </w:tc>
        <w:tc>
          <w:tcPr>
            <w:tcW w:w="1154" w:type="dxa"/>
            <w:vAlign w:val="bottom"/>
          </w:tcPr>
          <w:p w14:paraId="5073D5C8" w14:textId="77777777" w:rsidR="0016293A" w:rsidRPr="003920D7" w:rsidRDefault="0016293A" w:rsidP="00F53247">
            <w:pPr>
              <w:pStyle w:val="TableParagraph"/>
              <w:spacing w:before="21"/>
              <w:ind w:right="39"/>
              <w:rPr>
                <w:rFonts w:ascii="Arial" w:hAnsi="Arial" w:cs="Arial"/>
                <w:sz w:val="20"/>
                <w:szCs w:val="20"/>
                <w:lang w:val="en-GB"/>
              </w:rPr>
            </w:pPr>
            <w:r w:rsidRPr="003920D7">
              <w:rPr>
                <w:rFonts w:ascii="Arial" w:hAnsi="Arial" w:cs="Arial"/>
                <w:sz w:val="20"/>
                <w:szCs w:val="20"/>
                <w:lang w:val="en-GB"/>
              </w:rPr>
              <w:t>1,166</w:t>
            </w:r>
          </w:p>
        </w:tc>
        <w:tc>
          <w:tcPr>
            <w:tcW w:w="1154" w:type="dxa"/>
            <w:vAlign w:val="bottom"/>
          </w:tcPr>
          <w:p w14:paraId="06DD2D21" w14:textId="77777777" w:rsidR="0016293A" w:rsidRPr="003920D7" w:rsidRDefault="0016293A" w:rsidP="00F53247">
            <w:pPr>
              <w:pStyle w:val="TableParagraph"/>
              <w:spacing w:before="21"/>
              <w:ind w:right="116"/>
              <w:rPr>
                <w:rFonts w:ascii="Arial" w:hAnsi="Arial" w:cs="Arial"/>
                <w:sz w:val="20"/>
                <w:szCs w:val="20"/>
                <w:lang w:val="en-GB"/>
              </w:rPr>
            </w:pPr>
            <w:r w:rsidRPr="003920D7">
              <w:rPr>
                <w:rFonts w:ascii="Arial" w:hAnsi="Arial" w:cs="Arial"/>
                <w:sz w:val="20"/>
                <w:szCs w:val="20"/>
                <w:lang w:val="en-GB"/>
              </w:rPr>
              <w:t>1,258</w:t>
            </w:r>
          </w:p>
        </w:tc>
        <w:tc>
          <w:tcPr>
            <w:tcW w:w="1154" w:type="dxa"/>
            <w:vAlign w:val="bottom"/>
          </w:tcPr>
          <w:p w14:paraId="6E190BCC" w14:textId="77777777" w:rsidR="0016293A" w:rsidRPr="003920D7" w:rsidRDefault="0016293A" w:rsidP="00F53247">
            <w:pPr>
              <w:pStyle w:val="TableParagraph"/>
              <w:spacing w:before="15"/>
              <w:ind w:right="-1"/>
              <w:rPr>
                <w:rFonts w:ascii="Arial" w:hAnsi="Arial" w:cs="Arial"/>
                <w:sz w:val="20"/>
                <w:szCs w:val="20"/>
                <w:lang w:val="en-GB"/>
              </w:rPr>
            </w:pPr>
            <w:r w:rsidRPr="003920D7">
              <w:rPr>
                <w:rFonts w:ascii="Arial" w:hAnsi="Arial" w:cs="Arial"/>
                <w:sz w:val="20"/>
                <w:szCs w:val="20"/>
                <w:lang w:val="en-GB"/>
              </w:rPr>
              <w:t>1,205</w:t>
            </w:r>
          </w:p>
        </w:tc>
        <w:tc>
          <w:tcPr>
            <w:tcW w:w="1483" w:type="dxa"/>
            <w:vAlign w:val="bottom"/>
          </w:tcPr>
          <w:p w14:paraId="51E695E2" w14:textId="77777777" w:rsidR="0016293A" w:rsidRPr="003920D7" w:rsidRDefault="0016293A" w:rsidP="00F53247">
            <w:pPr>
              <w:pStyle w:val="TableParagraph"/>
              <w:spacing w:before="15"/>
              <w:rPr>
                <w:rFonts w:ascii="Arial" w:hAnsi="Arial" w:cs="Arial"/>
                <w:sz w:val="20"/>
                <w:szCs w:val="20"/>
                <w:lang w:val="en-GB"/>
              </w:rPr>
            </w:pPr>
            <w:r w:rsidRPr="003920D7">
              <w:rPr>
                <w:rFonts w:ascii="Arial" w:hAnsi="Arial" w:cs="Arial"/>
                <w:sz w:val="20"/>
                <w:szCs w:val="20"/>
                <w:lang w:val="en-GB"/>
              </w:rPr>
              <w:t>3,629</w:t>
            </w:r>
          </w:p>
        </w:tc>
      </w:tr>
      <w:tr w:rsidR="0016293A" w:rsidRPr="003920D7" w14:paraId="7D9A6967" w14:textId="77777777" w:rsidTr="00FF1DE0">
        <w:trPr>
          <w:jc w:val="center"/>
        </w:trPr>
        <w:tc>
          <w:tcPr>
            <w:tcW w:w="3962" w:type="dxa"/>
            <w:vAlign w:val="bottom"/>
          </w:tcPr>
          <w:p w14:paraId="3C712195"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5B2236F5"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1E9BF005" w14:textId="4954AE33" w:rsidR="0016293A" w:rsidRPr="003920D7" w:rsidRDefault="0016293A" w:rsidP="00676744">
            <w:pPr>
              <w:pStyle w:val="TableParagraph"/>
              <w:spacing w:line="249" w:lineRule="exact"/>
              <w:jc w:val="left"/>
              <w:rPr>
                <w:rFonts w:ascii="Arial" w:hAnsi="Arial" w:cs="Arial"/>
                <w:b/>
                <w:sz w:val="20"/>
                <w:szCs w:val="20"/>
                <w:lang w:val="en-GB"/>
              </w:rPr>
            </w:pPr>
            <w:r w:rsidRPr="003920D7">
              <w:rPr>
                <w:rFonts w:ascii="Arial" w:hAnsi="Arial" w:cs="Arial"/>
                <w:b/>
                <w:sz w:val="20"/>
                <w:szCs w:val="20"/>
                <w:u w:val="single"/>
                <w:lang w:val="en-GB"/>
              </w:rPr>
              <w:t xml:space="preserve">Average Revenue &amp; Cost </w:t>
            </w:r>
            <w:r w:rsidR="00022D4F" w:rsidRPr="003920D7">
              <w:rPr>
                <w:rFonts w:ascii="Arial" w:hAnsi="Arial" w:cs="Arial"/>
                <w:b/>
                <w:sz w:val="20"/>
                <w:szCs w:val="20"/>
                <w:u w:val="single"/>
                <w:lang w:val="en-GB"/>
              </w:rPr>
              <w:t>p</w:t>
            </w:r>
            <w:r w:rsidRPr="003920D7">
              <w:rPr>
                <w:rFonts w:ascii="Arial" w:hAnsi="Arial" w:cs="Arial"/>
                <w:b/>
                <w:sz w:val="20"/>
                <w:szCs w:val="20"/>
                <w:u w:val="single"/>
                <w:lang w:val="en-GB"/>
              </w:rPr>
              <w:t xml:space="preserve">er Ton </w:t>
            </w:r>
          </w:p>
        </w:tc>
        <w:tc>
          <w:tcPr>
            <w:tcW w:w="165" w:type="dxa"/>
            <w:vAlign w:val="bottom"/>
          </w:tcPr>
          <w:p w14:paraId="5F53AE88" w14:textId="77777777" w:rsidR="0016293A" w:rsidRPr="003920D7" w:rsidRDefault="0016293A" w:rsidP="00F53247">
            <w:pPr>
              <w:pStyle w:val="TableParagraph"/>
              <w:spacing w:line="249" w:lineRule="exact"/>
              <w:ind w:right="38"/>
              <w:rPr>
                <w:rFonts w:ascii="Arial" w:hAnsi="Arial" w:cs="Arial"/>
                <w:b/>
                <w:sz w:val="20"/>
                <w:szCs w:val="20"/>
                <w:lang w:val="en-GB"/>
              </w:rPr>
            </w:pPr>
          </w:p>
        </w:tc>
        <w:tc>
          <w:tcPr>
            <w:tcW w:w="1154" w:type="dxa"/>
            <w:vAlign w:val="bottom"/>
          </w:tcPr>
          <w:p w14:paraId="285B7285" w14:textId="77777777" w:rsidR="0016293A" w:rsidRPr="003920D7" w:rsidRDefault="0016293A" w:rsidP="00F53247">
            <w:pPr>
              <w:pStyle w:val="TableParagraph"/>
              <w:spacing w:line="249" w:lineRule="exact"/>
              <w:ind w:right="38"/>
              <w:rPr>
                <w:rFonts w:ascii="Arial" w:hAnsi="Arial" w:cs="Arial"/>
                <w:b/>
                <w:sz w:val="20"/>
                <w:szCs w:val="20"/>
                <w:lang w:val="en-GB"/>
              </w:rPr>
            </w:pPr>
          </w:p>
        </w:tc>
        <w:tc>
          <w:tcPr>
            <w:tcW w:w="1154" w:type="dxa"/>
            <w:vAlign w:val="bottom"/>
          </w:tcPr>
          <w:p w14:paraId="57452D5C" w14:textId="77777777" w:rsidR="0016293A" w:rsidRPr="003920D7" w:rsidRDefault="0016293A" w:rsidP="00F53247">
            <w:pPr>
              <w:pStyle w:val="TableParagraph"/>
              <w:spacing w:line="249" w:lineRule="exact"/>
              <w:ind w:right="115"/>
              <w:rPr>
                <w:rFonts w:ascii="Arial" w:hAnsi="Arial" w:cs="Arial"/>
                <w:b/>
                <w:sz w:val="20"/>
                <w:szCs w:val="20"/>
                <w:lang w:val="en-GB"/>
              </w:rPr>
            </w:pPr>
          </w:p>
        </w:tc>
        <w:tc>
          <w:tcPr>
            <w:tcW w:w="1154" w:type="dxa"/>
            <w:vAlign w:val="bottom"/>
          </w:tcPr>
          <w:p w14:paraId="13EA027C" w14:textId="77777777" w:rsidR="0016293A" w:rsidRPr="003920D7" w:rsidRDefault="0016293A" w:rsidP="00F53247">
            <w:pPr>
              <w:pStyle w:val="TableParagraph"/>
              <w:spacing w:line="249" w:lineRule="exact"/>
              <w:ind w:right="-2"/>
              <w:rPr>
                <w:rFonts w:ascii="Arial" w:hAnsi="Arial" w:cs="Arial"/>
                <w:b/>
                <w:sz w:val="20"/>
                <w:szCs w:val="20"/>
                <w:lang w:val="en-GB"/>
              </w:rPr>
            </w:pPr>
          </w:p>
        </w:tc>
        <w:tc>
          <w:tcPr>
            <w:tcW w:w="1483" w:type="dxa"/>
            <w:vAlign w:val="bottom"/>
          </w:tcPr>
          <w:p w14:paraId="136DFD48" w14:textId="77777777" w:rsidR="0016293A" w:rsidRPr="003920D7" w:rsidRDefault="0016293A" w:rsidP="00F53247">
            <w:pPr>
              <w:pStyle w:val="TableParagraph"/>
              <w:spacing w:line="249" w:lineRule="exact"/>
              <w:ind w:right="-1"/>
              <w:rPr>
                <w:rFonts w:ascii="Arial" w:hAnsi="Arial" w:cs="Arial"/>
                <w:b/>
                <w:sz w:val="20"/>
                <w:szCs w:val="20"/>
                <w:lang w:val="en-GB"/>
              </w:rPr>
            </w:pPr>
          </w:p>
        </w:tc>
      </w:tr>
      <w:tr w:rsidR="0016293A" w:rsidRPr="003920D7" w14:paraId="31F0D7C2" w14:textId="77777777" w:rsidTr="00FF1DE0">
        <w:trPr>
          <w:jc w:val="center"/>
        </w:trPr>
        <w:tc>
          <w:tcPr>
            <w:tcW w:w="3962" w:type="dxa"/>
            <w:vAlign w:val="bottom"/>
          </w:tcPr>
          <w:p w14:paraId="4AA32913" w14:textId="77777777" w:rsidR="0016293A" w:rsidRPr="003920D7" w:rsidRDefault="0016293A" w:rsidP="00F53247">
            <w:pPr>
              <w:pStyle w:val="TableParagraph"/>
              <w:spacing w:line="249" w:lineRule="exact"/>
              <w:jc w:val="left"/>
              <w:rPr>
                <w:rFonts w:ascii="Arial" w:hAnsi="Arial" w:cs="Arial"/>
                <w:sz w:val="20"/>
                <w:szCs w:val="20"/>
                <w:lang w:val="en-GB"/>
              </w:rPr>
            </w:pPr>
          </w:p>
          <w:p w14:paraId="27CA81BD"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Integrated Steel</w:t>
            </w:r>
          </w:p>
        </w:tc>
        <w:tc>
          <w:tcPr>
            <w:tcW w:w="165" w:type="dxa"/>
            <w:vAlign w:val="bottom"/>
          </w:tcPr>
          <w:p w14:paraId="1EE00A1A"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13F04424"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$583</w:t>
            </w:r>
          </w:p>
        </w:tc>
        <w:tc>
          <w:tcPr>
            <w:tcW w:w="1154" w:type="dxa"/>
            <w:vAlign w:val="bottom"/>
          </w:tcPr>
          <w:p w14:paraId="0372D181"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$545</w:t>
            </w:r>
          </w:p>
        </w:tc>
        <w:tc>
          <w:tcPr>
            <w:tcW w:w="1154" w:type="dxa"/>
            <w:vAlign w:val="bottom"/>
          </w:tcPr>
          <w:p w14:paraId="66DBECB8"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$519</w:t>
            </w:r>
          </w:p>
        </w:tc>
        <w:tc>
          <w:tcPr>
            <w:tcW w:w="1483" w:type="dxa"/>
            <w:vAlign w:val="bottom"/>
          </w:tcPr>
          <w:p w14:paraId="1E154B27"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$549</w:t>
            </w:r>
          </w:p>
        </w:tc>
      </w:tr>
      <w:tr w:rsidR="0016293A" w:rsidRPr="003920D7" w14:paraId="2D00A123" w14:textId="77777777" w:rsidTr="00FF1DE0">
        <w:trPr>
          <w:jc w:val="center"/>
        </w:trPr>
        <w:tc>
          <w:tcPr>
            <w:tcW w:w="3962" w:type="dxa"/>
            <w:vAlign w:val="bottom"/>
          </w:tcPr>
          <w:p w14:paraId="7F91F6FA"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Mini-mill</w:t>
            </w:r>
          </w:p>
        </w:tc>
        <w:tc>
          <w:tcPr>
            <w:tcW w:w="165" w:type="dxa"/>
            <w:vAlign w:val="bottom"/>
          </w:tcPr>
          <w:p w14:paraId="1DBCDC4B"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715BEC4E"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$448</w:t>
            </w:r>
          </w:p>
        </w:tc>
        <w:tc>
          <w:tcPr>
            <w:tcW w:w="1154" w:type="dxa"/>
            <w:vAlign w:val="bottom"/>
          </w:tcPr>
          <w:p w14:paraId="6E855BFA"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$435</w:t>
            </w:r>
          </w:p>
        </w:tc>
        <w:tc>
          <w:tcPr>
            <w:tcW w:w="1154" w:type="dxa"/>
            <w:vAlign w:val="bottom"/>
          </w:tcPr>
          <w:p w14:paraId="0D26788A"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$443</w:t>
            </w:r>
          </w:p>
        </w:tc>
        <w:tc>
          <w:tcPr>
            <w:tcW w:w="1483" w:type="dxa"/>
            <w:vAlign w:val="bottom"/>
          </w:tcPr>
          <w:p w14:paraId="17EAFD35"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$441</w:t>
            </w:r>
          </w:p>
        </w:tc>
      </w:tr>
      <w:tr w:rsidR="0016293A" w:rsidRPr="003920D7" w14:paraId="781475D4" w14:textId="77777777" w:rsidTr="00FF1DE0">
        <w:trPr>
          <w:jc w:val="center"/>
        </w:trPr>
        <w:tc>
          <w:tcPr>
            <w:tcW w:w="3962" w:type="dxa"/>
            <w:vAlign w:val="bottom"/>
          </w:tcPr>
          <w:p w14:paraId="0C328F1D"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Manufactured Products</w:t>
            </w:r>
          </w:p>
        </w:tc>
        <w:tc>
          <w:tcPr>
            <w:tcW w:w="165" w:type="dxa"/>
            <w:vAlign w:val="bottom"/>
          </w:tcPr>
          <w:p w14:paraId="0AA90562" w14:textId="77777777" w:rsidR="0016293A" w:rsidRPr="003920D7" w:rsidRDefault="0016293A" w:rsidP="00F53247">
            <w:pPr>
              <w:pStyle w:val="TableParagraph"/>
              <w:spacing w:line="249" w:lineRule="exact"/>
              <w:ind w:right="38"/>
              <w:rPr>
                <w:rFonts w:ascii="Arial" w:hAnsi="Arial" w:cs="Arial"/>
                <w:sz w:val="20"/>
                <w:szCs w:val="20"/>
                <w:u w:val="single"/>
                <w:lang w:val="en-GB"/>
              </w:rPr>
            </w:pPr>
          </w:p>
        </w:tc>
        <w:tc>
          <w:tcPr>
            <w:tcW w:w="1154" w:type="dxa"/>
            <w:vAlign w:val="bottom"/>
          </w:tcPr>
          <w:p w14:paraId="11403CC6" w14:textId="77777777" w:rsidR="0016293A" w:rsidRPr="003920D7" w:rsidRDefault="0016293A" w:rsidP="00F53247">
            <w:pPr>
              <w:pStyle w:val="TableParagraph"/>
              <w:spacing w:line="249" w:lineRule="exact"/>
              <w:ind w:right="38"/>
              <w:rPr>
                <w:rFonts w:ascii="Arial" w:hAnsi="Arial" w:cs="Arial"/>
                <w:sz w:val="20"/>
                <w:szCs w:val="20"/>
                <w:u w:val="single"/>
                <w:lang w:val="en-GB"/>
              </w:rPr>
            </w:pPr>
            <w:r w:rsidRPr="003920D7">
              <w:rPr>
                <w:rFonts w:ascii="Arial" w:hAnsi="Arial" w:cs="Arial"/>
                <w:sz w:val="20"/>
                <w:szCs w:val="20"/>
                <w:u w:val="single"/>
                <w:lang w:val="en-GB"/>
              </w:rPr>
              <w:t>$845</w:t>
            </w:r>
          </w:p>
        </w:tc>
        <w:tc>
          <w:tcPr>
            <w:tcW w:w="1154" w:type="dxa"/>
            <w:vAlign w:val="bottom"/>
          </w:tcPr>
          <w:p w14:paraId="686825EF" w14:textId="77777777" w:rsidR="0016293A" w:rsidRPr="003920D7" w:rsidRDefault="0016293A" w:rsidP="00F53247">
            <w:pPr>
              <w:pStyle w:val="TableParagraph"/>
              <w:spacing w:line="249" w:lineRule="exact"/>
              <w:ind w:right="115"/>
              <w:rPr>
                <w:rFonts w:ascii="Arial" w:hAnsi="Arial" w:cs="Arial"/>
                <w:sz w:val="20"/>
                <w:szCs w:val="20"/>
                <w:u w:val="single"/>
                <w:lang w:val="en-GB"/>
              </w:rPr>
            </w:pPr>
            <w:r w:rsidRPr="003920D7">
              <w:rPr>
                <w:rFonts w:ascii="Arial" w:hAnsi="Arial" w:cs="Arial"/>
                <w:sz w:val="20"/>
                <w:szCs w:val="20"/>
                <w:u w:val="single"/>
                <w:lang w:val="en-GB"/>
              </w:rPr>
              <w:t>$826</w:t>
            </w:r>
          </w:p>
        </w:tc>
        <w:tc>
          <w:tcPr>
            <w:tcW w:w="1154" w:type="dxa"/>
            <w:vAlign w:val="bottom"/>
          </w:tcPr>
          <w:p w14:paraId="7E842FE4" w14:textId="77777777" w:rsidR="0016293A" w:rsidRPr="003920D7" w:rsidRDefault="0016293A" w:rsidP="00F53247">
            <w:pPr>
              <w:pStyle w:val="TableParagraph"/>
              <w:spacing w:line="249" w:lineRule="exact"/>
              <w:ind w:right="-2"/>
              <w:rPr>
                <w:rFonts w:ascii="Arial" w:hAnsi="Arial" w:cs="Arial"/>
                <w:sz w:val="20"/>
                <w:szCs w:val="20"/>
                <w:u w:val="single"/>
                <w:lang w:val="en-GB"/>
              </w:rPr>
            </w:pPr>
            <w:r w:rsidRPr="003920D7">
              <w:rPr>
                <w:rFonts w:ascii="Arial" w:hAnsi="Arial" w:cs="Arial"/>
                <w:sz w:val="20"/>
                <w:szCs w:val="20"/>
                <w:u w:val="single"/>
                <w:lang w:val="en-GB"/>
              </w:rPr>
              <w:t>$835</w:t>
            </w:r>
          </w:p>
        </w:tc>
        <w:tc>
          <w:tcPr>
            <w:tcW w:w="1483" w:type="dxa"/>
            <w:vAlign w:val="bottom"/>
          </w:tcPr>
          <w:p w14:paraId="302E3783" w14:textId="77777777" w:rsidR="0016293A" w:rsidRPr="003920D7" w:rsidRDefault="0016293A" w:rsidP="00F53247">
            <w:pPr>
              <w:pStyle w:val="TableParagraph"/>
              <w:spacing w:line="249" w:lineRule="exact"/>
              <w:ind w:right="-1"/>
              <w:rPr>
                <w:rFonts w:ascii="Arial" w:hAnsi="Arial" w:cs="Arial"/>
                <w:sz w:val="20"/>
                <w:szCs w:val="20"/>
                <w:u w:val="single"/>
                <w:lang w:val="en-GB"/>
              </w:rPr>
            </w:pPr>
            <w:r w:rsidRPr="003920D7">
              <w:rPr>
                <w:rFonts w:ascii="Arial" w:hAnsi="Arial" w:cs="Arial"/>
                <w:sz w:val="20"/>
                <w:szCs w:val="20"/>
                <w:u w:val="single"/>
                <w:lang w:val="en-GB"/>
              </w:rPr>
              <w:t>$835</w:t>
            </w:r>
          </w:p>
        </w:tc>
      </w:tr>
      <w:tr w:rsidR="0016293A" w:rsidRPr="003920D7" w14:paraId="1178F4DC" w14:textId="77777777" w:rsidTr="00FF1DE0">
        <w:trPr>
          <w:jc w:val="center"/>
        </w:trPr>
        <w:tc>
          <w:tcPr>
            <w:tcW w:w="3962" w:type="dxa"/>
            <w:vAlign w:val="bottom"/>
          </w:tcPr>
          <w:p w14:paraId="43F92CAB" w14:textId="77777777" w:rsidR="0016293A" w:rsidRPr="003920D7" w:rsidRDefault="0016293A" w:rsidP="00F53247">
            <w:pPr>
              <w:pStyle w:val="TableParagraph"/>
              <w:spacing w:before="4"/>
              <w:jc w:val="left"/>
              <w:rPr>
                <w:rFonts w:ascii="Arial" w:hAnsi="Arial" w:cs="Arial"/>
                <w:sz w:val="20"/>
                <w:szCs w:val="20"/>
                <w:lang w:val="en-GB"/>
              </w:rPr>
            </w:pPr>
            <w:r w:rsidRPr="003920D7">
              <w:rPr>
                <w:rFonts w:ascii="Arial" w:hAnsi="Arial" w:cs="Arial"/>
                <w:sz w:val="20"/>
                <w:szCs w:val="20"/>
                <w:lang w:val="en-GB"/>
              </w:rPr>
              <w:t xml:space="preserve">Average Revenue per Ton </w:t>
            </w:r>
          </w:p>
        </w:tc>
        <w:tc>
          <w:tcPr>
            <w:tcW w:w="165" w:type="dxa"/>
            <w:vAlign w:val="bottom"/>
          </w:tcPr>
          <w:p w14:paraId="49337044" w14:textId="77777777" w:rsidR="0016293A" w:rsidRPr="003920D7" w:rsidRDefault="0016293A" w:rsidP="00F53247">
            <w:pPr>
              <w:pStyle w:val="TableParagraph"/>
              <w:spacing w:before="4"/>
              <w:ind w:right="38"/>
              <w:rPr>
                <w:rFonts w:ascii="Arial" w:hAnsi="Arial" w:cs="Arial"/>
                <w:sz w:val="20"/>
                <w:szCs w:val="20"/>
                <w:lang w:val="en-GB"/>
              </w:rPr>
            </w:pPr>
          </w:p>
        </w:tc>
        <w:tc>
          <w:tcPr>
            <w:tcW w:w="1154" w:type="dxa"/>
            <w:vAlign w:val="bottom"/>
          </w:tcPr>
          <w:p w14:paraId="5566B9DE" w14:textId="77777777" w:rsidR="0016293A" w:rsidRPr="003920D7" w:rsidRDefault="0016293A" w:rsidP="00F53247">
            <w:pPr>
              <w:pStyle w:val="TableParagraph"/>
              <w:spacing w:before="4"/>
              <w:ind w:right="38"/>
              <w:rPr>
                <w:rFonts w:ascii="Arial" w:hAnsi="Arial" w:cs="Arial"/>
                <w:sz w:val="20"/>
                <w:szCs w:val="20"/>
                <w:lang w:val="en-GB"/>
              </w:rPr>
            </w:pPr>
            <w:r w:rsidRPr="003920D7">
              <w:rPr>
                <w:rFonts w:ascii="Arial" w:hAnsi="Arial" w:cs="Arial"/>
                <w:sz w:val="20"/>
                <w:szCs w:val="20"/>
                <w:lang w:val="en-GB"/>
              </w:rPr>
              <w:t>$594</w:t>
            </w:r>
          </w:p>
        </w:tc>
        <w:tc>
          <w:tcPr>
            <w:tcW w:w="1154" w:type="dxa"/>
            <w:vAlign w:val="bottom"/>
          </w:tcPr>
          <w:p w14:paraId="60F55955" w14:textId="77777777" w:rsidR="0016293A" w:rsidRPr="003920D7" w:rsidRDefault="0016293A" w:rsidP="00F53247">
            <w:pPr>
              <w:pStyle w:val="TableParagraph"/>
              <w:spacing w:before="4"/>
              <w:ind w:right="115"/>
              <w:rPr>
                <w:rFonts w:ascii="Arial" w:hAnsi="Arial" w:cs="Arial"/>
                <w:sz w:val="20"/>
                <w:szCs w:val="20"/>
                <w:lang w:val="en-GB"/>
              </w:rPr>
            </w:pPr>
            <w:r w:rsidRPr="003920D7">
              <w:rPr>
                <w:rFonts w:ascii="Arial" w:hAnsi="Arial" w:cs="Arial"/>
                <w:sz w:val="20"/>
                <w:szCs w:val="20"/>
                <w:lang w:val="en-GB"/>
              </w:rPr>
              <w:t>$556</w:t>
            </w:r>
          </w:p>
        </w:tc>
        <w:tc>
          <w:tcPr>
            <w:tcW w:w="1154" w:type="dxa"/>
            <w:vAlign w:val="bottom"/>
          </w:tcPr>
          <w:p w14:paraId="3F70E9FF" w14:textId="77777777" w:rsidR="0016293A" w:rsidRPr="003920D7" w:rsidRDefault="0016293A" w:rsidP="00F53247">
            <w:pPr>
              <w:pStyle w:val="TableParagraph"/>
              <w:spacing w:before="16"/>
              <w:ind w:right="-2"/>
              <w:rPr>
                <w:rFonts w:ascii="Arial" w:hAnsi="Arial" w:cs="Arial"/>
                <w:sz w:val="20"/>
                <w:szCs w:val="20"/>
                <w:lang w:val="en-GB"/>
              </w:rPr>
            </w:pPr>
            <w:r w:rsidRPr="003920D7">
              <w:rPr>
                <w:rFonts w:ascii="Arial" w:hAnsi="Arial" w:cs="Arial"/>
                <w:sz w:val="20"/>
                <w:szCs w:val="20"/>
                <w:lang w:val="en-GB"/>
              </w:rPr>
              <w:t>$539</w:t>
            </w:r>
          </w:p>
        </w:tc>
        <w:tc>
          <w:tcPr>
            <w:tcW w:w="1483" w:type="dxa"/>
            <w:vAlign w:val="bottom"/>
          </w:tcPr>
          <w:p w14:paraId="69CDA67D" w14:textId="77777777" w:rsidR="0016293A" w:rsidRPr="003920D7" w:rsidRDefault="0016293A" w:rsidP="00F53247">
            <w:pPr>
              <w:pStyle w:val="TableParagraph"/>
              <w:spacing w:before="16"/>
              <w:ind w:right="-1"/>
              <w:rPr>
                <w:rFonts w:ascii="Arial" w:hAnsi="Arial" w:cs="Arial"/>
                <w:sz w:val="20"/>
                <w:szCs w:val="20"/>
                <w:lang w:val="en-GB"/>
              </w:rPr>
            </w:pPr>
            <w:r w:rsidRPr="003920D7">
              <w:rPr>
                <w:rFonts w:ascii="Arial" w:hAnsi="Arial" w:cs="Arial"/>
                <w:sz w:val="20"/>
                <w:szCs w:val="20"/>
                <w:lang w:val="en-GB"/>
              </w:rPr>
              <w:t>$563</w:t>
            </w:r>
          </w:p>
        </w:tc>
      </w:tr>
      <w:tr w:rsidR="0016293A" w:rsidRPr="003920D7" w14:paraId="3AEC2284" w14:textId="77777777" w:rsidTr="00FF1DE0">
        <w:trPr>
          <w:jc w:val="center"/>
        </w:trPr>
        <w:tc>
          <w:tcPr>
            <w:tcW w:w="3962" w:type="dxa"/>
            <w:vAlign w:val="bottom"/>
          </w:tcPr>
          <w:p w14:paraId="68566187" w14:textId="50ABB723" w:rsidR="0016293A" w:rsidRPr="003920D7" w:rsidRDefault="0016293A" w:rsidP="00676744">
            <w:pPr>
              <w:pStyle w:val="TableParagraph"/>
              <w:spacing w:before="79"/>
              <w:jc w:val="left"/>
              <w:rPr>
                <w:rFonts w:ascii="Arial" w:hAnsi="Arial" w:cs="Arial"/>
                <w:sz w:val="20"/>
                <w:szCs w:val="20"/>
                <w:lang w:val="en-GB"/>
              </w:rPr>
            </w:pPr>
            <w:r w:rsidRPr="003920D7">
              <w:rPr>
                <w:rFonts w:ascii="Arial" w:hAnsi="Arial" w:cs="Arial"/>
                <w:sz w:val="20"/>
                <w:szCs w:val="20"/>
                <w:lang w:val="en-GB"/>
              </w:rPr>
              <w:t xml:space="preserve">Average Cost </w:t>
            </w:r>
            <w:r w:rsidR="00022D4F" w:rsidRPr="003920D7">
              <w:rPr>
                <w:rFonts w:ascii="Arial" w:hAnsi="Arial" w:cs="Arial"/>
                <w:sz w:val="20"/>
                <w:szCs w:val="20"/>
                <w:lang w:val="en-GB"/>
              </w:rPr>
              <w:t>p</w:t>
            </w:r>
            <w:r w:rsidRPr="003920D7">
              <w:rPr>
                <w:rFonts w:ascii="Arial" w:hAnsi="Arial" w:cs="Arial"/>
                <w:sz w:val="20"/>
                <w:szCs w:val="20"/>
                <w:lang w:val="en-GB"/>
              </w:rPr>
              <w:t>er Ton</w:t>
            </w:r>
          </w:p>
        </w:tc>
        <w:tc>
          <w:tcPr>
            <w:tcW w:w="165" w:type="dxa"/>
            <w:vAlign w:val="bottom"/>
          </w:tcPr>
          <w:p w14:paraId="54E86E6E" w14:textId="77777777" w:rsidR="0016293A" w:rsidRPr="003920D7" w:rsidRDefault="0016293A" w:rsidP="00F53247">
            <w:pPr>
              <w:pStyle w:val="TableParagraph"/>
              <w:spacing w:before="79"/>
              <w:ind w:right="38"/>
              <w:rPr>
                <w:rFonts w:ascii="Arial" w:hAnsi="Arial" w:cs="Arial"/>
                <w:sz w:val="20"/>
                <w:szCs w:val="20"/>
                <w:lang w:val="en-GB"/>
              </w:rPr>
            </w:pPr>
          </w:p>
        </w:tc>
        <w:tc>
          <w:tcPr>
            <w:tcW w:w="1154" w:type="dxa"/>
            <w:vAlign w:val="bottom"/>
          </w:tcPr>
          <w:p w14:paraId="73E14B7F" w14:textId="77777777" w:rsidR="0016293A" w:rsidRPr="003920D7" w:rsidRDefault="0016293A" w:rsidP="00F53247">
            <w:pPr>
              <w:pStyle w:val="TableParagraph"/>
              <w:spacing w:before="79"/>
              <w:ind w:right="38"/>
              <w:rPr>
                <w:rFonts w:ascii="Arial" w:hAnsi="Arial" w:cs="Arial"/>
                <w:sz w:val="20"/>
                <w:szCs w:val="20"/>
                <w:lang w:val="en-GB"/>
              </w:rPr>
            </w:pPr>
            <w:r w:rsidRPr="003920D7">
              <w:rPr>
                <w:rFonts w:ascii="Arial" w:hAnsi="Arial" w:cs="Arial"/>
                <w:sz w:val="20"/>
                <w:szCs w:val="20"/>
                <w:lang w:val="en-GB"/>
              </w:rPr>
              <w:t>$595</w:t>
            </w:r>
          </w:p>
        </w:tc>
        <w:tc>
          <w:tcPr>
            <w:tcW w:w="1154" w:type="dxa"/>
            <w:vAlign w:val="bottom"/>
          </w:tcPr>
          <w:p w14:paraId="251A49AA" w14:textId="77777777" w:rsidR="0016293A" w:rsidRPr="003920D7" w:rsidRDefault="0016293A" w:rsidP="00F53247">
            <w:pPr>
              <w:pStyle w:val="TableParagraph"/>
              <w:spacing w:before="79"/>
              <w:ind w:right="115"/>
              <w:rPr>
                <w:rFonts w:ascii="Arial" w:hAnsi="Arial" w:cs="Arial"/>
                <w:sz w:val="20"/>
                <w:szCs w:val="20"/>
                <w:lang w:val="en-GB"/>
              </w:rPr>
            </w:pPr>
            <w:r w:rsidRPr="003920D7">
              <w:rPr>
                <w:rFonts w:ascii="Arial" w:hAnsi="Arial" w:cs="Arial"/>
                <w:sz w:val="20"/>
                <w:szCs w:val="20"/>
                <w:lang w:val="en-GB"/>
              </w:rPr>
              <w:t>$604</w:t>
            </w:r>
          </w:p>
        </w:tc>
        <w:tc>
          <w:tcPr>
            <w:tcW w:w="1154" w:type="dxa"/>
            <w:vAlign w:val="bottom"/>
          </w:tcPr>
          <w:p w14:paraId="7C88C26A" w14:textId="77777777" w:rsidR="0016293A" w:rsidRPr="003920D7" w:rsidRDefault="0016293A" w:rsidP="00F53247">
            <w:pPr>
              <w:pStyle w:val="TableParagraph"/>
              <w:spacing w:before="82"/>
              <w:ind w:right="-2"/>
              <w:rPr>
                <w:rFonts w:ascii="Arial" w:hAnsi="Arial" w:cs="Arial"/>
                <w:sz w:val="20"/>
                <w:szCs w:val="20"/>
                <w:lang w:val="en-GB"/>
              </w:rPr>
            </w:pPr>
            <w:r w:rsidRPr="003920D7">
              <w:rPr>
                <w:rFonts w:ascii="Arial" w:hAnsi="Arial" w:cs="Arial"/>
                <w:sz w:val="20"/>
                <w:szCs w:val="20"/>
                <w:lang w:val="en-GB"/>
              </w:rPr>
              <w:t>$550</w:t>
            </w:r>
          </w:p>
        </w:tc>
        <w:tc>
          <w:tcPr>
            <w:tcW w:w="1483" w:type="dxa"/>
            <w:vAlign w:val="bottom"/>
          </w:tcPr>
          <w:p w14:paraId="25975D89" w14:textId="77777777" w:rsidR="0016293A" w:rsidRPr="003920D7" w:rsidRDefault="0016293A" w:rsidP="00F53247">
            <w:pPr>
              <w:pStyle w:val="TableParagraph"/>
              <w:spacing w:before="82"/>
              <w:ind w:right="-1"/>
              <w:rPr>
                <w:rFonts w:ascii="Arial" w:hAnsi="Arial" w:cs="Arial"/>
                <w:sz w:val="20"/>
                <w:szCs w:val="20"/>
                <w:lang w:val="en-GB"/>
              </w:rPr>
            </w:pPr>
            <w:r w:rsidRPr="003920D7">
              <w:rPr>
                <w:rFonts w:ascii="Arial" w:hAnsi="Arial" w:cs="Arial"/>
                <w:sz w:val="20"/>
                <w:szCs w:val="20"/>
                <w:lang w:val="en-GB"/>
              </w:rPr>
              <w:t>$583</w:t>
            </w:r>
          </w:p>
        </w:tc>
      </w:tr>
      <w:tr w:rsidR="0016293A" w:rsidRPr="003920D7" w14:paraId="2FD8DC82" w14:textId="77777777" w:rsidTr="00FF1DE0">
        <w:trPr>
          <w:jc w:val="center"/>
        </w:trPr>
        <w:tc>
          <w:tcPr>
            <w:tcW w:w="3962" w:type="dxa"/>
            <w:vAlign w:val="bottom"/>
          </w:tcPr>
          <w:p w14:paraId="706B9019"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6983F2E2"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0FF50250" w14:textId="669DA708" w:rsidR="0016293A" w:rsidRPr="003920D7" w:rsidRDefault="0016293A" w:rsidP="00676744">
            <w:pPr>
              <w:pStyle w:val="TableParagraph"/>
              <w:spacing w:line="249" w:lineRule="exact"/>
              <w:jc w:val="left"/>
              <w:rPr>
                <w:rFonts w:ascii="Arial" w:hAnsi="Arial" w:cs="Arial"/>
                <w:b/>
                <w:sz w:val="20"/>
                <w:szCs w:val="20"/>
                <w:lang w:val="en-GB"/>
              </w:rPr>
            </w:pPr>
            <w:r w:rsidRPr="003920D7">
              <w:rPr>
                <w:rFonts w:ascii="Arial" w:hAnsi="Arial" w:cs="Arial"/>
                <w:b/>
                <w:sz w:val="20"/>
                <w:szCs w:val="20"/>
                <w:u w:val="single"/>
                <w:lang w:val="en-GB"/>
              </w:rPr>
              <w:t>EBITDA (</w:t>
            </w:r>
            <w:r w:rsidR="00022D4F" w:rsidRPr="003920D7">
              <w:rPr>
                <w:rFonts w:ascii="Arial" w:hAnsi="Arial" w:cs="Arial"/>
                <w:b/>
                <w:sz w:val="20"/>
                <w:szCs w:val="20"/>
                <w:u w:val="single"/>
                <w:lang w:val="en-GB"/>
              </w:rPr>
              <w:t>CA</w:t>
            </w:r>
            <w:r w:rsidRPr="003920D7">
              <w:rPr>
                <w:rFonts w:ascii="Arial" w:hAnsi="Arial" w:cs="Arial"/>
                <w:b/>
                <w:sz w:val="20"/>
                <w:szCs w:val="20"/>
                <w:u w:val="single"/>
                <w:lang w:val="en-GB"/>
              </w:rPr>
              <w:t>$</w:t>
            </w:r>
            <w:r w:rsidR="00022D4F" w:rsidRPr="003920D7">
              <w:rPr>
                <w:rFonts w:ascii="Arial" w:hAnsi="Arial" w:cs="Arial"/>
                <w:b/>
                <w:sz w:val="20"/>
                <w:szCs w:val="20"/>
                <w:u w:val="single"/>
                <w:lang w:val="en-GB"/>
              </w:rPr>
              <w:t xml:space="preserve"> </w:t>
            </w:r>
            <w:r w:rsidRPr="003920D7">
              <w:rPr>
                <w:rFonts w:ascii="Arial" w:hAnsi="Arial" w:cs="Arial"/>
                <w:b/>
                <w:sz w:val="20"/>
                <w:szCs w:val="20"/>
                <w:u w:val="single"/>
                <w:lang w:val="en-GB"/>
              </w:rPr>
              <w:t>m</w:t>
            </w:r>
            <w:r w:rsidR="00022D4F" w:rsidRPr="003920D7">
              <w:rPr>
                <w:rFonts w:ascii="Arial" w:hAnsi="Arial" w:cs="Arial"/>
                <w:b/>
                <w:sz w:val="20"/>
                <w:szCs w:val="20"/>
                <w:u w:val="single"/>
                <w:lang w:val="en-GB"/>
              </w:rPr>
              <w:t>illions</w:t>
            </w:r>
            <w:r w:rsidRPr="003920D7">
              <w:rPr>
                <w:rFonts w:ascii="Arial" w:hAnsi="Arial" w:cs="Arial"/>
                <w:b/>
                <w:sz w:val="20"/>
                <w:szCs w:val="20"/>
                <w:u w:val="single"/>
                <w:lang w:val="en-GB"/>
              </w:rPr>
              <w:t>)</w:t>
            </w:r>
          </w:p>
        </w:tc>
        <w:tc>
          <w:tcPr>
            <w:tcW w:w="165" w:type="dxa"/>
            <w:vAlign w:val="bottom"/>
          </w:tcPr>
          <w:p w14:paraId="4566812B" w14:textId="77777777" w:rsidR="0016293A" w:rsidRPr="003920D7" w:rsidRDefault="0016293A" w:rsidP="00F53247">
            <w:pPr>
              <w:jc w:val="right"/>
              <w:rPr>
                <w:rFonts w:ascii="Arial" w:hAnsi="Arial" w:cs="Arial"/>
                <w:b/>
                <w:lang w:val="en-GB"/>
              </w:rPr>
            </w:pPr>
          </w:p>
        </w:tc>
        <w:tc>
          <w:tcPr>
            <w:tcW w:w="1154" w:type="dxa"/>
            <w:vAlign w:val="bottom"/>
          </w:tcPr>
          <w:p w14:paraId="08761AC1" w14:textId="77777777" w:rsidR="0016293A" w:rsidRPr="003920D7" w:rsidRDefault="0016293A" w:rsidP="00F53247">
            <w:pPr>
              <w:jc w:val="right"/>
              <w:rPr>
                <w:rFonts w:ascii="Arial" w:hAnsi="Arial" w:cs="Arial"/>
                <w:b/>
                <w:lang w:val="en-GB"/>
              </w:rPr>
            </w:pPr>
          </w:p>
        </w:tc>
        <w:tc>
          <w:tcPr>
            <w:tcW w:w="1154" w:type="dxa"/>
            <w:vAlign w:val="bottom"/>
          </w:tcPr>
          <w:p w14:paraId="35ED0035" w14:textId="77777777" w:rsidR="0016293A" w:rsidRPr="003920D7" w:rsidRDefault="0016293A" w:rsidP="00F53247">
            <w:pPr>
              <w:jc w:val="right"/>
              <w:rPr>
                <w:rFonts w:ascii="Arial" w:hAnsi="Arial" w:cs="Arial"/>
                <w:b/>
                <w:lang w:val="en-GB"/>
              </w:rPr>
            </w:pPr>
          </w:p>
        </w:tc>
        <w:tc>
          <w:tcPr>
            <w:tcW w:w="1154" w:type="dxa"/>
            <w:vAlign w:val="bottom"/>
          </w:tcPr>
          <w:p w14:paraId="602DBD87" w14:textId="77777777" w:rsidR="0016293A" w:rsidRPr="003920D7" w:rsidRDefault="0016293A" w:rsidP="00F53247">
            <w:pPr>
              <w:jc w:val="right"/>
              <w:rPr>
                <w:rFonts w:ascii="Arial" w:hAnsi="Arial" w:cs="Arial"/>
                <w:b/>
                <w:lang w:val="en-GB"/>
              </w:rPr>
            </w:pPr>
          </w:p>
        </w:tc>
        <w:tc>
          <w:tcPr>
            <w:tcW w:w="1483" w:type="dxa"/>
            <w:vAlign w:val="bottom"/>
          </w:tcPr>
          <w:p w14:paraId="55CCE0CC" w14:textId="77777777" w:rsidR="0016293A" w:rsidRPr="003920D7" w:rsidRDefault="0016293A" w:rsidP="00F53247">
            <w:pPr>
              <w:jc w:val="right"/>
              <w:rPr>
                <w:rFonts w:ascii="Arial" w:hAnsi="Arial" w:cs="Arial"/>
                <w:b/>
                <w:lang w:val="en-GB"/>
              </w:rPr>
            </w:pPr>
          </w:p>
        </w:tc>
      </w:tr>
      <w:tr w:rsidR="0016293A" w:rsidRPr="003920D7" w14:paraId="5EB12D58" w14:textId="77777777" w:rsidTr="00FF1DE0">
        <w:trPr>
          <w:jc w:val="center"/>
        </w:trPr>
        <w:tc>
          <w:tcPr>
            <w:tcW w:w="3962" w:type="dxa"/>
            <w:vAlign w:val="bottom"/>
          </w:tcPr>
          <w:p w14:paraId="0609C636" w14:textId="77777777" w:rsidR="0016293A" w:rsidRPr="003920D7" w:rsidRDefault="0016293A" w:rsidP="00F53247">
            <w:pPr>
              <w:pStyle w:val="TableParagraph"/>
              <w:spacing w:line="249" w:lineRule="exact"/>
              <w:jc w:val="left"/>
              <w:rPr>
                <w:rFonts w:ascii="Arial" w:hAnsi="Arial" w:cs="Arial"/>
                <w:sz w:val="20"/>
                <w:szCs w:val="20"/>
                <w:lang w:val="en-GB"/>
              </w:rPr>
            </w:pPr>
          </w:p>
          <w:p w14:paraId="2D903E5F"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Integrated Steel</w:t>
            </w:r>
          </w:p>
        </w:tc>
        <w:tc>
          <w:tcPr>
            <w:tcW w:w="165" w:type="dxa"/>
            <w:vAlign w:val="bottom"/>
          </w:tcPr>
          <w:p w14:paraId="11B57F82"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7AE94C28"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$3</w:t>
            </w:r>
          </w:p>
        </w:tc>
        <w:tc>
          <w:tcPr>
            <w:tcW w:w="1154" w:type="dxa"/>
            <w:vAlign w:val="bottom"/>
          </w:tcPr>
          <w:p w14:paraId="631B81A1" w14:textId="77777777" w:rsidR="0016293A" w:rsidRPr="003920D7" w:rsidRDefault="0016293A" w:rsidP="00F53247">
            <w:pPr>
              <w:pStyle w:val="TableParagraph"/>
              <w:spacing w:line="249" w:lineRule="exact"/>
              <w:ind w:right="116"/>
              <w:rPr>
                <w:rFonts w:ascii="Arial" w:hAnsi="Arial" w:cs="Arial"/>
                <w:sz w:val="20"/>
                <w:szCs w:val="20"/>
                <w:lang w:val="en-GB"/>
              </w:rPr>
            </w:pPr>
            <w:r w:rsidRPr="003920D7">
              <w:rPr>
                <w:rFonts w:ascii="Arial" w:hAnsi="Arial" w:cs="Arial"/>
                <w:sz w:val="20"/>
                <w:szCs w:val="20"/>
                <w:lang w:val="en-GB"/>
              </w:rPr>
              <w:t>($56)</w:t>
            </w:r>
          </w:p>
        </w:tc>
        <w:tc>
          <w:tcPr>
            <w:tcW w:w="1154" w:type="dxa"/>
            <w:vAlign w:val="bottom"/>
          </w:tcPr>
          <w:p w14:paraId="3148FB4B"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($18)</w:t>
            </w:r>
          </w:p>
        </w:tc>
        <w:tc>
          <w:tcPr>
            <w:tcW w:w="1483" w:type="dxa"/>
            <w:vAlign w:val="bottom"/>
          </w:tcPr>
          <w:p w14:paraId="57DD451C"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($71)</w:t>
            </w:r>
          </w:p>
        </w:tc>
      </w:tr>
      <w:tr w:rsidR="0016293A" w:rsidRPr="003920D7" w14:paraId="2E44BCE4" w14:textId="77777777" w:rsidTr="00FF1DE0">
        <w:trPr>
          <w:jc w:val="center"/>
        </w:trPr>
        <w:tc>
          <w:tcPr>
            <w:tcW w:w="3962" w:type="dxa"/>
            <w:vAlign w:val="bottom"/>
          </w:tcPr>
          <w:p w14:paraId="4E257191"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Mini-mill</w:t>
            </w:r>
          </w:p>
        </w:tc>
        <w:tc>
          <w:tcPr>
            <w:tcW w:w="165" w:type="dxa"/>
            <w:vAlign w:val="bottom"/>
          </w:tcPr>
          <w:p w14:paraId="0D82B766"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6AC270DC"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$2</w:t>
            </w:r>
          </w:p>
        </w:tc>
        <w:tc>
          <w:tcPr>
            <w:tcW w:w="1154" w:type="dxa"/>
            <w:vAlign w:val="bottom"/>
          </w:tcPr>
          <w:p w14:paraId="40709997"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$4</w:t>
            </w:r>
          </w:p>
        </w:tc>
        <w:tc>
          <w:tcPr>
            <w:tcW w:w="1154" w:type="dxa"/>
            <w:vAlign w:val="bottom"/>
          </w:tcPr>
          <w:p w14:paraId="3AC0FE63"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$5</w:t>
            </w:r>
          </w:p>
        </w:tc>
        <w:tc>
          <w:tcPr>
            <w:tcW w:w="1483" w:type="dxa"/>
            <w:vAlign w:val="bottom"/>
          </w:tcPr>
          <w:p w14:paraId="18EBEF36"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$11</w:t>
            </w:r>
          </w:p>
        </w:tc>
      </w:tr>
      <w:tr w:rsidR="0016293A" w:rsidRPr="003920D7" w14:paraId="38852CC5" w14:textId="77777777" w:rsidTr="00FF1DE0">
        <w:trPr>
          <w:jc w:val="center"/>
        </w:trPr>
        <w:tc>
          <w:tcPr>
            <w:tcW w:w="3962" w:type="dxa"/>
            <w:vAlign w:val="bottom"/>
          </w:tcPr>
          <w:p w14:paraId="1E0F3B3D"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Manufactured Products</w:t>
            </w:r>
          </w:p>
        </w:tc>
        <w:tc>
          <w:tcPr>
            <w:tcW w:w="165" w:type="dxa"/>
            <w:vAlign w:val="bottom"/>
          </w:tcPr>
          <w:p w14:paraId="496066C8" w14:textId="77777777" w:rsidR="0016293A" w:rsidRPr="003920D7" w:rsidRDefault="0016293A" w:rsidP="00F53247">
            <w:pPr>
              <w:pStyle w:val="TableParagraph"/>
              <w:spacing w:line="249" w:lineRule="exact"/>
              <w:ind w:right="39"/>
              <w:rPr>
                <w:rFonts w:ascii="Arial" w:hAnsi="Arial" w:cs="Arial"/>
                <w:sz w:val="20"/>
                <w:szCs w:val="20"/>
                <w:u w:val="single"/>
                <w:lang w:val="en-GB"/>
              </w:rPr>
            </w:pPr>
          </w:p>
        </w:tc>
        <w:tc>
          <w:tcPr>
            <w:tcW w:w="1154" w:type="dxa"/>
            <w:vAlign w:val="bottom"/>
          </w:tcPr>
          <w:p w14:paraId="1253D569" w14:textId="77777777" w:rsidR="0016293A" w:rsidRPr="003920D7" w:rsidRDefault="0016293A" w:rsidP="00F53247">
            <w:pPr>
              <w:pStyle w:val="TableParagraph"/>
              <w:spacing w:line="249" w:lineRule="exact"/>
              <w:ind w:right="39"/>
              <w:rPr>
                <w:rFonts w:ascii="Arial" w:hAnsi="Arial" w:cs="Arial"/>
                <w:sz w:val="20"/>
                <w:szCs w:val="20"/>
                <w:u w:val="single"/>
                <w:lang w:val="en-GB"/>
              </w:rPr>
            </w:pPr>
            <w:r w:rsidRPr="003920D7">
              <w:rPr>
                <w:rFonts w:ascii="Arial" w:hAnsi="Arial" w:cs="Arial"/>
                <w:sz w:val="20"/>
                <w:szCs w:val="20"/>
                <w:u w:val="single"/>
                <w:lang w:val="en-GB"/>
              </w:rPr>
              <w:t>($6)</w:t>
            </w:r>
          </w:p>
        </w:tc>
        <w:tc>
          <w:tcPr>
            <w:tcW w:w="1154" w:type="dxa"/>
            <w:vAlign w:val="bottom"/>
          </w:tcPr>
          <w:p w14:paraId="352ECCF3" w14:textId="77777777" w:rsidR="0016293A" w:rsidRPr="003920D7" w:rsidRDefault="0016293A" w:rsidP="00F53247">
            <w:pPr>
              <w:pStyle w:val="TableParagraph"/>
              <w:spacing w:line="249" w:lineRule="exact"/>
              <w:ind w:right="116"/>
              <w:rPr>
                <w:rFonts w:ascii="Arial" w:hAnsi="Arial" w:cs="Arial"/>
                <w:sz w:val="20"/>
                <w:szCs w:val="20"/>
                <w:u w:val="single"/>
                <w:lang w:val="en-GB"/>
              </w:rPr>
            </w:pPr>
            <w:r w:rsidRPr="003920D7">
              <w:rPr>
                <w:rFonts w:ascii="Arial" w:hAnsi="Arial" w:cs="Arial"/>
                <w:sz w:val="20"/>
                <w:szCs w:val="20"/>
                <w:u w:val="single"/>
                <w:lang w:val="en-GB"/>
              </w:rPr>
              <w:t>($8)</w:t>
            </w:r>
          </w:p>
        </w:tc>
        <w:tc>
          <w:tcPr>
            <w:tcW w:w="1154" w:type="dxa"/>
            <w:vAlign w:val="bottom"/>
          </w:tcPr>
          <w:p w14:paraId="5F795BC5" w14:textId="77777777" w:rsidR="0016293A" w:rsidRPr="003920D7" w:rsidRDefault="0016293A" w:rsidP="00F53247">
            <w:pPr>
              <w:pStyle w:val="TableParagraph"/>
              <w:spacing w:line="249" w:lineRule="exact"/>
              <w:ind w:right="-2"/>
              <w:rPr>
                <w:rFonts w:ascii="Arial" w:hAnsi="Arial" w:cs="Arial"/>
                <w:sz w:val="20"/>
                <w:szCs w:val="20"/>
                <w:u w:val="single"/>
                <w:lang w:val="en-GB"/>
              </w:rPr>
            </w:pPr>
            <w:r w:rsidRPr="003920D7">
              <w:rPr>
                <w:rFonts w:ascii="Arial" w:hAnsi="Arial" w:cs="Arial"/>
                <w:sz w:val="20"/>
                <w:szCs w:val="20"/>
                <w:u w:val="single"/>
                <w:lang w:val="en-GB"/>
              </w:rPr>
              <w:t>$0</w:t>
            </w:r>
          </w:p>
        </w:tc>
        <w:tc>
          <w:tcPr>
            <w:tcW w:w="1483" w:type="dxa"/>
            <w:vAlign w:val="bottom"/>
          </w:tcPr>
          <w:p w14:paraId="4DC27812" w14:textId="77777777" w:rsidR="0016293A" w:rsidRPr="003920D7" w:rsidRDefault="0016293A" w:rsidP="00F53247">
            <w:pPr>
              <w:pStyle w:val="TableParagraph"/>
              <w:spacing w:line="249" w:lineRule="exact"/>
              <w:ind w:right="-1"/>
              <w:rPr>
                <w:rFonts w:ascii="Arial" w:hAnsi="Arial" w:cs="Arial"/>
                <w:sz w:val="20"/>
                <w:szCs w:val="20"/>
                <w:u w:val="single"/>
                <w:lang w:val="en-GB"/>
              </w:rPr>
            </w:pPr>
            <w:r w:rsidRPr="003920D7">
              <w:rPr>
                <w:rFonts w:ascii="Arial" w:hAnsi="Arial" w:cs="Arial"/>
                <w:sz w:val="20"/>
                <w:szCs w:val="20"/>
                <w:u w:val="single"/>
                <w:lang w:val="en-GB"/>
              </w:rPr>
              <w:t>($14)</w:t>
            </w:r>
          </w:p>
        </w:tc>
      </w:tr>
      <w:tr w:rsidR="0016293A" w:rsidRPr="003920D7" w14:paraId="11B829CB" w14:textId="77777777" w:rsidTr="00FF1DE0">
        <w:trPr>
          <w:jc w:val="center"/>
        </w:trPr>
        <w:tc>
          <w:tcPr>
            <w:tcW w:w="3962" w:type="dxa"/>
            <w:vAlign w:val="bottom"/>
          </w:tcPr>
          <w:p w14:paraId="6813606C"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Total EBITDA</w:t>
            </w:r>
          </w:p>
        </w:tc>
        <w:tc>
          <w:tcPr>
            <w:tcW w:w="165" w:type="dxa"/>
            <w:vAlign w:val="bottom"/>
          </w:tcPr>
          <w:p w14:paraId="4A670DCA" w14:textId="77777777" w:rsidR="0016293A" w:rsidRPr="003920D7" w:rsidRDefault="0016293A" w:rsidP="00F53247">
            <w:pPr>
              <w:pStyle w:val="TableParagraph"/>
              <w:spacing w:line="249" w:lineRule="exact"/>
              <w:rPr>
                <w:rFonts w:ascii="Arial" w:hAnsi="Arial" w:cs="Arial"/>
                <w:sz w:val="20"/>
                <w:szCs w:val="20"/>
                <w:lang w:val="en-GB"/>
              </w:rPr>
            </w:pPr>
          </w:p>
        </w:tc>
        <w:tc>
          <w:tcPr>
            <w:tcW w:w="1154" w:type="dxa"/>
            <w:vAlign w:val="bottom"/>
          </w:tcPr>
          <w:p w14:paraId="6E88D034" w14:textId="77777777" w:rsidR="0016293A" w:rsidRPr="008B3B4A" w:rsidRDefault="0016293A" w:rsidP="00FB4C0C">
            <w:pPr>
              <w:pStyle w:val="TableParagraph"/>
              <w:spacing w:line="249" w:lineRule="exact"/>
              <w:ind w:right="39"/>
              <w:rPr>
                <w:rFonts w:ascii="Arial" w:hAnsi="Arial" w:cs="Arial"/>
                <w:sz w:val="20"/>
                <w:szCs w:val="20"/>
                <w:lang w:val="en-GB"/>
              </w:rPr>
            </w:pPr>
            <w:r w:rsidRPr="008B3B4A">
              <w:rPr>
                <w:rFonts w:ascii="Arial" w:hAnsi="Arial" w:cs="Arial"/>
                <w:sz w:val="20"/>
                <w:szCs w:val="20"/>
                <w:lang w:val="en-GB"/>
              </w:rPr>
              <w:t>($1)</w:t>
            </w:r>
          </w:p>
        </w:tc>
        <w:tc>
          <w:tcPr>
            <w:tcW w:w="1154" w:type="dxa"/>
            <w:vAlign w:val="bottom"/>
          </w:tcPr>
          <w:p w14:paraId="11A84238" w14:textId="77777777" w:rsidR="0016293A" w:rsidRPr="008B3B4A" w:rsidRDefault="0016293A" w:rsidP="00FB4C0C">
            <w:pPr>
              <w:pStyle w:val="TableParagraph"/>
              <w:spacing w:line="249" w:lineRule="exact"/>
              <w:ind w:right="116"/>
              <w:rPr>
                <w:rFonts w:ascii="Arial" w:hAnsi="Arial" w:cs="Arial"/>
                <w:sz w:val="20"/>
                <w:szCs w:val="20"/>
                <w:lang w:val="en-GB"/>
              </w:rPr>
            </w:pPr>
            <w:r w:rsidRPr="008B3B4A">
              <w:rPr>
                <w:rFonts w:ascii="Arial" w:hAnsi="Arial" w:cs="Arial"/>
                <w:sz w:val="20"/>
                <w:szCs w:val="20"/>
                <w:lang w:val="en-GB"/>
              </w:rPr>
              <w:t>($60)</w:t>
            </w:r>
          </w:p>
        </w:tc>
        <w:tc>
          <w:tcPr>
            <w:tcW w:w="1154" w:type="dxa"/>
            <w:vAlign w:val="bottom"/>
          </w:tcPr>
          <w:p w14:paraId="7F012466"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($13)</w:t>
            </w:r>
          </w:p>
        </w:tc>
        <w:tc>
          <w:tcPr>
            <w:tcW w:w="1483" w:type="dxa"/>
            <w:vAlign w:val="bottom"/>
          </w:tcPr>
          <w:p w14:paraId="69DE56E3"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($74)</w:t>
            </w:r>
          </w:p>
        </w:tc>
      </w:tr>
      <w:tr w:rsidR="0016293A" w:rsidRPr="003920D7" w14:paraId="0ACC280B" w14:textId="77777777" w:rsidTr="00FF1DE0">
        <w:trPr>
          <w:jc w:val="center"/>
        </w:trPr>
        <w:tc>
          <w:tcPr>
            <w:tcW w:w="3962" w:type="dxa"/>
            <w:vAlign w:val="bottom"/>
          </w:tcPr>
          <w:p w14:paraId="4005ADA1" w14:textId="77777777" w:rsidR="0016293A" w:rsidRPr="003920D7" w:rsidRDefault="0016293A" w:rsidP="00F53247">
            <w:pPr>
              <w:pStyle w:val="TableParagraph"/>
              <w:spacing w:before="54"/>
              <w:jc w:val="left"/>
              <w:rPr>
                <w:rFonts w:ascii="Arial" w:hAnsi="Arial" w:cs="Arial"/>
                <w:b/>
                <w:sz w:val="20"/>
                <w:szCs w:val="20"/>
                <w:u w:val="single"/>
                <w:lang w:val="en-GB"/>
              </w:rPr>
            </w:pPr>
          </w:p>
          <w:p w14:paraId="34E2D32E" w14:textId="77777777" w:rsidR="0016293A" w:rsidRPr="003920D7" w:rsidRDefault="0016293A" w:rsidP="00F53247">
            <w:pPr>
              <w:pStyle w:val="TableParagraph"/>
              <w:spacing w:before="54"/>
              <w:jc w:val="left"/>
              <w:rPr>
                <w:rFonts w:ascii="Arial" w:hAnsi="Arial" w:cs="Arial"/>
                <w:b/>
                <w:sz w:val="20"/>
                <w:szCs w:val="20"/>
                <w:u w:val="single"/>
                <w:lang w:val="en-GB"/>
              </w:rPr>
            </w:pPr>
          </w:p>
          <w:p w14:paraId="612816BA" w14:textId="77777777" w:rsidR="0016293A" w:rsidRPr="003920D7" w:rsidRDefault="0016293A" w:rsidP="00F53247">
            <w:pPr>
              <w:pStyle w:val="TableParagraph"/>
              <w:spacing w:before="54"/>
              <w:jc w:val="left"/>
              <w:rPr>
                <w:rFonts w:ascii="Arial" w:hAnsi="Arial" w:cs="Arial"/>
                <w:b/>
                <w:sz w:val="20"/>
                <w:szCs w:val="20"/>
                <w:lang w:val="en-GB"/>
              </w:rPr>
            </w:pPr>
            <w:r w:rsidRPr="003920D7">
              <w:rPr>
                <w:rFonts w:ascii="Arial" w:hAnsi="Arial" w:cs="Arial"/>
                <w:b/>
                <w:sz w:val="20"/>
                <w:szCs w:val="20"/>
                <w:u w:val="single"/>
                <w:lang w:val="en-GB"/>
              </w:rPr>
              <w:t>EBITDA Margin</w:t>
            </w:r>
          </w:p>
        </w:tc>
        <w:tc>
          <w:tcPr>
            <w:tcW w:w="165" w:type="dxa"/>
            <w:vAlign w:val="bottom"/>
          </w:tcPr>
          <w:p w14:paraId="59FCD06F" w14:textId="77777777" w:rsidR="0016293A" w:rsidRPr="003920D7" w:rsidRDefault="0016293A" w:rsidP="00F53247">
            <w:pPr>
              <w:jc w:val="right"/>
              <w:rPr>
                <w:rFonts w:ascii="Arial" w:hAnsi="Arial" w:cs="Arial"/>
                <w:b/>
                <w:lang w:val="en-GB"/>
              </w:rPr>
            </w:pPr>
          </w:p>
        </w:tc>
        <w:tc>
          <w:tcPr>
            <w:tcW w:w="1154" w:type="dxa"/>
            <w:vAlign w:val="bottom"/>
          </w:tcPr>
          <w:p w14:paraId="52D51D9F" w14:textId="77777777" w:rsidR="0016293A" w:rsidRPr="003920D7" w:rsidRDefault="0016293A" w:rsidP="00F53247">
            <w:pPr>
              <w:jc w:val="right"/>
              <w:rPr>
                <w:rFonts w:ascii="Arial" w:hAnsi="Arial" w:cs="Arial"/>
                <w:b/>
                <w:lang w:val="en-GB"/>
              </w:rPr>
            </w:pPr>
          </w:p>
        </w:tc>
        <w:tc>
          <w:tcPr>
            <w:tcW w:w="1154" w:type="dxa"/>
            <w:vAlign w:val="bottom"/>
          </w:tcPr>
          <w:p w14:paraId="54DE3ACC" w14:textId="77777777" w:rsidR="0016293A" w:rsidRPr="003920D7" w:rsidRDefault="0016293A" w:rsidP="00F53247">
            <w:pPr>
              <w:jc w:val="right"/>
              <w:rPr>
                <w:rFonts w:ascii="Arial" w:hAnsi="Arial" w:cs="Arial"/>
                <w:b/>
                <w:lang w:val="en-GB"/>
              </w:rPr>
            </w:pPr>
          </w:p>
        </w:tc>
        <w:tc>
          <w:tcPr>
            <w:tcW w:w="1154" w:type="dxa"/>
            <w:vAlign w:val="bottom"/>
          </w:tcPr>
          <w:p w14:paraId="6C827C5F" w14:textId="77777777" w:rsidR="0016293A" w:rsidRPr="003920D7" w:rsidRDefault="0016293A" w:rsidP="00F53247">
            <w:pPr>
              <w:jc w:val="right"/>
              <w:rPr>
                <w:rFonts w:ascii="Arial" w:hAnsi="Arial" w:cs="Arial"/>
                <w:b/>
                <w:lang w:val="en-GB"/>
              </w:rPr>
            </w:pPr>
          </w:p>
        </w:tc>
        <w:tc>
          <w:tcPr>
            <w:tcW w:w="1483" w:type="dxa"/>
            <w:vAlign w:val="bottom"/>
          </w:tcPr>
          <w:p w14:paraId="64EA47AA" w14:textId="77777777" w:rsidR="0016293A" w:rsidRPr="003920D7" w:rsidRDefault="0016293A" w:rsidP="00F53247">
            <w:pPr>
              <w:jc w:val="right"/>
              <w:rPr>
                <w:rFonts w:ascii="Arial" w:hAnsi="Arial" w:cs="Arial"/>
                <w:b/>
                <w:lang w:val="en-GB"/>
              </w:rPr>
            </w:pPr>
          </w:p>
        </w:tc>
      </w:tr>
      <w:tr w:rsidR="0016293A" w:rsidRPr="003920D7" w14:paraId="79570344" w14:textId="77777777" w:rsidTr="00FF1DE0">
        <w:trPr>
          <w:jc w:val="center"/>
        </w:trPr>
        <w:tc>
          <w:tcPr>
            <w:tcW w:w="3962" w:type="dxa"/>
            <w:vAlign w:val="bottom"/>
          </w:tcPr>
          <w:p w14:paraId="7CCC4F71" w14:textId="77777777" w:rsidR="0016293A" w:rsidRPr="003920D7" w:rsidRDefault="0016293A" w:rsidP="00F53247">
            <w:pPr>
              <w:pStyle w:val="TableParagraph"/>
              <w:spacing w:line="249" w:lineRule="exact"/>
              <w:jc w:val="left"/>
              <w:rPr>
                <w:rFonts w:ascii="Arial" w:hAnsi="Arial" w:cs="Arial"/>
                <w:sz w:val="20"/>
                <w:szCs w:val="20"/>
                <w:lang w:val="en-GB"/>
              </w:rPr>
            </w:pPr>
          </w:p>
          <w:p w14:paraId="5528D4F5"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Integrated Steel</w:t>
            </w:r>
          </w:p>
        </w:tc>
        <w:tc>
          <w:tcPr>
            <w:tcW w:w="165" w:type="dxa"/>
            <w:vAlign w:val="bottom"/>
          </w:tcPr>
          <w:p w14:paraId="1A7EA63B" w14:textId="77777777" w:rsidR="0016293A" w:rsidRPr="003920D7" w:rsidRDefault="0016293A" w:rsidP="00F53247">
            <w:pPr>
              <w:pStyle w:val="TableParagraph"/>
              <w:spacing w:line="249" w:lineRule="exact"/>
              <w:ind w:right="39"/>
              <w:rPr>
                <w:rFonts w:ascii="Arial" w:hAnsi="Arial" w:cs="Arial"/>
                <w:sz w:val="20"/>
                <w:szCs w:val="20"/>
                <w:lang w:val="en-GB"/>
              </w:rPr>
            </w:pPr>
          </w:p>
        </w:tc>
        <w:tc>
          <w:tcPr>
            <w:tcW w:w="1154" w:type="dxa"/>
            <w:vAlign w:val="bottom"/>
          </w:tcPr>
          <w:p w14:paraId="07BBD624" w14:textId="77777777" w:rsidR="0016293A" w:rsidRPr="003920D7" w:rsidRDefault="0016293A" w:rsidP="00F53247">
            <w:pPr>
              <w:pStyle w:val="TableParagraph"/>
              <w:spacing w:line="249" w:lineRule="exact"/>
              <w:ind w:right="39"/>
              <w:rPr>
                <w:rFonts w:ascii="Arial" w:hAnsi="Arial" w:cs="Arial"/>
                <w:sz w:val="20"/>
                <w:szCs w:val="20"/>
                <w:lang w:val="en-GB"/>
              </w:rPr>
            </w:pPr>
            <w:r w:rsidRPr="003920D7">
              <w:rPr>
                <w:rFonts w:ascii="Arial" w:hAnsi="Arial" w:cs="Arial"/>
                <w:sz w:val="20"/>
                <w:szCs w:val="20"/>
                <w:lang w:val="en-GB"/>
              </w:rPr>
              <w:t>0.6%</w:t>
            </w:r>
          </w:p>
        </w:tc>
        <w:tc>
          <w:tcPr>
            <w:tcW w:w="1154" w:type="dxa"/>
            <w:vAlign w:val="bottom"/>
          </w:tcPr>
          <w:p w14:paraId="4C12D91A" w14:textId="491DDEA2" w:rsidR="0016293A" w:rsidRPr="003920D7" w:rsidRDefault="00022D4F" w:rsidP="00F53247">
            <w:pPr>
              <w:pStyle w:val="TableParagraph"/>
              <w:spacing w:line="249" w:lineRule="exact"/>
              <w:ind w:right="116"/>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10.5%</w:t>
            </w:r>
          </w:p>
        </w:tc>
        <w:tc>
          <w:tcPr>
            <w:tcW w:w="1154" w:type="dxa"/>
            <w:vAlign w:val="bottom"/>
          </w:tcPr>
          <w:p w14:paraId="0A1F92DD" w14:textId="19F2C8F1" w:rsidR="0016293A" w:rsidRPr="003920D7" w:rsidRDefault="00022D4F"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3.7%</w:t>
            </w:r>
          </w:p>
        </w:tc>
        <w:tc>
          <w:tcPr>
            <w:tcW w:w="1483" w:type="dxa"/>
            <w:vAlign w:val="bottom"/>
          </w:tcPr>
          <w:p w14:paraId="7851E8A5" w14:textId="12138219" w:rsidR="0016293A" w:rsidRPr="003920D7" w:rsidRDefault="00022D4F"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4.6%</w:t>
            </w:r>
          </w:p>
        </w:tc>
      </w:tr>
      <w:tr w:rsidR="0016293A" w:rsidRPr="003920D7" w14:paraId="4BB7AA81" w14:textId="77777777" w:rsidTr="00FF1DE0">
        <w:trPr>
          <w:jc w:val="center"/>
        </w:trPr>
        <w:tc>
          <w:tcPr>
            <w:tcW w:w="3962" w:type="dxa"/>
            <w:vAlign w:val="bottom"/>
          </w:tcPr>
          <w:p w14:paraId="1A253553"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Mini-mill</w:t>
            </w:r>
          </w:p>
        </w:tc>
        <w:tc>
          <w:tcPr>
            <w:tcW w:w="165" w:type="dxa"/>
            <w:vAlign w:val="bottom"/>
          </w:tcPr>
          <w:p w14:paraId="207B811A" w14:textId="77777777" w:rsidR="0016293A" w:rsidRPr="003920D7" w:rsidRDefault="0016293A" w:rsidP="00F53247">
            <w:pPr>
              <w:pStyle w:val="TableParagraph"/>
              <w:spacing w:line="249" w:lineRule="exact"/>
              <w:ind w:right="39"/>
              <w:rPr>
                <w:rFonts w:ascii="Arial" w:hAnsi="Arial" w:cs="Arial"/>
                <w:sz w:val="20"/>
                <w:szCs w:val="20"/>
                <w:lang w:val="en-GB"/>
              </w:rPr>
            </w:pPr>
          </w:p>
        </w:tc>
        <w:tc>
          <w:tcPr>
            <w:tcW w:w="1154" w:type="dxa"/>
            <w:vAlign w:val="bottom"/>
          </w:tcPr>
          <w:p w14:paraId="3D149504" w14:textId="77777777" w:rsidR="0016293A" w:rsidRPr="003920D7" w:rsidRDefault="0016293A" w:rsidP="00F53247">
            <w:pPr>
              <w:pStyle w:val="TableParagraph"/>
              <w:spacing w:line="249" w:lineRule="exact"/>
              <w:ind w:right="39"/>
              <w:rPr>
                <w:rFonts w:ascii="Arial" w:hAnsi="Arial" w:cs="Arial"/>
                <w:sz w:val="20"/>
                <w:szCs w:val="20"/>
                <w:lang w:val="en-GB"/>
              </w:rPr>
            </w:pPr>
            <w:r w:rsidRPr="003920D7">
              <w:rPr>
                <w:rFonts w:ascii="Arial" w:hAnsi="Arial" w:cs="Arial"/>
                <w:sz w:val="20"/>
                <w:szCs w:val="20"/>
                <w:lang w:val="en-GB"/>
              </w:rPr>
              <w:t>3.6%</w:t>
            </w:r>
          </w:p>
        </w:tc>
        <w:tc>
          <w:tcPr>
            <w:tcW w:w="1154" w:type="dxa"/>
            <w:vAlign w:val="bottom"/>
          </w:tcPr>
          <w:p w14:paraId="59A59ABC" w14:textId="77777777" w:rsidR="0016293A" w:rsidRPr="003920D7" w:rsidRDefault="0016293A" w:rsidP="00F53247">
            <w:pPr>
              <w:pStyle w:val="TableParagraph"/>
              <w:spacing w:line="249" w:lineRule="exact"/>
              <w:ind w:right="117"/>
              <w:rPr>
                <w:rFonts w:ascii="Arial" w:hAnsi="Arial" w:cs="Arial"/>
                <w:sz w:val="20"/>
                <w:szCs w:val="20"/>
                <w:lang w:val="en-GB"/>
              </w:rPr>
            </w:pPr>
            <w:r w:rsidRPr="003920D7">
              <w:rPr>
                <w:rFonts w:ascii="Arial" w:hAnsi="Arial" w:cs="Arial"/>
                <w:sz w:val="20"/>
                <w:szCs w:val="20"/>
                <w:lang w:val="en-GB"/>
              </w:rPr>
              <w:t>5.7%</w:t>
            </w:r>
          </w:p>
        </w:tc>
        <w:tc>
          <w:tcPr>
            <w:tcW w:w="1154" w:type="dxa"/>
            <w:vAlign w:val="bottom"/>
          </w:tcPr>
          <w:p w14:paraId="412E07CC"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7.1%</w:t>
            </w:r>
          </w:p>
        </w:tc>
        <w:tc>
          <w:tcPr>
            <w:tcW w:w="1483" w:type="dxa"/>
            <w:vAlign w:val="bottom"/>
          </w:tcPr>
          <w:p w14:paraId="1DEDED5C"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5.6%</w:t>
            </w:r>
          </w:p>
        </w:tc>
      </w:tr>
      <w:tr w:rsidR="0016293A" w:rsidRPr="003920D7" w14:paraId="22183521" w14:textId="77777777" w:rsidTr="00FF1DE0">
        <w:trPr>
          <w:jc w:val="center"/>
        </w:trPr>
        <w:tc>
          <w:tcPr>
            <w:tcW w:w="3962" w:type="dxa"/>
            <w:vAlign w:val="bottom"/>
          </w:tcPr>
          <w:p w14:paraId="6014E6A9"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Manufactured Products</w:t>
            </w:r>
          </w:p>
        </w:tc>
        <w:tc>
          <w:tcPr>
            <w:tcW w:w="165" w:type="dxa"/>
            <w:vAlign w:val="bottom"/>
          </w:tcPr>
          <w:p w14:paraId="1CE1CC65" w14:textId="77777777" w:rsidR="0016293A" w:rsidRPr="003920D7" w:rsidRDefault="0016293A" w:rsidP="00F53247">
            <w:pPr>
              <w:pStyle w:val="TableParagraph"/>
              <w:spacing w:line="249" w:lineRule="exact"/>
              <w:ind w:right="39"/>
              <w:rPr>
                <w:rFonts w:ascii="Arial" w:hAnsi="Arial" w:cs="Arial"/>
                <w:sz w:val="20"/>
                <w:szCs w:val="20"/>
                <w:lang w:val="en-GB"/>
              </w:rPr>
            </w:pPr>
          </w:p>
        </w:tc>
        <w:tc>
          <w:tcPr>
            <w:tcW w:w="1154" w:type="dxa"/>
            <w:vAlign w:val="bottom"/>
          </w:tcPr>
          <w:p w14:paraId="1D6B00DB" w14:textId="1172A392" w:rsidR="0016293A" w:rsidRPr="003920D7" w:rsidRDefault="00022D4F" w:rsidP="00F53247">
            <w:pPr>
              <w:pStyle w:val="TableParagraph"/>
              <w:spacing w:line="249" w:lineRule="exact"/>
              <w:ind w:right="39"/>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6.1%</w:t>
            </w:r>
          </w:p>
        </w:tc>
        <w:tc>
          <w:tcPr>
            <w:tcW w:w="1154" w:type="dxa"/>
            <w:vAlign w:val="bottom"/>
          </w:tcPr>
          <w:p w14:paraId="2D0C93F2" w14:textId="75F9CB23" w:rsidR="0016293A" w:rsidRPr="003920D7" w:rsidRDefault="00022D4F" w:rsidP="00F53247">
            <w:pPr>
              <w:pStyle w:val="TableParagraph"/>
              <w:spacing w:line="249" w:lineRule="exact"/>
              <w:ind w:right="117"/>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8.4%</w:t>
            </w:r>
          </w:p>
        </w:tc>
        <w:tc>
          <w:tcPr>
            <w:tcW w:w="1154" w:type="dxa"/>
            <w:vAlign w:val="bottom"/>
          </w:tcPr>
          <w:p w14:paraId="56948234"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0.0%</w:t>
            </w:r>
          </w:p>
        </w:tc>
        <w:tc>
          <w:tcPr>
            <w:tcW w:w="1483" w:type="dxa"/>
            <w:vAlign w:val="bottom"/>
          </w:tcPr>
          <w:p w14:paraId="1A53F62F" w14:textId="0AF2F946" w:rsidR="0016293A" w:rsidRPr="003920D7" w:rsidRDefault="00022D4F"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w:t>
            </w:r>
            <w:r w:rsidR="0016293A" w:rsidRPr="003920D7">
              <w:rPr>
                <w:rFonts w:ascii="Arial" w:hAnsi="Arial" w:cs="Arial"/>
                <w:sz w:val="20"/>
                <w:szCs w:val="20"/>
                <w:lang w:val="en-GB"/>
              </w:rPr>
              <w:t>4.8%</w:t>
            </w:r>
          </w:p>
        </w:tc>
      </w:tr>
      <w:tr w:rsidR="0016293A" w:rsidRPr="003920D7" w14:paraId="1E4F96C1" w14:textId="77777777" w:rsidTr="00FF1DE0">
        <w:trPr>
          <w:jc w:val="center"/>
        </w:trPr>
        <w:tc>
          <w:tcPr>
            <w:tcW w:w="3962" w:type="dxa"/>
            <w:vAlign w:val="bottom"/>
          </w:tcPr>
          <w:p w14:paraId="4510AA0C"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2B585BE9" w14:textId="77777777" w:rsidR="0016293A" w:rsidRPr="003920D7" w:rsidRDefault="0016293A" w:rsidP="00F53247">
            <w:pPr>
              <w:pStyle w:val="TableParagraph"/>
              <w:spacing w:line="249" w:lineRule="exact"/>
              <w:jc w:val="left"/>
              <w:rPr>
                <w:rFonts w:ascii="Arial" w:hAnsi="Arial" w:cs="Arial"/>
                <w:b/>
                <w:sz w:val="20"/>
                <w:szCs w:val="20"/>
                <w:u w:val="single"/>
                <w:lang w:val="en-GB"/>
              </w:rPr>
            </w:pPr>
          </w:p>
          <w:p w14:paraId="15BAF47B" w14:textId="2651BA23" w:rsidR="0016293A" w:rsidRPr="003920D7" w:rsidRDefault="0016293A" w:rsidP="00676744">
            <w:pPr>
              <w:pStyle w:val="TableParagraph"/>
              <w:spacing w:line="249" w:lineRule="exact"/>
              <w:jc w:val="left"/>
              <w:rPr>
                <w:rFonts w:ascii="Arial" w:hAnsi="Arial" w:cs="Arial"/>
                <w:b/>
                <w:sz w:val="20"/>
                <w:szCs w:val="20"/>
                <w:u w:val="single"/>
                <w:lang w:val="en-GB"/>
              </w:rPr>
            </w:pPr>
            <w:r w:rsidRPr="003920D7">
              <w:rPr>
                <w:rFonts w:ascii="Arial" w:hAnsi="Arial" w:cs="Arial"/>
                <w:b/>
                <w:sz w:val="20"/>
                <w:szCs w:val="20"/>
                <w:u w:val="single"/>
                <w:lang w:val="en-GB"/>
              </w:rPr>
              <w:t>Income Statement &amp; CAPEX (</w:t>
            </w:r>
            <w:r w:rsidR="00022D4F" w:rsidRPr="003920D7">
              <w:rPr>
                <w:rFonts w:ascii="Arial" w:hAnsi="Arial" w:cs="Arial"/>
                <w:b/>
                <w:sz w:val="20"/>
                <w:szCs w:val="20"/>
                <w:u w:val="single"/>
                <w:lang w:val="en-GB"/>
              </w:rPr>
              <w:t>CA</w:t>
            </w:r>
            <w:r w:rsidRPr="003920D7">
              <w:rPr>
                <w:rFonts w:ascii="Arial" w:hAnsi="Arial" w:cs="Arial"/>
                <w:b/>
                <w:sz w:val="20"/>
                <w:szCs w:val="20"/>
                <w:u w:val="single"/>
                <w:lang w:val="en-GB"/>
              </w:rPr>
              <w:t>$</w:t>
            </w:r>
            <w:r w:rsidR="00022D4F" w:rsidRPr="003920D7">
              <w:rPr>
                <w:rFonts w:ascii="Arial" w:hAnsi="Arial" w:cs="Arial"/>
                <w:b/>
                <w:sz w:val="20"/>
                <w:szCs w:val="20"/>
                <w:u w:val="single"/>
                <w:lang w:val="en-GB"/>
              </w:rPr>
              <w:t xml:space="preserve"> </w:t>
            </w:r>
            <w:r w:rsidRPr="003920D7">
              <w:rPr>
                <w:rFonts w:ascii="Arial" w:hAnsi="Arial" w:cs="Arial"/>
                <w:b/>
                <w:sz w:val="20"/>
                <w:szCs w:val="20"/>
                <w:u w:val="single"/>
                <w:lang w:val="en-GB"/>
              </w:rPr>
              <w:t>m</w:t>
            </w:r>
            <w:r w:rsidR="00022D4F" w:rsidRPr="003920D7">
              <w:rPr>
                <w:rFonts w:ascii="Arial" w:hAnsi="Arial" w:cs="Arial"/>
                <w:b/>
                <w:sz w:val="20"/>
                <w:szCs w:val="20"/>
                <w:u w:val="single"/>
                <w:lang w:val="en-GB"/>
              </w:rPr>
              <w:t>illions</w:t>
            </w:r>
            <w:r w:rsidRPr="003920D7">
              <w:rPr>
                <w:rFonts w:ascii="Arial" w:hAnsi="Arial" w:cs="Arial"/>
                <w:b/>
                <w:sz w:val="20"/>
                <w:szCs w:val="20"/>
                <w:u w:val="single"/>
                <w:lang w:val="en-GB"/>
              </w:rPr>
              <w:t>)</w:t>
            </w:r>
          </w:p>
        </w:tc>
        <w:tc>
          <w:tcPr>
            <w:tcW w:w="165" w:type="dxa"/>
            <w:vAlign w:val="bottom"/>
          </w:tcPr>
          <w:p w14:paraId="4041BCB8" w14:textId="77777777" w:rsidR="0016293A" w:rsidRPr="003920D7" w:rsidRDefault="0016293A" w:rsidP="00F53247">
            <w:pPr>
              <w:pStyle w:val="TableParagraph"/>
              <w:spacing w:line="249" w:lineRule="exact"/>
              <w:ind w:right="39"/>
              <w:rPr>
                <w:rFonts w:ascii="Arial" w:hAnsi="Arial" w:cs="Arial"/>
                <w:b/>
                <w:sz w:val="20"/>
                <w:szCs w:val="20"/>
                <w:u w:val="single"/>
                <w:lang w:val="en-GB"/>
              </w:rPr>
            </w:pPr>
          </w:p>
        </w:tc>
        <w:tc>
          <w:tcPr>
            <w:tcW w:w="1154" w:type="dxa"/>
            <w:vAlign w:val="bottom"/>
          </w:tcPr>
          <w:p w14:paraId="34F1B4DD" w14:textId="77777777" w:rsidR="0016293A" w:rsidRPr="003920D7" w:rsidRDefault="0016293A" w:rsidP="00F53247">
            <w:pPr>
              <w:pStyle w:val="TableParagraph"/>
              <w:spacing w:line="249" w:lineRule="exact"/>
              <w:ind w:right="39"/>
              <w:rPr>
                <w:rFonts w:ascii="Arial" w:hAnsi="Arial" w:cs="Arial"/>
                <w:b/>
                <w:sz w:val="20"/>
                <w:szCs w:val="20"/>
                <w:u w:val="single"/>
                <w:lang w:val="en-GB"/>
              </w:rPr>
            </w:pPr>
          </w:p>
        </w:tc>
        <w:tc>
          <w:tcPr>
            <w:tcW w:w="1154" w:type="dxa"/>
            <w:vAlign w:val="bottom"/>
          </w:tcPr>
          <w:p w14:paraId="37B449D8" w14:textId="77777777" w:rsidR="0016293A" w:rsidRPr="003920D7" w:rsidRDefault="0016293A" w:rsidP="00F53247">
            <w:pPr>
              <w:pStyle w:val="TableParagraph"/>
              <w:spacing w:line="249" w:lineRule="exact"/>
              <w:ind w:right="117"/>
              <w:rPr>
                <w:rFonts w:ascii="Arial" w:hAnsi="Arial" w:cs="Arial"/>
                <w:b/>
                <w:sz w:val="20"/>
                <w:szCs w:val="20"/>
                <w:u w:val="single"/>
                <w:lang w:val="en-GB"/>
              </w:rPr>
            </w:pPr>
          </w:p>
        </w:tc>
        <w:tc>
          <w:tcPr>
            <w:tcW w:w="1154" w:type="dxa"/>
            <w:vAlign w:val="bottom"/>
          </w:tcPr>
          <w:p w14:paraId="1A81A8DB" w14:textId="77777777" w:rsidR="0016293A" w:rsidRPr="003920D7" w:rsidRDefault="0016293A" w:rsidP="00F53247">
            <w:pPr>
              <w:pStyle w:val="TableParagraph"/>
              <w:spacing w:line="249" w:lineRule="exact"/>
              <w:rPr>
                <w:rFonts w:ascii="Arial" w:hAnsi="Arial" w:cs="Arial"/>
                <w:b/>
                <w:sz w:val="20"/>
                <w:szCs w:val="20"/>
                <w:u w:val="single"/>
                <w:lang w:val="en-GB"/>
              </w:rPr>
            </w:pPr>
          </w:p>
        </w:tc>
        <w:tc>
          <w:tcPr>
            <w:tcW w:w="1483" w:type="dxa"/>
            <w:vAlign w:val="bottom"/>
          </w:tcPr>
          <w:p w14:paraId="7B3794AC" w14:textId="77777777" w:rsidR="0016293A" w:rsidRPr="003920D7" w:rsidRDefault="0016293A" w:rsidP="00F53247">
            <w:pPr>
              <w:pStyle w:val="TableParagraph"/>
              <w:spacing w:line="249" w:lineRule="exact"/>
              <w:rPr>
                <w:rFonts w:ascii="Arial" w:hAnsi="Arial" w:cs="Arial"/>
                <w:b/>
                <w:sz w:val="20"/>
                <w:szCs w:val="20"/>
                <w:u w:val="single"/>
                <w:lang w:val="en-GB"/>
              </w:rPr>
            </w:pPr>
          </w:p>
        </w:tc>
      </w:tr>
      <w:tr w:rsidR="0016293A" w:rsidRPr="003920D7" w14:paraId="2C604D34" w14:textId="77777777" w:rsidTr="00FF1DE0">
        <w:trPr>
          <w:jc w:val="center"/>
        </w:trPr>
        <w:tc>
          <w:tcPr>
            <w:tcW w:w="3962" w:type="dxa"/>
            <w:vAlign w:val="bottom"/>
          </w:tcPr>
          <w:p w14:paraId="77CAD368" w14:textId="77777777" w:rsidR="0016293A" w:rsidRPr="003920D7" w:rsidRDefault="0016293A" w:rsidP="00F53247">
            <w:pPr>
              <w:pStyle w:val="TableParagraph"/>
              <w:spacing w:before="45"/>
              <w:jc w:val="left"/>
              <w:rPr>
                <w:rFonts w:ascii="Arial" w:hAnsi="Arial" w:cs="Arial"/>
                <w:sz w:val="20"/>
                <w:szCs w:val="20"/>
                <w:lang w:val="en-GB"/>
              </w:rPr>
            </w:pPr>
          </w:p>
          <w:p w14:paraId="6E571EC9" w14:textId="77777777" w:rsidR="0016293A" w:rsidRPr="003920D7" w:rsidRDefault="0016293A" w:rsidP="00F53247">
            <w:pPr>
              <w:pStyle w:val="TableParagraph"/>
              <w:spacing w:before="45"/>
              <w:jc w:val="left"/>
              <w:rPr>
                <w:rFonts w:ascii="Arial" w:hAnsi="Arial" w:cs="Arial"/>
                <w:sz w:val="20"/>
                <w:szCs w:val="20"/>
                <w:lang w:val="en-GB"/>
              </w:rPr>
            </w:pPr>
            <w:r w:rsidRPr="003920D7">
              <w:rPr>
                <w:rFonts w:ascii="Arial" w:hAnsi="Arial" w:cs="Arial"/>
                <w:sz w:val="20"/>
                <w:szCs w:val="20"/>
                <w:lang w:val="en-GB"/>
              </w:rPr>
              <w:t xml:space="preserve">EBIT </w:t>
            </w:r>
          </w:p>
        </w:tc>
        <w:tc>
          <w:tcPr>
            <w:tcW w:w="165" w:type="dxa"/>
            <w:vAlign w:val="bottom"/>
          </w:tcPr>
          <w:p w14:paraId="1F44F976" w14:textId="77777777" w:rsidR="0016293A" w:rsidRPr="003920D7" w:rsidRDefault="0016293A" w:rsidP="00F53247">
            <w:pPr>
              <w:pStyle w:val="TableParagraph"/>
              <w:spacing w:before="45"/>
              <w:ind w:right="38"/>
              <w:rPr>
                <w:rFonts w:ascii="Arial" w:hAnsi="Arial" w:cs="Arial"/>
                <w:sz w:val="20"/>
                <w:szCs w:val="20"/>
                <w:lang w:val="en-GB"/>
              </w:rPr>
            </w:pPr>
          </w:p>
        </w:tc>
        <w:tc>
          <w:tcPr>
            <w:tcW w:w="1154" w:type="dxa"/>
            <w:vAlign w:val="bottom"/>
          </w:tcPr>
          <w:p w14:paraId="3422E1D5" w14:textId="77777777" w:rsidR="0016293A" w:rsidRPr="003920D7" w:rsidRDefault="0016293A" w:rsidP="00F53247">
            <w:pPr>
              <w:pStyle w:val="TableParagraph"/>
              <w:spacing w:before="45"/>
              <w:ind w:right="38"/>
              <w:rPr>
                <w:rFonts w:ascii="Arial" w:hAnsi="Arial" w:cs="Arial"/>
                <w:sz w:val="20"/>
                <w:szCs w:val="20"/>
                <w:lang w:val="en-GB"/>
              </w:rPr>
            </w:pPr>
            <w:r w:rsidRPr="003920D7">
              <w:rPr>
                <w:rFonts w:ascii="Arial" w:hAnsi="Arial" w:cs="Arial"/>
                <w:sz w:val="20"/>
                <w:szCs w:val="20"/>
                <w:lang w:val="en-GB"/>
              </w:rPr>
              <w:t>($35)</w:t>
            </w:r>
          </w:p>
        </w:tc>
        <w:tc>
          <w:tcPr>
            <w:tcW w:w="1154" w:type="dxa"/>
            <w:vAlign w:val="bottom"/>
          </w:tcPr>
          <w:p w14:paraId="393E8A89" w14:textId="77777777" w:rsidR="0016293A" w:rsidRPr="003920D7" w:rsidRDefault="0016293A" w:rsidP="00F53247">
            <w:pPr>
              <w:pStyle w:val="TableParagraph"/>
              <w:spacing w:before="45"/>
              <w:ind w:right="116"/>
              <w:rPr>
                <w:rFonts w:ascii="Arial" w:hAnsi="Arial" w:cs="Arial"/>
                <w:sz w:val="20"/>
                <w:szCs w:val="20"/>
                <w:lang w:val="en-GB"/>
              </w:rPr>
            </w:pPr>
            <w:r w:rsidRPr="003920D7">
              <w:rPr>
                <w:rFonts w:ascii="Arial" w:hAnsi="Arial" w:cs="Arial"/>
                <w:sz w:val="20"/>
                <w:szCs w:val="20"/>
                <w:lang w:val="en-GB"/>
              </w:rPr>
              <w:t>($93)</w:t>
            </w:r>
          </w:p>
        </w:tc>
        <w:tc>
          <w:tcPr>
            <w:tcW w:w="1154" w:type="dxa"/>
            <w:vAlign w:val="bottom"/>
          </w:tcPr>
          <w:p w14:paraId="2F5581A9" w14:textId="77777777" w:rsidR="0016293A" w:rsidRPr="003920D7" w:rsidRDefault="0016293A" w:rsidP="00F53247">
            <w:pPr>
              <w:pStyle w:val="TableParagraph"/>
              <w:spacing w:before="45"/>
              <w:ind w:right="-1"/>
              <w:rPr>
                <w:rFonts w:ascii="Arial" w:hAnsi="Arial" w:cs="Arial"/>
                <w:sz w:val="20"/>
                <w:szCs w:val="20"/>
                <w:lang w:val="en-GB"/>
              </w:rPr>
            </w:pPr>
            <w:r w:rsidRPr="003920D7">
              <w:rPr>
                <w:rFonts w:ascii="Arial" w:hAnsi="Arial" w:cs="Arial"/>
                <w:sz w:val="20"/>
                <w:szCs w:val="20"/>
                <w:lang w:val="en-GB"/>
              </w:rPr>
              <w:t>($47)</w:t>
            </w:r>
          </w:p>
        </w:tc>
        <w:tc>
          <w:tcPr>
            <w:tcW w:w="1483" w:type="dxa"/>
            <w:vAlign w:val="bottom"/>
          </w:tcPr>
          <w:p w14:paraId="7E5C0CB4" w14:textId="77777777" w:rsidR="0016293A" w:rsidRPr="003920D7" w:rsidRDefault="0016293A" w:rsidP="00F53247">
            <w:pPr>
              <w:pStyle w:val="TableParagraph"/>
              <w:spacing w:before="45"/>
              <w:rPr>
                <w:rFonts w:ascii="Arial" w:hAnsi="Arial" w:cs="Arial"/>
                <w:sz w:val="20"/>
                <w:szCs w:val="20"/>
                <w:lang w:val="en-GB"/>
              </w:rPr>
            </w:pPr>
            <w:r w:rsidRPr="003920D7">
              <w:rPr>
                <w:rFonts w:ascii="Arial" w:hAnsi="Arial" w:cs="Arial"/>
                <w:sz w:val="20"/>
                <w:szCs w:val="20"/>
                <w:lang w:val="en-GB"/>
              </w:rPr>
              <w:t>($175)</w:t>
            </w:r>
          </w:p>
        </w:tc>
      </w:tr>
      <w:tr w:rsidR="0016293A" w:rsidRPr="003920D7" w14:paraId="007D1384" w14:textId="77777777" w:rsidTr="00FF1DE0">
        <w:trPr>
          <w:jc w:val="center"/>
        </w:trPr>
        <w:tc>
          <w:tcPr>
            <w:tcW w:w="3962" w:type="dxa"/>
            <w:vAlign w:val="bottom"/>
          </w:tcPr>
          <w:p w14:paraId="057E8874"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 xml:space="preserve">Interest Expense </w:t>
            </w:r>
          </w:p>
        </w:tc>
        <w:tc>
          <w:tcPr>
            <w:tcW w:w="165" w:type="dxa"/>
            <w:vAlign w:val="bottom"/>
          </w:tcPr>
          <w:p w14:paraId="62458555"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2018FAC1"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$12</w:t>
            </w:r>
          </w:p>
        </w:tc>
        <w:tc>
          <w:tcPr>
            <w:tcW w:w="1154" w:type="dxa"/>
            <w:vAlign w:val="bottom"/>
          </w:tcPr>
          <w:p w14:paraId="79586EAA"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$13</w:t>
            </w:r>
          </w:p>
        </w:tc>
        <w:tc>
          <w:tcPr>
            <w:tcW w:w="1154" w:type="dxa"/>
            <w:vAlign w:val="bottom"/>
          </w:tcPr>
          <w:p w14:paraId="509A6492"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$14</w:t>
            </w:r>
          </w:p>
        </w:tc>
        <w:tc>
          <w:tcPr>
            <w:tcW w:w="1483" w:type="dxa"/>
            <w:vAlign w:val="bottom"/>
          </w:tcPr>
          <w:p w14:paraId="4E1115C5"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$39</w:t>
            </w:r>
          </w:p>
        </w:tc>
      </w:tr>
      <w:tr w:rsidR="0016293A" w:rsidRPr="003920D7" w14:paraId="7C588E8B" w14:textId="77777777" w:rsidTr="00FF1DE0">
        <w:trPr>
          <w:jc w:val="center"/>
        </w:trPr>
        <w:tc>
          <w:tcPr>
            <w:tcW w:w="3962" w:type="dxa"/>
            <w:vAlign w:val="bottom"/>
          </w:tcPr>
          <w:p w14:paraId="59626679"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Net Income (Loss)</w:t>
            </w:r>
          </w:p>
        </w:tc>
        <w:tc>
          <w:tcPr>
            <w:tcW w:w="165" w:type="dxa"/>
            <w:vAlign w:val="bottom"/>
          </w:tcPr>
          <w:p w14:paraId="2F0220A7"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7FAB6CCC"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($44)</w:t>
            </w:r>
          </w:p>
        </w:tc>
        <w:tc>
          <w:tcPr>
            <w:tcW w:w="1154" w:type="dxa"/>
            <w:vAlign w:val="bottom"/>
          </w:tcPr>
          <w:p w14:paraId="6E79CEE9" w14:textId="77777777" w:rsidR="0016293A" w:rsidRPr="003920D7" w:rsidRDefault="0016293A" w:rsidP="00F53247">
            <w:pPr>
              <w:pStyle w:val="TableParagraph"/>
              <w:spacing w:line="249" w:lineRule="exact"/>
              <w:ind w:right="116"/>
              <w:rPr>
                <w:rFonts w:ascii="Arial" w:hAnsi="Arial" w:cs="Arial"/>
                <w:sz w:val="20"/>
                <w:szCs w:val="20"/>
                <w:lang w:val="en-GB"/>
              </w:rPr>
            </w:pPr>
            <w:r w:rsidRPr="003920D7">
              <w:rPr>
                <w:rFonts w:ascii="Arial" w:hAnsi="Arial" w:cs="Arial"/>
                <w:sz w:val="20"/>
                <w:szCs w:val="20"/>
                <w:lang w:val="en-GB"/>
              </w:rPr>
              <w:t>($82)</w:t>
            </w:r>
          </w:p>
        </w:tc>
        <w:tc>
          <w:tcPr>
            <w:tcW w:w="1154" w:type="dxa"/>
            <w:vAlign w:val="bottom"/>
          </w:tcPr>
          <w:p w14:paraId="5203A3C6"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($42)</w:t>
            </w:r>
          </w:p>
        </w:tc>
        <w:tc>
          <w:tcPr>
            <w:tcW w:w="1483" w:type="dxa"/>
            <w:vAlign w:val="bottom"/>
          </w:tcPr>
          <w:p w14:paraId="70AEC8C1" w14:textId="77777777" w:rsidR="0016293A" w:rsidRPr="003920D7" w:rsidRDefault="0016293A" w:rsidP="00F53247">
            <w:pPr>
              <w:pStyle w:val="TableParagraph"/>
              <w:spacing w:line="249" w:lineRule="exact"/>
              <w:rPr>
                <w:rFonts w:ascii="Arial" w:hAnsi="Arial" w:cs="Arial"/>
                <w:sz w:val="20"/>
                <w:szCs w:val="20"/>
                <w:lang w:val="en-GB"/>
              </w:rPr>
            </w:pPr>
            <w:r w:rsidRPr="003920D7">
              <w:rPr>
                <w:rFonts w:ascii="Arial" w:hAnsi="Arial" w:cs="Arial"/>
                <w:sz w:val="20"/>
                <w:szCs w:val="20"/>
                <w:lang w:val="en-GB"/>
              </w:rPr>
              <w:t>($168)</w:t>
            </w:r>
          </w:p>
        </w:tc>
      </w:tr>
      <w:tr w:rsidR="0016293A" w:rsidRPr="003920D7" w14:paraId="393F3EC2" w14:textId="77777777" w:rsidTr="00FF1DE0">
        <w:trPr>
          <w:jc w:val="center"/>
        </w:trPr>
        <w:tc>
          <w:tcPr>
            <w:tcW w:w="3962" w:type="dxa"/>
            <w:vAlign w:val="bottom"/>
          </w:tcPr>
          <w:p w14:paraId="6C616334" w14:textId="77777777" w:rsidR="0016293A" w:rsidRPr="003920D7" w:rsidRDefault="0016293A" w:rsidP="00F53247">
            <w:pPr>
              <w:pStyle w:val="TableParagraph"/>
              <w:spacing w:line="249" w:lineRule="exact"/>
              <w:jc w:val="left"/>
              <w:rPr>
                <w:rFonts w:ascii="Arial" w:hAnsi="Arial" w:cs="Arial"/>
                <w:sz w:val="20"/>
                <w:szCs w:val="20"/>
                <w:lang w:val="en-GB"/>
              </w:rPr>
            </w:pPr>
            <w:r w:rsidRPr="003920D7">
              <w:rPr>
                <w:rFonts w:ascii="Arial" w:hAnsi="Arial" w:cs="Arial"/>
                <w:sz w:val="20"/>
                <w:szCs w:val="20"/>
                <w:lang w:val="en-GB"/>
              </w:rPr>
              <w:t>Capital Expenditures</w:t>
            </w:r>
          </w:p>
        </w:tc>
        <w:tc>
          <w:tcPr>
            <w:tcW w:w="165" w:type="dxa"/>
            <w:vAlign w:val="bottom"/>
          </w:tcPr>
          <w:p w14:paraId="6F27B3B4" w14:textId="77777777" w:rsidR="0016293A" w:rsidRPr="003920D7" w:rsidRDefault="0016293A" w:rsidP="00F53247">
            <w:pPr>
              <w:pStyle w:val="TableParagraph"/>
              <w:spacing w:line="249" w:lineRule="exact"/>
              <w:ind w:right="38"/>
              <w:rPr>
                <w:rFonts w:ascii="Arial" w:hAnsi="Arial" w:cs="Arial"/>
                <w:sz w:val="20"/>
                <w:szCs w:val="20"/>
                <w:lang w:val="en-GB"/>
              </w:rPr>
            </w:pPr>
          </w:p>
        </w:tc>
        <w:tc>
          <w:tcPr>
            <w:tcW w:w="1154" w:type="dxa"/>
            <w:vAlign w:val="bottom"/>
          </w:tcPr>
          <w:p w14:paraId="6125FD4B" w14:textId="77777777" w:rsidR="0016293A" w:rsidRPr="003920D7" w:rsidRDefault="0016293A" w:rsidP="00F53247">
            <w:pPr>
              <w:pStyle w:val="TableParagraph"/>
              <w:spacing w:line="249" w:lineRule="exact"/>
              <w:ind w:right="38"/>
              <w:rPr>
                <w:rFonts w:ascii="Arial" w:hAnsi="Arial" w:cs="Arial"/>
                <w:sz w:val="20"/>
                <w:szCs w:val="20"/>
                <w:lang w:val="en-GB"/>
              </w:rPr>
            </w:pPr>
            <w:r w:rsidRPr="003920D7">
              <w:rPr>
                <w:rFonts w:ascii="Arial" w:hAnsi="Arial" w:cs="Arial"/>
                <w:sz w:val="20"/>
                <w:szCs w:val="20"/>
                <w:lang w:val="en-GB"/>
              </w:rPr>
              <w:t>$10</w:t>
            </w:r>
          </w:p>
        </w:tc>
        <w:tc>
          <w:tcPr>
            <w:tcW w:w="1154" w:type="dxa"/>
            <w:vAlign w:val="bottom"/>
          </w:tcPr>
          <w:p w14:paraId="09731EA9" w14:textId="77777777" w:rsidR="0016293A" w:rsidRPr="003920D7" w:rsidRDefault="0016293A" w:rsidP="00F53247">
            <w:pPr>
              <w:pStyle w:val="TableParagraph"/>
              <w:spacing w:line="249" w:lineRule="exact"/>
              <w:ind w:right="115"/>
              <w:rPr>
                <w:rFonts w:ascii="Arial" w:hAnsi="Arial" w:cs="Arial"/>
                <w:sz w:val="20"/>
                <w:szCs w:val="20"/>
                <w:lang w:val="en-GB"/>
              </w:rPr>
            </w:pPr>
            <w:r w:rsidRPr="003920D7">
              <w:rPr>
                <w:rFonts w:ascii="Arial" w:hAnsi="Arial" w:cs="Arial"/>
                <w:sz w:val="20"/>
                <w:szCs w:val="20"/>
                <w:lang w:val="en-GB"/>
              </w:rPr>
              <w:t>$6</w:t>
            </w:r>
          </w:p>
        </w:tc>
        <w:tc>
          <w:tcPr>
            <w:tcW w:w="1154" w:type="dxa"/>
            <w:vAlign w:val="bottom"/>
          </w:tcPr>
          <w:p w14:paraId="206BE8E7" w14:textId="77777777" w:rsidR="0016293A" w:rsidRPr="003920D7" w:rsidRDefault="0016293A" w:rsidP="00F53247">
            <w:pPr>
              <w:pStyle w:val="TableParagraph"/>
              <w:spacing w:line="249" w:lineRule="exact"/>
              <w:ind w:right="-2"/>
              <w:rPr>
                <w:rFonts w:ascii="Arial" w:hAnsi="Arial" w:cs="Arial"/>
                <w:sz w:val="20"/>
                <w:szCs w:val="20"/>
                <w:lang w:val="en-GB"/>
              </w:rPr>
            </w:pPr>
            <w:r w:rsidRPr="003920D7">
              <w:rPr>
                <w:rFonts w:ascii="Arial" w:hAnsi="Arial" w:cs="Arial"/>
                <w:sz w:val="20"/>
                <w:szCs w:val="20"/>
                <w:lang w:val="en-GB"/>
              </w:rPr>
              <w:t>$12</w:t>
            </w:r>
          </w:p>
        </w:tc>
        <w:tc>
          <w:tcPr>
            <w:tcW w:w="1483" w:type="dxa"/>
            <w:vAlign w:val="bottom"/>
          </w:tcPr>
          <w:p w14:paraId="66D29F89" w14:textId="77777777" w:rsidR="0016293A" w:rsidRPr="003920D7" w:rsidRDefault="0016293A" w:rsidP="00F53247">
            <w:pPr>
              <w:pStyle w:val="TableParagraph"/>
              <w:spacing w:line="249" w:lineRule="exact"/>
              <w:ind w:right="-1"/>
              <w:rPr>
                <w:rFonts w:ascii="Arial" w:hAnsi="Arial" w:cs="Arial"/>
                <w:sz w:val="20"/>
                <w:szCs w:val="20"/>
                <w:lang w:val="en-GB"/>
              </w:rPr>
            </w:pPr>
            <w:r w:rsidRPr="003920D7">
              <w:rPr>
                <w:rFonts w:ascii="Arial" w:hAnsi="Arial" w:cs="Arial"/>
                <w:sz w:val="20"/>
                <w:szCs w:val="20"/>
                <w:lang w:val="en-GB"/>
              </w:rPr>
              <w:t>$28</w:t>
            </w:r>
          </w:p>
        </w:tc>
      </w:tr>
    </w:tbl>
    <w:p w14:paraId="37A7624B" w14:textId="77777777" w:rsidR="0016293A" w:rsidRPr="003920D7" w:rsidRDefault="0016293A" w:rsidP="0016293A">
      <w:pPr>
        <w:pStyle w:val="BodyTextMain"/>
        <w:rPr>
          <w:lang w:val="en-GB"/>
        </w:rPr>
      </w:pPr>
    </w:p>
    <w:p w14:paraId="6071D536" w14:textId="75156F29" w:rsidR="00022D4F" w:rsidRPr="003920D7" w:rsidRDefault="00022D4F" w:rsidP="0016293A">
      <w:pPr>
        <w:pStyle w:val="Footnote"/>
        <w:rPr>
          <w:lang w:val="en-GB"/>
        </w:rPr>
      </w:pPr>
      <w:r w:rsidRPr="003920D7">
        <w:rPr>
          <w:lang w:val="en-GB"/>
        </w:rPr>
        <w:t>Note: Q = quarter; EBITDA = earnings before interest, taxes, depreciation, and amortization; CAPEX = capital expenditure</w:t>
      </w:r>
      <w:r w:rsidR="0041796E">
        <w:rPr>
          <w:lang w:val="en-GB"/>
        </w:rPr>
        <w:t xml:space="preserve">; </w:t>
      </w:r>
      <w:r w:rsidR="0041796E" w:rsidRPr="003920D7">
        <w:rPr>
          <w:lang w:val="en-GB"/>
        </w:rPr>
        <w:t>EBIT = earnings before interest and taxes</w:t>
      </w:r>
    </w:p>
    <w:p w14:paraId="3B1D2DD9" w14:textId="285EA409" w:rsidR="0016293A" w:rsidRPr="003920D7" w:rsidRDefault="0016293A" w:rsidP="0016293A">
      <w:pPr>
        <w:pStyle w:val="Footnote"/>
        <w:rPr>
          <w:lang w:val="en-GB"/>
        </w:rPr>
      </w:pPr>
      <w:r w:rsidRPr="003920D7">
        <w:rPr>
          <w:lang w:val="en-GB"/>
        </w:rPr>
        <w:t xml:space="preserve">Source: </w:t>
      </w:r>
      <w:r w:rsidR="00C06030" w:rsidRPr="003920D7">
        <w:rPr>
          <w:lang w:val="en-GB"/>
        </w:rPr>
        <w:t xml:space="preserve">Estimates of </w:t>
      </w:r>
      <w:r w:rsidRPr="003920D7">
        <w:rPr>
          <w:lang w:val="en-GB"/>
        </w:rPr>
        <w:t xml:space="preserve">Quantum </w:t>
      </w:r>
      <w:r w:rsidR="00C06030" w:rsidRPr="003920D7">
        <w:rPr>
          <w:lang w:val="en-GB"/>
        </w:rPr>
        <w:t>Investors Inc</w:t>
      </w:r>
      <w:r w:rsidRPr="003920D7">
        <w:rPr>
          <w:lang w:val="en-GB"/>
        </w:rPr>
        <w:t>.</w:t>
      </w:r>
    </w:p>
    <w:p w14:paraId="7C5EC525" w14:textId="77777777" w:rsidR="0016293A" w:rsidRPr="003920D7" w:rsidRDefault="0016293A">
      <w:pPr>
        <w:spacing w:after="200" w:line="276" w:lineRule="auto"/>
        <w:rPr>
          <w:rFonts w:ascii="Arial" w:hAnsi="Arial" w:cs="Arial"/>
          <w:sz w:val="17"/>
          <w:szCs w:val="17"/>
          <w:lang w:val="en-GB"/>
        </w:rPr>
      </w:pPr>
      <w:r w:rsidRPr="003920D7">
        <w:rPr>
          <w:lang w:val="en-GB"/>
        </w:rPr>
        <w:br w:type="page"/>
      </w:r>
    </w:p>
    <w:p w14:paraId="62BB26CF" w14:textId="77777777" w:rsidR="00FE4652" w:rsidRPr="003920D7" w:rsidRDefault="00FE4652" w:rsidP="0016293A">
      <w:pPr>
        <w:pStyle w:val="Footnote"/>
        <w:rPr>
          <w:lang w:val="en-GB"/>
        </w:rPr>
        <w:sectPr w:rsidR="00FE4652" w:rsidRPr="003920D7" w:rsidSect="00751E0B">
          <w:headerReference w:type="default" r:id="rId12"/>
          <w:pgSz w:w="12240" w:h="15840" w:code="1"/>
          <w:pgMar w:top="1080" w:right="1440" w:bottom="1440" w:left="1440" w:header="1080" w:footer="720" w:gutter="0"/>
          <w:cols w:space="720"/>
          <w:titlePg/>
          <w:docGrid w:linePitch="360"/>
        </w:sectPr>
      </w:pPr>
    </w:p>
    <w:p w14:paraId="6B7C136E" w14:textId="2AB706AC" w:rsidR="0016293A" w:rsidRPr="003920D7" w:rsidRDefault="00755123" w:rsidP="00755123">
      <w:pPr>
        <w:pStyle w:val="ExhibitHeading"/>
        <w:rPr>
          <w:lang w:val="en-GB"/>
        </w:rPr>
      </w:pPr>
      <w:r w:rsidRPr="003920D7">
        <w:rPr>
          <w:lang w:val="en-GB"/>
        </w:rPr>
        <w:lastRenderedPageBreak/>
        <w:t>EXHIBIT 5: Order of Priority in Bankruptcy and HYPOTHETICAL Waterfall</w:t>
      </w:r>
    </w:p>
    <w:p w14:paraId="4A87B18D" w14:textId="77777777" w:rsidR="00755123" w:rsidRPr="003920D7" w:rsidRDefault="00755123" w:rsidP="00755123">
      <w:pPr>
        <w:pStyle w:val="ExhibitHeading"/>
        <w:rPr>
          <w:lang w:val="en-GB"/>
        </w:rPr>
      </w:pPr>
    </w:p>
    <w:p w14:paraId="52B3497C" w14:textId="5FEB1474" w:rsidR="00755123" w:rsidRPr="003920D7" w:rsidRDefault="0041796E" w:rsidP="00755123">
      <w:pPr>
        <w:pStyle w:val="ExhibitText"/>
        <w:rPr>
          <w:lang w:val="en-GB"/>
        </w:rPr>
      </w:pPr>
      <w:r w:rsidRPr="003920D7">
        <w:rPr>
          <w:lang w:val="en-GB"/>
        </w:rPr>
        <w:t>Th</w:t>
      </w:r>
      <w:r>
        <w:rPr>
          <w:lang w:val="en-GB"/>
        </w:rPr>
        <w:t>e</w:t>
      </w:r>
      <w:r w:rsidRPr="003920D7">
        <w:rPr>
          <w:lang w:val="en-GB"/>
        </w:rPr>
        <w:t xml:space="preserve"> </w:t>
      </w:r>
      <w:r w:rsidR="00755123" w:rsidRPr="003920D7">
        <w:rPr>
          <w:lang w:val="en-GB"/>
        </w:rPr>
        <w:t xml:space="preserve">table </w:t>
      </w:r>
      <w:r>
        <w:rPr>
          <w:lang w:val="en-GB"/>
        </w:rPr>
        <w:t xml:space="preserve">below </w:t>
      </w:r>
      <w:r w:rsidR="00755123" w:rsidRPr="003920D7">
        <w:rPr>
          <w:lang w:val="en-GB"/>
        </w:rPr>
        <w:t xml:space="preserve">illustrates the difference between the book value of a company’s assets, liabilities, and equity as recorded on the balance sheet, and </w:t>
      </w:r>
      <w:r w:rsidR="00D339E8" w:rsidRPr="003920D7">
        <w:rPr>
          <w:lang w:val="en-GB"/>
        </w:rPr>
        <w:t xml:space="preserve">its </w:t>
      </w:r>
      <w:r w:rsidR="00755123" w:rsidRPr="003920D7">
        <w:rPr>
          <w:lang w:val="en-GB"/>
        </w:rPr>
        <w:t xml:space="preserve">value in a bankruptcy. The liquidation value of the assets is typically significantly lower than their book value. In this example, accounts receivable are worth </w:t>
      </w:r>
      <w:r w:rsidR="002C5825">
        <w:rPr>
          <w:lang w:val="en-GB"/>
        </w:rPr>
        <w:t xml:space="preserve">only </w:t>
      </w:r>
      <w:r w:rsidR="00755123" w:rsidRPr="003920D7">
        <w:rPr>
          <w:lang w:val="en-GB"/>
        </w:rPr>
        <w:t>60% of their face value, inventory 75%, other current assets 20%</w:t>
      </w:r>
      <w:r w:rsidR="00676744" w:rsidRPr="003920D7">
        <w:rPr>
          <w:lang w:val="en-GB"/>
        </w:rPr>
        <w:t>;</w:t>
      </w:r>
      <w:r w:rsidR="00755123" w:rsidRPr="003920D7">
        <w:rPr>
          <w:lang w:val="en-GB"/>
        </w:rPr>
        <w:t xml:space="preserve"> and property, plant</w:t>
      </w:r>
      <w:r w:rsidR="00676744" w:rsidRPr="003920D7">
        <w:rPr>
          <w:lang w:val="en-GB"/>
        </w:rPr>
        <w:t>,</w:t>
      </w:r>
      <w:r w:rsidR="00755123" w:rsidRPr="003920D7">
        <w:rPr>
          <w:lang w:val="en-GB"/>
        </w:rPr>
        <w:t xml:space="preserve"> and equipment 50%. Goodwill and other intangible assets are typically worth nothing. Thus</w:t>
      </w:r>
      <w:r w:rsidR="00676744" w:rsidRPr="003920D7">
        <w:rPr>
          <w:lang w:val="en-GB"/>
        </w:rPr>
        <w:t>,</w:t>
      </w:r>
      <w:r w:rsidR="00755123" w:rsidRPr="003920D7">
        <w:rPr>
          <w:lang w:val="en-GB"/>
        </w:rPr>
        <w:t xml:space="preserve"> the liquidation value of total assets is half their book value. In bankruptcy, the </w:t>
      </w:r>
      <w:proofErr w:type="spellStart"/>
      <w:r w:rsidR="00755123" w:rsidRPr="003920D7">
        <w:rPr>
          <w:lang w:val="en-GB"/>
        </w:rPr>
        <w:t>payout</w:t>
      </w:r>
      <w:proofErr w:type="spellEnd"/>
      <w:r w:rsidR="00755123" w:rsidRPr="003920D7">
        <w:rPr>
          <w:lang w:val="en-GB"/>
        </w:rPr>
        <w:t xml:space="preserve"> of claimants cascades from the top to the bottom </w:t>
      </w:r>
      <w:r w:rsidR="002C5825">
        <w:rPr>
          <w:lang w:val="en-GB"/>
        </w:rPr>
        <w:t>similar to</w:t>
      </w:r>
      <w:r w:rsidR="002C5825" w:rsidRPr="003920D7">
        <w:rPr>
          <w:lang w:val="en-GB"/>
        </w:rPr>
        <w:t xml:space="preserve"> </w:t>
      </w:r>
      <w:r w:rsidR="00755123" w:rsidRPr="003920D7">
        <w:rPr>
          <w:lang w:val="en-GB"/>
        </w:rPr>
        <w:t xml:space="preserve">a waterfall. The highest priority is given to current liabilities, followed by secured creditors </w:t>
      </w:r>
      <w:r w:rsidR="00676744" w:rsidRPr="003920D7">
        <w:rPr>
          <w:lang w:val="en-GB"/>
        </w:rPr>
        <w:t xml:space="preserve">and </w:t>
      </w:r>
      <w:r w:rsidR="00755123" w:rsidRPr="003920D7">
        <w:rPr>
          <w:lang w:val="en-GB"/>
        </w:rPr>
        <w:t>then unsecured creditors. Unsecured creditors are paid in priority based on the seniority of their claim, with senior unsecured paid before subordinated. Preferred shares are repaid next</w:t>
      </w:r>
      <w:r w:rsidR="00676744" w:rsidRPr="003920D7">
        <w:rPr>
          <w:lang w:val="en-GB"/>
        </w:rPr>
        <w:t>,</w:t>
      </w:r>
      <w:r w:rsidR="00755123" w:rsidRPr="003920D7">
        <w:rPr>
          <w:lang w:val="en-GB"/>
        </w:rPr>
        <w:t xml:space="preserve"> ahead of common shares, </w:t>
      </w:r>
      <w:r w:rsidR="002C5825" w:rsidRPr="003920D7">
        <w:rPr>
          <w:lang w:val="en-GB"/>
        </w:rPr>
        <w:t>wh</w:t>
      </w:r>
      <w:r w:rsidR="002C5825">
        <w:rPr>
          <w:lang w:val="en-GB"/>
        </w:rPr>
        <w:t>ich</w:t>
      </w:r>
      <w:r w:rsidR="002C5825" w:rsidRPr="003920D7">
        <w:rPr>
          <w:lang w:val="en-GB"/>
        </w:rPr>
        <w:t xml:space="preserve"> </w:t>
      </w:r>
      <w:r w:rsidR="00755123" w:rsidRPr="003920D7">
        <w:rPr>
          <w:lang w:val="en-GB"/>
        </w:rPr>
        <w:t xml:space="preserve">receive any residual amount. In this hypothetical example, the proceeds of the asset sales </w:t>
      </w:r>
      <w:r w:rsidR="002C5825">
        <w:rPr>
          <w:lang w:val="en-GB"/>
        </w:rPr>
        <w:t xml:space="preserve">have raised insufficient cash </w:t>
      </w:r>
      <w:r w:rsidR="00755123" w:rsidRPr="003920D7">
        <w:rPr>
          <w:lang w:val="en-GB"/>
        </w:rPr>
        <w:t xml:space="preserve">to repay the full amount to senior debentures, </w:t>
      </w:r>
      <w:r w:rsidR="002C5825" w:rsidRPr="003920D7">
        <w:rPr>
          <w:lang w:val="en-GB"/>
        </w:rPr>
        <w:t>wh</w:t>
      </w:r>
      <w:r w:rsidR="002C5825">
        <w:rPr>
          <w:lang w:val="en-GB"/>
        </w:rPr>
        <w:t>ich</w:t>
      </w:r>
      <w:r w:rsidR="002C5825" w:rsidRPr="003920D7">
        <w:rPr>
          <w:lang w:val="en-GB"/>
        </w:rPr>
        <w:t xml:space="preserve"> </w:t>
      </w:r>
      <w:r w:rsidR="00755123" w:rsidRPr="003920D7">
        <w:rPr>
          <w:lang w:val="en-GB"/>
        </w:rPr>
        <w:t>receive 43% of par value. Holders of subordinated debentures, preferred shares</w:t>
      </w:r>
      <w:r w:rsidR="00676744" w:rsidRPr="003920D7">
        <w:rPr>
          <w:lang w:val="en-GB"/>
        </w:rPr>
        <w:t>,</w:t>
      </w:r>
      <w:r w:rsidR="00755123" w:rsidRPr="003920D7">
        <w:rPr>
          <w:lang w:val="en-GB"/>
        </w:rPr>
        <w:t xml:space="preserve"> and common equity are wiped out. This scenario may be worse if the company’s off-balance</w:t>
      </w:r>
      <w:r w:rsidR="00676744" w:rsidRPr="003920D7">
        <w:rPr>
          <w:lang w:val="en-GB"/>
        </w:rPr>
        <w:t>-</w:t>
      </w:r>
      <w:r w:rsidR="00755123" w:rsidRPr="003920D7">
        <w:rPr>
          <w:lang w:val="en-GB"/>
        </w:rPr>
        <w:t xml:space="preserve">sheet obligations, such as pension liabilities, </w:t>
      </w:r>
      <w:r w:rsidR="002C5825">
        <w:rPr>
          <w:lang w:val="en-GB"/>
        </w:rPr>
        <w:t>receive</w:t>
      </w:r>
      <w:r w:rsidR="00755123" w:rsidRPr="003920D7">
        <w:rPr>
          <w:lang w:val="en-GB"/>
        </w:rPr>
        <w:t xml:space="preserve"> priority over on-balance</w:t>
      </w:r>
      <w:r w:rsidR="00676744" w:rsidRPr="003920D7">
        <w:rPr>
          <w:lang w:val="en-GB"/>
        </w:rPr>
        <w:t>-</w:t>
      </w:r>
      <w:r w:rsidR="00755123" w:rsidRPr="003920D7">
        <w:rPr>
          <w:lang w:val="en-GB"/>
        </w:rPr>
        <w:t>sheet claims.</w:t>
      </w:r>
    </w:p>
    <w:p w14:paraId="020DB01D" w14:textId="77777777" w:rsidR="00755123" w:rsidRPr="003920D7" w:rsidRDefault="00755123" w:rsidP="00755123">
      <w:pPr>
        <w:pStyle w:val="BodyTextMain"/>
        <w:rPr>
          <w:lang w:val="en-GB"/>
        </w:rPr>
      </w:pPr>
    </w:p>
    <w:tbl>
      <w:tblPr>
        <w:tblStyle w:val="TableGrid"/>
        <w:tblW w:w="1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630"/>
        <w:gridCol w:w="630"/>
        <w:gridCol w:w="630"/>
        <w:gridCol w:w="630"/>
        <w:gridCol w:w="990"/>
        <w:gridCol w:w="3690"/>
        <w:gridCol w:w="725"/>
        <w:gridCol w:w="623"/>
        <w:gridCol w:w="7"/>
        <w:gridCol w:w="630"/>
        <w:gridCol w:w="623"/>
        <w:gridCol w:w="7"/>
      </w:tblGrid>
      <w:tr w:rsidR="00F53247" w:rsidRPr="003920D7" w14:paraId="7049D8EA" w14:textId="44604FE0" w:rsidTr="00282B2A">
        <w:trPr>
          <w:gridAfter w:val="1"/>
          <w:wAfter w:w="7" w:type="dxa"/>
          <w:trHeight w:val="413"/>
        </w:trPr>
        <w:tc>
          <w:tcPr>
            <w:tcW w:w="3420" w:type="dxa"/>
            <w:vAlign w:val="center"/>
          </w:tcPr>
          <w:p w14:paraId="1EE735CD" w14:textId="77777777" w:rsidR="00F53247" w:rsidRPr="003920D7" w:rsidRDefault="00F53247" w:rsidP="00F53247">
            <w:pPr>
              <w:pStyle w:val="BodyTextMain"/>
              <w:jc w:val="center"/>
              <w:rPr>
                <w:rFonts w:ascii="Arial" w:hAnsi="Arial" w:cs="Arial"/>
                <w:sz w:val="20"/>
                <w:szCs w:val="20"/>
                <w:lang w:val="en-GB"/>
              </w:rPr>
            </w:pPr>
          </w:p>
        </w:tc>
        <w:tc>
          <w:tcPr>
            <w:tcW w:w="1260" w:type="dxa"/>
            <w:gridSpan w:val="2"/>
            <w:vAlign w:val="center"/>
          </w:tcPr>
          <w:p w14:paraId="4E65540B" w14:textId="77777777" w:rsidR="004845DC"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 xml:space="preserve">Book </w:t>
            </w:r>
          </w:p>
          <w:p w14:paraId="6F17F134" w14:textId="2056111A" w:rsidR="00F53247"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Value</w:t>
            </w:r>
          </w:p>
        </w:tc>
        <w:tc>
          <w:tcPr>
            <w:tcW w:w="1260" w:type="dxa"/>
            <w:gridSpan w:val="2"/>
            <w:vAlign w:val="center"/>
          </w:tcPr>
          <w:p w14:paraId="3DBB7F91" w14:textId="4F60CB8D" w:rsidR="00F53247"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Liquidation Value</w:t>
            </w:r>
          </w:p>
        </w:tc>
        <w:tc>
          <w:tcPr>
            <w:tcW w:w="990" w:type="dxa"/>
            <w:vAlign w:val="center"/>
          </w:tcPr>
          <w:p w14:paraId="5D19B2F1" w14:textId="558CECF3" w:rsidR="00F53247" w:rsidRPr="003920D7" w:rsidRDefault="004269DF"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Order in Priority</w:t>
            </w:r>
          </w:p>
        </w:tc>
        <w:tc>
          <w:tcPr>
            <w:tcW w:w="3690" w:type="dxa"/>
            <w:vAlign w:val="center"/>
          </w:tcPr>
          <w:p w14:paraId="3DF2BC84" w14:textId="75026A28" w:rsidR="00F53247" w:rsidRPr="003920D7" w:rsidRDefault="00F53247" w:rsidP="00F53247">
            <w:pPr>
              <w:pStyle w:val="BodyTextMain"/>
              <w:jc w:val="center"/>
              <w:rPr>
                <w:rFonts w:ascii="Arial" w:hAnsi="Arial" w:cs="Arial"/>
                <w:sz w:val="20"/>
                <w:szCs w:val="20"/>
                <w:lang w:val="en-GB"/>
              </w:rPr>
            </w:pPr>
          </w:p>
        </w:tc>
        <w:tc>
          <w:tcPr>
            <w:tcW w:w="1348" w:type="dxa"/>
            <w:gridSpan w:val="2"/>
            <w:vAlign w:val="center"/>
          </w:tcPr>
          <w:p w14:paraId="78569EB1" w14:textId="77777777" w:rsidR="004845DC"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 xml:space="preserve">Book </w:t>
            </w:r>
          </w:p>
          <w:p w14:paraId="67A9D4CF" w14:textId="2E12EFA7" w:rsidR="00F53247"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Value</w:t>
            </w:r>
          </w:p>
        </w:tc>
        <w:tc>
          <w:tcPr>
            <w:tcW w:w="1260" w:type="dxa"/>
            <w:gridSpan w:val="3"/>
            <w:vAlign w:val="center"/>
          </w:tcPr>
          <w:p w14:paraId="3DE52CE7" w14:textId="1046CE9F" w:rsidR="00F53247" w:rsidRPr="003920D7" w:rsidRDefault="00F53247" w:rsidP="00F53247">
            <w:pPr>
              <w:pStyle w:val="BodyTextMain"/>
              <w:jc w:val="center"/>
              <w:rPr>
                <w:rFonts w:ascii="Arial" w:hAnsi="Arial" w:cs="Arial"/>
                <w:sz w:val="20"/>
                <w:szCs w:val="20"/>
                <w:u w:val="single"/>
                <w:lang w:val="en-GB"/>
              </w:rPr>
            </w:pPr>
            <w:r w:rsidRPr="003920D7">
              <w:rPr>
                <w:rFonts w:ascii="Arial" w:hAnsi="Arial" w:cs="Arial"/>
                <w:sz w:val="20"/>
                <w:szCs w:val="20"/>
                <w:u w:val="single"/>
                <w:lang w:val="en-GB"/>
              </w:rPr>
              <w:t>Value under Waterfa</w:t>
            </w:r>
            <w:r w:rsidR="004845DC" w:rsidRPr="003920D7">
              <w:rPr>
                <w:rFonts w:ascii="Arial" w:hAnsi="Arial" w:cs="Arial"/>
                <w:sz w:val="20"/>
                <w:szCs w:val="20"/>
                <w:u w:val="single"/>
                <w:lang w:val="en-GB"/>
              </w:rPr>
              <w:t>l</w:t>
            </w:r>
            <w:r w:rsidRPr="003920D7">
              <w:rPr>
                <w:rFonts w:ascii="Arial" w:hAnsi="Arial" w:cs="Arial"/>
                <w:sz w:val="20"/>
                <w:szCs w:val="20"/>
                <w:u w:val="single"/>
                <w:lang w:val="en-GB"/>
              </w:rPr>
              <w:t>l</w:t>
            </w:r>
          </w:p>
        </w:tc>
      </w:tr>
      <w:tr w:rsidR="004845DC" w:rsidRPr="003920D7" w14:paraId="3D024F56" w14:textId="1BF85C4F" w:rsidTr="00282B2A">
        <w:tc>
          <w:tcPr>
            <w:tcW w:w="3420" w:type="dxa"/>
            <w:tcBorders>
              <w:bottom w:val="single" w:sz="4" w:space="0" w:color="auto"/>
            </w:tcBorders>
            <w:vAlign w:val="center"/>
          </w:tcPr>
          <w:p w14:paraId="5C136ACA" w14:textId="044F3ECE" w:rsidR="00F53247" w:rsidRPr="003920D7" w:rsidRDefault="004269DF" w:rsidP="00F53247">
            <w:pPr>
              <w:pStyle w:val="BodyTextMain"/>
              <w:jc w:val="left"/>
              <w:rPr>
                <w:rFonts w:ascii="Arial" w:hAnsi="Arial" w:cs="Arial"/>
                <w:b/>
                <w:sz w:val="20"/>
                <w:szCs w:val="20"/>
                <w:lang w:val="en-GB"/>
              </w:rPr>
            </w:pPr>
            <w:r w:rsidRPr="003920D7">
              <w:rPr>
                <w:rFonts w:ascii="Arial" w:hAnsi="Arial" w:cs="Arial"/>
                <w:b/>
                <w:sz w:val="20"/>
                <w:szCs w:val="20"/>
                <w:lang w:val="en-GB"/>
              </w:rPr>
              <w:t>ASSETS</w:t>
            </w:r>
          </w:p>
        </w:tc>
        <w:tc>
          <w:tcPr>
            <w:tcW w:w="630" w:type="dxa"/>
            <w:tcBorders>
              <w:bottom w:val="single" w:sz="4" w:space="0" w:color="auto"/>
            </w:tcBorders>
            <w:vAlign w:val="center"/>
          </w:tcPr>
          <w:p w14:paraId="6FF4A2DE" w14:textId="1859D26F"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tcBorders>
              <w:bottom w:val="single" w:sz="4" w:space="0" w:color="auto"/>
            </w:tcBorders>
            <w:vAlign w:val="center"/>
          </w:tcPr>
          <w:p w14:paraId="17191689" w14:textId="6CB944DE"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tcBorders>
              <w:bottom w:val="single" w:sz="4" w:space="0" w:color="auto"/>
            </w:tcBorders>
            <w:vAlign w:val="center"/>
          </w:tcPr>
          <w:p w14:paraId="38825139" w14:textId="34A58FA8"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tcBorders>
              <w:bottom w:val="single" w:sz="4" w:space="0" w:color="auto"/>
            </w:tcBorders>
            <w:vAlign w:val="center"/>
          </w:tcPr>
          <w:p w14:paraId="7A72CE2C" w14:textId="5E1995B1"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990" w:type="dxa"/>
            <w:tcBorders>
              <w:bottom w:val="single" w:sz="4" w:space="0" w:color="auto"/>
            </w:tcBorders>
            <w:vAlign w:val="center"/>
          </w:tcPr>
          <w:p w14:paraId="215C5F5A" w14:textId="1A6AFD1F" w:rsidR="00F53247" w:rsidRPr="003920D7" w:rsidRDefault="00F53247" w:rsidP="004269DF">
            <w:pPr>
              <w:pStyle w:val="BodyTextMain"/>
              <w:jc w:val="center"/>
              <w:rPr>
                <w:rFonts w:ascii="Arial" w:hAnsi="Arial" w:cs="Arial"/>
                <w:b/>
                <w:sz w:val="20"/>
                <w:szCs w:val="20"/>
                <w:lang w:val="en-GB"/>
              </w:rPr>
            </w:pPr>
          </w:p>
        </w:tc>
        <w:tc>
          <w:tcPr>
            <w:tcW w:w="3690" w:type="dxa"/>
            <w:tcBorders>
              <w:bottom w:val="single" w:sz="4" w:space="0" w:color="auto"/>
            </w:tcBorders>
            <w:vAlign w:val="center"/>
          </w:tcPr>
          <w:p w14:paraId="6FC2D2CA" w14:textId="428B9EAC" w:rsidR="00F53247" w:rsidRPr="003920D7" w:rsidRDefault="004269DF" w:rsidP="00F53247">
            <w:pPr>
              <w:pStyle w:val="BodyTextMain"/>
              <w:jc w:val="left"/>
              <w:rPr>
                <w:rFonts w:ascii="Arial" w:hAnsi="Arial" w:cs="Arial"/>
                <w:b/>
                <w:sz w:val="20"/>
                <w:szCs w:val="20"/>
                <w:lang w:val="en-GB"/>
              </w:rPr>
            </w:pPr>
            <w:r w:rsidRPr="003920D7">
              <w:rPr>
                <w:rFonts w:ascii="Arial" w:hAnsi="Arial" w:cs="Arial"/>
                <w:b/>
                <w:sz w:val="20"/>
                <w:szCs w:val="20"/>
                <w:lang w:val="en-GB"/>
              </w:rPr>
              <w:t>LIABILITIES AND EQUITY</w:t>
            </w:r>
          </w:p>
        </w:tc>
        <w:tc>
          <w:tcPr>
            <w:tcW w:w="725" w:type="dxa"/>
            <w:tcBorders>
              <w:bottom w:val="single" w:sz="4" w:space="0" w:color="auto"/>
            </w:tcBorders>
            <w:vAlign w:val="center"/>
          </w:tcPr>
          <w:p w14:paraId="201D7A15" w14:textId="6626F25A"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gridSpan w:val="2"/>
            <w:tcBorders>
              <w:bottom w:val="single" w:sz="4" w:space="0" w:color="auto"/>
            </w:tcBorders>
            <w:vAlign w:val="center"/>
          </w:tcPr>
          <w:p w14:paraId="25E14448" w14:textId="638E988B"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tcBorders>
              <w:bottom w:val="single" w:sz="4" w:space="0" w:color="auto"/>
            </w:tcBorders>
            <w:vAlign w:val="center"/>
          </w:tcPr>
          <w:p w14:paraId="4E055107" w14:textId="54BB04D6"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c>
          <w:tcPr>
            <w:tcW w:w="630" w:type="dxa"/>
            <w:gridSpan w:val="2"/>
            <w:tcBorders>
              <w:bottom w:val="single" w:sz="4" w:space="0" w:color="auto"/>
            </w:tcBorders>
            <w:vAlign w:val="center"/>
          </w:tcPr>
          <w:p w14:paraId="21F9F3A1" w14:textId="3C990C59" w:rsidR="00F53247"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w:t>
            </w:r>
          </w:p>
        </w:tc>
      </w:tr>
      <w:tr w:rsidR="004845DC" w:rsidRPr="003920D7" w14:paraId="45992F7B" w14:textId="0D04326C" w:rsidTr="00282B2A">
        <w:tc>
          <w:tcPr>
            <w:tcW w:w="3420" w:type="dxa"/>
            <w:tcBorders>
              <w:top w:val="single" w:sz="4" w:space="0" w:color="auto"/>
            </w:tcBorders>
          </w:tcPr>
          <w:p w14:paraId="1CAA6F42" w14:textId="0C9C729E" w:rsidR="00F53247" w:rsidRPr="003920D7" w:rsidRDefault="004845DC" w:rsidP="00755123">
            <w:pPr>
              <w:pStyle w:val="BodyTextMain"/>
              <w:rPr>
                <w:rFonts w:ascii="Arial" w:hAnsi="Arial" w:cs="Arial"/>
                <w:sz w:val="20"/>
                <w:szCs w:val="20"/>
                <w:lang w:val="en-GB"/>
              </w:rPr>
            </w:pPr>
            <w:r w:rsidRPr="003920D7">
              <w:rPr>
                <w:rFonts w:ascii="Arial" w:hAnsi="Arial" w:cs="Arial"/>
                <w:sz w:val="20"/>
                <w:szCs w:val="20"/>
                <w:lang w:val="en-GB"/>
              </w:rPr>
              <w:t>Cash and Marketable Securities</w:t>
            </w:r>
          </w:p>
        </w:tc>
        <w:tc>
          <w:tcPr>
            <w:tcW w:w="630" w:type="dxa"/>
            <w:tcBorders>
              <w:top w:val="single" w:sz="4" w:space="0" w:color="auto"/>
            </w:tcBorders>
          </w:tcPr>
          <w:p w14:paraId="517B08B9" w14:textId="2F5AD220" w:rsidR="00F53247" w:rsidRPr="003920D7" w:rsidRDefault="004845DC"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50</w:t>
            </w:r>
          </w:p>
        </w:tc>
        <w:tc>
          <w:tcPr>
            <w:tcW w:w="630" w:type="dxa"/>
            <w:tcBorders>
              <w:top w:val="single" w:sz="4" w:space="0" w:color="auto"/>
            </w:tcBorders>
          </w:tcPr>
          <w:p w14:paraId="780A8190" w14:textId="63B1A40A" w:rsidR="00F53247" w:rsidRPr="003920D7" w:rsidRDefault="004845DC"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Borders>
              <w:top w:val="single" w:sz="4" w:space="0" w:color="auto"/>
            </w:tcBorders>
          </w:tcPr>
          <w:p w14:paraId="461961C8" w14:textId="2263A4AF" w:rsidR="00F53247" w:rsidRPr="003920D7" w:rsidRDefault="004845DC"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50</w:t>
            </w:r>
          </w:p>
        </w:tc>
        <w:tc>
          <w:tcPr>
            <w:tcW w:w="630" w:type="dxa"/>
            <w:tcBorders>
              <w:top w:val="single" w:sz="4" w:space="0" w:color="auto"/>
            </w:tcBorders>
          </w:tcPr>
          <w:p w14:paraId="56C901DB" w14:textId="0D80D477" w:rsidR="00F53247" w:rsidRPr="003920D7" w:rsidRDefault="004845DC"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100</w:t>
            </w:r>
          </w:p>
        </w:tc>
        <w:tc>
          <w:tcPr>
            <w:tcW w:w="990" w:type="dxa"/>
            <w:tcBorders>
              <w:top w:val="single" w:sz="4" w:space="0" w:color="auto"/>
            </w:tcBorders>
          </w:tcPr>
          <w:p w14:paraId="78592458" w14:textId="12A15344" w:rsidR="00F53247"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1</w:t>
            </w:r>
          </w:p>
        </w:tc>
        <w:tc>
          <w:tcPr>
            <w:tcW w:w="3690" w:type="dxa"/>
            <w:tcBorders>
              <w:top w:val="single" w:sz="4" w:space="0" w:color="auto"/>
            </w:tcBorders>
          </w:tcPr>
          <w:p w14:paraId="0ED4327E" w14:textId="2648E09D" w:rsidR="00F53247" w:rsidRPr="003920D7" w:rsidRDefault="004845DC" w:rsidP="00755123">
            <w:pPr>
              <w:pStyle w:val="BodyTextMain"/>
              <w:rPr>
                <w:rFonts w:ascii="Arial" w:hAnsi="Arial" w:cs="Arial"/>
                <w:sz w:val="20"/>
                <w:szCs w:val="20"/>
                <w:lang w:val="en-GB"/>
              </w:rPr>
            </w:pPr>
            <w:r w:rsidRPr="003920D7">
              <w:rPr>
                <w:rFonts w:ascii="Arial" w:hAnsi="Arial" w:cs="Arial"/>
                <w:sz w:val="20"/>
                <w:szCs w:val="20"/>
                <w:lang w:val="en-GB"/>
              </w:rPr>
              <w:t>Accounts Payable</w:t>
            </w:r>
          </w:p>
        </w:tc>
        <w:tc>
          <w:tcPr>
            <w:tcW w:w="725" w:type="dxa"/>
            <w:tcBorders>
              <w:top w:val="single" w:sz="4" w:space="0" w:color="auto"/>
            </w:tcBorders>
          </w:tcPr>
          <w:p w14:paraId="7DA1BC40" w14:textId="01460E63" w:rsidR="00F53247" w:rsidRPr="003920D7" w:rsidRDefault="004845DC"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15</w:t>
            </w:r>
          </w:p>
        </w:tc>
        <w:tc>
          <w:tcPr>
            <w:tcW w:w="630" w:type="dxa"/>
            <w:gridSpan w:val="2"/>
            <w:tcBorders>
              <w:top w:val="single" w:sz="4" w:space="0" w:color="auto"/>
            </w:tcBorders>
          </w:tcPr>
          <w:p w14:paraId="40BFD118" w14:textId="6AF983E6" w:rsidR="00F53247" w:rsidRPr="003920D7" w:rsidRDefault="004845DC"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Borders>
              <w:top w:val="single" w:sz="4" w:space="0" w:color="auto"/>
            </w:tcBorders>
          </w:tcPr>
          <w:p w14:paraId="19C56AA6" w14:textId="5A7B8C81" w:rsidR="00F53247" w:rsidRPr="003920D7" w:rsidRDefault="004845DC"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15</w:t>
            </w:r>
          </w:p>
        </w:tc>
        <w:tc>
          <w:tcPr>
            <w:tcW w:w="630" w:type="dxa"/>
            <w:gridSpan w:val="2"/>
            <w:tcBorders>
              <w:top w:val="single" w:sz="4" w:space="0" w:color="auto"/>
            </w:tcBorders>
          </w:tcPr>
          <w:p w14:paraId="750EFEEC" w14:textId="4B08B435" w:rsidR="00F53247" w:rsidRPr="003920D7" w:rsidRDefault="004845DC"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1F165549" w14:textId="5B568B95" w:rsidTr="00282B2A">
        <w:tc>
          <w:tcPr>
            <w:tcW w:w="3420" w:type="dxa"/>
          </w:tcPr>
          <w:p w14:paraId="20BF5EF9" w14:textId="68E5C7E0"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Accounts Receivable</w:t>
            </w:r>
          </w:p>
        </w:tc>
        <w:tc>
          <w:tcPr>
            <w:tcW w:w="630" w:type="dxa"/>
          </w:tcPr>
          <w:p w14:paraId="68AB2F66" w14:textId="4A3BD218" w:rsidR="004269DF" w:rsidRPr="003920D7" w:rsidRDefault="004269DF"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50</w:t>
            </w:r>
          </w:p>
        </w:tc>
        <w:tc>
          <w:tcPr>
            <w:tcW w:w="630" w:type="dxa"/>
          </w:tcPr>
          <w:p w14:paraId="0A465E0F" w14:textId="3DC98133"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48931E8B" w14:textId="62360EC6" w:rsidR="004269DF" w:rsidRPr="003920D7" w:rsidRDefault="004269DF"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30</w:t>
            </w:r>
          </w:p>
        </w:tc>
        <w:tc>
          <w:tcPr>
            <w:tcW w:w="630" w:type="dxa"/>
          </w:tcPr>
          <w:p w14:paraId="4F07A412" w14:textId="69FD2C32" w:rsidR="004269DF" w:rsidRPr="003920D7" w:rsidRDefault="004269DF"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60</w:t>
            </w:r>
          </w:p>
        </w:tc>
        <w:tc>
          <w:tcPr>
            <w:tcW w:w="990" w:type="dxa"/>
          </w:tcPr>
          <w:p w14:paraId="732E1DC1" w14:textId="52041405"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2</w:t>
            </w:r>
          </w:p>
        </w:tc>
        <w:tc>
          <w:tcPr>
            <w:tcW w:w="3690" w:type="dxa"/>
          </w:tcPr>
          <w:p w14:paraId="4B385F70" w14:textId="54DDAF68"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Taxes Payable</w:t>
            </w:r>
          </w:p>
        </w:tc>
        <w:tc>
          <w:tcPr>
            <w:tcW w:w="725" w:type="dxa"/>
          </w:tcPr>
          <w:p w14:paraId="4CB21BEF" w14:textId="7271D970"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10</w:t>
            </w:r>
          </w:p>
        </w:tc>
        <w:tc>
          <w:tcPr>
            <w:tcW w:w="630" w:type="dxa"/>
            <w:gridSpan w:val="2"/>
          </w:tcPr>
          <w:p w14:paraId="67E68E44" w14:textId="656F90D4"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12ECBCDE" w14:textId="32AA5260"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10</w:t>
            </w:r>
          </w:p>
        </w:tc>
        <w:tc>
          <w:tcPr>
            <w:tcW w:w="630" w:type="dxa"/>
            <w:gridSpan w:val="2"/>
          </w:tcPr>
          <w:p w14:paraId="2235CA0B" w14:textId="34F60D28"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39584C8A" w14:textId="0494C597" w:rsidTr="00282B2A">
        <w:tc>
          <w:tcPr>
            <w:tcW w:w="3420" w:type="dxa"/>
          </w:tcPr>
          <w:p w14:paraId="36D293AF" w14:textId="5231CA38"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Inventory</w:t>
            </w:r>
          </w:p>
        </w:tc>
        <w:tc>
          <w:tcPr>
            <w:tcW w:w="630" w:type="dxa"/>
          </w:tcPr>
          <w:p w14:paraId="477862F6" w14:textId="73F7AC98" w:rsidR="004269DF" w:rsidRPr="003920D7" w:rsidRDefault="004269DF"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200</w:t>
            </w:r>
          </w:p>
        </w:tc>
        <w:tc>
          <w:tcPr>
            <w:tcW w:w="630" w:type="dxa"/>
          </w:tcPr>
          <w:p w14:paraId="70794EA8" w14:textId="766E49AE"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78CB7452" w14:textId="4EE1ADFA" w:rsidR="004269DF" w:rsidRPr="003920D7" w:rsidRDefault="004269DF"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150</w:t>
            </w:r>
          </w:p>
        </w:tc>
        <w:tc>
          <w:tcPr>
            <w:tcW w:w="630" w:type="dxa"/>
          </w:tcPr>
          <w:p w14:paraId="303A6035" w14:textId="309558A6" w:rsidR="004269DF" w:rsidRPr="003920D7" w:rsidRDefault="004269DF"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75</w:t>
            </w:r>
          </w:p>
        </w:tc>
        <w:tc>
          <w:tcPr>
            <w:tcW w:w="990" w:type="dxa"/>
          </w:tcPr>
          <w:p w14:paraId="4A8992D1" w14:textId="0180E620"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3</w:t>
            </w:r>
          </w:p>
        </w:tc>
        <w:tc>
          <w:tcPr>
            <w:tcW w:w="3690" w:type="dxa"/>
          </w:tcPr>
          <w:p w14:paraId="1AD2334B" w14:textId="579F0534"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Bank Line of Credit (Secured)</w:t>
            </w:r>
          </w:p>
        </w:tc>
        <w:tc>
          <w:tcPr>
            <w:tcW w:w="725" w:type="dxa"/>
          </w:tcPr>
          <w:p w14:paraId="0D069625" w14:textId="5887EAC1"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50BAD15F" w14:textId="0413F4EE"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29FF11BD" w14:textId="69766B33"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5A6CF12B" w14:textId="5E6376C5"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13F751DF" w14:textId="206CEB1F" w:rsidTr="00282B2A">
        <w:tc>
          <w:tcPr>
            <w:tcW w:w="3420" w:type="dxa"/>
          </w:tcPr>
          <w:p w14:paraId="0B7D0B8C" w14:textId="5B27AB1F"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Other Current Assets</w:t>
            </w:r>
          </w:p>
        </w:tc>
        <w:tc>
          <w:tcPr>
            <w:tcW w:w="630" w:type="dxa"/>
          </w:tcPr>
          <w:p w14:paraId="5730C34A" w14:textId="7FA5472A" w:rsidR="004269DF" w:rsidRPr="003920D7" w:rsidRDefault="004269DF"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50</w:t>
            </w:r>
          </w:p>
        </w:tc>
        <w:tc>
          <w:tcPr>
            <w:tcW w:w="630" w:type="dxa"/>
          </w:tcPr>
          <w:p w14:paraId="04C0C807" w14:textId="000D9558"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72C6555C" w14:textId="42DC26D0" w:rsidR="004269DF" w:rsidRPr="003920D7" w:rsidRDefault="004269DF"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10</w:t>
            </w:r>
          </w:p>
        </w:tc>
        <w:tc>
          <w:tcPr>
            <w:tcW w:w="630" w:type="dxa"/>
          </w:tcPr>
          <w:p w14:paraId="3DC599B1" w14:textId="6C76B404" w:rsidR="004269DF" w:rsidRPr="003920D7" w:rsidRDefault="004269DF"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20</w:t>
            </w:r>
          </w:p>
        </w:tc>
        <w:tc>
          <w:tcPr>
            <w:tcW w:w="990" w:type="dxa"/>
          </w:tcPr>
          <w:p w14:paraId="60A5EB19" w14:textId="49091917"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4</w:t>
            </w:r>
          </w:p>
        </w:tc>
        <w:tc>
          <w:tcPr>
            <w:tcW w:w="3690" w:type="dxa"/>
          </w:tcPr>
          <w:p w14:paraId="58390914" w14:textId="4085B3FC"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Other Current Liabilities</w:t>
            </w:r>
          </w:p>
        </w:tc>
        <w:tc>
          <w:tcPr>
            <w:tcW w:w="725" w:type="dxa"/>
          </w:tcPr>
          <w:p w14:paraId="1F1E2CCB" w14:textId="14AF8F48"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15</w:t>
            </w:r>
          </w:p>
        </w:tc>
        <w:tc>
          <w:tcPr>
            <w:tcW w:w="630" w:type="dxa"/>
            <w:gridSpan w:val="2"/>
          </w:tcPr>
          <w:p w14:paraId="63A92A21" w14:textId="0CA7EEC2"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6BC231A4" w14:textId="4B26F15C"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15</w:t>
            </w:r>
          </w:p>
        </w:tc>
        <w:tc>
          <w:tcPr>
            <w:tcW w:w="630" w:type="dxa"/>
            <w:gridSpan w:val="2"/>
          </w:tcPr>
          <w:p w14:paraId="0D84B857" w14:textId="28D04919"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13323220" w14:textId="37A09E4C" w:rsidTr="00282B2A">
        <w:tc>
          <w:tcPr>
            <w:tcW w:w="3420" w:type="dxa"/>
          </w:tcPr>
          <w:p w14:paraId="120CA411" w14:textId="218871C3" w:rsidR="004269DF" w:rsidRPr="003920D7" w:rsidRDefault="004269DF" w:rsidP="0013584C">
            <w:pPr>
              <w:pStyle w:val="BodyTextMain"/>
              <w:rPr>
                <w:rFonts w:ascii="Arial" w:hAnsi="Arial" w:cs="Arial"/>
                <w:sz w:val="20"/>
                <w:szCs w:val="20"/>
                <w:lang w:val="en-GB"/>
              </w:rPr>
            </w:pPr>
            <w:r w:rsidRPr="003920D7">
              <w:rPr>
                <w:rFonts w:ascii="Arial" w:hAnsi="Arial" w:cs="Arial"/>
                <w:sz w:val="20"/>
                <w:szCs w:val="20"/>
                <w:lang w:val="en-GB"/>
              </w:rPr>
              <w:t>Property, Plant</w:t>
            </w:r>
            <w:r w:rsidR="00C06030" w:rsidRPr="003920D7">
              <w:rPr>
                <w:rFonts w:ascii="Arial" w:hAnsi="Arial" w:cs="Arial"/>
                <w:sz w:val="20"/>
                <w:szCs w:val="20"/>
                <w:lang w:val="en-GB"/>
              </w:rPr>
              <w:t>,</w:t>
            </w:r>
            <w:r w:rsidRPr="003920D7">
              <w:rPr>
                <w:rFonts w:ascii="Arial" w:hAnsi="Arial" w:cs="Arial"/>
                <w:sz w:val="20"/>
                <w:szCs w:val="20"/>
                <w:lang w:val="en-GB"/>
              </w:rPr>
              <w:t xml:space="preserve"> and Equipment</w:t>
            </w:r>
          </w:p>
        </w:tc>
        <w:tc>
          <w:tcPr>
            <w:tcW w:w="630" w:type="dxa"/>
          </w:tcPr>
          <w:p w14:paraId="09FEE1AB" w14:textId="02A81185" w:rsidR="004269DF" w:rsidRPr="003920D7" w:rsidRDefault="004269DF"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350</w:t>
            </w:r>
          </w:p>
        </w:tc>
        <w:tc>
          <w:tcPr>
            <w:tcW w:w="630" w:type="dxa"/>
          </w:tcPr>
          <w:p w14:paraId="12240729" w14:textId="242711A2"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0B335F8D" w14:textId="12C9CEFC" w:rsidR="004269DF" w:rsidRPr="003920D7" w:rsidRDefault="004269DF"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175</w:t>
            </w:r>
          </w:p>
        </w:tc>
        <w:tc>
          <w:tcPr>
            <w:tcW w:w="630" w:type="dxa"/>
          </w:tcPr>
          <w:p w14:paraId="4CE56BC7" w14:textId="20E4E3E2" w:rsidR="004269DF" w:rsidRPr="003920D7" w:rsidRDefault="004269DF"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50</w:t>
            </w:r>
          </w:p>
        </w:tc>
        <w:tc>
          <w:tcPr>
            <w:tcW w:w="990" w:type="dxa"/>
          </w:tcPr>
          <w:p w14:paraId="18649D0B" w14:textId="7D145B6C"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5</w:t>
            </w:r>
          </w:p>
        </w:tc>
        <w:tc>
          <w:tcPr>
            <w:tcW w:w="3690" w:type="dxa"/>
          </w:tcPr>
          <w:p w14:paraId="66E96A1D" w14:textId="64569FD1"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Senior Secured Bonds</w:t>
            </w:r>
          </w:p>
        </w:tc>
        <w:tc>
          <w:tcPr>
            <w:tcW w:w="725" w:type="dxa"/>
          </w:tcPr>
          <w:p w14:paraId="2398C071" w14:textId="2E187EB8"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361B63BA" w14:textId="217F46F8"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53CDA4A5" w14:textId="30063103"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27E5A865" w14:textId="5990FC47"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5AD19AE3" w14:textId="3079FBEA" w:rsidTr="00282B2A">
        <w:tc>
          <w:tcPr>
            <w:tcW w:w="3420" w:type="dxa"/>
          </w:tcPr>
          <w:p w14:paraId="07B9A37C" w14:textId="7B6D68CF"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Goodwill and Intangibles</w:t>
            </w:r>
          </w:p>
        </w:tc>
        <w:tc>
          <w:tcPr>
            <w:tcW w:w="630" w:type="dxa"/>
          </w:tcPr>
          <w:p w14:paraId="77C185D0" w14:textId="04B4C727" w:rsidR="004269DF" w:rsidRPr="003920D7" w:rsidRDefault="004269DF" w:rsidP="00FB4C0C">
            <w:pPr>
              <w:pStyle w:val="BodyTextMain"/>
              <w:tabs>
                <w:tab w:val="decimal" w:pos="309"/>
              </w:tabs>
              <w:jc w:val="center"/>
              <w:rPr>
                <w:rFonts w:ascii="Arial" w:hAnsi="Arial" w:cs="Arial"/>
                <w:sz w:val="20"/>
                <w:szCs w:val="20"/>
                <w:lang w:val="en-GB"/>
              </w:rPr>
            </w:pPr>
            <w:r w:rsidRPr="003920D7">
              <w:rPr>
                <w:rFonts w:ascii="Arial" w:hAnsi="Arial" w:cs="Arial"/>
                <w:sz w:val="20"/>
                <w:szCs w:val="20"/>
                <w:lang w:val="en-GB"/>
              </w:rPr>
              <w:t>125</w:t>
            </w:r>
          </w:p>
        </w:tc>
        <w:tc>
          <w:tcPr>
            <w:tcW w:w="630" w:type="dxa"/>
          </w:tcPr>
          <w:p w14:paraId="56377E7D" w14:textId="09DC4454"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29FC5A0D" w14:textId="63164FB8" w:rsidR="004269DF" w:rsidRPr="003920D7" w:rsidRDefault="004269DF" w:rsidP="00FB4C0C">
            <w:pPr>
              <w:pStyle w:val="BodyTextMain"/>
              <w:tabs>
                <w:tab w:val="decimal" w:pos="325"/>
              </w:tabs>
              <w:jc w:val="center"/>
              <w:rPr>
                <w:rFonts w:ascii="Arial" w:hAnsi="Arial" w:cs="Arial"/>
                <w:sz w:val="20"/>
                <w:szCs w:val="20"/>
                <w:lang w:val="en-GB"/>
              </w:rPr>
            </w:pPr>
            <w:r w:rsidRPr="003920D7">
              <w:rPr>
                <w:rFonts w:ascii="Arial" w:hAnsi="Arial" w:cs="Arial"/>
                <w:sz w:val="20"/>
                <w:szCs w:val="20"/>
                <w:lang w:val="en-GB"/>
              </w:rPr>
              <w:t>0</w:t>
            </w:r>
          </w:p>
        </w:tc>
        <w:tc>
          <w:tcPr>
            <w:tcW w:w="630" w:type="dxa"/>
          </w:tcPr>
          <w:p w14:paraId="511779FE" w14:textId="08071445" w:rsidR="004269DF" w:rsidRPr="003920D7" w:rsidRDefault="004269DF" w:rsidP="00FB4C0C">
            <w:pPr>
              <w:pStyle w:val="BodyTextMain"/>
              <w:tabs>
                <w:tab w:val="decimal" w:pos="262"/>
              </w:tabs>
              <w:jc w:val="center"/>
              <w:rPr>
                <w:rFonts w:ascii="Arial" w:hAnsi="Arial" w:cs="Arial"/>
                <w:sz w:val="20"/>
                <w:szCs w:val="20"/>
                <w:lang w:val="en-GB"/>
              </w:rPr>
            </w:pPr>
            <w:r w:rsidRPr="003920D7">
              <w:rPr>
                <w:rFonts w:ascii="Arial" w:hAnsi="Arial" w:cs="Arial"/>
                <w:sz w:val="20"/>
                <w:szCs w:val="20"/>
                <w:lang w:val="en-GB"/>
              </w:rPr>
              <w:t>0</w:t>
            </w:r>
          </w:p>
        </w:tc>
        <w:tc>
          <w:tcPr>
            <w:tcW w:w="990" w:type="dxa"/>
          </w:tcPr>
          <w:p w14:paraId="0CAFD3E0" w14:textId="11044243"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6</w:t>
            </w:r>
          </w:p>
        </w:tc>
        <w:tc>
          <w:tcPr>
            <w:tcW w:w="3690" w:type="dxa"/>
          </w:tcPr>
          <w:p w14:paraId="5060009B" w14:textId="50087B93"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Term Loans (Unsecured)</w:t>
            </w:r>
          </w:p>
        </w:tc>
        <w:tc>
          <w:tcPr>
            <w:tcW w:w="725" w:type="dxa"/>
          </w:tcPr>
          <w:p w14:paraId="0E04180C" w14:textId="7CC23035"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4E1B40C0" w14:textId="2AD25E4E"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068FEF07" w14:textId="78930AB7"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100</w:t>
            </w:r>
          </w:p>
        </w:tc>
        <w:tc>
          <w:tcPr>
            <w:tcW w:w="630" w:type="dxa"/>
            <w:gridSpan w:val="2"/>
          </w:tcPr>
          <w:p w14:paraId="52C215F3" w14:textId="2A2B127A"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100</w:t>
            </w:r>
          </w:p>
        </w:tc>
      </w:tr>
      <w:tr w:rsidR="004269DF" w:rsidRPr="003920D7" w14:paraId="40248C62" w14:textId="77777777" w:rsidTr="00282B2A">
        <w:tc>
          <w:tcPr>
            <w:tcW w:w="3420" w:type="dxa"/>
          </w:tcPr>
          <w:p w14:paraId="7AD50366" w14:textId="77777777" w:rsidR="004269DF" w:rsidRPr="003920D7" w:rsidRDefault="004269DF" w:rsidP="004269DF">
            <w:pPr>
              <w:pStyle w:val="BodyTextMain"/>
              <w:rPr>
                <w:rFonts w:ascii="Arial" w:hAnsi="Arial" w:cs="Arial"/>
                <w:sz w:val="20"/>
                <w:szCs w:val="20"/>
                <w:lang w:val="en-GB"/>
              </w:rPr>
            </w:pPr>
          </w:p>
        </w:tc>
        <w:tc>
          <w:tcPr>
            <w:tcW w:w="630" w:type="dxa"/>
          </w:tcPr>
          <w:p w14:paraId="58F0492E" w14:textId="77777777" w:rsidR="004269DF" w:rsidRPr="003920D7" w:rsidRDefault="004269DF" w:rsidP="00FB4C0C">
            <w:pPr>
              <w:pStyle w:val="BodyTextMain"/>
              <w:tabs>
                <w:tab w:val="decimal" w:pos="309"/>
              </w:tabs>
              <w:jc w:val="center"/>
              <w:rPr>
                <w:rFonts w:ascii="Arial" w:hAnsi="Arial" w:cs="Arial"/>
                <w:sz w:val="20"/>
                <w:szCs w:val="20"/>
                <w:lang w:val="en-GB"/>
              </w:rPr>
            </w:pPr>
          </w:p>
        </w:tc>
        <w:tc>
          <w:tcPr>
            <w:tcW w:w="630" w:type="dxa"/>
          </w:tcPr>
          <w:p w14:paraId="15343D8F" w14:textId="77777777" w:rsidR="004269DF" w:rsidRPr="003920D7" w:rsidRDefault="004269DF" w:rsidP="004269DF">
            <w:pPr>
              <w:pStyle w:val="BodyTextMain"/>
              <w:jc w:val="center"/>
              <w:rPr>
                <w:rFonts w:ascii="Arial" w:hAnsi="Arial" w:cs="Arial"/>
                <w:sz w:val="20"/>
                <w:szCs w:val="20"/>
                <w:lang w:val="en-GB"/>
              </w:rPr>
            </w:pPr>
          </w:p>
        </w:tc>
        <w:tc>
          <w:tcPr>
            <w:tcW w:w="630" w:type="dxa"/>
          </w:tcPr>
          <w:p w14:paraId="102A543E" w14:textId="77777777" w:rsidR="004269DF" w:rsidRPr="003920D7" w:rsidRDefault="004269DF" w:rsidP="00FB4C0C">
            <w:pPr>
              <w:pStyle w:val="BodyTextMain"/>
              <w:tabs>
                <w:tab w:val="decimal" w:pos="325"/>
              </w:tabs>
              <w:jc w:val="center"/>
              <w:rPr>
                <w:rFonts w:ascii="Arial" w:hAnsi="Arial" w:cs="Arial"/>
                <w:sz w:val="20"/>
                <w:szCs w:val="20"/>
                <w:lang w:val="en-GB"/>
              </w:rPr>
            </w:pPr>
          </w:p>
        </w:tc>
        <w:tc>
          <w:tcPr>
            <w:tcW w:w="630" w:type="dxa"/>
          </w:tcPr>
          <w:p w14:paraId="42EE9854" w14:textId="77777777" w:rsidR="004269DF" w:rsidRPr="003920D7" w:rsidRDefault="004269DF" w:rsidP="00FB4C0C">
            <w:pPr>
              <w:pStyle w:val="BodyTextMain"/>
              <w:tabs>
                <w:tab w:val="decimal" w:pos="262"/>
              </w:tabs>
              <w:jc w:val="center"/>
              <w:rPr>
                <w:rFonts w:ascii="Arial" w:hAnsi="Arial" w:cs="Arial"/>
                <w:sz w:val="20"/>
                <w:szCs w:val="20"/>
                <w:lang w:val="en-GB"/>
              </w:rPr>
            </w:pPr>
          </w:p>
        </w:tc>
        <w:tc>
          <w:tcPr>
            <w:tcW w:w="990" w:type="dxa"/>
          </w:tcPr>
          <w:p w14:paraId="5656A522" w14:textId="6B6EB9E9"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7</w:t>
            </w:r>
          </w:p>
        </w:tc>
        <w:tc>
          <w:tcPr>
            <w:tcW w:w="3690" w:type="dxa"/>
          </w:tcPr>
          <w:p w14:paraId="5509E24A" w14:textId="552A5661"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Senior Debentures (Unsecured)</w:t>
            </w:r>
          </w:p>
        </w:tc>
        <w:tc>
          <w:tcPr>
            <w:tcW w:w="725" w:type="dxa"/>
          </w:tcPr>
          <w:p w14:paraId="773B2206" w14:textId="40C05984"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175</w:t>
            </w:r>
          </w:p>
        </w:tc>
        <w:tc>
          <w:tcPr>
            <w:tcW w:w="630" w:type="dxa"/>
            <w:gridSpan w:val="2"/>
          </w:tcPr>
          <w:p w14:paraId="329524A9" w14:textId="63789161"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1EAC3134" w14:textId="3C0F0B63"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75</w:t>
            </w:r>
          </w:p>
        </w:tc>
        <w:tc>
          <w:tcPr>
            <w:tcW w:w="630" w:type="dxa"/>
            <w:gridSpan w:val="2"/>
          </w:tcPr>
          <w:p w14:paraId="4EE84825" w14:textId="2C8F008A"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43</w:t>
            </w:r>
          </w:p>
        </w:tc>
      </w:tr>
      <w:tr w:rsidR="004269DF" w:rsidRPr="003920D7" w14:paraId="13A7211F" w14:textId="77777777" w:rsidTr="00282B2A">
        <w:tc>
          <w:tcPr>
            <w:tcW w:w="3420" w:type="dxa"/>
          </w:tcPr>
          <w:p w14:paraId="535CF49E" w14:textId="77777777" w:rsidR="004269DF" w:rsidRPr="003920D7" w:rsidRDefault="004269DF" w:rsidP="004269DF">
            <w:pPr>
              <w:pStyle w:val="BodyTextMain"/>
              <w:rPr>
                <w:rFonts w:ascii="Arial" w:hAnsi="Arial" w:cs="Arial"/>
                <w:sz w:val="20"/>
                <w:szCs w:val="20"/>
                <w:lang w:val="en-GB"/>
              </w:rPr>
            </w:pPr>
          </w:p>
        </w:tc>
        <w:tc>
          <w:tcPr>
            <w:tcW w:w="630" w:type="dxa"/>
          </w:tcPr>
          <w:p w14:paraId="302129F7" w14:textId="77777777" w:rsidR="004269DF" w:rsidRPr="003920D7" w:rsidRDefault="004269DF" w:rsidP="00FB4C0C">
            <w:pPr>
              <w:pStyle w:val="BodyTextMain"/>
              <w:tabs>
                <w:tab w:val="decimal" w:pos="309"/>
              </w:tabs>
              <w:jc w:val="center"/>
              <w:rPr>
                <w:rFonts w:ascii="Arial" w:hAnsi="Arial" w:cs="Arial"/>
                <w:sz w:val="20"/>
                <w:szCs w:val="20"/>
                <w:lang w:val="en-GB"/>
              </w:rPr>
            </w:pPr>
          </w:p>
        </w:tc>
        <w:tc>
          <w:tcPr>
            <w:tcW w:w="630" w:type="dxa"/>
          </w:tcPr>
          <w:p w14:paraId="0353B709" w14:textId="77777777" w:rsidR="004269DF" w:rsidRPr="003920D7" w:rsidRDefault="004269DF" w:rsidP="004269DF">
            <w:pPr>
              <w:pStyle w:val="BodyTextMain"/>
              <w:jc w:val="center"/>
              <w:rPr>
                <w:rFonts w:ascii="Arial" w:hAnsi="Arial" w:cs="Arial"/>
                <w:sz w:val="20"/>
                <w:szCs w:val="20"/>
                <w:lang w:val="en-GB"/>
              </w:rPr>
            </w:pPr>
          </w:p>
        </w:tc>
        <w:tc>
          <w:tcPr>
            <w:tcW w:w="630" w:type="dxa"/>
          </w:tcPr>
          <w:p w14:paraId="3DA180A1" w14:textId="77777777" w:rsidR="004269DF" w:rsidRPr="003920D7" w:rsidRDefault="004269DF" w:rsidP="00FB4C0C">
            <w:pPr>
              <w:pStyle w:val="BodyTextMain"/>
              <w:tabs>
                <w:tab w:val="decimal" w:pos="325"/>
              </w:tabs>
              <w:jc w:val="center"/>
              <w:rPr>
                <w:rFonts w:ascii="Arial" w:hAnsi="Arial" w:cs="Arial"/>
                <w:sz w:val="20"/>
                <w:szCs w:val="20"/>
                <w:lang w:val="en-GB"/>
              </w:rPr>
            </w:pPr>
          </w:p>
        </w:tc>
        <w:tc>
          <w:tcPr>
            <w:tcW w:w="630" w:type="dxa"/>
          </w:tcPr>
          <w:p w14:paraId="77D06858" w14:textId="77777777" w:rsidR="004269DF" w:rsidRPr="003920D7" w:rsidRDefault="004269DF" w:rsidP="00FB4C0C">
            <w:pPr>
              <w:pStyle w:val="BodyTextMain"/>
              <w:tabs>
                <w:tab w:val="decimal" w:pos="262"/>
              </w:tabs>
              <w:jc w:val="center"/>
              <w:rPr>
                <w:rFonts w:ascii="Arial" w:hAnsi="Arial" w:cs="Arial"/>
                <w:sz w:val="20"/>
                <w:szCs w:val="20"/>
                <w:lang w:val="en-GB"/>
              </w:rPr>
            </w:pPr>
          </w:p>
        </w:tc>
        <w:tc>
          <w:tcPr>
            <w:tcW w:w="990" w:type="dxa"/>
          </w:tcPr>
          <w:p w14:paraId="113FF03B" w14:textId="11DF1AFB"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8</w:t>
            </w:r>
          </w:p>
        </w:tc>
        <w:tc>
          <w:tcPr>
            <w:tcW w:w="3690" w:type="dxa"/>
          </w:tcPr>
          <w:p w14:paraId="5CEFCF70" w14:textId="01187DCA"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Subordinated Debentures (Unsecured)</w:t>
            </w:r>
          </w:p>
        </w:tc>
        <w:tc>
          <w:tcPr>
            <w:tcW w:w="725" w:type="dxa"/>
          </w:tcPr>
          <w:p w14:paraId="76F5EAE1" w14:textId="4338DCD4"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10</w:t>
            </w:r>
            <w:r w:rsidR="0013584C">
              <w:rPr>
                <w:rFonts w:ascii="Arial" w:hAnsi="Arial" w:cs="Arial"/>
                <w:sz w:val="20"/>
                <w:szCs w:val="20"/>
                <w:lang w:val="en-GB"/>
              </w:rPr>
              <w:t>0</w:t>
            </w:r>
          </w:p>
        </w:tc>
        <w:tc>
          <w:tcPr>
            <w:tcW w:w="630" w:type="dxa"/>
            <w:gridSpan w:val="2"/>
          </w:tcPr>
          <w:p w14:paraId="5340A8DB" w14:textId="236E152D"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729AC1C8" w14:textId="2834A703"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0</w:t>
            </w:r>
          </w:p>
        </w:tc>
        <w:tc>
          <w:tcPr>
            <w:tcW w:w="630" w:type="dxa"/>
            <w:gridSpan w:val="2"/>
          </w:tcPr>
          <w:p w14:paraId="360908E6" w14:textId="05146882"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0</w:t>
            </w:r>
          </w:p>
        </w:tc>
      </w:tr>
      <w:tr w:rsidR="004269DF" w:rsidRPr="003920D7" w14:paraId="4588CACA" w14:textId="77777777" w:rsidTr="00282B2A">
        <w:tc>
          <w:tcPr>
            <w:tcW w:w="3420" w:type="dxa"/>
          </w:tcPr>
          <w:p w14:paraId="3077D302" w14:textId="77777777" w:rsidR="004269DF" w:rsidRPr="003920D7" w:rsidRDefault="004269DF" w:rsidP="004269DF">
            <w:pPr>
              <w:pStyle w:val="BodyTextMain"/>
              <w:rPr>
                <w:rFonts w:ascii="Arial" w:hAnsi="Arial" w:cs="Arial"/>
                <w:sz w:val="20"/>
                <w:szCs w:val="20"/>
                <w:lang w:val="en-GB"/>
              </w:rPr>
            </w:pPr>
          </w:p>
        </w:tc>
        <w:tc>
          <w:tcPr>
            <w:tcW w:w="630" w:type="dxa"/>
          </w:tcPr>
          <w:p w14:paraId="7FE6BDC1" w14:textId="77777777" w:rsidR="004269DF" w:rsidRPr="003920D7" w:rsidRDefault="004269DF" w:rsidP="00FB4C0C">
            <w:pPr>
              <w:pStyle w:val="BodyTextMain"/>
              <w:tabs>
                <w:tab w:val="decimal" w:pos="309"/>
              </w:tabs>
              <w:jc w:val="center"/>
              <w:rPr>
                <w:rFonts w:ascii="Arial" w:hAnsi="Arial" w:cs="Arial"/>
                <w:sz w:val="20"/>
                <w:szCs w:val="20"/>
                <w:lang w:val="en-GB"/>
              </w:rPr>
            </w:pPr>
          </w:p>
        </w:tc>
        <w:tc>
          <w:tcPr>
            <w:tcW w:w="630" w:type="dxa"/>
          </w:tcPr>
          <w:p w14:paraId="520A80A2" w14:textId="77777777" w:rsidR="004269DF" w:rsidRPr="003920D7" w:rsidRDefault="004269DF" w:rsidP="004269DF">
            <w:pPr>
              <w:pStyle w:val="BodyTextMain"/>
              <w:jc w:val="center"/>
              <w:rPr>
                <w:rFonts w:ascii="Arial" w:hAnsi="Arial" w:cs="Arial"/>
                <w:sz w:val="20"/>
                <w:szCs w:val="20"/>
                <w:lang w:val="en-GB"/>
              </w:rPr>
            </w:pPr>
          </w:p>
        </w:tc>
        <w:tc>
          <w:tcPr>
            <w:tcW w:w="630" w:type="dxa"/>
          </w:tcPr>
          <w:p w14:paraId="77F5B9DD" w14:textId="77777777" w:rsidR="004269DF" w:rsidRPr="003920D7" w:rsidRDefault="004269DF" w:rsidP="00FB4C0C">
            <w:pPr>
              <w:pStyle w:val="BodyTextMain"/>
              <w:tabs>
                <w:tab w:val="decimal" w:pos="325"/>
              </w:tabs>
              <w:jc w:val="center"/>
              <w:rPr>
                <w:rFonts w:ascii="Arial" w:hAnsi="Arial" w:cs="Arial"/>
                <w:sz w:val="20"/>
                <w:szCs w:val="20"/>
                <w:lang w:val="en-GB"/>
              </w:rPr>
            </w:pPr>
          </w:p>
        </w:tc>
        <w:tc>
          <w:tcPr>
            <w:tcW w:w="630" w:type="dxa"/>
          </w:tcPr>
          <w:p w14:paraId="28E84C85" w14:textId="77777777" w:rsidR="004269DF" w:rsidRPr="003920D7" w:rsidRDefault="004269DF" w:rsidP="00FB4C0C">
            <w:pPr>
              <w:pStyle w:val="BodyTextMain"/>
              <w:tabs>
                <w:tab w:val="decimal" w:pos="262"/>
              </w:tabs>
              <w:jc w:val="center"/>
              <w:rPr>
                <w:rFonts w:ascii="Arial" w:hAnsi="Arial" w:cs="Arial"/>
                <w:sz w:val="20"/>
                <w:szCs w:val="20"/>
                <w:lang w:val="en-GB"/>
              </w:rPr>
            </w:pPr>
          </w:p>
        </w:tc>
        <w:tc>
          <w:tcPr>
            <w:tcW w:w="990" w:type="dxa"/>
          </w:tcPr>
          <w:p w14:paraId="72CC6042" w14:textId="371AC210"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9</w:t>
            </w:r>
          </w:p>
        </w:tc>
        <w:tc>
          <w:tcPr>
            <w:tcW w:w="3690" w:type="dxa"/>
          </w:tcPr>
          <w:p w14:paraId="2595AAEE" w14:textId="239E5293"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Preferred Shares</w:t>
            </w:r>
          </w:p>
        </w:tc>
        <w:tc>
          <w:tcPr>
            <w:tcW w:w="725" w:type="dxa"/>
          </w:tcPr>
          <w:p w14:paraId="79CB361D" w14:textId="0AFA7A33" w:rsidR="004269DF"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50</w:t>
            </w:r>
          </w:p>
        </w:tc>
        <w:tc>
          <w:tcPr>
            <w:tcW w:w="630" w:type="dxa"/>
            <w:gridSpan w:val="2"/>
          </w:tcPr>
          <w:p w14:paraId="03E7E595" w14:textId="512F1825"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725F4018" w14:textId="06F7F3F6"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0</w:t>
            </w:r>
          </w:p>
        </w:tc>
        <w:tc>
          <w:tcPr>
            <w:tcW w:w="630" w:type="dxa"/>
            <w:gridSpan w:val="2"/>
          </w:tcPr>
          <w:p w14:paraId="4B2AD70C" w14:textId="7AF9E371"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0</w:t>
            </w:r>
          </w:p>
        </w:tc>
      </w:tr>
      <w:tr w:rsidR="004269DF" w:rsidRPr="003920D7" w14:paraId="2E5C3C84" w14:textId="77777777" w:rsidTr="00282B2A">
        <w:tc>
          <w:tcPr>
            <w:tcW w:w="3420" w:type="dxa"/>
          </w:tcPr>
          <w:p w14:paraId="4FC77C84" w14:textId="77777777" w:rsidR="004269DF" w:rsidRPr="003920D7" w:rsidRDefault="004269DF" w:rsidP="004269DF">
            <w:pPr>
              <w:pStyle w:val="BodyTextMain"/>
              <w:rPr>
                <w:rFonts w:ascii="Arial" w:hAnsi="Arial" w:cs="Arial"/>
                <w:sz w:val="20"/>
                <w:szCs w:val="20"/>
                <w:lang w:val="en-GB"/>
              </w:rPr>
            </w:pPr>
          </w:p>
        </w:tc>
        <w:tc>
          <w:tcPr>
            <w:tcW w:w="630" w:type="dxa"/>
          </w:tcPr>
          <w:p w14:paraId="3300A6AD" w14:textId="77777777" w:rsidR="004269DF" w:rsidRPr="003920D7" w:rsidRDefault="004269DF" w:rsidP="00FB4C0C">
            <w:pPr>
              <w:pStyle w:val="BodyTextMain"/>
              <w:tabs>
                <w:tab w:val="decimal" w:pos="309"/>
              </w:tabs>
              <w:jc w:val="center"/>
              <w:rPr>
                <w:rFonts w:ascii="Arial" w:hAnsi="Arial" w:cs="Arial"/>
                <w:sz w:val="20"/>
                <w:szCs w:val="20"/>
                <w:lang w:val="en-GB"/>
              </w:rPr>
            </w:pPr>
          </w:p>
        </w:tc>
        <w:tc>
          <w:tcPr>
            <w:tcW w:w="630" w:type="dxa"/>
          </w:tcPr>
          <w:p w14:paraId="3B0702B4" w14:textId="77777777" w:rsidR="004269DF" w:rsidRPr="003920D7" w:rsidRDefault="004269DF" w:rsidP="004269DF">
            <w:pPr>
              <w:pStyle w:val="BodyTextMain"/>
              <w:jc w:val="center"/>
              <w:rPr>
                <w:rFonts w:ascii="Arial" w:hAnsi="Arial" w:cs="Arial"/>
                <w:sz w:val="20"/>
                <w:szCs w:val="20"/>
                <w:lang w:val="en-GB"/>
              </w:rPr>
            </w:pPr>
          </w:p>
        </w:tc>
        <w:tc>
          <w:tcPr>
            <w:tcW w:w="630" w:type="dxa"/>
          </w:tcPr>
          <w:p w14:paraId="16FF94A6" w14:textId="77777777" w:rsidR="004269DF" w:rsidRPr="003920D7" w:rsidRDefault="004269DF" w:rsidP="00FB4C0C">
            <w:pPr>
              <w:pStyle w:val="BodyTextMain"/>
              <w:tabs>
                <w:tab w:val="decimal" w:pos="325"/>
              </w:tabs>
              <w:jc w:val="center"/>
              <w:rPr>
                <w:rFonts w:ascii="Arial" w:hAnsi="Arial" w:cs="Arial"/>
                <w:sz w:val="20"/>
                <w:szCs w:val="20"/>
                <w:lang w:val="en-GB"/>
              </w:rPr>
            </w:pPr>
          </w:p>
        </w:tc>
        <w:tc>
          <w:tcPr>
            <w:tcW w:w="630" w:type="dxa"/>
          </w:tcPr>
          <w:p w14:paraId="65F6754D" w14:textId="77777777" w:rsidR="004269DF" w:rsidRPr="003920D7" w:rsidRDefault="004269DF" w:rsidP="00FB4C0C">
            <w:pPr>
              <w:pStyle w:val="BodyTextMain"/>
              <w:tabs>
                <w:tab w:val="decimal" w:pos="262"/>
              </w:tabs>
              <w:jc w:val="center"/>
              <w:rPr>
                <w:rFonts w:ascii="Arial" w:hAnsi="Arial" w:cs="Arial"/>
                <w:sz w:val="20"/>
                <w:szCs w:val="20"/>
                <w:lang w:val="en-GB"/>
              </w:rPr>
            </w:pPr>
          </w:p>
        </w:tc>
        <w:tc>
          <w:tcPr>
            <w:tcW w:w="990" w:type="dxa"/>
          </w:tcPr>
          <w:p w14:paraId="3AFEF260" w14:textId="1893A01B" w:rsidR="004269DF" w:rsidRPr="003920D7" w:rsidRDefault="004269DF" w:rsidP="00FB4C0C">
            <w:pPr>
              <w:pStyle w:val="BodyTextMain"/>
              <w:tabs>
                <w:tab w:val="decimal" w:pos="341"/>
              </w:tabs>
              <w:jc w:val="center"/>
              <w:rPr>
                <w:rFonts w:ascii="Arial" w:hAnsi="Arial" w:cs="Arial"/>
                <w:sz w:val="20"/>
                <w:szCs w:val="20"/>
                <w:lang w:val="en-GB"/>
              </w:rPr>
            </w:pPr>
            <w:r w:rsidRPr="003920D7">
              <w:rPr>
                <w:rFonts w:ascii="Arial" w:hAnsi="Arial" w:cs="Arial"/>
                <w:sz w:val="20"/>
                <w:szCs w:val="20"/>
                <w:lang w:val="en-GB"/>
              </w:rPr>
              <w:t>10</w:t>
            </w:r>
          </w:p>
        </w:tc>
        <w:tc>
          <w:tcPr>
            <w:tcW w:w="3690" w:type="dxa"/>
          </w:tcPr>
          <w:p w14:paraId="61A519D3" w14:textId="3F6E1AED" w:rsidR="004269DF" w:rsidRPr="003920D7" w:rsidRDefault="004269DF" w:rsidP="004269DF">
            <w:pPr>
              <w:pStyle w:val="BodyTextMain"/>
              <w:rPr>
                <w:rFonts w:ascii="Arial" w:hAnsi="Arial" w:cs="Arial"/>
                <w:sz w:val="20"/>
                <w:szCs w:val="20"/>
                <w:lang w:val="en-GB"/>
              </w:rPr>
            </w:pPr>
            <w:r w:rsidRPr="003920D7">
              <w:rPr>
                <w:rFonts w:ascii="Arial" w:hAnsi="Arial" w:cs="Arial"/>
                <w:sz w:val="20"/>
                <w:szCs w:val="20"/>
                <w:lang w:val="en-GB"/>
              </w:rPr>
              <w:t>Common Equity</w:t>
            </w:r>
          </w:p>
        </w:tc>
        <w:tc>
          <w:tcPr>
            <w:tcW w:w="725" w:type="dxa"/>
          </w:tcPr>
          <w:p w14:paraId="15DCA266" w14:textId="462EBF48" w:rsidR="004269DF" w:rsidRPr="003920D7" w:rsidRDefault="004269DF" w:rsidP="00FB4C0C">
            <w:pPr>
              <w:pStyle w:val="BodyTextMain"/>
              <w:tabs>
                <w:tab w:val="decimal" w:pos="338"/>
              </w:tabs>
              <w:jc w:val="center"/>
              <w:rPr>
                <w:rFonts w:ascii="Arial" w:hAnsi="Arial" w:cs="Arial"/>
                <w:sz w:val="20"/>
                <w:szCs w:val="20"/>
                <w:u w:val="single"/>
                <w:lang w:val="en-GB"/>
              </w:rPr>
            </w:pPr>
            <w:r w:rsidRPr="003920D7">
              <w:rPr>
                <w:rFonts w:ascii="Arial" w:hAnsi="Arial" w:cs="Arial"/>
                <w:sz w:val="20"/>
                <w:szCs w:val="20"/>
                <w:u w:val="single"/>
                <w:lang w:val="en-GB"/>
              </w:rPr>
              <w:t>160</w:t>
            </w:r>
          </w:p>
        </w:tc>
        <w:tc>
          <w:tcPr>
            <w:tcW w:w="630" w:type="dxa"/>
            <w:gridSpan w:val="2"/>
          </w:tcPr>
          <w:p w14:paraId="4C4EE85D" w14:textId="16BE1125" w:rsidR="004269DF"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0A35124D" w14:textId="7156DDFC" w:rsidR="004269DF" w:rsidRPr="003920D7" w:rsidRDefault="004269DF" w:rsidP="00FB4C0C">
            <w:pPr>
              <w:pStyle w:val="BodyTextMain"/>
              <w:tabs>
                <w:tab w:val="decimal" w:pos="414"/>
              </w:tabs>
              <w:jc w:val="center"/>
              <w:rPr>
                <w:rFonts w:ascii="Arial" w:hAnsi="Arial" w:cs="Arial"/>
                <w:sz w:val="20"/>
                <w:szCs w:val="20"/>
                <w:lang w:val="en-GB"/>
              </w:rPr>
            </w:pPr>
            <w:r w:rsidRPr="003920D7">
              <w:rPr>
                <w:rFonts w:ascii="Arial" w:hAnsi="Arial" w:cs="Arial"/>
                <w:sz w:val="20"/>
                <w:szCs w:val="20"/>
                <w:lang w:val="en-GB"/>
              </w:rPr>
              <w:t>0</w:t>
            </w:r>
          </w:p>
        </w:tc>
        <w:tc>
          <w:tcPr>
            <w:tcW w:w="630" w:type="dxa"/>
            <w:gridSpan w:val="2"/>
          </w:tcPr>
          <w:p w14:paraId="310BD7A2" w14:textId="5F976A4C" w:rsidR="004269DF" w:rsidRPr="003920D7" w:rsidRDefault="004269DF" w:rsidP="00FB4C0C">
            <w:pPr>
              <w:pStyle w:val="BodyTextMain"/>
              <w:tabs>
                <w:tab w:val="decimal" w:pos="291"/>
              </w:tabs>
              <w:jc w:val="center"/>
              <w:rPr>
                <w:rFonts w:ascii="Arial" w:hAnsi="Arial" w:cs="Arial"/>
                <w:sz w:val="20"/>
                <w:szCs w:val="20"/>
                <w:lang w:val="en-GB"/>
              </w:rPr>
            </w:pPr>
            <w:r w:rsidRPr="003920D7">
              <w:rPr>
                <w:rFonts w:ascii="Arial" w:hAnsi="Arial" w:cs="Arial"/>
                <w:sz w:val="20"/>
                <w:szCs w:val="20"/>
                <w:lang w:val="en-GB"/>
              </w:rPr>
              <w:t>0</w:t>
            </w:r>
          </w:p>
        </w:tc>
      </w:tr>
      <w:tr w:rsidR="004845DC" w:rsidRPr="003920D7" w14:paraId="51BEA4F1" w14:textId="77777777" w:rsidTr="00282B2A">
        <w:trPr>
          <w:trHeight w:val="215"/>
        </w:trPr>
        <w:tc>
          <w:tcPr>
            <w:tcW w:w="3420" w:type="dxa"/>
          </w:tcPr>
          <w:p w14:paraId="35CBB94D" w14:textId="77777777" w:rsidR="004845DC" w:rsidRPr="003920D7" w:rsidRDefault="004845DC" w:rsidP="00755123">
            <w:pPr>
              <w:pStyle w:val="BodyTextMain"/>
              <w:rPr>
                <w:rFonts w:ascii="Arial" w:hAnsi="Arial" w:cs="Arial"/>
                <w:sz w:val="20"/>
                <w:szCs w:val="20"/>
                <w:lang w:val="en-GB"/>
              </w:rPr>
            </w:pPr>
          </w:p>
        </w:tc>
        <w:tc>
          <w:tcPr>
            <w:tcW w:w="630" w:type="dxa"/>
          </w:tcPr>
          <w:p w14:paraId="63909464" w14:textId="77777777" w:rsidR="004845DC" w:rsidRPr="003920D7" w:rsidRDefault="004845DC" w:rsidP="00FB4C0C">
            <w:pPr>
              <w:pStyle w:val="BodyTextMain"/>
              <w:tabs>
                <w:tab w:val="decimal" w:pos="309"/>
              </w:tabs>
              <w:jc w:val="center"/>
              <w:rPr>
                <w:rFonts w:ascii="Arial" w:hAnsi="Arial" w:cs="Arial"/>
                <w:sz w:val="20"/>
                <w:szCs w:val="20"/>
                <w:lang w:val="en-GB"/>
              </w:rPr>
            </w:pPr>
          </w:p>
        </w:tc>
        <w:tc>
          <w:tcPr>
            <w:tcW w:w="630" w:type="dxa"/>
          </w:tcPr>
          <w:p w14:paraId="3C999CDD" w14:textId="77777777" w:rsidR="004845DC" w:rsidRPr="003920D7" w:rsidRDefault="004845DC" w:rsidP="004269DF">
            <w:pPr>
              <w:pStyle w:val="BodyTextMain"/>
              <w:jc w:val="center"/>
              <w:rPr>
                <w:rFonts w:ascii="Arial" w:hAnsi="Arial" w:cs="Arial"/>
                <w:sz w:val="20"/>
                <w:szCs w:val="20"/>
                <w:lang w:val="en-GB"/>
              </w:rPr>
            </w:pPr>
          </w:p>
        </w:tc>
        <w:tc>
          <w:tcPr>
            <w:tcW w:w="630" w:type="dxa"/>
          </w:tcPr>
          <w:p w14:paraId="6C23B0A3" w14:textId="77777777" w:rsidR="004845DC" w:rsidRPr="003920D7" w:rsidRDefault="004845DC" w:rsidP="00FB4C0C">
            <w:pPr>
              <w:pStyle w:val="BodyTextMain"/>
              <w:tabs>
                <w:tab w:val="decimal" w:pos="325"/>
              </w:tabs>
              <w:jc w:val="center"/>
              <w:rPr>
                <w:rFonts w:ascii="Arial" w:hAnsi="Arial" w:cs="Arial"/>
                <w:sz w:val="20"/>
                <w:szCs w:val="20"/>
                <w:lang w:val="en-GB"/>
              </w:rPr>
            </w:pPr>
          </w:p>
        </w:tc>
        <w:tc>
          <w:tcPr>
            <w:tcW w:w="630" w:type="dxa"/>
          </w:tcPr>
          <w:p w14:paraId="303C3BB3" w14:textId="77777777" w:rsidR="004845DC" w:rsidRPr="003920D7" w:rsidRDefault="004845DC" w:rsidP="00FB4C0C">
            <w:pPr>
              <w:pStyle w:val="BodyTextMain"/>
              <w:tabs>
                <w:tab w:val="decimal" w:pos="262"/>
              </w:tabs>
              <w:jc w:val="center"/>
              <w:rPr>
                <w:rFonts w:ascii="Arial" w:hAnsi="Arial" w:cs="Arial"/>
                <w:sz w:val="20"/>
                <w:szCs w:val="20"/>
                <w:lang w:val="en-GB"/>
              </w:rPr>
            </w:pPr>
          </w:p>
        </w:tc>
        <w:tc>
          <w:tcPr>
            <w:tcW w:w="990" w:type="dxa"/>
          </w:tcPr>
          <w:p w14:paraId="11CB1DD1" w14:textId="77777777" w:rsidR="004845DC" w:rsidRPr="003920D7" w:rsidRDefault="004845DC" w:rsidP="004269DF">
            <w:pPr>
              <w:pStyle w:val="BodyTextMain"/>
              <w:jc w:val="center"/>
              <w:rPr>
                <w:rFonts w:ascii="Arial" w:hAnsi="Arial" w:cs="Arial"/>
                <w:sz w:val="20"/>
                <w:szCs w:val="20"/>
                <w:lang w:val="en-GB"/>
              </w:rPr>
            </w:pPr>
          </w:p>
        </w:tc>
        <w:tc>
          <w:tcPr>
            <w:tcW w:w="3690" w:type="dxa"/>
          </w:tcPr>
          <w:p w14:paraId="3843A1F5" w14:textId="77777777" w:rsidR="004845DC" w:rsidRPr="003920D7" w:rsidRDefault="004845DC" w:rsidP="00755123">
            <w:pPr>
              <w:pStyle w:val="BodyTextMain"/>
              <w:rPr>
                <w:rFonts w:ascii="Arial" w:hAnsi="Arial" w:cs="Arial"/>
                <w:sz w:val="20"/>
                <w:szCs w:val="20"/>
                <w:lang w:val="en-GB"/>
              </w:rPr>
            </w:pPr>
          </w:p>
        </w:tc>
        <w:tc>
          <w:tcPr>
            <w:tcW w:w="725" w:type="dxa"/>
          </w:tcPr>
          <w:p w14:paraId="15A91557" w14:textId="77777777" w:rsidR="004845DC" w:rsidRPr="003920D7" w:rsidRDefault="004845DC" w:rsidP="00FB4C0C">
            <w:pPr>
              <w:pStyle w:val="BodyTextMain"/>
              <w:tabs>
                <w:tab w:val="decimal" w:pos="338"/>
              </w:tabs>
              <w:jc w:val="center"/>
              <w:rPr>
                <w:rFonts w:ascii="Arial" w:hAnsi="Arial" w:cs="Arial"/>
                <w:sz w:val="20"/>
                <w:szCs w:val="20"/>
                <w:lang w:val="en-GB"/>
              </w:rPr>
            </w:pPr>
          </w:p>
        </w:tc>
        <w:tc>
          <w:tcPr>
            <w:tcW w:w="630" w:type="dxa"/>
            <w:gridSpan w:val="2"/>
          </w:tcPr>
          <w:p w14:paraId="12A45C36" w14:textId="77777777" w:rsidR="004845DC" w:rsidRPr="003920D7" w:rsidRDefault="004845DC" w:rsidP="004269DF">
            <w:pPr>
              <w:pStyle w:val="BodyTextMain"/>
              <w:jc w:val="center"/>
              <w:rPr>
                <w:rFonts w:ascii="Arial" w:hAnsi="Arial" w:cs="Arial"/>
                <w:sz w:val="20"/>
                <w:szCs w:val="20"/>
                <w:lang w:val="en-GB"/>
              </w:rPr>
            </w:pPr>
          </w:p>
        </w:tc>
        <w:tc>
          <w:tcPr>
            <w:tcW w:w="630" w:type="dxa"/>
          </w:tcPr>
          <w:p w14:paraId="46724089" w14:textId="77777777" w:rsidR="004845DC" w:rsidRPr="003920D7" w:rsidRDefault="004845DC" w:rsidP="00FB4C0C">
            <w:pPr>
              <w:pStyle w:val="BodyTextMain"/>
              <w:tabs>
                <w:tab w:val="decimal" w:pos="414"/>
              </w:tabs>
              <w:jc w:val="center"/>
              <w:rPr>
                <w:rFonts w:ascii="Arial" w:hAnsi="Arial" w:cs="Arial"/>
                <w:sz w:val="20"/>
                <w:szCs w:val="20"/>
                <w:lang w:val="en-GB"/>
              </w:rPr>
            </w:pPr>
          </w:p>
        </w:tc>
        <w:tc>
          <w:tcPr>
            <w:tcW w:w="630" w:type="dxa"/>
            <w:gridSpan w:val="2"/>
          </w:tcPr>
          <w:p w14:paraId="28229519" w14:textId="77777777" w:rsidR="004845DC" w:rsidRPr="003920D7" w:rsidRDefault="004845DC" w:rsidP="00FB4C0C">
            <w:pPr>
              <w:pStyle w:val="BodyTextMain"/>
              <w:tabs>
                <w:tab w:val="decimal" w:pos="291"/>
              </w:tabs>
              <w:jc w:val="center"/>
              <w:rPr>
                <w:rFonts w:ascii="Arial" w:hAnsi="Arial" w:cs="Arial"/>
                <w:sz w:val="20"/>
                <w:szCs w:val="20"/>
                <w:lang w:val="en-GB"/>
              </w:rPr>
            </w:pPr>
          </w:p>
        </w:tc>
      </w:tr>
      <w:tr w:rsidR="004845DC" w:rsidRPr="003920D7" w14:paraId="61E885E4" w14:textId="77777777" w:rsidTr="00282B2A">
        <w:tc>
          <w:tcPr>
            <w:tcW w:w="3420" w:type="dxa"/>
          </w:tcPr>
          <w:p w14:paraId="7A05EBDD" w14:textId="4A355F85" w:rsidR="004845DC" w:rsidRPr="003920D7" w:rsidRDefault="004269DF" w:rsidP="00755123">
            <w:pPr>
              <w:pStyle w:val="BodyTextMain"/>
              <w:rPr>
                <w:rFonts w:ascii="Arial" w:hAnsi="Arial" w:cs="Arial"/>
                <w:b/>
                <w:sz w:val="20"/>
                <w:szCs w:val="20"/>
                <w:lang w:val="en-GB"/>
              </w:rPr>
            </w:pPr>
            <w:r w:rsidRPr="003920D7">
              <w:rPr>
                <w:rFonts w:ascii="Arial" w:hAnsi="Arial" w:cs="Arial"/>
                <w:b/>
                <w:sz w:val="20"/>
                <w:szCs w:val="20"/>
                <w:lang w:val="en-GB"/>
              </w:rPr>
              <w:t>TOTAL</w:t>
            </w:r>
          </w:p>
        </w:tc>
        <w:tc>
          <w:tcPr>
            <w:tcW w:w="630" w:type="dxa"/>
          </w:tcPr>
          <w:p w14:paraId="503673E5" w14:textId="0F74CB42" w:rsidR="004845DC" w:rsidRPr="003920D7" w:rsidRDefault="004269DF" w:rsidP="00FB4C0C">
            <w:pPr>
              <w:pStyle w:val="BodyTextMain"/>
              <w:tabs>
                <w:tab w:val="decimal" w:pos="309"/>
              </w:tabs>
              <w:jc w:val="center"/>
              <w:rPr>
                <w:rFonts w:ascii="Arial" w:hAnsi="Arial" w:cs="Arial"/>
                <w:b/>
                <w:sz w:val="20"/>
                <w:szCs w:val="20"/>
                <w:u w:val="single"/>
                <w:lang w:val="en-GB"/>
              </w:rPr>
            </w:pPr>
            <w:r w:rsidRPr="003920D7">
              <w:rPr>
                <w:rFonts w:ascii="Arial" w:hAnsi="Arial" w:cs="Arial"/>
                <w:b/>
                <w:sz w:val="20"/>
                <w:szCs w:val="20"/>
                <w:u w:val="single"/>
                <w:lang w:val="en-GB"/>
              </w:rPr>
              <w:t>825</w:t>
            </w:r>
          </w:p>
        </w:tc>
        <w:tc>
          <w:tcPr>
            <w:tcW w:w="630" w:type="dxa"/>
          </w:tcPr>
          <w:p w14:paraId="540906B6" w14:textId="0EA65EC6" w:rsidR="004845DC"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100</w:t>
            </w:r>
          </w:p>
        </w:tc>
        <w:tc>
          <w:tcPr>
            <w:tcW w:w="630" w:type="dxa"/>
          </w:tcPr>
          <w:p w14:paraId="79534AE2" w14:textId="1F8E8376" w:rsidR="004845DC" w:rsidRPr="003920D7" w:rsidRDefault="004269DF" w:rsidP="00FB4C0C">
            <w:pPr>
              <w:pStyle w:val="BodyTextMain"/>
              <w:tabs>
                <w:tab w:val="decimal" w:pos="325"/>
              </w:tabs>
              <w:jc w:val="center"/>
              <w:rPr>
                <w:rFonts w:ascii="Arial" w:hAnsi="Arial" w:cs="Arial"/>
                <w:b/>
                <w:sz w:val="20"/>
                <w:szCs w:val="20"/>
                <w:u w:val="single"/>
                <w:lang w:val="en-GB"/>
              </w:rPr>
            </w:pPr>
            <w:r w:rsidRPr="003920D7">
              <w:rPr>
                <w:rFonts w:ascii="Arial" w:hAnsi="Arial" w:cs="Arial"/>
                <w:b/>
                <w:sz w:val="20"/>
                <w:szCs w:val="20"/>
                <w:u w:val="single"/>
                <w:lang w:val="en-GB"/>
              </w:rPr>
              <w:t>415</w:t>
            </w:r>
          </w:p>
        </w:tc>
        <w:tc>
          <w:tcPr>
            <w:tcW w:w="630" w:type="dxa"/>
          </w:tcPr>
          <w:p w14:paraId="0B6CA6FB" w14:textId="3955FBD1" w:rsidR="004845DC" w:rsidRPr="003920D7" w:rsidRDefault="004269DF" w:rsidP="00FB4C0C">
            <w:pPr>
              <w:pStyle w:val="BodyTextMain"/>
              <w:tabs>
                <w:tab w:val="decimal" w:pos="262"/>
              </w:tabs>
              <w:jc w:val="center"/>
              <w:rPr>
                <w:rFonts w:ascii="Arial" w:hAnsi="Arial" w:cs="Arial"/>
                <w:b/>
                <w:sz w:val="20"/>
                <w:szCs w:val="20"/>
                <w:lang w:val="en-GB"/>
              </w:rPr>
            </w:pPr>
            <w:r w:rsidRPr="003920D7">
              <w:rPr>
                <w:rFonts w:ascii="Arial" w:hAnsi="Arial" w:cs="Arial"/>
                <w:b/>
                <w:sz w:val="20"/>
                <w:szCs w:val="20"/>
                <w:lang w:val="en-GB"/>
              </w:rPr>
              <w:t>50</w:t>
            </w:r>
          </w:p>
        </w:tc>
        <w:tc>
          <w:tcPr>
            <w:tcW w:w="990" w:type="dxa"/>
          </w:tcPr>
          <w:p w14:paraId="624EADCB" w14:textId="77777777" w:rsidR="004845DC" w:rsidRPr="003920D7" w:rsidRDefault="004845DC" w:rsidP="004269DF">
            <w:pPr>
              <w:pStyle w:val="BodyTextMain"/>
              <w:jc w:val="center"/>
              <w:rPr>
                <w:rFonts w:ascii="Arial" w:hAnsi="Arial" w:cs="Arial"/>
                <w:b/>
                <w:sz w:val="20"/>
                <w:szCs w:val="20"/>
                <w:lang w:val="en-GB"/>
              </w:rPr>
            </w:pPr>
          </w:p>
        </w:tc>
        <w:tc>
          <w:tcPr>
            <w:tcW w:w="3690" w:type="dxa"/>
          </w:tcPr>
          <w:p w14:paraId="7F6E30F0" w14:textId="7E0BBFE6" w:rsidR="004845DC" w:rsidRPr="003920D7" w:rsidRDefault="004845DC" w:rsidP="00755123">
            <w:pPr>
              <w:pStyle w:val="BodyTextMain"/>
              <w:rPr>
                <w:rFonts w:ascii="Arial" w:hAnsi="Arial" w:cs="Arial"/>
                <w:b/>
                <w:sz w:val="20"/>
                <w:szCs w:val="20"/>
                <w:lang w:val="en-GB"/>
              </w:rPr>
            </w:pPr>
            <w:r w:rsidRPr="003920D7">
              <w:rPr>
                <w:rFonts w:ascii="Arial" w:hAnsi="Arial" w:cs="Arial"/>
                <w:b/>
                <w:sz w:val="20"/>
                <w:szCs w:val="20"/>
                <w:lang w:val="en-GB"/>
              </w:rPr>
              <w:t>TOTAL</w:t>
            </w:r>
          </w:p>
        </w:tc>
        <w:tc>
          <w:tcPr>
            <w:tcW w:w="725" w:type="dxa"/>
          </w:tcPr>
          <w:p w14:paraId="4158727B" w14:textId="0A6D154F" w:rsidR="004845DC" w:rsidRPr="003920D7" w:rsidRDefault="004269DF" w:rsidP="00FB4C0C">
            <w:pPr>
              <w:pStyle w:val="BodyTextMain"/>
              <w:tabs>
                <w:tab w:val="decimal" w:pos="338"/>
              </w:tabs>
              <w:jc w:val="center"/>
              <w:rPr>
                <w:rFonts w:ascii="Arial" w:hAnsi="Arial" w:cs="Arial"/>
                <w:b/>
                <w:sz w:val="20"/>
                <w:szCs w:val="20"/>
                <w:u w:val="single"/>
                <w:lang w:val="en-GB"/>
              </w:rPr>
            </w:pPr>
            <w:r w:rsidRPr="003920D7">
              <w:rPr>
                <w:rFonts w:ascii="Arial" w:hAnsi="Arial" w:cs="Arial"/>
                <w:b/>
                <w:sz w:val="20"/>
                <w:szCs w:val="20"/>
                <w:u w:val="single"/>
                <w:lang w:val="en-GB"/>
              </w:rPr>
              <w:t>825</w:t>
            </w:r>
          </w:p>
        </w:tc>
        <w:tc>
          <w:tcPr>
            <w:tcW w:w="630" w:type="dxa"/>
            <w:gridSpan w:val="2"/>
          </w:tcPr>
          <w:p w14:paraId="792CA5EE" w14:textId="14A479C8" w:rsidR="004845DC" w:rsidRPr="003920D7" w:rsidRDefault="004269DF" w:rsidP="004269DF">
            <w:pPr>
              <w:pStyle w:val="BodyTextMain"/>
              <w:jc w:val="center"/>
              <w:rPr>
                <w:rFonts w:ascii="Arial" w:hAnsi="Arial" w:cs="Arial"/>
                <w:b/>
                <w:sz w:val="20"/>
                <w:szCs w:val="20"/>
                <w:lang w:val="en-GB"/>
              </w:rPr>
            </w:pPr>
            <w:r w:rsidRPr="003920D7">
              <w:rPr>
                <w:rFonts w:ascii="Arial" w:hAnsi="Arial" w:cs="Arial"/>
                <w:b/>
                <w:sz w:val="20"/>
                <w:szCs w:val="20"/>
                <w:lang w:val="en-GB"/>
              </w:rPr>
              <w:t>100</w:t>
            </w:r>
          </w:p>
        </w:tc>
        <w:tc>
          <w:tcPr>
            <w:tcW w:w="630" w:type="dxa"/>
          </w:tcPr>
          <w:p w14:paraId="40E6A614" w14:textId="3AD14D29" w:rsidR="004845DC" w:rsidRPr="003920D7" w:rsidRDefault="004269DF" w:rsidP="00FB4C0C">
            <w:pPr>
              <w:pStyle w:val="BodyTextMain"/>
              <w:tabs>
                <w:tab w:val="decimal" w:pos="414"/>
              </w:tabs>
              <w:jc w:val="center"/>
              <w:rPr>
                <w:rFonts w:ascii="Arial" w:hAnsi="Arial" w:cs="Arial"/>
                <w:b/>
                <w:sz w:val="20"/>
                <w:szCs w:val="20"/>
                <w:u w:val="single"/>
                <w:lang w:val="en-GB"/>
              </w:rPr>
            </w:pPr>
            <w:r w:rsidRPr="003920D7">
              <w:rPr>
                <w:rFonts w:ascii="Arial" w:hAnsi="Arial" w:cs="Arial"/>
                <w:b/>
                <w:sz w:val="20"/>
                <w:szCs w:val="20"/>
                <w:u w:val="single"/>
                <w:lang w:val="en-GB"/>
              </w:rPr>
              <w:t>415</w:t>
            </w:r>
          </w:p>
        </w:tc>
        <w:tc>
          <w:tcPr>
            <w:tcW w:w="630" w:type="dxa"/>
            <w:gridSpan w:val="2"/>
          </w:tcPr>
          <w:p w14:paraId="6B7E289A" w14:textId="0A89E4B5" w:rsidR="004845DC" w:rsidRPr="003920D7" w:rsidRDefault="004269DF" w:rsidP="00FB4C0C">
            <w:pPr>
              <w:pStyle w:val="BodyTextMain"/>
              <w:tabs>
                <w:tab w:val="decimal" w:pos="291"/>
              </w:tabs>
              <w:jc w:val="center"/>
              <w:rPr>
                <w:rFonts w:ascii="Arial" w:hAnsi="Arial" w:cs="Arial"/>
                <w:b/>
                <w:sz w:val="20"/>
                <w:szCs w:val="20"/>
                <w:lang w:val="en-GB"/>
              </w:rPr>
            </w:pPr>
            <w:r w:rsidRPr="003920D7">
              <w:rPr>
                <w:rFonts w:ascii="Arial" w:hAnsi="Arial" w:cs="Arial"/>
                <w:b/>
                <w:sz w:val="20"/>
                <w:szCs w:val="20"/>
                <w:lang w:val="en-GB"/>
              </w:rPr>
              <w:t>50</w:t>
            </w:r>
          </w:p>
        </w:tc>
      </w:tr>
      <w:tr w:rsidR="004845DC" w:rsidRPr="003920D7" w14:paraId="2978F584" w14:textId="77777777" w:rsidTr="00282B2A">
        <w:trPr>
          <w:trHeight w:val="224"/>
        </w:trPr>
        <w:tc>
          <w:tcPr>
            <w:tcW w:w="3420" w:type="dxa"/>
          </w:tcPr>
          <w:p w14:paraId="58CE35A9" w14:textId="77777777" w:rsidR="004845DC" w:rsidRPr="003920D7" w:rsidRDefault="004845DC" w:rsidP="00755123">
            <w:pPr>
              <w:pStyle w:val="BodyTextMain"/>
              <w:rPr>
                <w:rFonts w:ascii="Arial" w:hAnsi="Arial" w:cs="Arial"/>
                <w:sz w:val="20"/>
                <w:szCs w:val="20"/>
                <w:lang w:val="en-GB"/>
              </w:rPr>
            </w:pPr>
          </w:p>
        </w:tc>
        <w:tc>
          <w:tcPr>
            <w:tcW w:w="630" w:type="dxa"/>
          </w:tcPr>
          <w:p w14:paraId="79ED71C1" w14:textId="77777777" w:rsidR="004845DC" w:rsidRPr="003920D7" w:rsidRDefault="004845DC" w:rsidP="004269DF">
            <w:pPr>
              <w:pStyle w:val="BodyTextMain"/>
              <w:jc w:val="center"/>
              <w:rPr>
                <w:rFonts w:ascii="Arial" w:hAnsi="Arial" w:cs="Arial"/>
                <w:sz w:val="20"/>
                <w:szCs w:val="20"/>
                <w:lang w:val="en-GB"/>
              </w:rPr>
            </w:pPr>
          </w:p>
        </w:tc>
        <w:tc>
          <w:tcPr>
            <w:tcW w:w="630" w:type="dxa"/>
          </w:tcPr>
          <w:p w14:paraId="2531DF64" w14:textId="77777777" w:rsidR="004845DC" w:rsidRPr="003920D7" w:rsidRDefault="004845DC" w:rsidP="004269DF">
            <w:pPr>
              <w:pStyle w:val="BodyTextMain"/>
              <w:jc w:val="center"/>
              <w:rPr>
                <w:rFonts w:ascii="Arial" w:hAnsi="Arial" w:cs="Arial"/>
                <w:sz w:val="20"/>
                <w:szCs w:val="20"/>
                <w:lang w:val="en-GB"/>
              </w:rPr>
            </w:pPr>
          </w:p>
        </w:tc>
        <w:tc>
          <w:tcPr>
            <w:tcW w:w="630" w:type="dxa"/>
          </w:tcPr>
          <w:p w14:paraId="0553D6EC" w14:textId="77777777" w:rsidR="004845DC" w:rsidRPr="003920D7" w:rsidRDefault="004845DC" w:rsidP="004269DF">
            <w:pPr>
              <w:pStyle w:val="BodyTextMain"/>
              <w:jc w:val="center"/>
              <w:rPr>
                <w:rFonts w:ascii="Arial" w:hAnsi="Arial" w:cs="Arial"/>
                <w:sz w:val="20"/>
                <w:szCs w:val="20"/>
                <w:lang w:val="en-GB"/>
              </w:rPr>
            </w:pPr>
          </w:p>
        </w:tc>
        <w:tc>
          <w:tcPr>
            <w:tcW w:w="630" w:type="dxa"/>
          </w:tcPr>
          <w:p w14:paraId="7C68DC2B" w14:textId="77777777" w:rsidR="004845DC" w:rsidRPr="003920D7" w:rsidRDefault="004845DC" w:rsidP="004269DF">
            <w:pPr>
              <w:pStyle w:val="BodyTextMain"/>
              <w:jc w:val="center"/>
              <w:rPr>
                <w:rFonts w:ascii="Arial" w:hAnsi="Arial" w:cs="Arial"/>
                <w:sz w:val="20"/>
                <w:szCs w:val="20"/>
                <w:lang w:val="en-GB"/>
              </w:rPr>
            </w:pPr>
          </w:p>
        </w:tc>
        <w:tc>
          <w:tcPr>
            <w:tcW w:w="990" w:type="dxa"/>
          </w:tcPr>
          <w:p w14:paraId="5DD365EA" w14:textId="77777777" w:rsidR="004845DC" w:rsidRPr="003920D7" w:rsidRDefault="004845DC" w:rsidP="004269DF">
            <w:pPr>
              <w:pStyle w:val="BodyTextMain"/>
              <w:jc w:val="center"/>
              <w:rPr>
                <w:rFonts w:ascii="Arial" w:hAnsi="Arial" w:cs="Arial"/>
                <w:sz w:val="20"/>
                <w:szCs w:val="20"/>
                <w:lang w:val="en-GB"/>
              </w:rPr>
            </w:pPr>
          </w:p>
        </w:tc>
        <w:tc>
          <w:tcPr>
            <w:tcW w:w="3690" w:type="dxa"/>
          </w:tcPr>
          <w:p w14:paraId="11F9AB6F" w14:textId="2206457A" w:rsidR="004845DC" w:rsidRPr="003920D7" w:rsidRDefault="004845DC" w:rsidP="00676744">
            <w:pPr>
              <w:pStyle w:val="BodyTextMain"/>
              <w:rPr>
                <w:rFonts w:ascii="Arial" w:hAnsi="Arial" w:cs="Arial"/>
                <w:sz w:val="20"/>
                <w:szCs w:val="20"/>
                <w:lang w:val="en-GB"/>
              </w:rPr>
            </w:pPr>
            <w:r w:rsidRPr="003920D7">
              <w:rPr>
                <w:rFonts w:ascii="Arial" w:hAnsi="Arial" w:cs="Arial"/>
                <w:sz w:val="20"/>
                <w:szCs w:val="20"/>
                <w:lang w:val="en-GB"/>
              </w:rPr>
              <w:t>Off</w:t>
            </w:r>
            <w:r w:rsidR="00C06030" w:rsidRPr="003920D7">
              <w:rPr>
                <w:rFonts w:ascii="Arial" w:hAnsi="Arial" w:cs="Arial"/>
                <w:sz w:val="20"/>
                <w:szCs w:val="20"/>
                <w:lang w:val="en-GB"/>
              </w:rPr>
              <w:t>-</w:t>
            </w:r>
            <w:r w:rsidRPr="003920D7">
              <w:rPr>
                <w:rFonts w:ascii="Arial" w:hAnsi="Arial" w:cs="Arial"/>
                <w:sz w:val="20"/>
                <w:szCs w:val="20"/>
                <w:lang w:val="en-GB"/>
              </w:rPr>
              <w:t>Balance</w:t>
            </w:r>
            <w:r w:rsidR="00C06030" w:rsidRPr="003920D7">
              <w:rPr>
                <w:rFonts w:ascii="Arial" w:hAnsi="Arial" w:cs="Arial"/>
                <w:sz w:val="20"/>
                <w:szCs w:val="20"/>
                <w:lang w:val="en-GB"/>
              </w:rPr>
              <w:t>-</w:t>
            </w:r>
            <w:r w:rsidRPr="003920D7">
              <w:rPr>
                <w:rFonts w:ascii="Arial" w:hAnsi="Arial" w:cs="Arial"/>
                <w:sz w:val="20"/>
                <w:szCs w:val="20"/>
                <w:lang w:val="en-GB"/>
              </w:rPr>
              <w:t>Sheet Obligations</w:t>
            </w:r>
          </w:p>
        </w:tc>
        <w:tc>
          <w:tcPr>
            <w:tcW w:w="725" w:type="dxa"/>
          </w:tcPr>
          <w:p w14:paraId="32328A9B" w14:textId="15D73D9C" w:rsidR="004845DC" w:rsidRPr="003920D7" w:rsidRDefault="004269DF" w:rsidP="00FB4C0C">
            <w:pPr>
              <w:pStyle w:val="BodyTextMain"/>
              <w:tabs>
                <w:tab w:val="decimal" w:pos="338"/>
              </w:tabs>
              <w:jc w:val="center"/>
              <w:rPr>
                <w:rFonts w:ascii="Arial" w:hAnsi="Arial" w:cs="Arial"/>
                <w:sz w:val="20"/>
                <w:szCs w:val="20"/>
                <w:lang w:val="en-GB"/>
              </w:rPr>
            </w:pPr>
            <w:r w:rsidRPr="003920D7">
              <w:rPr>
                <w:rFonts w:ascii="Arial" w:hAnsi="Arial" w:cs="Arial"/>
                <w:sz w:val="20"/>
                <w:szCs w:val="20"/>
                <w:lang w:val="en-GB"/>
              </w:rPr>
              <w:t>200</w:t>
            </w:r>
          </w:p>
        </w:tc>
        <w:tc>
          <w:tcPr>
            <w:tcW w:w="630" w:type="dxa"/>
            <w:gridSpan w:val="2"/>
          </w:tcPr>
          <w:p w14:paraId="57FC2882" w14:textId="04E0B01F" w:rsidR="004845DC" w:rsidRPr="003920D7" w:rsidRDefault="004269DF" w:rsidP="004269DF">
            <w:pPr>
              <w:pStyle w:val="BodyTextMain"/>
              <w:jc w:val="center"/>
              <w:rPr>
                <w:rFonts w:ascii="Arial" w:hAnsi="Arial" w:cs="Arial"/>
                <w:sz w:val="20"/>
                <w:szCs w:val="20"/>
                <w:lang w:val="en-GB"/>
              </w:rPr>
            </w:pPr>
            <w:r w:rsidRPr="003920D7">
              <w:rPr>
                <w:rFonts w:ascii="Arial" w:hAnsi="Arial" w:cs="Arial"/>
                <w:sz w:val="20"/>
                <w:szCs w:val="20"/>
                <w:lang w:val="en-GB"/>
              </w:rPr>
              <w:t>100</w:t>
            </w:r>
          </w:p>
        </w:tc>
        <w:tc>
          <w:tcPr>
            <w:tcW w:w="630" w:type="dxa"/>
          </w:tcPr>
          <w:p w14:paraId="7FAAF903" w14:textId="376DEBFA" w:rsidR="004845DC" w:rsidRPr="003920D7" w:rsidRDefault="0013584C" w:rsidP="004269DF">
            <w:pPr>
              <w:pStyle w:val="BodyTextMain"/>
              <w:jc w:val="center"/>
              <w:rPr>
                <w:rFonts w:ascii="Arial" w:hAnsi="Arial" w:cs="Arial"/>
                <w:sz w:val="20"/>
                <w:szCs w:val="20"/>
                <w:lang w:val="en-GB"/>
              </w:rPr>
            </w:pPr>
            <w:r>
              <w:rPr>
                <w:rFonts w:ascii="Arial" w:hAnsi="Arial" w:cs="Arial"/>
                <w:sz w:val="20"/>
                <w:szCs w:val="20"/>
                <w:lang w:val="en-GB"/>
              </w:rPr>
              <w:t>0</w:t>
            </w:r>
          </w:p>
        </w:tc>
        <w:tc>
          <w:tcPr>
            <w:tcW w:w="630" w:type="dxa"/>
            <w:gridSpan w:val="2"/>
          </w:tcPr>
          <w:p w14:paraId="5D1FD69C" w14:textId="0A80FBA4" w:rsidR="004845DC" w:rsidRPr="003920D7" w:rsidRDefault="0013584C" w:rsidP="004269DF">
            <w:pPr>
              <w:pStyle w:val="BodyTextMain"/>
              <w:jc w:val="center"/>
              <w:rPr>
                <w:rFonts w:ascii="Arial" w:hAnsi="Arial" w:cs="Arial"/>
                <w:sz w:val="20"/>
                <w:szCs w:val="20"/>
                <w:lang w:val="en-GB"/>
              </w:rPr>
            </w:pPr>
            <w:r>
              <w:rPr>
                <w:rFonts w:ascii="Arial" w:hAnsi="Arial" w:cs="Arial"/>
                <w:sz w:val="20"/>
                <w:szCs w:val="20"/>
                <w:lang w:val="en-GB"/>
              </w:rPr>
              <w:t>0</w:t>
            </w:r>
          </w:p>
        </w:tc>
      </w:tr>
    </w:tbl>
    <w:p w14:paraId="6229FDBC" w14:textId="77777777" w:rsidR="00755123" w:rsidRPr="003920D7" w:rsidRDefault="00755123" w:rsidP="00755123">
      <w:pPr>
        <w:pStyle w:val="BodyTextMain"/>
        <w:rPr>
          <w:lang w:val="en-GB"/>
        </w:rPr>
      </w:pPr>
    </w:p>
    <w:p w14:paraId="51708E43" w14:textId="664E88F2" w:rsidR="004269DF" w:rsidRPr="003920D7" w:rsidRDefault="004269DF" w:rsidP="004269DF">
      <w:pPr>
        <w:pStyle w:val="Footnote"/>
        <w:rPr>
          <w:lang w:val="en-GB"/>
        </w:rPr>
      </w:pPr>
      <w:r w:rsidRPr="003920D7">
        <w:rPr>
          <w:lang w:val="en-GB"/>
        </w:rPr>
        <w:t xml:space="preserve">Source: </w:t>
      </w:r>
      <w:r w:rsidR="00C06030" w:rsidRPr="003920D7">
        <w:rPr>
          <w:lang w:val="en-GB"/>
        </w:rPr>
        <w:t>Created by the c</w:t>
      </w:r>
      <w:r w:rsidRPr="003920D7">
        <w:rPr>
          <w:lang w:val="en-GB"/>
        </w:rPr>
        <w:t xml:space="preserve">ase </w:t>
      </w:r>
      <w:r w:rsidR="00C06030" w:rsidRPr="003920D7">
        <w:rPr>
          <w:lang w:val="en-GB"/>
        </w:rPr>
        <w:t>author.</w:t>
      </w:r>
    </w:p>
    <w:p w14:paraId="08CAA841" w14:textId="77777777" w:rsidR="004269DF" w:rsidRPr="003920D7" w:rsidRDefault="004269DF">
      <w:pPr>
        <w:spacing w:after="200" w:line="276" w:lineRule="auto"/>
        <w:rPr>
          <w:rFonts w:ascii="Arial" w:hAnsi="Arial" w:cs="Arial"/>
          <w:sz w:val="17"/>
          <w:szCs w:val="17"/>
          <w:lang w:val="en-GB"/>
        </w:rPr>
      </w:pPr>
      <w:r w:rsidRPr="003920D7">
        <w:rPr>
          <w:lang w:val="en-GB"/>
        </w:rPr>
        <w:br w:type="page"/>
      </w:r>
    </w:p>
    <w:p w14:paraId="07656282" w14:textId="77777777" w:rsidR="004269DF" w:rsidRPr="003920D7" w:rsidRDefault="004269DF" w:rsidP="004269DF">
      <w:pPr>
        <w:pStyle w:val="Footnote"/>
        <w:rPr>
          <w:lang w:val="en-GB"/>
        </w:rPr>
        <w:sectPr w:rsidR="004269DF" w:rsidRPr="003920D7" w:rsidSect="00FE4652">
          <w:headerReference w:type="default" r:id="rId13"/>
          <w:pgSz w:w="15840" w:h="12240" w:orient="landscape" w:code="1"/>
          <w:pgMar w:top="1440" w:right="1440" w:bottom="1440" w:left="1440" w:header="1080" w:footer="720" w:gutter="0"/>
          <w:cols w:space="720"/>
          <w:docGrid w:linePitch="360"/>
        </w:sectPr>
      </w:pPr>
    </w:p>
    <w:p w14:paraId="26CC78E5" w14:textId="18A6B025" w:rsidR="004269DF" w:rsidRPr="003920D7" w:rsidRDefault="004269DF" w:rsidP="004269DF">
      <w:pPr>
        <w:pStyle w:val="ExhibitHeading"/>
        <w:rPr>
          <w:lang w:val="en-GB"/>
        </w:rPr>
      </w:pPr>
      <w:r w:rsidRPr="003920D7">
        <w:rPr>
          <w:lang w:val="en-GB"/>
        </w:rPr>
        <w:lastRenderedPageBreak/>
        <w:t>EXHIBIT 6: Stelco</w:t>
      </w:r>
      <w:r w:rsidR="0041796E">
        <w:rPr>
          <w:lang w:val="en-GB"/>
        </w:rPr>
        <w:t xml:space="preserve"> inc.</w:t>
      </w:r>
      <w:r w:rsidRPr="003920D7">
        <w:rPr>
          <w:lang w:val="en-GB"/>
        </w:rPr>
        <w:t>’s Capitalization and Estimated Market Value, As of September 30, 2003 (</w:t>
      </w:r>
      <w:r w:rsidR="00D252A3" w:rsidRPr="003920D7">
        <w:rPr>
          <w:lang w:val="en-GB"/>
        </w:rPr>
        <w:t xml:space="preserve">in </w:t>
      </w:r>
      <w:r w:rsidRPr="003920D7">
        <w:rPr>
          <w:lang w:val="en-GB"/>
        </w:rPr>
        <w:t>Ca</w:t>
      </w:r>
      <w:r w:rsidR="00D252A3" w:rsidRPr="003920D7">
        <w:rPr>
          <w:lang w:val="en-GB"/>
        </w:rPr>
        <w:t>$</w:t>
      </w:r>
      <w:r w:rsidRPr="003920D7">
        <w:rPr>
          <w:lang w:val="en-GB"/>
        </w:rPr>
        <w:t xml:space="preserve"> millions)</w:t>
      </w:r>
    </w:p>
    <w:p w14:paraId="0D46A0B7" w14:textId="77777777" w:rsidR="004269DF" w:rsidRPr="003920D7" w:rsidRDefault="004269DF" w:rsidP="004269DF">
      <w:pPr>
        <w:jc w:val="center"/>
        <w:rPr>
          <w:lang w:val="en-GB"/>
        </w:rPr>
      </w:pPr>
    </w:p>
    <w:tbl>
      <w:tblPr>
        <w:tblW w:w="5231" w:type="pct"/>
        <w:jc w:val="center"/>
        <w:tblLayout w:type="fixed"/>
        <w:tblCellMar>
          <w:left w:w="115" w:type="dxa"/>
          <w:right w:w="115" w:type="dxa"/>
        </w:tblCellMar>
        <w:tblLook w:val="04A0" w:firstRow="1" w:lastRow="0" w:firstColumn="1" w:lastColumn="0" w:noHBand="0" w:noVBand="1"/>
      </w:tblPr>
      <w:tblGrid>
        <w:gridCol w:w="6299"/>
        <w:gridCol w:w="810"/>
        <w:gridCol w:w="961"/>
        <w:gridCol w:w="952"/>
        <w:gridCol w:w="770"/>
      </w:tblGrid>
      <w:tr w:rsidR="004269DF" w:rsidRPr="003920D7" w14:paraId="763ACD48" w14:textId="77777777" w:rsidTr="00D05797">
        <w:trPr>
          <w:trHeight w:val="900"/>
          <w:jc w:val="center"/>
        </w:trPr>
        <w:tc>
          <w:tcPr>
            <w:tcW w:w="6300" w:type="dxa"/>
            <w:tcBorders>
              <w:top w:val="nil"/>
              <w:left w:val="nil"/>
              <w:bottom w:val="single" w:sz="4" w:space="0" w:color="auto"/>
              <w:right w:val="nil"/>
            </w:tcBorders>
            <w:shd w:val="clear" w:color="auto" w:fill="auto"/>
            <w:vAlign w:val="bottom"/>
            <w:hideMark/>
          </w:tcPr>
          <w:p w14:paraId="699056CF" w14:textId="77777777" w:rsidR="004269DF" w:rsidRPr="003920D7" w:rsidRDefault="004269DF" w:rsidP="00D05797">
            <w:pPr>
              <w:pStyle w:val="ExhibitText"/>
              <w:jc w:val="left"/>
              <w:rPr>
                <w:lang w:val="en-GB" w:eastAsia="en-CA"/>
              </w:rPr>
            </w:pPr>
            <w:r w:rsidRPr="003920D7">
              <w:rPr>
                <w:lang w:val="en-GB" w:eastAsia="en-CA"/>
              </w:rPr>
              <w:t> </w:t>
            </w:r>
          </w:p>
        </w:tc>
        <w:tc>
          <w:tcPr>
            <w:tcW w:w="810" w:type="dxa"/>
            <w:tcBorders>
              <w:top w:val="nil"/>
              <w:left w:val="nil"/>
              <w:bottom w:val="single" w:sz="4" w:space="0" w:color="auto"/>
              <w:right w:val="nil"/>
            </w:tcBorders>
            <w:shd w:val="clear" w:color="auto" w:fill="auto"/>
            <w:vAlign w:val="bottom"/>
            <w:hideMark/>
          </w:tcPr>
          <w:p w14:paraId="615F243B" w14:textId="77777777" w:rsidR="004269DF" w:rsidRPr="003920D7" w:rsidRDefault="004269DF" w:rsidP="00FF1DE0">
            <w:pPr>
              <w:pStyle w:val="ExhibitText"/>
              <w:jc w:val="center"/>
              <w:rPr>
                <w:lang w:val="en-GB" w:eastAsia="en-CA"/>
              </w:rPr>
            </w:pPr>
            <w:r w:rsidRPr="003920D7">
              <w:rPr>
                <w:lang w:val="en-GB" w:eastAsia="en-CA"/>
              </w:rPr>
              <w:t>Notes</w:t>
            </w:r>
          </w:p>
        </w:tc>
        <w:tc>
          <w:tcPr>
            <w:tcW w:w="961" w:type="dxa"/>
            <w:tcBorders>
              <w:top w:val="nil"/>
              <w:left w:val="nil"/>
              <w:bottom w:val="single" w:sz="4" w:space="0" w:color="auto"/>
              <w:right w:val="nil"/>
            </w:tcBorders>
            <w:shd w:val="clear" w:color="auto" w:fill="auto"/>
            <w:vAlign w:val="bottom"/>
            <w:hideMark/>
          </w:tcPr>
          <w:p w14:paraId="19FDCDE4" w14:textId="364D89B3" w:rsidR="004269DF" w:rsidRPr="003920D7" w:rsidRDefault="004269DF" w:rsidP="00FF1DE0">
            <w:pPr>
              <w:pStyle w:val="ExhibitText"/>
              <w:jc w:val="center"/>
              <w:rPr>
                <w:lang w:val="en-GB" w:eastAsia="en-CA"/>
              </w:rPr>
            </w:pPr>
            <w:r w:rsidRPr="003920D7">
              <w:rPr>
                <w:lang w:val="en-GB" w:eastAsia="en-CA"/>
              </w:rPr>
              <w:t xml:space="preserve">Book </w:t>
            </w:r>
            <w:r w:rsidR="002F6F36" w:rsidRPr="003920D7">
              <w:rPr>
                <w:lang w:val="en-GB" w:eastAsia="en-CA"/>
              </w:rPr>
              <w:t>V</w:t>
            </w:r>
            <w:r w:rsidRPr="003920D7">
              <w:rPr>
                <w:lang w:val="en-GB" w:eastAsia="en-CA"/>
              </w:rPr>
              <w:t>alue</w:t>
            </w:r>
          </w:p>
        </w:tc>
        <w:tc>
          <w:tcPr>
            <w:tcW w:w="952" w:type="dxa"/>
            <w:tcBorders>
              <w:top w:val="nil"/>
              <w:left w:val="nil"/>
              <w:bottom w:val="single" w:sz="4" w:space="0" w:color="auto"/>
              <w:right w:val="nil"/>
            </w:tcBorders>
            <w:shd w:val="clear" w:color="auto" w:fill="auto"/>
            <w:vAlign w:val="bottom"/>
            <w:hideMark/>
          </w:tcPr>
          <w:p w14:paraId="38D0713B" w14:textId="344E9589" w:rsidR="004269DF" w:rsidRPr="003920D7" w:rsidRDefault="004269DF" w:rsidP="00FF1DE0">
            <w:pPr>
              <w:pStyle w:val="ExhibitText"/>
              <w:jc w:val="center"/>
              <w:rPr>
                <w:lang w:val="en-GB" w:eastAsia="en-CA"/>
              </w:rPr>
            </w:pPr>
            <w:proofErr w:type="spellStart"/>
            <w:r w:rsidRPr="003920D7">
              <w:rPr>
                <w:lang w:val="en-GB" w:eastAsia="en-CA"/>
              </w:rPr>
              <w:t>Esti</w:t>
            </w:r>
            <w:proofErr w:type="spellEnd"/>
            <w:r w:rsidR="002F6F36" w:rsidRPr="003920D7">
              <w:rPr>
                <w:lang w:val="en-GB" w:eastAsia="en-CA"/>
              </w:rPr>
              <w:t>-</w:t>
            </w:r>
            <w:r w:rsidRPr="003920D7">
              <w:rPr>
                <w:lang w:val="en-GB" w:eastAsia="en-CA"/>
              </w:rPr>
              <w:t xml:space="preserve">mated </w:t>
            </w:r>
            <w:r w:rsidR="002F6F36" w:rsidRPr="003920D7">
              <w:rPr>
                <w:lang w:val="en-GB" w:eastAsia="en-CA"/>
              </w:rPr>
              <w:t>M</w:t>
            </w:r>
            <w:r w:rsidRPr="003920D7">
              <w:rPr>
                <w:lang w:val="en-GB" w:eastAsia="en-CA"/>
              </w:rPr>
              <w:t xml:space="preserve">arket </w:t>
            </w:r>
            <w:r w:rsidR="002F6F36" w:rsidRPr="003920D7">
              <w:rPr>
                <w:lang w:val="en-GB" w:eastAsia="en-CA"/>
              </w:rPr>
              <w:t>V</w:t>
            </w:r>
            <w:r w:rsidRPr="003920D7">
              <w:rPr>
                <w:lang w:val="en-GB" w:eastAsia="en-CA"/>
              </w:rPr>
              <w:t>alue</w:t>
            </w:r>
          </w:p>
        </w:tc>
        <w:tc>
          <w:tcPr>
            <w:tcW w:w="770" w:type="dxa"/>
            <w:tcBorders>
              <w:top w:val="nil"/>
              <w:left w:val="nil"/>
              <w:bottom w:val="single" w:sz="4" w:space="0" w:color="auto"/>
              <w:right w:val="nil"/>
            </w:tcBorders>
            <w:shd w:val="clear" w:color="auto" w:fill="auto"/>
            <w:vAlign w:val="bottom"/>
            <w:hideMark/>
          </w:tcPr>
          <w:p w14:paraId="2F94B043" w14:textId="2CA05DDC" w:rsidR="004269DF" w:rsidRPr="003920D7" w:rsidRDefault="004269DF" w:rsidP="00FF1DE0">
            <w:pPr>
              <w:pStyle w:val="ExhibitText"/>
              <w:jc w:val="center"/>
              <w:rPr>
                <w:lang w:val="en-GB" w:eastAsia="en-CA"/>
              </w:rPr>
            </w:pPr>
            <w:r w:rsidRPr="003920D7">
              <w:rPr>
                <w:lang w:val="en-GB" w:eastAsia="en-CA"/>
              </w:rPr>
              <w:t xml:space="preserve">% of </w:t>
            </w:r>
            <w:r w:rsidRPr="003920D7">
              <w:rPr>
                <w:lang w:val="en-GB" w:eastAsia="en-CA"/>
              </w:rPr>
              <w:br/>
            </w:r>
            <w:r w:rsidR="002F6F36" w:rsidRPr="003920D7">
              <w:rPr>
                <w:lang w:val="en-GB" w:eastAsia="en-CA"/>
              </w:rPr>
              <w:t>F</w:t>
            </w:r>
            <w:r w:rsidRPr="003920D7">
              <w:rPr>
                <w:lang w:val="en-GB" w:eastAsia="en-CA"/>
              </w:rPr>
              <w:t xml:space="preserve">ace </w:t>
            </w:r>
            <w:r w:rsidR="002F6F36" w:rsidRPr="003920D7">
              <w:rPr>
                <w:lang w:val="en-GB" w:eastAsia="en-CA"/>
              </w:rPr>
              <w:t>V</w:t>
            </w:r>
            <w:r w:rsidRPr="003920D7">
              <w:rPr>
                <w:lang w:val="en-GB" w:eastAsia="en-CA"/>
              </w:rPr>
              <w:t>alue</w:t>
            </w:r>
          </w:p>
        </w:tc>
      </w:tr>
      <w:tr w:rsidR="004269DF" w:rsidRPr="003920D7" w14:paraId="39ACA123" w14:textId="77777777" w:rsidTr="00D05797">
        <w:trPr>
          <w:trHeight w:val="300"/>
          <w:jc w:val="center"/>
        </w:trPr>
        <w:tc>
          <w:tcPr>
            <w:tcW w:w="6300" w:type="dxa"/>
            <w:tcBorders>
              <w:top w:val="nil"/>
              <w:left w:val="nil"/>
              <w:bottom w:val="nil"/>
              <w:right w:val="nil"/>
            </w:tcBorders>
            <w:shd w:val="clear" w:color="auto" w:fill="auto"/>
            <w:vAlign w:val="bottom"/>
            <w:hideMark/>
          </w:tcPr>
          <w:p w14:paraId="48E24648" w14:textId="77777777" w:rsidR="004269DF" w:rsidRPr="003920D7" w:rsidRDefault="004269DF" w:rsidP="00D05797">
            <w:pPr>
              <w:pStyle w:val="ExhibitText"/>
              <w:jc w:val="left"/>
              <w:rPr>
                <w:lang w:val="en-GB" w:eastAsia="en-CA"/>
              </w:rPr>
            </w:pPr>
            <w:r w:rsidRPr="003920D7">
              <w:rPr>
                <w:lang w:val="en-GB" w:eastAsia="en-CA"/>
              </w:rPr>
              <w:t>Drawn Lines of Credit (“Revolver”) with Banks</w:t>
            </w:r>
          </w:p>
        </w:tc>
        <w:tc>
          <w:tcPr>
            <w:tcW w:w="810" w:type="dxa"/>
            <w:tcBorders>
              <w:top w:val="nil"/>
              <w:left w:val="nil"/>
              <w:bottom w:val="nil"/>
              <w:right w:val="nil"/>
            </w:tcBorders>
            <w:shd w:val="clear" w:color="auto" w:fill="auto"/>
            <w:vAlign w:val="bottom"/>
            <w:hideMark/>
          </w:tcPr>
          <w:p w14:paraId="2BAF0D34" w14:textId="77777777" w:rsidR="004269DF" w:rsidRPr="003920D7" w:rsidRDefault="004269DF" w:rsidP="004269DF">
            <w:pPr>
              <w:pStyle w:val="ExhibitText"/>
              <w:rPr>
                <w:lang w:val="en-GB" w:eastAsia="en-CA"/>
              </w:rPr>
            </w:pPr>
          </w:p>
        </w:tc>
        <w:tc>
          <w:tcPr>
            <w:tcW w:w="961" w:type="dxa"/>
            <w:tcBorders>
              <w:top w:val="nil"/>
              <w:left w:val="nil"/>
              <w:bottom w:val="nil"/>
              <w:right w:val="nil"/>
            </w:tcBorders>
            <w:shd w:val="clear" w:color="auto" w:fill="auto"/>
            <w:vAlign w:val="bottom"/>
            <w:hideMark/>
          </w:tcPr>
          <w:p w14:paraId="759A3D95" w14:textId="77777777" w:rsidR="004269DF" w:rsidRPr="003920D7" w:rsidRDefault="004269DF" w:rsidP="00FF1DE0">
            <w:pPr>
              <w:pStyle w:val="ExhibitText"/>
              <w:jc w:val="right"/>
              <w:rPr>
                <w:lang w:val="en-GB" w:eastAsia="en-CA"/>
              </w:rPr>
            </w:pPr>
            <w:r w:rsidRPr="003920D7">
              <w:rPr>
                <w:lang w:val="en-GB" w:eastAsia="en-CA"/>
              </w:rPr>
              <w:t xml:space="preserve">178.0 </w:t>
            </w:r>
          </w:p>
        </w:tc>
        <w:tc>
          <w:tcPr>
            <w:tcW w:w="952" w:type="dxa"/>
            <w:tcBorders>
              <w:top w:val="nil"/>
              <w:left w:val="nil"/>
              <w:bottom w:val="nil"/>
              <w:right w:val="nil"/>
            </w:tcBorders>
            <w:shd w:val="clear" w:color="auto" w:fill="auto"/>
            <w:vAlign w:val="bottom"/>
            <w:hideMark/>
          </w:tcPr>
          <w:p w14:paraId="39397816" w14:textId="77777777" w:rsidR="004269DF" w:rsidRPr="003920D7" w:rsidRDefault="004269DF" w:rsidP="00FF1DE0">
            <w:pPr>
              <w:pStyle w:val="ExhibitText"/>
              <w:jc w:val="right"/>
              <w:rPr>
                <w:lang w:val="en-GB" w:eastAsia="en-CA"/>
              </w:rPr>
            </w:pPr>
            <w:r w:rsidRPr="003920D7">
              <w:rPr>
                <w:lang w:val="en-GB" w:eastAsia="en-CA"/>
              </w:rPr>
              <w:t xml:space="preserve">178.0 </w:t>
            </w:r>
          </w:p>
        </w:tc>
        <w:tc>
          <w:tcPr>
            <w:tcW w:w="770" w:type="dxa"/>
            <w:tcBorders>
              <w:top w:val="nil"/>
              <w:left w:val="nil"/>
              <w:bottom w:val="nil"/>
              <w:right w:val="nil"/>
            </w:tcBorders>
            <w:shd w:val="clear" w:color="auto" w:fill="auto"/>
            <w:noWrap/>
            <w:vAlign w:val="bottom"/>
            <w:hideMark/>
          </w:tcPr>
          <w:p w14:paraId="6CC0C0AD"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5A6E8FD9" w14:textId="77777777" w:rsidTr="00D05797">
        <w:trPr>
          <w:trHeight w:val="300"/>
          <w:jc w:val="center"/>
        </w:trPr>
        <w:tc>
          <w:tcPr>
            <w:tcW w:w="6300" w:type="dxa"/>
            <w:tcBorders>
              <w:top w:val="nil"/>
              <w:left w:val="nil"/>
              <w:bottom w:val="nil"/>
              <w:right w:val="nil"/>
            </w:tcBorders>
            <w:shd w:val="clear" w:color="auto" w:fill="auto"/>
            <w:vAlign w:val="bottom"/>
            <w:hideMark/>
          </w:tcPr>
          <w:p w14:paraId="2EAE91F5" w14:textId="1927BF5C" w:rsidR="004269DF" w:rsidRPr="003920D7" w:rsidRDefault="004269DF" w:rsidP="00D05797">
            <w:pPr>
              <w:pStyle w:val="ExhibitText"/>
              <w:jc w:val="left"/>
              <w:rPr>
                <w:lang w:val="en-GB" w:eastAsia="en-CA"/>
              </w:rPr>
            </w:pPr>
            <w:r w:rsidRPr="003920D7">
              <w:rPr>
                <w:lang w:val="en-GB" w:eastAsia="en-CA"/>
              </w:rPr>
              <w:t xml:space="preserve">Term </w:t>
            </w:r>
            <w:r w:rsidR="003B574E" w:rsidRPr="003920D7">
              <w:rPr>
                <w:lang w:val="en-GB" w:eastAsia="en-CA"/>
              </w:rPr>
              <w:t>L</w:t>
            </w:r>
            <w:r w:rsidRPr="003920D7">
              <w:rPr>
                <w:lang w:val="en-GB" w:eastAsia="en-CA"/>
              </w:rPr>
              <w:t xml:space="preserve">oans, </w:t>
            </w:r>
            <w:r w:rsidR="003B574E" w:rsidRPr="003920D7">
              <w:rPr>
                <w:lang w:val="en-GB" w:eastAsia="en-CA"/>
              </w:rPr>
              <w:t>M</w:t>
            </w:r>
            <w:r w:rsidRPr="003920D7">
              <w:rPr>
                <w:lang w:val="en-GB" w:eastAsia="en-CA"/>
              </w:rPr>
              <w:t>aturing 2003 to 2008</w:t>
            </w:r>
          </w:p>
        </w:tc>
        <w:tc>
          <w:tcPr>
            <w:tcW w:w="810" w:type="dxa"/>
            <w:tcBorders>
              <w:top w:val="nil"/>
              <w:left w:val="nil"/>
              <w:bottom w:val="nil"/>
              <w:right w:val="nil"/>
            </w:tcBorders>
            <w:shd w:val="clear" w:color="auto" w:fill="auto"/>
            <w:vAlign w:val="bottom"/>
            <w:hideMark/>
          </w:tcPr>
          <w:p w14:paraId="7A224076" w14:textId="77777777" w:rsidR="004269DF" w:rsidRPr="003920D7" w:rsidRDefault="004269DF" w:rsidP="00FF1DE0">
            <w:pPr>
              <w:pStyle w:val="ExhibitText"/>
              <w:jc w:val="right"/>
              <w:rPr>
                <w:lang w:val="en-GB" w:eastAsia="en-CA"/>
              </w:rPr>
            </w:pPr>
            <w:r w:rsidRPr="003920D7">
              <w:rPr>
                <w:lang w:val="en-GB" w:eastAsia="en-CA"/>
              </w:rPr>
              <w:t>1</w:t>
            </w:r>
          </w:p>
        </w:tc>
        <w:tc>
          <w:tcPr>
            <w:tcW w:w="961" w:type="dxa"/>
            <w:tcBorders>
              <w:top w:val="nil"/>
              <w:left w:val="nil"/>
              <w:bottom w:val="nil"/>
              <w:right w:val="nil"/>
            </w:tcBorders>
            <w:shd w:val="clear" w:color="auto" w:fill="auto"/>
            <w:vAlign w:val="bottom"/>
            <w:hideMark/>
          </w:tcPr>
          <w:p w14:paraId="0F0FF49E" w14:textId="77777777" w:rsidR="004269DF" w:rsidRPr="003920D7" w:rsidRDefault="004269DF" w:rsidP="00FF1DE0">
            <w:pPr>
              <w:pStyle w:val="ExhibitText"/>
              <w:jc w:val="right"/>
              <w:rPr>
                <w:lang w:val="en-GB" w:eastAsia="en-CA"/>
              </w:rPr>
            </w:pPr>
            <w:r w:rsidRPr="003920D7">
              <w:rPr>
                <w:lang w:val="en-GB" w:eastAsia="en-CA"/>
              </w:rPr>
              <w:t xml:space="preserve">151.0 </w:t>
            </w:r>
          </w:p>
        </w:tc>
        <w:tc>
          <w:tcPr>
            <w:tcW w:w="952" w:type="dxa"/>
            <w:tcBorders>
              <w:top w:val="nil"/>
              <w:left w:val="nil"/>
              <w:bottom w:val="nil"/>
              <w:right w:val="nil"/>
            </w:tcBorders>
            <w:shd w:val="clear" w:color="auto" w:fill="auto"/>
            <w:vAlign w:val="bottom"/>
            <w:hideMark/>
          </w:tcPr>
          <w:p w14:paraId="72280DB7" w14:textId="77777777" w:rsidR="004269DF" w:rsidRPr="003920D7" w:rsidRDefault="004269DF" w:rsidP="00FF1DE0">
            <w:pPr>
              <w:pStyle w:val="ExhibitText"/>
              <w:jc w:val="right"/>
              <w:rPr>
                <w:lang w:val="en-GB" w:eastAsia="en-CA"/>
              </w:rPr>
            </w:pPr>
            <w:r w:rsidRPr="003920D7">
              <w:rPr>
                <w:lang w:val="en-GB" w:eastAsia="en-CA"/>
              </w:rPr>
              <w:t xml:space="preserve">151.0 </w:t>
            </w:r>
          </w:p>
        </w:tc>
        <w:tc>
          <w:tcPr>
            <w:tcW w:w="770" w:type="dxa"/>
            <w:tcBorders>
              <w:top w:val="nil"/>
              <w:left w:val="nil"/>
              <w:bottom w:val="nil"/>
              <w:right w:val="nil"/>
            </w:tcBorders>
            <w:shd w:val="clear" w:color="auto" w:fill="auto"/>
            <w:noWrap/>
            <w:vAlign w:val="bottom"/>
            <w:hideMark/>
          </w:tcPr>
          <w:p w14:paraId="05A307CA"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0A07A151" w14:textId="77777777" w:rsidTr="00D05797">
        <w:trPr>
          <w:trHeight w:val="300"/>
          <w:jc w:val="center"/>
        </w:trPr>
        <w:tc>
          <w:tcPr>
            <w:tcW w:w="6300" w:type="dxa"/>
            <w:tcBorders>
              <w:top w:val="nil"/>
              <w:left w:val="nil"/>
              <w:bottom w:val="nil"/>
              <w:right w:val="nil"/>
            </w:tcBorders>
            <w:shd w:val="clear" w:color="auto" w:fill="auto"/>
            <w:vAlign w:val="bottom"/>
            <w:hideMark/>
          </w:tcPr>
          <w:p w14:paraId="5E914BE6" w14:textId="401EED15" w:rsidR="004269DF" w:rsidRPr="003920D7" w:rsidRDefault="004269DF" w:rsidP="00D05797">
            <w:pPr>
              <w:pStyle w:val="ExhibitText"/>
              <w:jc w:val="left"/>
              <w:rPr>
                <w:lang w:val="en-GB" w:eastAsia="en-CA"/>
              </w:rPr>
            </w:pPr>
            <w:r w:rsidRPr="003920D7">
              <w:rPr>
                <w:lang w:val="en-GB" w:eastAsia="en-CA"/>
              </w:rPr>
              <w:t xml:space="preserve">Computer </w:t>
            </w:r>
            <w:r w:rsidR="003B574E" w:rsidRPr="003920D7">
              <w:rPr>
                <w:lang w:val="en-GB" w:eastAsia="en-CA"/>
              </w:rPr>
              <w:t>S</w:t>
            </w:r>
            <w:r w:rsidRPr="003920D7">
              <w:rPr>
                <w:lang w:val="en-GB" w:eastAsia="en-CA"/>
              </w:rPr>
              <w:t xml:space="preserve">ystem </w:t>
            </w:r>
            <w:r w:rsidR="003B574E" w:rsidRPr="003920D7">
              <w:rPr>
                <w:lang w:val="en-GB" w:eastAsia="en-CA"/>
              </w:rPr>
              <w:t>F</w:t>
            </w:r>
            <w:r w:rsidRPr="003920D7">
              <w:rPr>
                <w:lang w:val="en-GB" w:eastAsia="en-CA"/>
              </w:rPr>
              <w:t xml:space="preserve">inancing at 9.1% </w:t>
            </w:r>
            <w:r w:rsidR="003B574E" w:rsidRPr="003920D7">
              <w:rPr>
                <w:lang w:val="en-GB" w:eastAsia="en-CA"/>
              </w:rPr>
              <w:t>I</w:t>
            </w:r>
            <w:r w:rsidRPr="003920D7">
              <w:rPr>
                <w:lang w:val="en-GB" w:eastAsia="en-CA"/>
              </w:rPr>
              <w:t xml:space="preserve">nterest due </w:t>
            </w:r>
            <w:r w:rsidR="0031787A" w:rsidRPr="003920D7">
              <w:rPr>
                <w:lang w:val="en-GB" w:eastAsia="en-CA"/>
              </w:rPr>
              <w:t>20</w:t>
            </w:r>
            <w:r w:rsidRPr="003920D7">
              <w:rPr>
                <w:lang w:val="en-GB" w:eastAsia="en-CA"/>
              </w:rPr>
              <w:t>12</w:t>
            </w:r>
          </w:p>
        </w:tc>
        <w:tc>
          <w:tcPr>
            <w:tcW w:w="810" w:type="dxa"/>
            <w:tcBorders>
              <w:top w:val="nil"/>
              <w:left w:val="nil"/>
              <w:bottom w:val="nil"/>
              <w:right w:val="nil"/>
            </w:tcBorders>
            <w:shd w:val="clear" w:color="auto" w:fill="auto"/>
            <w:vAlign w:val="bottom"/>
            <w:hideMark/>
          </w:tcPr>
          <w:p w14:paraId="0719AF1E" w14:textId="77777777" w:rsidR="004269DF" w:rsidRPr="003920D7" w:rsidRDefault="004269DF" w:rsidP="00FF1DE0">
            <w:pPr>
              <w:pStyle w:val="ExhibitText"/>
              <w:jc w:val="right"/>
              <w:rPr>
                <w:lang w:val="en-GB" w:eastAsia="en-CA"/>
              </w:rPr>
            </w:pPr>
            <w:r w:rsidRPr="003920D7">
              <w:rPr>
                <w:lang w:val="en-GB" w:eastAsia="en-CA"/>
              </w:rPr>
              <w:t>2</w:t>
            </w:r>
          </w:p>
        </w:tc>
        <w:tc>
          <w:tcPr>
            <w:tcW w:w="961" w:type="dxa"/>
            <w:tcBorders>
              <w:top w:val="nil"/>
              <w:left w:val="nil"/>
              <w:bottom w:val="nil"/>
              <w:right w:val="nil"/>
            </w:tcBorders>
            <w:shd w:val="clear" w:color="auto" w:fill="auto"/>
            <w:vAlign w:val="bottom"/>
            <w:hideMark/>
          </w:tcPr>
          <w:p w14:paraId="7F5FCF56" w14:textId="77777777" w:rsidR="004269DF" w:rsidRPr="003920D7" w:rsidRDefault="004269DF" w:rsidP="00FF1DE0">
            <w:pPr>
              <w:pStyle w:val="ExhibitText"/>
              <w:jc w:val="right"/>
              <w:rPr>
                <w:lang w:val="en-GB" w:eastAsia="en-CA"/>
              </w:rPr>
            </w:pPr>
            <w:r w:rsidRPr="003920D7">
              <w:rPr>
                <w:lang w:val="en-GB" w:eastAsia="en-CA"/>
              </w:rPr>
              <w:t xml:space="preserve">21.0 </w:t>
            </w:r>
          </w:p>
        </w:tc>
        <w:tc>
          <w:tcPr>
            <w:tcW w:w="952" w:type="dxa"/>
            <w:tcBorders>
              <w:top w:val="nil"/>
              <w:left w:val="nil"/>
              <w:bottom w:val="nil"/>
              <w:right w:val="nil"/>
            </w:tcBorders>
            <w:shd w:val="clear" w:color="auto" w:fill="auto"/>
            <w:vAlign w:val="bottom"/>
            <w:hideMark/>
          </w:tcPr>
          <w:p w14:paraId="19A21459" w14:textId="77777777" w:rsidR="004269DF" w:rsidRPr="003920D7" w:rsidRDefault="004269DF" w:rsidP="00FF1DE0">
            <w:pPr>
              <w:pStyle w:val="ExhibitText"/>
              <w:jc w:val="right"/>
              <w:rPr>
                <w:lang w:val="en-GB" w:eastAsia="en-CA"/>
              </w:rPr>
            </w:pPr>
            <w:r w:rsidRPr="003920D7">
              <w:rPr>
                <w:lang w:val="en-GB" w:eastAsia="en-CA"/>
              </w:rPr>
              <w:t xml:space="preserve">21.0 </w:t>
            </w:r>
          </w:p>
        </w:tc>
        <w:tc>
          <w:tcPr>
            <w:tcW w:w="770" w:type="dxa"/>
            <w:tcBorders>
              <w:top w:val="nil"/>
              <w:left w:val="nil"/>
              <w:bottom w:val="nil"/>
              <w:right w:val="nil"/>
            </w:tcBorders>
            <w:shd w:val="clear" w:color="auto" w:fill="auto"/>
            <w:noWrap/>
            <w:vAlign w:val="bottom"/>
            <w:hideMark/>
          </w:tcPr>
          <w:p w14:paraId="79F368C7"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1D402285" w14:textId="77777777" w:rsidTr="00D05797">
        <w:trPr>
          <w:trHeight w:val="300"/>
          <w:jc w:val="center"/>
        </w:trPr>
        <w:tc>
          <w:tcPr>
            <w:tcW w:w="6300" w:type="dxa"/>
            <w:tcBorders>
              <w:top w:val="nil"/>
              <w:left w:val="nil"/>
              <w:bottom w:val="nil"/>
              <w:right w:val="nil"/>
            </w:tcBorders>
            <w:shd w:val="clear" w:color="auto" w:fill="auto"/>
            <w:vAlign w:val="bottom"/>
            <w:hideMark/>
          </w:tcPr>
          <w:p w14:paraId="61C46030" w14:textId="51855C94" w:rsidR="004269DF" w:rsidRPr="003920D7" w:rsidRDefault="004269DF" w:rsidP="00D05797">
            <w:pPr>
              <w:pStyle w:val="ExhibitText"/>
              <w:jc w:val="left"/>
              <w:rPr>
                <w:lang w:val="en-GB" w:eastAsia="en-CA"/>
              </w:rPr>
            </w:pPr>
            <w:r w:rsidRPr="003920D7">
              <w:rPr>
                <w:lang w:val="en-GB" w:eastAsia="en-CA"/>
              </w:rPr>
              <w:t>$125</w:t>
            </w:r>
            <w:r w:rsidR="003B574E" w:rsidRPr="003920D7">
              <w:rPr>
                <w:lang w:val="en-GB" w:eastAsia="en-CA"/>
              </w:rPr>
              <w:t xml:space="preserve"> </w:t>
            </w:r>
            <w:r w:rsidRPr="003920D7">
              <w:rPr>
                <w:lang w:val="en-GB" w:eastAsia="en-CA"/>
              </w:rPr>
              <w:t>m</w:t>
            </w:r>
            <w:r w:rsidR="003B574E" w:rsidRPr="003920D7">
              <w:rPr>
                <w:lang w:val="en-GB" w:eastAsia="en-CA"/>
              </w:rPr>
              <w:t>illion</w:t>
            </w:r>
            <w:r w:rsidRPr="003920D7">
              <w:rPr>
                <w:lang w:val="en-GB" w:eastAsia="en-CA"/>
              </w:rPr>
              <w:t xml:space="preserve"> 8.0%</w:t>
            </w:r>
            <w:r w:rsidR="00D62DCF">
              <w:rPr>
                <w:lang w:val="en-GB" w:eastAsia="en-CA"/>
              </w:rPr>
              <w:t xml:space="preserve"> </w:t>
            </w:r>
            <w:r w:rsidRPr="003920D7">
              <w:rPr>
                <w:lang w:val="en-GB" w:eastAsia="en-CA"/>
              </w:rPr>
              <w:t xml:space="preserve">Senior Unsecured Debentures due </w:t>
            </w:r>
            <w:r w:rsidR="00D62DCF" w:rsidRPr="003920D7">
              <w:rPr>
                <w:lang w:val="en-GB" w:eastAsia="en-CA"/>
              </w:rPr>
              <w:t>20</w:t>
            </w:r>
            <w:r w:rsidR="00D62DCF">
              <w:rPr>
                <w:lang w:val="en-GB" w:eastAsia="en-CA"/>
              </w:rPr>
              <w:t>06</w:t>
            </w:r>
          </w:p>
        </w:tc>
        <w:tc>
          <w:tcPr>
            <w:tcW w:w="810" w:type="dxa"/>
            <w:tcBorders>
              <w:top w:val="nil"/>
              <w:left w:val="nil"/>
              <w:bottom w:val="nil"/>
              <w:right w:val="nil"/>
            </w:tcBorders>
            <w:shd w:val="clear" w:color="auto" w:fill="auto"/>
            <w:vAlign w:val="bottom"/>
            <w:hideMark/>
          </w:tcPr>
          <w:p w14:paraId="45AB0161" w14:textId="77777777" w:rsidR="004269DF" w:rsidRPr="003920D7" w:rsidRDefault="004269DF" w:rsidP="00FF1DE0">
            <w:pPr>
              <w:pStyle w:val="ExhibitText"/>
              <w:jc w:val="right"/>
              <w:rPr>
                <w:lang w:val="en-GB" w:eastAsia="en-CA"/>
              </w:rPr>
            </w:pPr>
            <w:r w:rsidRPr="003920D7">
              <w:rPr>
                <w:lang w:val="en-GB" w:eastAsia="en-CA"/>
              </w:rPr>
              <w:t>3</w:t>
            </w:r>
          </w:p>
        </w:tc>
        <w:tc>
          <w:tcPr>
            <w:tcW w:w="961" w:type="dxa"/>
            <w:tcBorders>
              <w:top w:val="nil"/>
              <w:left w:val="nil"/>
              <w:bottom w:val="nil"/>
              <w:right w:val="nil"/>
            </w:tcBorders>
            <w:shd w:val="clear" w:color="auto" w:fill="auto"/>
            <w:vAlign w:val="bottom"/>
            <w:hideMark/>
          </w:tcPr>
          <w:p w14:paraId="4C60CE50" w14:textId="77777777" w:rsidR="004269DF" w:rsidRPr="003920D7" w:rsidRDefault="004269DF" w:rsidP="00FF1DE0">
            <w:pPr>
              <w:pStyle w:val="ExhibitText"/>
              <w:jc w:val="right"/>
              <w:rPr>
                <w:lang w:val="en-GB" w:eastAsia="en-CA"/>
              </w:rPr>
            </w:pPr>
            <w:r w:rsidRPr="003920D7">
              <w:rPr>
                <w:lang w:val="en-GB" w:eastAsia="en-CA"/>
              </w:rPr>
              <w:t xml:space="preserve">125.0 </w:t>
            </w:r>
          </w:p>
        </w:tc>
        <w:tc>
          <w:tcPr>
            <w:tcW w:w="952" w:type="dxa"/>
            <w:tcBorders>
              <w:top w:val="nil"/>
              <w:left w:val="nil"/>
              <w:bottom w:val="nil"/>
              <w:right w:val="nil"/>
            </w:tcBorders>
            <w:shd w:val="clear" w:color="auto" w:fill="auto"/>
            <w:vAlign w:val="bottom"/>
            <w:hideMark/>
          </w:tcPr>
          <w:p w14:paraId="38D7B85E" w14:textId="77777777" w:rsidR="004269DF" w:rsidRPr="003920D7" w:rsidRDefault="004269DF" w:rsidP="00FF1DE0">
            <w:pPr>
              <w:pStyle w:val="ExhibitText"/>
              <w:jc w:val="right"/>
              <w:rPr>
                <w:lang w:val="en-GB" w:eastAsia="en-CA"/>
              </w:rPr>
            </w:pPr>
            <w:r w:rsidRPr="003920D7">
              <w:rPr>
                <w:lang w:val="en-GB" w:eastAsia="en-CA"/>
              </w:rPr>
              <w:t xml:space="preserve">55.6 </w:t>
            </w:r>
          </w:p>
        </w:tc>
        <w:tc>
          <w:tcPr>
            <w:tcW w:w="770" w:type="dxa"/>
            <w:tcBorders>
              <w:top w:val="nil"/>
              <w:left w:val="nil"/>
              <w:bottom w:val="nil"/>
              <w:right w:val="nil"/>
            </w:tcBorders>
            <w:shd w:val="clear" w:color="auto" w:fill="auto"/>
            <w:noWrap/>
            <w:vAlign w:val="bottom"/>
            <w:hideMark/>
          </w:tcPr>
          <w:p w14:paraId="46C8B7CE" w14:textId="77777777" w:rsidR="004269DF" w:rsidRPr="003920D7" w:rsidRDefault="004269DF" w:rsidP="00FF1DE0">
            <w:pPr>
              <w:pStyle w:val="ExhibitText"/>
              <w:jc w:val="right"/>
              <w:rPr>
                <w:lang w:val="en-GB" w:eastAsia="en-CA"/>
              </w:rPr>
            </w:pPr>
            <w:r w:rsidRPr="003920D7">
              <w:rPr>
                <w:lang w:val="en-GB" w:eastAsia="en-CA"/>
              </w:rPr>
              <w:t>44%</w:t>
            </w:r>
          </w:p>
        </w:tc>
      </w:tr>
      <w:tr w:rsidR="004269DF" w:rsidRPr="003920D7" w14:paraId="3AAC2AD0" w14:textId="77777777" w:rsidTr="00D05797">
        <w:trPr>
          <w:trHeight w:val="300"/>
          <w:jc w:val="center"/>
        </w:trPr>
        <w:tc>
          <w:tcPr>
            <w:tcW w:w="6300" w:type="dxa"/>
            <w:tcBorders>
              <w:top w:val="nil"/>
              <w:left w:val="nil"/>
              <w:bottom w:val="nil"/>
              <w:right w:val="nil"/>
            </w:tcBorders>
            <w:shd w:val="clear" w:color="auto" w:fill="auto"/>
            <w:vAlign w:val="bottom"/>
            <w:hideMark/>
          </w:tcPr>
          <w:p w14:paraId="40790323" w14:textId="5FA73867" w:rsidR="004269DF" w:rsidRPr="003920D7" w:rsidRDefault="004269DF" w:rsidP="00D05797">
            <w:pPr>
              <w:pStyle w:val="ExhibitText"/>
              <w:jc w:val="left"/>
              <w:rPr>
                <w:lang w:val="en-GB" w:eastAsia="en-CA"/>
              </w:rPr>
            </w:pPr>
            <w:r w:rsidRPr="003920D7">
              <w:rPr>
                <w:lang w:val="en-GB" w:eastAsia="en-CA"/>
              </w:rPr>
              <w:t>$150</w:t>
            </w:r>
            <w:r w:rsidR="003B574E" w:rsidRPr="003920D7">
              <w:rPr>
                <w:lang w:val="en-GB" w:eastAsia="en-CA"/>
              </w:rPr>
              <w:t xml:space="preserve"> </w:t>
            </w:r>
            <w:r w:rsidRPr="003920D7">
              <w:rPr>
                <w:lang w:val="en-GB" w:eastAsia="en-CA"/>
              </w:rPr>
              <w:t>m</w:t>
            </w:r>
            <w:r w:rsidR="003B574E" w:rsidRPr="003920D7">
              <w:rPr>
                <w:lang w:val="en-GB" w:eastAsia="en-CA"/>
              </w:rPr>
              <w:t>illion</w:t>
            </w:r>
            <w:r w:rsidRPr="003920D7">
              <w:rPr>
                <w:lang w:val="en-GB" w:eastAsia="en-CA"/>
              </w:rPr>
              <w:t xml:space="preserve"> 10.4%</w:t>
            </w:r>
            <w:r w:rsidR="00D62DCF">
              <w:rPr>
                <w:lang w:val="en-GB" w:eastAsia="en-CA"/>
              </w:rPr>
              <w:t xml:space="preserve"> </w:t>
            </w:r>
            <w:r w:rsidRPr="003920D7">
              <w:rPr>
                <w:lang w:val="en-GB" w:eastAsia="en-CA"/>
              </w:rPr>
              <w:t xml:space="preserve">Senior Unsecured Debentures due </w:t>
            </w:r>
            <w:r w:rsidR="003B574E" w:rsidRPr="003920D7">
              <w:rPr>
                <w:lang w:val="en-GB" w:eastAsia="en-CA"/>
              </w:rPr>
              <w:t>20</w:t>
            </w:r>
            <w:r w:rsidRPr="003920D7">
              <w:rPr>
                <w:lang w:val="en-GB" w:eastAsia="en-CA"/>
              </w:rPr>
              <w:t>09</w:t>
            </w:r>
          </w:p>
        </w:tc>
        <w:tc>
          <w:tcPr>
            <w:tcW w:w="810" w:type="dxa"/>
            <w:tcBorders>
              <w:top w:val="nil"/>
              <w:left w:val="nil"/>
              <w:bottom w:val="nil"/>
              <w:right w:val="nil"/>
            </w:tcBorders>
            <w:shd w:val="clear" w:color="auto" w:fill="auto"/>
            <w:vAlign w:val="bottom"/>
            <w:hideMark/>
          </w:tcPr>
          <w:p w14:paraId="7D7A1FBE" w14:textId="77777777" w:rsidR="004269DF" w:rsidRPr="003920D7" w:rsidRDefault="004269DF" w:rsidP="00FF1DE0">
            <w:pPr>
              <w:pStyle w:val="ExhibitText"/>
              <w:jc w:val="right"/>
              <w:rPr>
                <w:lang w:val="en-GB" w:eastAsia="en-CA"/>
              </w:rPr>
            </w:pPr>
            <w:r w:rsidRPr="003920D7">
              <w:rPr>
                <w:lang w:val="en-GB" w:eastAsia="en-CA"/>
              </w:rPr>
              <w:t>3</w:t>
            </w:r>
          </w:p>
        </w:tc>
        <w:tc>
          <w:tcPr>
            <w:tcW w:w="961" w:type="dxa"/>
            <w:tcBorders>
              <w:top w:val="nil"/>
              <w:left w:val="nil"/>
              <w:bottom w:val="nil"/>
              <w:right w:val="nil"/>
            </w:tcBorders>
            <w:shd w:val="clear" w:color="auto" w:fill="auto"/>
            <w:vAlign w:val="bottom"/>
            <w:hideMark/>
          </w:tcPr>
          <w:p w14:paraId="5120A78B" w14:textId="77777777" w:rsidR="004269DF" w:rsidRPr="003920D7" w:rsidRDefault="004269DF" w:rsidP="00FF1DE0">
            <w:pPr>
              <w:pStyle w:val="ExhibitText"/>
              <w:jc w:val="right"/>
              <w:rPr>
                <w:lang w:val="en-GB" w:eastAsia="en-CA"/>
              </w:rPr>
            </w:pPr>
            <w:r w:rsidRPr="003920D7">
              <w:rPr>
                <w:lang w:val="en-GB" w:eastAsia="en-CA"/>
              </w:rPr>
              <w:t xml:space="preserve">150.0 </w:t>
            </w:r>
          </w:p>
        </w:tc>
        <w:tc>
          <w:tcPr>
            <w:tcW w:w="952" w:type="dxa"/>
            <w:tcBorders>
              <w:top w:val="nil"/>
              <w:left w:val="nil"/>
              <w:bottom w:val="nil"/>
              <w:right w:val="nil"/>
            </w:tcBorders>
            <w:shd w:val="clear" w:color="auto" w:fill="auto"/>
            <w:vAlign w:val="bottom"/>
            <w:hideMark/>
          </w:tcPr>
          <w:p w14:paraId="6CC87282" w14:textId="77777777" w:rsidR="004269DF" w:rsidRPr="003920D7" w:rsidRDefault="004269DF" w:rsidP="00FF1DE0">
            <w:pPr>
              <w:pStyle w:val="ExhibitText"/>
              <w:jc w:val="right"/>
              <w:rPr>
                <w:lang w:val="en-GB" w:eastAsia="en-CA"/>
              </w:rPr>
            </w:pPr>
            <w:r w:rsidRPr="003920D7">
              <w:rPr>
                <w:lang w:val="en-GB" w:eastAsia="en-CA"/>
              </w:rPr>
              <w:t xml:space="preserve">66.8 </w:t>
            </w:r>
          </w:p>
        </w:tc>
        <w:tc>
          <w:tcPr>
            <w:tcW w:w="770" w:type="dxa"/>
            <w:tcBorders>
              <w:top w:val="nil"/>
              <w:left w:val="nil"/>
              <w:bottom w:val="nil"/>
              <w:right w:val="nil"/>
            </w:tcBorders>
            <w:shd w:val="clear" w:color="auto" w:fill="auto"/>
            <w:noWrap/>
            <w:vAlign w:val="bottom"/>
            <w:hideMark/>
          </w:tcPr>
          <w:p w14:paraId="60DDDE75" w14:textId="77777777" w:rsidR="004269DF" w:rsidRPr="003920D7" w:rsidRDefault="004269DF" w:rsidP="00FF1DE0">
            <w:pPr>
              <w:pStyle w:val="ExhibitText"/>
              <w:jc w:val="right"/>
              <w:rPr>
                <w:lang w:val="en-GB" w:eastAsia="en-CA"/>
              </w:rPr>
            </w:pPr>
            <w:r w:rsidRPr="003920D7">
              <w:rPr>
                <w:lang w:val="en-GB" w:eastAsia="en-CA"/>
              </w:rPr>
              <w:t>45%</w:t>
            </w:r>
          </w:p>
        </w:tc>
      </w:tr>
      <w:tr w:rsidR="004269DF" w:rsidRPr="003920D7" w14:paraId="516CBC4E" w14:textId="77777777" w:rsidTr="00D05797">
        <w:trPr>
          <w:trHeight w:val="300"/>
          <w:jc w:val="center"/>
        </w:trPr>
        <w:tc>
          <w:tcPr>
            <w:tcW w:w="6300" w:type="dxa"/>
            <w:tcBorders>
              <w:top w:val="nil"/>
              <w:left w:val="nil"/>
              <w:bottom w:val="nil"/>
              <w:right w:val="nil"/>
            </w:tcBorders>
            <w:shd w:val="clear" w:color="auto" w:fill="auto"/>
            <w:noWrap/>
            <w:vAlign w:val="bottom"/>
            <w:hideMark/>
          </w:tcPr>
          <w:p w14:paraId="79F32E26" w14:textId="4DD210BF" w:rsidR="004269DF" w:rsidRPr="003920D7" w:rsidRDefault="004269DF" w:rsidP="00D05797">
            <w:pPr>
              <w:pStyle w:val="ExhibitText"/>
              <w:jc w:val="left"/>
              <w:rPr>
                <w:lang w:val="en-GB" w:eastAsia="en-CA"/>
              </w:rPr>
            </w:pPr>
            <w:r w:rsidRPr="003920D7">
              <w:rPr>
                <w:lang w:val="en-GB" w:eastAsia="en-CA"/>
              </w:rPr>
              <w:t>$90</w:t>
            </w:r>
            <w:r w:rsidR="003B574E" w:rsidRPr="003920D7">
              <w:rPr>
                <w:lang w:val="en-GB" w:eastAsia="en-CA"/>
              </w:rPr>
              <w:t xml:space="preserve"> million</w:t>
            </w:r>
            <w:r w:rsidRPr="003920D7">
              <w:rPr>
                <w:lang w:val="en-GB" w:eastAsia="en-CA"/>
              </w:rPr>
              <w:t xml:space="preserve"> 9.5</w:t>
            </w:r>
            <w:r w:rsidR="00D62DCF" w:rsidRPr="003920D7">
              <w:rPr>
                <w:lang w:val="en-GB" w:eastAsia="en-CA"/>
              </w:rPr>
              <w:t>%</w:t>
            </w:r>
            <w:r w:rsidR="00D62DCF">
              <w:rPr>
                <w:lang w:val="en-GB" w:eastAsia="en-CA"/>
              </w:rPr>
              <w:t xml:space="preserve"> </w:t>
            </w:r>
            <w:r w:rsidRPr="003920D7">
              <w:rPr>
                <w:lang w:val="en-GB" w:eastAsia="en-CA"/>
              </w:rPr>
              <w:t xml:space="preserve">Convertible Subordinated Unsecured Debentures due </w:t>
            </w:r>
            <w:r w:rsidR="003B574E" w:rsidRPr="003920D7">
              <w:rPr>
                <w:lang w:val="en-GB" w:eastAsia="en-CA"/>
              </w:rPr>
              <w:t>20</w:t>
            </w:r>
            <w:r w:rsidRPr="003920D7">
              <w:rPr>
                <w:lang w:val="en-GB" w:eastAsia="en-CA"/>
              </w:rPr>
              <w:t>07</w:t>
            </w:r>
          </w:p>
        </w:tc>
        <w:tc>
          <w:tcPr>
            <w:tcW w:w="810" w:type="dxa"/>
            <w:tcBorders>
              <w:top w:val="nil"/>
              <w:left w:val="nil"/>
              <w:bottom w:val="nil"/>
              <w:right w:val="nil"/>
            </w:tcBorders>
            <w:shd w:val="clear" w:color="auto" w:fill="auto"/>
            <w:vAlign w:val="bottom"/>
            <w:hideMark/>
          </w:tcPr>
          <w:p w14:paraId="013E57AD" w14:textId="77777777" w:rsidR="004269DF" w:rsidRPr="003920D7" w:rsidRDefault="004269DF" w:rsidP="00FF1DE0">
            <w:pPr>
              <w:pStyle w:val="ExhibitText"/>
              <w:jc w:val="right"/>
              <w:rPr>
                <w:lang w:val="en-GB" w:eastAsia="en-CA"/>
              </w:rPr>
            </w:pPr>
            <w:r w:rsidRPr="003920D7">
              <w:rPr>
                <w:lang w:val="en-GB" w:eastAsia="en-CA"/>
              </w:rPr>
              <w:t>4</w:t>
            </w:r>
          </w:p>
        </w:tc>
        <w:tc>
          <w:tcPr>
            <w:tcW w:w="961" w:type="dxa"/>
            <w:tcBorders>
              <w:top w:val="nil"/>
              <w:left w:val="nil"/>
              <w:bottom w:val="nil"/>
              <w:right w:val="nil"/>
            </w:tcBorders>
            <w:shd w:val="clear" w:color="auto" w:fill="auto"/>
            <w:vAlign w:val="bottom"/>
            <w:hideMark/>
          </w:tcPr>
          <w:p w14:paraId="4FB642AA" w14:textId="77777777" w:rsidR="004269DF" w:rsidRPr="003920D7" w:rsidRDefault="004269DF" w:rsidP="00FF1DE0">
            <w:pPr>
              <w:pStyle w:val="ExhibitText"/>
              <w:jc w:val="right"/>
              <w:rPr>
                <w:lang w:val="en-GB" w:eastAsia="en-CA"/>
              </w:rPr>
            </w:pPr>
            <w:r w:rsidRPr="003920D7">
              <w:rPr>
                <w:lang w:val="en-GB" w:eastAsia="en-CA"/>
              </w:rPr>
              <w:t xml:space="preserve">96.0 </w:t>
            </w:r>
          </w:p>
        </w:tc>
        <w:tc>
          <w:tcPr>
            <w:tcW w:w="952" w:type="dxa"/>
            <w:tcBorders>
              <w:top w:val="nil"/>
              <w:left w:val="nil"/>
              <w:bottom w:val="nil"/>
              <w:right w:val="nil"/>
            </w:tcBorders>
            <w:shd w:val="clear" w:color="auto" w:fill="auto"/>
            <w:vAlign w:val="bottom"/>
            <w:hideMark/>
          </w:tcPr>
          <w:p w14:paraId="1E286427" w14:textId="77777777" w:rsidR="004269DF" w:rsidRPr="003920D7" w:rsidRDefault="004269DF" w:rsidP="00FF1DE0">
            <w:pPr>
              <w:pStyle w:val="ExhibitText"/>
              <w:jc w:val="right"/>
              <w:rPr>
                <w:lang w:val="en-GB" w:eastAsia="en-CA"/>
              </w:rPr>
            </w:pPr>
            <w:r w:rsidRPr="003920D7">
              <w:rPr>
                <w:lang w:val="en-GB" w:eastAsia="en-CA"/>
              </w:rPr>
              <w:t xml:space="preserve">35.8 </w:t>
            </w:r>
          </w:p>
        </w:tc>
        <w:tc>
          <w:tcPr>
            <w:tcW w:w="770" w:type="dxa"/>
            <w:tcBorders>
              <w:top w:val="nil"/>
              <w:left w:val="nil"/>
              <w:bottom w:val="nil"/>
              <w:right w:val="nil"/>
            </w:tcBorders>
            <w:shd w:val="clear" w:color="auto" w:fill="auto"/>
            <w:noWrap/>
            <w:vAlign w:val="bottom"/>
            <w:hideMark/>
          </w:tcPr>
          <w:p w14:paraId="0E96FCCB" w14:textId="77777777" w:rsidR="004269DF" w:rsidRPr="003920D7" w:rsidRDefault="004269DF" w:rsidP="00FF1DE0">
            <w:pPr>
              <w:pStyle w:val="ExhibitText"/>
              <w:jc w:val="right"/>
              <w:rPr>
                <w:lang w:val="en-GB" w:eastAsia="en-CA"/>
              </w:rPr>
            </w:pPr>
            <w:r w:rsidRPr="003920D7">
              <w:rPr>
                <w:lang w:val="en-GB" w:eastAsia="en-CA"/>
              </w:rPr>
              <w:t>37%</w:t>
            </w:r>
          </w:p>
        </w:tc>
      </w:tr>
      <w:tr w:rsidR="004269DF" w:rsidRPr="003920D7" w14:paraId="69A63407" w14:textId="77777777" w:rsidTr="00D05797">
        <w:trPr>
          <w:trHeight w:val="300"/>
          <w:jc w:val="center"/>
        </w:trPr>
        <w:tc>
          <w:tcPr>
            <w:tcW w:w="6300" w:type="dxa"/>
            <w:tcBorders>
              <w:top w:val="nil"/>
              <w:left w:val="nil"/>
              <w:bottom w:val="nil"/>
              <w:right w:val="nil"/>
            </w:tcBorders>
            <w:shd w:val="clear" w:color="auto" w:fill="auto"/>
            <w:vAlign w:val="bottom"/>
            <w:hideMark/>
          </w:tcPr>
          <w:p w14:paraId="5380DDE4" w14:textId="5114FF7B" w:rsidR="004269DF" w:rsidRPr="003920D7" w:rsidRDefault="004269DF" w:rsidP="00D05797">
            <w:pPr>
              <w:pStyle w:val="ExhibitText"/>
              <w:jc w:val="left"/>
              <w:rPr>
                <w:lang w:val="en-GB" w:eastAsia="en-CA"/>
              </w:rPr>
            </w:pPr>
            <w:r w:rsidRPr="003920D7">
              <w:rPr>
                <w:lang w:val="en-GB" w:eastAsia="en-CA"/>
              </w:rPr>
              <w:t>Total On-Balance</w:t>
            </w:r>
            <w:r w:rsidR="0031787A" w:rsidRPr="003920D7">
              <w:rPr>
                <w:lang w:val="en-GB" w:eastAsia="en-CA"/>
              </w:rPr>
              <w:t>-</w:t>
            </w:r>
            <w:r w:rsidRPr="003920D7">
              <w:rPr>
                <w:lang w:val="en-GB" w:eastAsia="en-CA"/>
              </w:rPr>
              <w:t>Sheet Debt</w:t>
            </w:r>
          </w:p>
        </w:tc>
        <w:tc>
          <w:tcPr>
            <w:tcW w:w="810" w:type="dxa"/>
            <w:tcBorders>
              <w:top w:val="nil"/>
              <w:left w:val="nil"/>
              <w:bottom w:val="nil"/>
              <w:right w:val="nil"/>
            </w:tcBorders>
            <w:shd w:val="clear" w:color="auto" w:fill="auto"/>
            <w:vAlign w:val="bottom"/>
            <w:hideMark/>
          </w:tcPr>
          <w:p w14:paraId="11CD60B4"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0F0389F3" w14:textId="77777777" w:rsidR="004269DF" w:rsidRPr="003920D7" w:rsidRDefault="004269DF" w:rsidP="00FF1DE0">
            <w:pPr>
              <w:pStyle w:val="ExhibitText"/>
              <w:jc w:val="right"/>
              <w:rPr>
                <w:lang w:val="en-GB" w:eastAsia="en-CA"/>
              </w:rPr>
            </w:pPr>
            <w:r w:rsidRPr="003920D7">
              <w:rPr>
                <w:lang w:val="en-GB" w:eastAsia="en-CA"/>
              </w:rPr>
              <w:t xml:space="preserve">721.0 </w:t>
            </w:r>
          </w:p>
        </w:tc>
        <w:tc>
          <w:tcPr>
            <w:tcW w:w="952" w:type="dxa"/>
            <w:tcBorders>
              <w:top w:val="nil"/>
              <w:left w:val="nil"/>
              <w:bottom w:val="nil"/>
              <w:right w:val="nil"/>
            </w:tcBorders>
            <w:shd w:val="clear" w:color="auto" w:fill="auto"/>
            <w:vAlign w:val="bottom"/>
            <w:hideMark/>
          </w:tcPr>
          <w:p w14:paraId="15CFD75E" w14:textId="77777777" w:rsidR="004269DF" w:rsidRPr="003920D7" w:rsidRDefault="004269DF" w:rsidP="00FF1DE0">
            <w:pPr>
              <w:pStyle w:val="ExhibitText"/>
              <w:jc w:val="right"/>
              <w:rPr>
                <w:lang w:val="en-GB" w:eastAsia="en-CA"/>
              </w:rPr>
            </w:pPr>
            <w:r w:rsidRPr="003920D7">
              <w:rPr>
                <w:lang w:val="en-GB" w:eastAsia="en-CA"/>
              </w:rPr>
              <w:t xml:space="preserve">508.2 </w:t>
            </w:r>
          </w:p>
        </w:tc>
        <w:tc>
          <w:tcPr>
            <w:tcW w:w="770" w:type="dxa"/>
            <w:tcBorders>
              <w:top w:val="nil"/>
              <w:left w:val="nil"/>
              <w:bottom w:val="nil"/>
              <w:right w:val="nil"/>
            </w:tcBorders>
            <w:shd w:val="clear" w:color="auto" w:fill="auto"/>
            <w:noWrap/>
            <w:vAlign w:val="bottom"/>
            <w:hideMark/>
          </w:tcPr>
          <w:p w14:paraId="6185EB71" w14:textId="77777777" w:rsidR="004269DF" w:rsidRPr="003920D7" w:rsidRDefault="004269DF" w:rsidP="00FF1DE0">
            <w:pPr>
              <w:pStyle w:val="ExhibitText"/>
              <w:jc w:val="right"/>
              <w:rPr>
                <w:lang w:val="en-GB" w:eastAsia="en-CA"/>
              </w:rPr>
            </w:pPr>
            <w:r w:rsidRPr="003920D7">
              <w:rPr>
                <w:lang w:val="en-GB" w:eastAsia="en-CA"/>
              </w:rPr>
              <w:t>70%</w:t>
            </w:r>
          </w:p>
        </w:tc>
      </w:tr>
      <w:tr w:rsidR="004269DF" w:rsidRPr="003920D7" w14:paraId="26989A51" w14:textId="77777777" w:rsidTr="00D05797">
        <w:trPr>
          <w:trHeight w:val="300"/>
          <w:jc w:val="center"/>
        </w:trPr>
        <w:tc>
          <w:tcPr>
            <w:tcW w:w="6300" w:type="dxa"/>
            <w:tcBorders>
              <w:top w:val="nil"/>
              <w:left w:val="nil"/>
              <w:bottom w:val="nil"/>
              <w:right w:val="nil"/>
            </w:tcBorders>
            <w:shd w:val="clear" w:color="auto" w:fill="auto"/>
            <w:vAlign w:val="bottom"/>
            <w:hideMark/>
          </w:tcPr>
          <w:p w14:paraId="2826D28D" w14:textId="77777777" w:rsidR="004269DF" w:rsidRPr="003920D7" w:rsidRDefault="004269DF" w:rsidP="00D05797">
            <w:pPr>
              <w:pStyle w:val="ExhibitText"/>
              <w:jc w:val="left"/>
              <w:rPr>
                <w:lang w:val="en-GB" w:eastAsia="en-CA"/>
              </w:rPr>
            </w:pPr>
          </w:p>
        </w:tc>
        <w:tc>
          <w:tcPr>
            <w:tcW w:w="810" w:type="dxa"/>
            <w:tcBorders>
              <w:top w:val="nil"/>
              <w:left w:val="nil"/>
              <w:bottom w:val="nil"/>
              <w:right w:val="nil"/>
            </w:tcBorders>
            <w:shd w:val="clear" w:color="auto" w:fill="auto"/>
            <w:vAlign w:val="bottom"/>
            <w:hideMark/>
          </w:tcPr>
          <w:p w14:paraId="7468352D"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5CCCE3E6" w14:textId="77777777" w:rsidR="004269DF" w:rsidRPr="003920D7" w:rsidRDefault="004269DF" w:rsidP="00FF1DE0">
            <w:pPr>
              <w:pStyle w:val="ExhibitText"/>
              <w:jc w:val="right"/>
              <w:rPr>
                <w:lang w:val="en-GB" w:eastAsia="en-CA"/>
              </w:rPr>
            </w:pPr>
          </w:p>
        </w:tc>
        <w:tc>
          <w:tcPr>
            <w:tcW w:w="952" w:type="dxa"/>
            <w:tcBorders>
              <w:top w:val="nil"/>
              <w:left w:val="nil"/>
              <w:bottom w:val="nil"/>
              <w:right w:val="nil"/>
            </w:tcBorders>
            <w:shd w:val="clear" w:color="auto" w:fill="auto"/>
            <w:vAlign w:val="bottom"/>
            <w:hideMark/>
          </w:tcPr>
          <w:p w14:paraId="3B4FE5C4" w14:textId="77777777" w:rsidR="004269DF" w:rsidRPr="003920D7" w:rsidRDefault="004269DF" w:rsidP="00FF1DE0">
            <w:pPr>
              <w:pStyle w:val="ExhibitText"/>
              <w:jc w:val="right"/>
              <w:rPr>
                <w:lang w:val="en-GB" w:eastAsia="en-CA"/>
              </w:rPr>
            </w:pPr>
          </w:p>
        </w:tc>
        <w:tc>
          <w:tcPr>
            <w:tcW w:w="770" w:type="dxa"/>
            <w:tcBorders>
              <w:top w:val="nil"/>
              <w:left w:val="nil"/>
              <w:bottom w:val="nil"/>
              <w:right w:val="nil"/>
            </w:tcBorders>
            <w:shd w:val="clear" w:color="auto" w:fill="auto"/>
            <w:noWrap/>
            <w:vAlign w:val="bottom"/>
            <w:hideMark/>
          </w:tcPr>
          <w:p w14:paraId="032E69AC" w14:textId="77777777" w:rsidR="004269DF" w:rsidRPr="003920D7" w:rsidRDefault="004269DF" w:rsidP="00FF1DE0">
            <w:pPr>
              <w:pStyle w:val="ExhibitText"/>
              <w:jc w:val="right"/>
              <w:rPr>
                <w:lang w:val="en-GB" w:eastAsia="en-CA"/>
              </w:rPr>
            </w:pPr>
          </w:p>
        </w:tc>
      </w:tr>
      <w:tr w:rsidR="004269DF" w:rsidRPr="003920D7" w14:paraId="338C2AFA" w14:textId="77777777" w:rsidTr="00D05797">
        <w:trPr>
          <w:trHeight w:val="300"/>
          <w:jc w:val="center"/>
        </w:trPr>
        <w:tc>
          <w:tcPr>
            <w:tcW w:w="6300" w:type="dxa"/>
            <w:tcBorders>
              <w:top w:val="nil"/>
              <w:left w:val="nil"/>
              <w:bottom w:val="nil"/>
              <w:right w:val="nil"/>
            </w:tcBorders>
            <w:shd w:val="clear" w:color="auto" w:fill="auto"/>
            <w:vAlign w:val="bottom"/>
            <w:hideMark/>
          </w:tcPr>
          <w:p w14:paraId="4764DD0F" w14:textId="4F1D73FA" w:rsidR="004269DF" w:rsidRPr="003920D7" w:rsidRDefault="004269DF" w:rsidP="00916954">
            <w:pPr>
              <w:pStyle w:val="ExhibitText"/>
              <w:jc w:val="left"/>
              <w:rPr>
                <w:lang w:val="en-GB" w:eastAsia="en-CA"/>
              </w:rPr>
            </w:pPr>
            <w:r w:rsidRPr="003920D7">
              <w:rPr>
                <w:lang w:val="en-GB" w:eastAsia="en-CA"/>
              </w:rPr>
              <w:t>Pension Benefit Plans</w:t>
            </w:r>
            <w:r w:rsidR="00916954">
              <w:rPr>
                <w:lang w:val="en-GB" w:eastAsia="en-CA"/>
              </w:rPr>
              <w:t>—</w:t>
            </w:r>
            <w:r w:rsidRPr="003920D7">
              <w:rPr>
                <w:lang w:val="en-GB" w:eastAsia="en-CA"/>
              </w:rPr>
              <w:t>Plan Deficit (Surplus)</w:t>
            </w:r>
          </w:p>
        </w:tc>
        <w:tc>
          <w:tcPr>
            <w:tcW w:w="810" w:type="dxa"/>
            <w:tcBorders>
              <w:top w:val="nil"/>
              <w:left w:val="nil"/>
              <w:bottom w:val="nil"/>
              <w:right w:val="nil"/>
            </w:tcBorders>
            <w:shd w:val="clear" w:color="auto" w:fill="auto"/>
            <w:vAlign w:val="bottom"/>
            <w:hideMark/>
          </w:tcPr>
          <w:p w14:paraId="03816BCF" w14:textId="77777777" w:rsidR="004269DF" w:rsidRPr="003920D7" w:rsidRDefault="004269DF" w:rsidP="00FF1DE0">
            <w:pPr>
              <w:pStyle w:val="ExhibitText"/>
              <w:jc w:val="right"/>
              <w:rPr>
                <w:lang w:val="en-GB" w:eastAsia="en-CA"/>
              </w:rPr>
            </w:pPr>
            <w:r w:rsidRPr="003920D7">
              <w:rPr>
                <w:lang w:val="en-GB" w:eastAsia="en-CA"/>
              </w:rPr>
              <w:t>5</w:t>
            </w:r>
          </w:p>
        </w:tc>
        <w:tc>
          <w:tcPr>
            <w:tcW w:w="961" w:type="dxa"/>
            <w:tcBorders>
              <w:top w:val="nil"/>
              <w:left w:val="nil"/>
              <w:bottom w:val="nil"/>
              <w:right w:val="nil"/>
            </w:tcBorders>
            <w:shd w:val="clear" w:color="auto" w:fill="auto"/>
            <w:vAlign w:val="bottom"/>
            <w:hideMark/>
          </w:tcPr>
          <w:p w14:paraId="17119222" w14:textId="77777777" w:rsidR="004269DF" w:rsidRPr="003920D7" w:rsidRDefault="004269DF" w:rsidP="00FF1DE0">
            <w:pPr>
              <w:pStyle w:val="ExhibitText"/>
              <w:jc w:val="right"/>
              <w:rPr>
                <w:lang w:val="en-GB" w:eastAsia="en-CA"/>
              </w:rPr>
            </w:pPr>
            <w:r w:rsidRPr="003920D7">
              <w:rPr>
                <w:lang w:val="en-GB" w:eastAsia="en-CA"/>
              </w:rPr>
              <w:t xml:space="preserve">650.0 </w:t>
            </w:r>
          </w:p>
        </w:tc>
        <w:tc>
          <w:tcPr>
            <w:tcW w:w="952" w:type="dxa"/>
            <w:tcBorders>
              <w:top w:val="nil"/>
              <w:left w:val="nil"/>
              <w:bottom w:val="nil"/>
              <w:right w:val="nil"/>
            </w:tcBorders>
            <w:shd w:val="clear" w:color="auto" w:fill="auto"/>
            <w:vAlign w:val="bottom"/>
            <w:hideMark/>
          </w:tcPr>
          <w:p w14:paraId="181FE318" w14:textId="77777777" w:rsidR="004269DF" w:rsidRPr="003920D7" w:rsidRDefault="004269DF" w:rsidP="00FF1DE0">
            <w:pPr>
              <w:pStyle w:val="ExhibitText"/>
              <w:jc w:val="right"/>
              <w:rPr>
                <w:lang w:val="en-GB" w:eastAsia="en-CA"/>
              </w:rPr>
            </w:pPr>
            <w:r w:rsidRPr="003920D7">
              <w:rPr>
                <w:lang w:val="en-GB" w:eastAsia="en-CA"/>
              </w:rPr>
              <w:t xml:space="preserve">650.0 </w:t>
            </w:r>
          </w:p>
        </w:tc>
        <w:tc>
          <w:tcPr>
            <w:tcW w:w="770" w:type="dxa"/>
            <w:tcBorders>
              <w:top w:val="nil"/>
              <w:left w:val="nil"/>
              <w:bottom w:val="nil"/>
              <w:right w:val="nil"/>
            </w:tcBorders>
            <w:shd w:val="clear" w:color="auto" w:fill="auto"/>
            <w:noWrap/>
            <w:vAlign w:val="bottom"/>
            <w:hideMark/>
          </w:tcPr>
          <w:p w14:paraId="1A57C0CD"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516A00F8" w14:textId="77777777" w:rsidTr="00D05797">
        <w:trPr>
          <w:trHeight w:val="300"/>
          <w:jc w:val="center"/>
        </w:trPr>
        <w:tc>
          <w:tcPr>
            <w:tcW w:w="6300" w:type="dxa"/>
            <w:tcBorders>
              <w:top w:val="nil"/>
              <w:left w:val="nil"/>
              <w:bottom w:val="nil"/>
              <w:right w:val="nil"/>
            </w:tcBorders>
            <w:shd w:val="clear" w:color="auto" w:fill="auto"/>
            <w:vAlign w:val="bottom"/>
            <w:hideMark/>
          </w:tcPr>
          <w:p w14:paraId="23597CA2" w14:textId="14348C8F" w:rsidR="004269DF" w:rsidRPr="003920D7" w:rsidRDefault="004269DF" w:rsidP="00916954">
            <w:pPr>
              <w:pStyle w:val="ExhibitText"/>
              <w:jc w:val="left"/>
              <w:rPr>
                <w:lang w:val="en-GB" w:eastAsia="en-CA"/>
              </w:rPr>
            </w:pPr>
            <w:r w:rsidRPr="003920D7">
              <w:rPr>
                <w:lang w:val="en-GB" w:eastAsia="en-CA"/>
              </w:rPr>
              <w:t>Other Benefits Plan</w:t>
            </w:r>
            <w:r w:rsidR="00916954">
              <w:rPr>
                <w:lang w:val="en-GB" w:eastAsia="en-CA"/>
              </w:rPr>
              <w:t>—</w:t>
            </w:r>
            <w:r w:rsidRPr="003920D7">
              <w:rPr>
                <w:lang w:val="en-GB" w:eastAsia="en-CA"/>
              </w:rPr>
              <w:t>Plan Deficit (Surplus)</w:t>
            </w:r>
          </w:p>
        </w:tc>
        <w:tc>
          <w:tcPr>
            <w:tcW w:w="810" w:type="dxa"/>
            <w:tcBorders>
              <w:top w:val="nil"/>
              <w:left w:val="nil"/>
              <w:bottom w:val="nil"/>
              <w:right w:val="nil"/>
            </w:tcBorders>
            <w:shd w:val="clear" w:color="auto" w:fill="auto"/>
            <w:vAlign w:val="bottom"/>
            <w:hideMark/>
          </w:tcPr>
          <w:p w14:paraId="3B0F1517" w14:textId="77777777" w:rsidR="004269DF" w:rsidRPr="003920D7" w:rsidRDefault="004269DF" w:rsidP="00FF1DE0">
            <w:pPr>
              <w:pStyle w:val="ExhibitText"/>
              <w:jc w:val="right"/>
              <w:rPr>
                <w:lang w:val="en-GB" w:eastAsia="en-CA"/>
              </w:rPr>
            </w:pPr>
            <w:r w:rsidRPr="003920D7">
              <w:rPr>
                <w:lang w:val="en-GB" w:eastAsia="en-CA"/>
              </w:rPr>
              <w:t>5</w:t>
            </w:r>
          </w:p>
        </w:tc>
        <w:tc>
          <w:tcPr>
            <w:tcW w:w="961" w:type="dxa"/>
            <w:tcBorders>
              <w:top w:val="nil"/>
              <w:left w:val="nil"/>
              <w:bottom w:val="nil"/>
              <w:right w:val="nil"/>
            </w:tcBorders>
            <w:shd w:val="clear" w:color="auto" w:fill="auto"/>
            <w:vAlign w:val="bottom"/>
            <w:hideMark/>
          </w:tcPr>
          <w:p w14:paraId="4CA8DCB6" w14:textId="77777777" w:rsidR="004269DF" w:rsidRPr="003920D7" w:rsidRDefault="004269DF" w:rsidP="00FF1DE0">
            <w:pPr>
              <w:pStyle w:val="ExhibitText"/>
              <w:jc w:val="right"/>
              <w:rPr>
                <w:u w:val="single"/>
                <w:lang w:val="en-GB" w:eastAsia="en-CA"/>
              </w:rPr>
            </w:pPr>
            <w:r w:rsidRPr="003920D7">
              <w:rPr>
                <w:u w:val="single"/>
                <w:lang w:val="en-GB" w:eastAsia="en-CA"/>
              </w:rPr>
              <w:t xml:space="preserve">1,073.0 </w:t>
            </w:r>
          </w:p>
        </w:tc>
        <w:tc>
          <w:tcPr>
            <w:tcW w:w="952" w:type="dxa"/>
            <w:tcBorders>
              <w:top w:val="nil"/>
              <w:left w:val="nil"/>
              <w:bottom w:val="nil"/>
              <w:right w:val="nil"/>
            </w:tcBorders>
            <w:shd w:val="clear" w:color="auto" w:fill="auto"/>
            <w:vAlign w:val="bottom"/>
            <w:hideMark/>
          </w:tcPr>
          <w:p w14:paraId="0528054B" w14:textId="77777777" w:rsidR="004269DF" w:rsidRPr="003920D7" w:rsidRDefault="004269DF" w:rsidP="00FF1DE0">
            <w:pPr>
              <w:pStyle w:val="ExhibitText"/>
              <w:jc w:val="right"/>
              <w:rPr>
                <w:u w:val="single"/>
                <w:lang w:val="en-GB" w:eastAsia="en-CA"/>
              </w:rPr>
            </w:pPr>
            <w:r w:rsidRPr="003920D7">
              <w:rPr>
                <w:u w:val="single"/>
                <w:lang w:val="en-GB" w:eastAsia="en-CA"/>
              </w:rPr>
              <w:t xml:space="preserve">1,073.0 </w:t>
            </w:r>
          </w:p>
        </w:tc>
        <w:tc>
          <w:tcPr>
            <w:tcW w:w="770" w:type="dxa"/>
            <w:tcBorders>
              <w:top w:val="nil"/>
              <w:left w:val="nil"/>
              <w:bottom w:val="nil"/>
              <w:right w:val="nil"/>
            </w:tcBorders>
            <w:shd w:val="clear" w:color="auto" w:fill="auto"/>
            <w:noWrap/>
            <w:vAlign w:val="bottom"/>
            <w:hideMark/>
          </w:tcPr>
          <w:p w14:paraId="6B5FB32F"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51321D80" w14:textId="77777777" w:rsidTr="00D05797">
        <w:trPr>
          <w:trHeight w:val="300"/>
          <w:jc w:val="center"/>
        </w:trPr>
        <w:tc>
          <w:tcPr>
            <w:tcW w:w="6300" w:type="dxa"/>
            <w:tcBorders>
              <w:top w:val="nil"/>
              <w:left w:val="nil"/>
              <w:bottom w:val="nil"/>
              <w:right w:val="nil"/>
            </w:tcBorders>
            <w:shd w:val="clear" w:color="auto" w:fill="auto"/>
            <w:vAlign w:val="bottom"/>
            <w:hideMark/>
          </w:tcPr>
          <w:p w14:paraId="6AB3FD56" w14:textId="2D9A0274" w:rsidR="004269DF" w:rsidRPr="003920D7" w:rsidRDefault="004269DF" w:rsidP="00D05797">
            <w:pPr>
              <w:pStyle w:val="ExhibitText"/>
              <w:jc w:val="left"/>
              <w:rPr>
                <w:lang w:val="en-GB" w:eastAsia="en-CA"/>
              </w:rPr>
            </w:pPr>
            <w:r w:rsidRPr="003920D7">
              <w:rPr>
                <w:lang w:val="en-GB" w:eastAsia="en-CA"/>
              </w:rPr>
              <w:t>Total Off-Balance</w:t>
            </w:r>
            <w:r w:rsidR="0031787A" w:rsidRPr="003920D7">
              <w:rPr>
                <w:lang w:val="en-GB" w:eastAsia="en-CA"/>
              </w:rPr>
              <w:t>-</w:t>
            </w:r>
            <w:r w:rsidRPr="003920D7">
              <w:rPr>
                <w:lang w:val="en-GB" w:eastAsia="en-CA"/>
              </w:rPr>
              <w:t>Sheet Debt</w:t>
            </w:r>
          </w:p>
        </w:tc>
        <w:tc>
          <w:tcPr>
            <w:tcW w:w="810" w:type="dxa"/>
            <w:tcBorders>
              <w:top w:val="nil"/>
              <w:left w:val="nil"/>
              <w:bottom w:val="nil"/>
              <w:right w:val="nil"/>
            </w:tcBorders>
            <w:shd w:val="clear" w:color="auto" w:fill="auto"/>
            <w:vAlign w:val="bottom"/>
            <w:hideMark/>
          </w:tcPr>
          <w:p w14:paraId="160AC4E1"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362FB026" w14:textId="77777777" w:rsidR="004269DF" w:rsidRPr="003920D7" w:rsidRDefault="004269DF" w:rsidP="00FF1DE0">
            <w:pPr>
              <w:pStyle w:val="ExhibitText"/>
              <w:jc w:val="right"/>
              <w:rPr>
                <w:lang w:val="en-GB" w:eastAsia="en-CA"/>
              </w:rPr>
            </w:pPr>
            <w:r w:rsidRPr="003920D7">
              <w:rPr>
                <w:lang w:val="en-GB" w:eastAsia="en-CA"/>
              </w:rPr>
              <w:t xml:space="preserve">1,723.0 </w:t>
            </w:r>
          </w:p>
        </w:tc>
        <w:tc>
          <w:tcPr>
            <w:tcW w:w="952" w:type="dxa"/>
            <w:tcBorders>
              <w:top w:val="nil"/>
              <w:left w:val="nil"/>
              <w:bottom w:val="nil"/>
              <w:right w:val="nil"/>
            </w:tcBorders>
            <w:shd w:val="clear" w:color="auto" w:fill="auto"/>
            <w:vAlign w:val="bottom"/>
            <w:hideMark/>
          </w:tcPr>
          <w:p w14:paraId="5E85756C" w14:textId="77777777" w:rsidR="004269DF" w:rsidRPr="003920D7" w:rsidRDefault="004269DF" w:rsidP="00FF1DE0">
            <w:pPr>
              <w:pStyle w:val="ExhibitText"/>
              <w:jc w:val="right"/>
              <w:rPr>
                <w:lang w:val="en-GB" w:eastAsia="en-CA"/>
              </w:rPr>
            </w:pPr>
            <w:r w:rsidRPr="003920D7">
              <w:rPr>
                <w:lang w:val="en-GB" w:eastAsia="en-CA"/>
              </w:rPr>
              <w:t xml:space="preserve">1,723.0 </w:t>
            </w:r>
          </w:p>
        </w:tc>
        <w:tc>
          <w:tcPr>
            <w:tcW w:w="770" w:type="dxa"/>
            <w:tcBorders>
              <w:top w:val="nil"/>
              <w:left w:val="nil"/>
              <w:bottom w:val="nil"/>
              <w:right w:val="nil"/>
            </w:tcBorders>
            <w:shd w:val="clear" w:color="auto" w:fill="auto"/>
            <w:noWrap/>
            <w:vAlign w:val="bottom"/>
            <w:hideMark/>
          </w:tcPr>
          <w:p w14:paraId="40F6A559" w14:textId="77777777" w:rsidR="004269DF" w:rsidRPr="003920D7" w:rsidRDefault="004269DF" w:rsidP="00FF1DE0">
            <w:pPr>
              <w:pStyle w:val="ExhibitText"/>
              <w:jc w:val="right"/>
              <w:rPr>
                <w:lang w:val="en-GB" w:eastAsia="en-CA"/>
              </w:rPr>
            </w:pPr>
            <w:r w:rsidRPr="003920D7">
              <w:rPr>
                <w:lang w:val="en-GB" w:eastAsia="en-CA"/>
              </w:rPr>
              <w:t>100%</w:t>
            </w:r>
          </w:p>
        </w:tc>
      </w:tr>
      <w:tr w:rsidR="004269DF" w:rsidRPr="003920D7" w14:paraId="118F3DFA" w14:textId="77777777" w:rsidTr="00D05797">
        <w:trPr>
          <w:trHeight w:val="300"/>
          <w:jc w:val="center"/>
        </w:trPr>
        <w:tc>
          <w:tcPr>
            <w:tcW w:w="6300" w:type="dxa"/>
            <w:tcBorders>
              <w:top w:val="nil"/>
              <w:left w:val="nil"/>
              <w:bottom w:val="nil"/>
              <w:right w:val="nil"/>
            </w:tcBorders>
            <w:shd w:val="clear" w:color="auto" w:fill="auto"/>
            <w:vAlign w:val="bottom"/>
            <w:hideMark/>
          </w:tcPr>
          <w:p w14:paraId="0AA28CFF" w14:textId="77777777" w:rsidR="004269DF" w:rsidRPr="003920D7" w:rsidRDefault="004269DF" w:rsidP="00D05797">
            <w:pPr>
              <w:pStyle w:val="ExhibitText"/>
              <w:jc w:val="left"/>
              <w:rPr>
                <w:lang w:val="en-GB" w:eastAsia="en-CA"/>
              </w:rPr>
            </w:pPr>
          </w:p>
        </w:tc>
        <w:tc>
          <w:tcPr>
            <w:tcW w:w="810" w:type="dxa"/>
            <w:tcBorders>
              <w:top w:val="nil"/>
              <w:left w:val="nil"/>
              <w:bottom w:val="nil"/>
              <w:right w:val="nil"/>
            </w:tcBorders>
            <w:shd w:val="clear" w:color="auto" w:fill="auto"/>
            <w:vAlign w:val="bottom"/>
            <w:hideMark/>
          </w:tcPr>
          <w:p w14:paraId="1907CFC8"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5BBAE786" w14:textId="77777777" w:rsidR="004269DF" w:rsidRPr="003920D7" w:rsidRDefault="004269DF" w:rsidP="00FF1DE0">
            <w:pPr>
              <w:pStyle w:val="ExhibitText"/>
              <w:jc w:val="right"/>
              <w:rPr>
                <w:lang w:val="en-GB" w:eastAsia="en-CA"/>
              </w:rPr>
            </w:pPr>
          </w:p>
        </w:tc>
        <w:tc>
          <w:tcPr>
            <w:tcW w:w="952" w:type="dxa"/>
            <w:tcBorders>
              <w:top w:val="nil"/>
              <w:left w:val="nil"/>
              <w:bottom w:val="nil"/>
              <w:right w:val="nil"/>
            </w:tcBorders>
            <w:shd w:val="clear" w:color="auto" w:fill="auto"/>
            <w:vAlign w:val="bottom"/>
            <w:hideMark/>
          </w:tcPr>
          <w:p w14:paraId="2C50DE8A" w14:textId="77777777" w:rsidR="004269DF" w:rsidRPr="003920D7" w:rsidRDefault="004269DF" w:rsidP="00FF1DE0">
            <w:pPr>
              <w:pStyle w:val="ExhibitText"/>
              <w:jc w:val="right"/>
              <w:rPr>
                <w:lang w:val="en-GB" w:eastAsia="en-CA"/>
              </w:rPr>
            </w:pPr>
          </w:p>
        </w:tc>
        <w:tc>
          <w:tcPr>
            <w:tcW w:w="770" w:type="dxa"/>
            <w:tcBorders>
              <w:top w:val="nil"/>
              <w:left w:val="nil"/>
              <w:bottom w:val="nil"/>
              <w:right w:val="nil"/>
            </w:tcBorders>
            <w:shd w:val="clear" w:color="auto" w:fill="auto"/>
            <w:noWrap/>
            <w:vAlign w:val="bottom"/>
            <w:hideMark/>
          </w:tcPr>
          <w:p w14:paraId="35762C53" w14:textId="77777777" w:rsidR="004269DF" w:rsidRPr="003920D7" w:rsidRDefault="004269DF" w:rsidP="00FF1DE0">
            <w:pPr>
              <w:pStyle w:val="ExhibitText"/>
              <w:jc w:val="right"/>
              <w:rPr>
                <w:lang w:val="en-GB" w:eastAsia="en-CA"/>
              </w:rPr>
            </w:pPr>
          </w:p>
        </w:tc>
      </w:tr>
      <w:tr w:rsidR="004269DF" w:rsidRPr="003920D7" w14:paraId="0D3F576B" w14:textId="77777777" w:rsidTr="00D05797">
        <w:trPr>
          <w:trHeight w:val="300"/>
          <w:jc w:val="center"/>
        </w:trPr>
        <w:tc>
          <w:tcPr>
            <w:tcW w:w="6300" w:type="dxa"/>
            <w:tcBorders>
              <w:top w:val="nil"/>
              <w:left w:val="nil"/>
              <w:bottom w:val="nil"/>
              <w:right w:val="nil"/>
            </w:tcBorders>
            <w:shd w:val="clear" w:color="auto" w:fill="auto"/>
            <w:vAlign w:val="bottom"/>
            <w:hideMark/>
          </w:tcPr>
          <w:p w14:paraId="3F4960C9" w14:textId="085CE93F" w:rsidR="004269DF" w:rsidRPr="003920D7" w:rsidRDefault="004269DF" w:rsidP="00D05797">
            <w:pPr>
              <w:pStyle w:val="ExhibitText"/>
              <w:jc w:val="left"/>
              <w:rPr>
                <w:lang w:val="en-GB" w:eastAsia="en-CA"/>
              </w:rPr>
            </w:pPr>
            <w:r w:rsidRPr="003920D7">
              <w:rPr>
                <w:lang w:val="en-GB" w:eastAsia="en-CA"/>
              </w:rPr>
              <w:t>Total On</w:t>
            </w:r>
            <w:r w:rsidR="0031787A" w:rsidRPr="003920D7">
              <w:rPr>
                <w:lang w:val="en-GB" w:eastAsia="en-CA"/>
              </w:rPr>
              <w:t>-</w:t>
            </w:r>
            <w:r w:rsidRPr="003920D7">
              <w:rPr>
                <w:lang w:val="en-GB" w:eastAsia="en-CA"/>
              </w:rPr>
              <w:t xml:space="preserve"> and Off-Balance</w:t>
            </w:r>
            <w:r w:rsidR="0031787A" w:rsidRPr="003920D7">
              <w:rPr>
                <w:lang w:val="en-GB" w:eastAsia="en-CA"/>
              </w:rPr>
              <w:t>-</w:t>
            </w:r>
            <w:r w:rsidRPr="003920D7">
              <w:rPr>
                <w:lang w:val="en-GB" w:eastAsia="en-CA"/>
              </w:rPr>
              <w:t>Sheet Debt</w:t>
            </w:r>
          </w:p>
        </w:tc>
        <w:tc>
          <w:tcPr>
            <w:tcW w:w="810" w:type="dxa"/>
            <w:tcBorders>
              <w:top w:val="nil"/>
              <w:left w:val="nil"/>
              <w:bottom w:val="nil"/>
              <w:right w:val="nil"/>
            </w:tcBorders>
            <w:shd w:val="clear" w:color="auto" w:fill="auto"/>
            <w:vAlign w:val="bottom"/>
            <w:hideMark/>
          </w:tcPr>
          <w:p w14:paraId="7D12C500"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541C83DD" w14:textId="77777777" w:rsidR="004269DF" w:rsidRPr="003920D7" w:rsidRDefault="004269DF" w:rsidP="00FF1DE0">
            <w:pPr>
              <w:pStyle w:val="ExhibitText"/>
              <w:jc w:val="right"/>
              <w:rPr>
                <w:lang w:val="en-GB" w:eastAsia="en-CA"/>
              </w:rPr>
            </w:pPr>
            <w:r w:rsidRPr="003920D7">
              <w:rPr>
                <w:lang w:val="en-GB" w:eastAsia="en-CA"/>
              </w:rPr>
              <w:t xml:space="preserve">2,444.0 </w:t>
            </w:r>
          </w:p>
        </w:tc>
        <w:tc>
          <w:tcPr>
            <w:tcW w:w="952" w:type="dxa"/>
            <w:tcBorders>
              <w:top w:val="nil"/>
              <w:left w:val="nil"/>
              <w:bottom w:val="nil"/>
              <w:right w:val="nil"/>
            </w:tcBorders>
            <w:shd w:val="clear" w:color="auto" w:fill="auto"/>
            <w:vAlign w:val="bottom"/>
            <w:hideMark/>
          </w:tcPr>
          <w:p w14:paraId="64FBA0A8" w14:textId="77777777" w:rsidR="004269DF" w:rsidRPr="003920D7" w:rsidRDefault="004269DF" w:rsidP="00FF1DE0">
            <w:pPr>
              <w:pStyle w:val="ExhibitText"/>
              <w:jc w:val="right"/>
              <w:rPr>
                <w:lang w:val="en-GB" w:eastAsia="en-CA"/>
              </w:rPr>
            </w:pPr>
            <w:r w:rsidRPr="003920D7">
              <w:rPr>
                <w:lang w:val="en-GB" w:eastAsia="en-CA"/>
              </w:rPr>
              <w:t xml:space="preserve">2,231.2 </w:t>
            </w:r>
          </w:p>
        </w:tc>
        <w:tc>
          <w:tcPr>
            <w:tcW w:w="770" w:type="dxa"/>
            <w:tcBorders>
              <w:top w:val="nil"/>
              <w:left w:val="nil"/>
              <w:bottom w:val="nil"/>
              <w:right w:val="nil"/>
            </w:tcBorders>
            <w:shd w:val="clear" w:color="auto" w:fill="auto"/>
            <w:noWrap/>
            <w:vAlign w:val="bottom"/>
            <w:hideMark/>
          </w:tcPr>
          <w:p w14:paraId="244F3209" w14:textId="77777777" w:rsidR="004269DF" w:rsidRPr="003920D7" w:rsidRDefault="004269DF" w:rsidP="00FF1DE0">
            <w:pPr>
              <w:pStyle w:val="ExhibitText"/>
              <w:jc w:val="right"/>
              <w:rPr>
                <w:lang w:val="en-GB" w:eastAsia="en-CA"/>
              </w:rPr>
            </w:pPr>
            <w:r w:rsidRPr="003920D7">
              <w:rPr>
                <w:lang w:val="en-GB" w:eastAsia="en-CA"/>
              </w:rPr>
              <w:t>91%</w:t>
            </w:r>
          </w:p>
        </w:tc>
      </w:tr>
      <w:tr w:rsidR="004269DF" w:rsidRPr="003920D7" w14:paraId="180CD43E" w14:textId="77777777" w:rsidTr="00D05797">
        <w:trPr>
          <w:trHeight w:val="300"/>
          <w:jc w:val="center"/>
        </w:trPr>
        <w:tc>
          <w:tcPr>
            <w:tcW w:w="6300" w:type="dxa"/>
            <w:tcBorders>
              <w:top w:val="nil"/>
              <w:left w:val="nil"/>
              <w:bottom w:val="nil"/>
              <w:right w:val="nil"/>
            </w:tcBorders>
            <w:shd w:val="clear" w:color="auto" w:fill="auto"/>
            <w:vAlign w:val="bottom"/>
            <w:hideMark/>
          </w:tcPr>
          <w:p w14:paraId="520956AC" w14:textId="77777777" w:rsidR="004269DF" w:rsidRPr="003920D7" w:rsidRDefault="004269DF" w:rsidP="00D05797">
            <w:pPr>
              <w:pStyle w:val="ExhibitText"/>
              <w:jc w:val="left"/>
              <w:rPr>
                <w:lang w:val="en-GB" w:eastAsia="en-CA"/>
              </w:rPr>
            </w:pPr>
            <w:r w:rsidRPr="003920D7">
              <w:rPr>
                <w:lang w:val="en-GB" w:eastAsia="en-CA"/>
              </w:rPr>
              <w:t>Less: Cash</w:t>
            </w:r>
          </w:p>
        </w:tc>
        <w:tc>
          <w:tcPr>
            <w:tcW w:w="810" w:type="dxa"/>
            <w:tcBorders>
              <w:top w:val="nil"/>
              <w:left w:val="nil"/>
              <w:bottom w:val="nil"/>
              <w:right w:val="nil"/>
            </w:tcBorders>
            <w:shd w:val="clear" w:color="auto" w:fill="auto"/>
            <w:vAlign w:val="bottom"/>
            <w:hideMark/>
          </w:tcPr>
          <w:p w14:paraId="4B4EE42B"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2C941DBD" w14:textId="5D0EC775" w:rsidR="004269DF" w:rsidRPr="003920D7" w:rsidRDefault="00D8201C" w:rsidP="00FF1DE0">
            <w:pPr>
              <w:pStyle w:val="ExhibitText"/>
              <w:jc w:val="right"/>
              <w:rPr>
                <w:u w:val="single"/>
                <w:lang w:val="en-GB" w:eastAsia="en-CA"/>
              </w:rPr>
            </w:pPr>
            <w:r>
              <w:rPr>
                <w:u w:val="single"/>
                <w:lang w:val="en-GB" w:eastAsia="en-CA"/>
              </w:rPr>
              <w:t xml:space="preserve">     </w:t>
            </w:r>
            <w:r w:rsidR="004269DF" w:rsidRPr="003920D7">
              <w:rPr>
                <w:u w:val="single"/>
                <w:lang w:val="en-GB" w:eastAsia="en-CA"/>
              </w:rPr>
              <w:t xml:space="preserve">15.0 </w:t>
            </w:r>
          </w:p>
        </w:tc>
        <w:tc>
          <w:tcPr>
            <w:tcW w:w="952" w:type="dxa"/>
            <w:tcBorders>
              <w:top w:val="nil"/>
              <w:left w:val="nil"/>
              <w:bottom w:val="nil"/>
              <w:right w:val="nil"/>
            </w:tcBorders>
            <w:shd w:val="clear" w:color="auto" w:fill="auto"/>
            <w:vAlign w:val="bottom"/>
            <w:hideMark/>
          </w:tcPr>
          <w:p w14:paraId="4945A683" w14:textId="1B06BCB5" w:rsidR="004269DF" w:rsidRPr="003920D7" w:rsidRDefault="00D8201C" w:rsidP="00FF1DE0">
            <w:pPr>
              <w:pStyle w:val="ExhibitText"/>
              <w:jc w:val="right"/>
              <w:rPr>
                <w:u w:val="single"/>
                <w:lang w:val="en-GB" w:eastAsia="en-CA"/>
              </w:rPr>
            </w:pPr>
            <w:r>
              <w:rPr>
                <w:u w:val="single"/>
                <w:lang w:val="en-GB" w:eastAsia="en-CA"/>
              </w:rPr>
              <w:t xml:space="preserve">     </w:t>
            </w:r>
            <w:r w:rsidR="004269DF" w:rsidRPr="003920D7">
              <w:rPr>
                <w:u w:val="single"/>
                <w:lang w:val="en-GB" w:eastAsia="en-CA"/>
              </w:rPr>
              <w:t xml:space="preserve">15.0 </w:t>
            </w:r>
          </w:p>
        </w:tc>
        <w:tc>
          <w:tcPr>
            <w:tcW w:w="770" w:type="dxa"/>
            <w:tcBorders>
              <w:top w:val="nil"/>
              <w:left w:val="nil"/>
              <w:bottom w:val="nil"/>
              <w:right w:val="nil"/>
            </w:tcBorders>
            <w:shd w:val="clear" w:color="auto" w:fill="auto"/>
            <w:noWrap/>
            <w:vAlign w:val="bottom"/>
            <w:hideMark/>
          </w:tcPr>
          <w:p w14:paraId="1011DB0A" w14:textId="77777777" w:rsidR="004269DF" w:rsidRPr="003920D7" w:rsidRDefault="004269DF" w:rsidP="00FF1DE0">
            <w:pPr>
              <w:pStyle w:val="ExhibitText"/>
              <w:jc w:val="right"/>
              <w:rPr>
                <w:u w:val="single"/>
                <w:lang w:val="en-GB" w:eastAsia="en-CA"/>
              </w:rPr>
            </w:pPr>
          </w:p>
        </w:tc>
      </w:tr>
      <w:tr w:rsidR="004269DF" w:rsidRPr="003920D7" w14:paraId="64F2625B" w14:textId="77777777" w:rsidTr="00D05797">
        <w:trPr>
          <w:trHeight w:val="300"/>
          <w:jc w:val="center"/>
        </w:trPr>
        <w:tc>
          <w:tcPr>
            <w:tcW w:w="6300" w:type="dxa"/>
            <w:tcBorders>
              <w:top w:val="nil"/>
              <w:left w:val="nil"/>
              <w:bottom w:val="nil"/>
              <w:right w:val="nil"/>
            </w:tcBorders>
            <w:shd w:val="clear" w:color="auto" w:fill="auto"/>
            <w:vAlign w:val="bottom"/>
            <w:hideMark/>
          </w:tcPr>
          <w:p w14:paraId="3F371E8C" w14:textId="6F6CC5D7" w:rsidR="004269DF" w:rsidRPr="003920D7" w:rsidRDefault="004269DF" w:rsidP="00D05797">
            <w:pPr>
              <w:pStyle w:val="ExhibitText"/>
              <w:jc w:val="left"/>
              <w:rPr>
                <w:lang w:val="en-GB" w:eastAsia="en-CA"/>
              </w:rPr>
            </w:pPr>
            <w:r w:rsidRPr="003920D7">
              <w:rPr>
                <w:lang w:val="en-GB" w:eastAsia="en-CA"/>
              </w:rPr>
              <w:t>Net On</w:t>
            </w:r>
            <w:r w:rsidR="0031787A" w:rsidRPr="003920D7">
              <w:rPr>
                <w:lang w:val="en-GB" w:eastAsia="en-CA"/>
              </w:rPr>
              <w:t>-</w:t>
            </w:r>
            <w:r w:rsidRPr="003920D7">
              <w:rPr>
                <w:lang w:val="en-GB" w:eastAsia="en-CA"/>
              </w:rPr>
              <w:t xml:space="preserve"> and Off-Balance</w:t>
            </w:r>
            <w:r w:rsidR="0031787A" w:rsidRPr="003920D7">
              <w:rPr>
                <w:lang w:val="en-GB" w:eastAsia="en-CA"/>
              </w:rPr>
              <w:t>-</w:t>
            </w:r>
            <w:r w:rsidRPr="003920D7">
              <w:rPr>
                <w:lang w:val="en-GB" w:eastAsia="en-CA"/>
              </w:rPr>
              <w:t>Sheet Debt</w:t>
            </w:r>
          </w:p>
        </w:tc>
        <w:tc>
          <w:tcPr>
            <w:tcW w:w="810" w:type="dxa"/>
            <w:tcBorders>
              <w:top w:val="nil"/>
              <w:left w:val="nil"/>
              <w:bottom w:val="nil"/>
              <w:right w:val="nil"/>
            </w:tcBorders>
            <w:shd w:val="clear" w:color="auto" w:fill="auto"/>
            <w:vAlign w:val="bottom"/>
            <w:hideMark/>
          </w:tcPr>
          <w:p w14:paraId="409BBA66"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314AB738" w14:textId="77777777" w:rsidR="004269DF" w:rsidRPr="003920D7" w:rsidRDefault="004269DF" w:rsidP="00FF1DE0">
            <w:pPr>
              <w:pStyle w:val="ExhibitText"/>
              <w:jc w:val="right"/>
              <w:rPr>
                <w:u w:val="double"/>
                <w:lang w:val="en-GB" w:eastAsia="en-CA"/>
              </w:rPr>
            </w:pPr>
            <w:r w:rsidRPr="003920D7">
              <w:rPr>
                <w:u w:val="double"/>
                <w:lang w:val="en-GB" w:eastAsia="en-CA"/>
              </w:rPr>
              <w:t xml:space="preserve">2,429.0 </w:t>
            </w:r>
          </w:p>
        </w:tc>
        <w:tc>
          <w:tcPr>
            <w:tcW w:w="952" w:type="dxa"/>
            <w:tcBorders>
              <w:top w:val="nil"/>
              <w:left w:val="nil"/>
              <w:bottom w:val="nil"/>
              <w:right w:val="nil"/>
            </w:tcBorders>
            <w:shd w:val="clear" w:color="auto" w:fill="auto"/>
            <w:vAlign w:val="bottom"/>
            <w:hideMark/>
          </w:tcPr>
          <w:p w14:paraId="1A63A2DB" w14:textId="77777777" w:rsidR="004269DF" w:rsidRPr="003920D7" w:rsidRDefault="004269DF" w:rsidP="00FF1DE0">
            <w:pPr>
              <w:pStyle w:val="ExhibitText"/>
              <w:jc w:val="right"/>
              <w:rPr>
                <w:u w:val="double"/>
                <w:lang w:val="en-GB" w:eastAsia="en-CA"/>
              </w:rPr>
            </w:pPr>
            <w:r w:rsidRPr="003920D7">
              <w:rPr>
                <w:u w:val="double"/>
                <w:lang w:val="en-GB" w:eastAsia="en-CA"/>
              </w:rPr>
              <w:t xml:space="preserve">2,216.2 </w:t>
            </w:r>
          </w:p>
        </w:tc>
        <w:tc>
          <w:tcPr>
            <w:tcW w:w="770" w:type="dxa"/>
            <w:tcBorders>
              <w:top w:val="nil"/>
              <w:left w:val="nil"/>
              <w:bottom w:val="nil"/>
              <w:right w:val="nil"/>
            </w:tcBorders>
            <w:shd w:val="clear" w:color="auto" w:fill="auto"/>
            <w:noWrap/>
            <w:vAlign w:val="bottom"/>
            <w:hideMark/>
          </w:tcPr>
          <w:p w14:paraId="7B6B7848" w14:textId="77777777" w:rsidR="004269DF" w:rsidRPr="003920D7" w:rsidRDefault="004269DF" w:rsidP="00FF1DE0">
            <w:pPr>
              <w:pStyle w:val="ExhibitText"/>
              <w:jc w:val="right"/>
              <w:rPr>
                <w:lang w:val="en-GB" w:eastAsia="en-CA"/>
              </w:rPr>
            </w:pPr>
            <w:r w:rsidRPr="003920D7">
              <w:rPr>
                <w:lang w:val="en-GB" w:eastAsia="en-CA"/>
              </w:rPr>
              <w:t>91%</w:t>
            </w:r>
          </w:p>
        </w:tc>
      </w:tr>
      <w:tr w:rsidR="004269DF" w:rsidRPr="003920D7" w14:paraId="299BA623" w14:textId="77777777" w:rsidTr="00D05797">
        <w:trPr>
          <w:trHeight w:val="300"/>
          <w:jc w:val="center"/>
        </w:trPr>
        <w:tc>
          <w:tcPr>
            <w:tcW w:w="6300" w:type="dxa"/>
            <w:tcBorders>
              <w:top w:val="nil"/>
              <w:left w:val="nil"/>
              <w:bottom w:val="nil"/>
              <w:right w:val="nil"/>
            </w:tcBorders>
            <w:shd w:val="clear" w:color="auto" w:fill="auto"/>
            <w:vAlign w:val="bottom"/>
            <w:hideMark/>
          </w:tcPr>
          <w:p w14:paraId="41B4352B" w14:textId="77777777" w:rsidR="004269DF" w:rsidRPr="003920D7" w:rsidRDefault="004269DF" w:rsidP="00D05797">
            <w:pPr>
              <w:pStyle w:val="ExhibitText"/>
              <w:jc w:val="left"/>
              <w:rPr>
                <w:lang w:val="en-GB" w:eastAsia="en-CA"/>
              </w:rPr>
            </w:pPr>
          </w:p>
        </w:tc>
        <w:tc>
          <w:tcPr>
            <w:tcW w:w="810" w:type="dxa"/>
            <w:tcBorders>
              <w:top w:val="nil"/>
              <w:left w:val="nil"/>
              <w:bottom w:val="nil"/>
              <w:right w:val="nil"/>
            </w:tcBorders>
            <w:shd w:val="clear" w:color="auto" w:fill="auto"/>
            <w:vAlign w:val="bottom"/>
            <w:hideMark/>
          </w:tcPr>
          <w:p w14:paraId="396892FB"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7BDB7149" w14:textId="77777777" w:rsidR="004269DF" w:rsidRPr="003920D7" w:rsidRDefault="004269DF" w:rsidP="004269DF">
            <w:pPr>
              <w:pStyle w:val="ExhibitText"/>
              <w:rPr>
                <w:lang w:val="en-GB" w:eastAsia="en-CA"/>
              </w:rPr>
            </w:pPr>
          </w:p>
        </w:tc>
        <w:tc>
          <w:tcPr>
            <w:tcW w:w="952" w:type="dxa"/>
            <w:tcBorders>
              <w:top w:val="nil"/>
              <w:left w:val="nil"/>
              <w:bottom w:val="nil"/>
              <w:right w:val="nil"/>
            </w:tcBorders>
            <w:shd w:val="clear" w:color="auto" w:fill="auto"/>
            <w:vAlign w:val="bottom"/>
            <w:hideMark/>
          </w:tcPr>
          <w:p w14:paraId="2C95F003" w14:textId="77777777" w:rsidR="004269DF" w:rsidRPr="003920D7" w:rsidRDefault="004269DF" w:rsidP="004269DF">
            <w:pPr>
              <w:pStyle w:val="ExhibitText"/>
              <w:rPr>
                <w:lang w:val="en-GB" w:eastAsia="en-CA"/>
              </w:rPr>
            </w:pPr>
          </w:p>
        </w:tc>
        <w:tc>
          <w:tcPr>
            <w:tcW w:w="770" w:type="dxa"/>
            <w:tcBorders>
              <w:top w:val="nil"/>
              <w:left w:val="nil"/>
              <w:bottom w:val="nil"/>
              <w:right w:val="nil"/>
            </w:tcBorders>
            <w:shd w:val="clear" w:color="auto" w:fill="auto"/>
            <w:noWrap/>
            <w:vAlign w:val="bottom"/>
            <w:hideMark/>
          </w:tcPr>
          <w:p w14:paraId="0F256B8C" w14:textId="77777777" w:rsidR="004269DF" w:rsidRPr="003920D7" w:rsidRDefault="004269DF" w:rsidP="004269DF">
            <w:pPr>
              <w:pStyle w:val="ExhibitText"/>
              <w:rPr>
                <w:lang w:val="en-GB" w:eastAsia="en-CA"/>
              </w:rPr>
            </w:pPr>
          </w:p>
        </w:tc>
      </w:tr>
      <w:tr w:rsidR="004269DF" w:rsidRPr="003920D7" w14:paraId="3861E883" w14:textId="77777777" w:rsidTr="00D05797">
        <w:trPr>
          <w:trHeight w:val="300"/>
          <w:jc w:val="center"/>
        </w:trPr>
        <w:tc>
          <w:tcPr>
            <w:tcW w:w="6300" w:type="dxa"/>
            <w:tcBorders>
              <w:top w:val="nil"/>
              <w:left w:val="nil"/>
              <w:bottom w:val="nil"/>
              <w:right w:val="nil"/>
            </w:tcBorders>
            <w:shd w:val="clear" w:color="auto" w:fill="auto"/>
            <w:vAlign w:val="bottom"/>
            <w:hideMark/>
          </w:tcPr>
          <w:p w14:paraId="5341631B" w14:textId="4930A796" w:rsidR="004269DF" w:rsidRPr="003920D7" w:rsidRDefault="004269DF" w:rsidP="00D05797">
            <w:pPr>
              <w:pStyle w:val="ExhibitText"/>
              <w:jc w:val="left"/>
              <w:rPr>
                <w:lang w:val="en-GB" w:eastAsia="en-CA"/>
              </w:rPr>
            </w:pPr>
            <w:r w:rsidRPr="003920D7">
              <w:rPr>
                <w:lang w:val="en-GB" w:eastAsia="en-CA"/>
              </w:rPr>
              <w:t>Shareholders</w:t>
            </w:r>
            <w:r w:rsidR="00676744" w:rsidRPr="003920D7">
              <w:rPr>
                <w:lang w:val="en-GB" w:eastAsia="en-CA"/>
              </w:rPr>
              <w:t>’</w:t>
            </w:r>
            <w:r w:rsidRPr="003920D7">
              <w:rPr>
                <w:lang w:val="en-GB" w:eastAsia="en-CA"/>
              </w:rPr>
              <w:t xml:space="preserve"> Equity</w:t>
            </w:r>
          </w:p>
        </w:tc>
        <w:tc>
          <w:tcPr>
            <w:tcW w:w="810" w:type="dxa"/>
            <w:tcBorders>
              <w:top w:val="nil"/>
              <w:left w:val="nil"/>
              <w:bottom w:val="nil"/>
              <w:right w:val="nil"/>
            </w:tcBorders>
            <w:shd w:val="clear" w:color="auto" w:fill="auto"/>
            <w:vAlign w:val="bottom"/>
            <w:hideMark/>
          </w:tcPr>
          <w:p w14:paraId="0E83ED36"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762FE164" w14:textId="77777777" w:rsidR="004269DF" w:rsidRPr="003920D7" w:rsidRDefault="004269DF" w:rsidP="004269DF">
            <w:pPr>
              <w:pStyle w:val="ExhibitText"/>
              <w:rPr>
                <w:lang w:val="en-GB" w:eastAsia="en-CA"/>
              </w:rPr>
            </w:pPr>
          </w:p>
        </w:tc>
        <w:tc>
          <w:tcPr>
            <w:tcW w:w="952" w:type="dxa"/>
            <w:tcBorders>
              <w:top w:val="nil"/>
              <w:left w:val="nil"/>
              <w:bottom w:val="nil"/>
              <w:right w:val="nil"/>
            </w:tcBorders>
            <w:shd w:val="clear" w:color="auto" w:fill="auto"/>
            <w:vAlign w:val="bottom"/>
            <w:hideMark/>
          </w:tcPr>
          <w:p w14:paraId="25E6C30C" w14:textId="77777777" w:rsidR="004269DF" w:rsidRPr="003920D7" w:rsidRDefault="004269DF" w:rsidP="004269DF">
            <w:pPr>
              <w:pStyle w:val="ExhibitText"/>
              <w:rPr>
                <w:lang w:val="en-GB" w:eastAsia="en-CA"/>
              </w:rPr>
            </w:pPr>
          </w:p>
        </w:tc>
        <w:tc>
          <w:tcPr>
            <w:tcW w:w="770" w:type="dxa"/>
            <w:tcBorders>
              <w:top w:val="nil"/>
              <w:left w:val="nil"/>
              <w:bottom w:val="nil"/>
              <w:right w:val="nil"/>
            </w:tcBorders>
            <w:shd w:val="clear" w:color="auto" w:fill="auto"/>
            <w:noWrap/>
            <w:vAlign w:val="bottom"/>
            <w:hideMark/>
          </w:tcPr>
          <w:p w14:paraId="20D577CE" w14:textId="77777777" w:rsidR="004269DF" w:rsidRPr="003920D7" w:rsidRDefault="004269DF" w:rsidP="004269DF">
            <w:pPr>
              <w:pStyle w:val="ExhibitText"/>
              <w:rPr>
                <w:lang w:val="en-GB" w:eastAsia="en-CA"/>
              </w:rPr>
            </w:pPr>
          </w:p>
        </w:tc>
      </w:tr>
      <w:tr w:rsidR="004269DF" w:rsidRPr="003920D7" w14:paraId="0376D6E4" w14:textId="77777777" w:rsidTr="00D05797">
        <w:trPr>
          <w:trHeight w:val="300"/>
          <w:jc w:val="center"/>
        </w:trPr>
        <w:tc>
          <w:tcPr>
            <w:tcW w:w="6300" w:type="dxa"/>
            <w:tcBorders>
              <w:top w:val="nil"/>
              <w:left w:val="nil"/>
              <w:bottom w:val="nil"/>
              <w:right w:val="nil"/>
            </w:tcBorders>
            <w:shd w:val="clear" w:color="auto" w:fill="auto"/>
            <w:vAlign w:val="bottom"/>
            <w:hideMark/>
          </w:tcPr>
          <w:p w14:paraId="1F21B8CB" w14:textId="76D320A5" w:rsidR="004269DF" w:rsidRPr="003920D7" w:rsidRDefault="004269DF" w:rsidP="00D05797">
            <w:pPr>
              <w:pStyle w:val="ExhibitText"/>
              <w:jc w:val="left"/>
              <w:rPr>
                <w:lang w:val="en-GB" w:eastAsia="en-CA"/>
              </w:rPr>
            </w:pPr>
            <w:r w:rsidRPr="003920D7">
              <w:rPr>
                <w:lang w:val="en-GB" w:eastAsia="en-CA"/>
              </w:rPr>
              <w:t>Capital Stock (Series A 102.0</w:t>
            </w:r>
            <w:r w:rsidR="002F6F36" w:rsidRPr="003920D7">
              <w:rPr>
                <w:lang w:val="en-GB" w:eastAsia="en-CA"/>
              </w:rPr>
              <w:t xml:space="preserve"> </w:t>
            </w:r>
            <w:r w:rsidRPr="003920D7">
              <w:rPr>
                <w:lang w:val="en-GB" w:eastAsia="en-CA"/>
              </w:rPr>
              <w:t>m</w:t>
            </w:r>
            <w:r w:rsidR="002F6F36" w:rsidRPr="003920D7">
              <w:rPr>
                <w:lang w:val="en-GB" w:eastAsia="en-CA"/>
              </w:rPr>
              <w:t>illion</w:t>
            </w:r>
            <w:r w:rsidRPr="003920D7">
              <w:rPr>
                <w:lang w:val="en-GB" w:eastAsia="en-CA"/>
              </w:rPr>
              <w:t xml:space="preserve"> shares outs</w:t>
            </w:r>
            <w:r w:rsidR="00D62DCF">
              <w:rPr>
                <w:lang w:val="en-GB" w:eastAsia="en-CA"/>
              </w:rPr>
              <w:t>tanding</w:t>
            </w:r>
            <w:r w:rsidRPr="003920D7">
              <w:rPr>
                <w:lang w:val="en-GB" w:eastAsia="en-CA"/>
              </w:rPr>
              <w:t xml:space="preserve">; </w:t>
            </w:r>
            <w:r w:rsidR="00D62DCF">
              <w:rPr>
                <w:lang w:val="en-GB" w:eastAsia="en-CA"/>
              </w:rPr>
              <w:br/>
            </w:r>
            <w:r w:rsidRPr="003920D7">
              <w:rPr>
                <w:lang w:val="en-GB" w:eastAsia="en-CA"/>
              </w:rPr>
              <w:t>Series B 0.2</w:t>
            </w:r>
            <w:r w:rsidR="002F6F36" w:rsidRPr="003920D7">
              <w:rPr>
                <w:lang w:val="en-GB" w:eastAsia="en-CA"/>
              </w:rPr>
              <w:t xml:space="preserve"> </w:t>
            </w:r>
            <w:r w:rsidRPr="003920D7">
              <w:rPr>
                <w:lang w:val="en-GB" w:eastAsia="en-CA"/>
              </w:rPr>
              <w:t>m</w:t>
            </w:r>
            <w:r w:rsidR="002F6F36" w:rsidRPr="003920D7">
              <w:rPr>
                <w:lang w:val="en-GB" w:eastAsia="en-CA"/>
              </w:rPr>
              <w:t>illion</w:t>
            </w:r>
            <w:r w:rsidRPr="003920D7">
              <w:rPr>
                <w:lang w:val="en-GB" w:eastAsia="en-CA"/>
              </w:rPr>
              <w:t xml:space="preserve"> shares outs</w:t>
            </w:r>
            <w:r w:rsidR="00D62DCF">
              <w:rPr>
                <w:lang w:val="en-GB" w:eastAsia="en-CA"/>
              </w:rPr>
              <w:t>tanding</w:t>
            </w:r>
            <w:r w:rsidRPr="003920D7">
              <w:rPr>
                <w:lang w:val="en-GB" w:eastAsia="en-CA"/>
              </w:rPr>
              <w:t>)</w:t>
            </w:r>
          </w:p>
        </w:tc>
        <w:tc>
          <w:tcPr>
            <w:tcW w:w="810" w:type="dxa"/>
            <w:tcBorders>
              <w:top w:val="nil"/>
              <w:left w:val="nil"/>
              <w:bottom w:val="nil"/>
              <w:right w:val="nil"/>
            </w:tcBorders>
            <w:shd w:val="clear" w:color="auto" w:fill="auto"/>
            <w:vAlign w:val="bottom"/>
            <w:hideMark/>
          </w:tcPr>
          <w:p w14:paraId="6BBAF6FF"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7EA277C3" w14:textId="77777777" w:rsidR="004269DF" w:rsidRPr="003920D7" w:rsidRDefault="004269DF" w:rsidP="00FF1DE0">
            <w:pPr>
              <w:pStyle w:val="ExhibitText"/>
              <w:jc w:val="right"/>
              <w:rPr>
                <w:lang w:val="en-GB" w:eastAsia="en-CA"/>
              </w:rPr>
            </w:pPr>
            <w:r w:rsidRPr="003920D7">
              <w:rPr>
                <w:lang w:val="en-GB" w:eastAsia="en-CA"/>
              </w:rPr>
              <w:t xml:space="preserve">781.0 </w:t>
            </w:r>
          </w:p>
        </w:tc>
        <w:tc>
          <w:tcPr>
            <w:tcW w:w="952" w:type="dxa"/>
            <w:tcBorders>
              <w:top w:val="nil"/>
              <w:left w:val="nil"/>
              <w:bottom w:val="nil"/>
              <w:right w:val="nil"/>
            </w:tcBorders>
            <w:shd w:val="clear" w:color="auto" w:fill="auto"/>
            <w:vAlign w:val="bottom"/>
            <w:hideMark/>
          </w:tcPr>
          <w:p w14:paraId="39D98008" w14:textId="77777777" w:rsidR="004269DF" w:rsidRPr="003920D7" w:rsidRDefault="004269DF" w:rsidP="00FF1DE0">
            <w:pPr>
              <w:pStyle w:val="ExhibitText"/>
              <w:jc w:val="right"/>
              <w:rPr>
                <w:lang w:val="en-GB" w:eastAsia="en-CA"/>
              </w:rPr>
            </w:pPr>
            <w:proofErr w:type="spellStart"/>
            <w:r w:rsidRPr="003920D7">
              <w:rPr>
                <w:lang w:val="en-GB" w:eastAsia="en-CA"/>
              </w:rPr>
              <w:t>n.a</w:t>
            </w:r>
            <w:proofErr w:type="spellEnd"/>
            <w:r w:rsidRPr="003920D7">
              <w:rPr>
                <w:lang w:val="en-GB" w:eastAsia="en-CA"/>
              </w:rPr>
              <w:t>.</w:t>
            </w:r>
          </w:p>
        </w:tc>
        <w:tc>
          <w:tcPr>
            <w:tcW w:w="770" w:type="dxa"/>
            <w:tcBorders>
              <w:top w:val="nil"/>
              <w:left w:val="nil"/>
              <w:bottom w:val="nil"/>
              <w:right w:val="nil"/>
            </w:tcBorders>
            <w:shd w:val="clear" w:color="auto" w:fill="auto"/>
            <w:vAlign w:val="bottom"/>
            <w:hideMark/>
          </w:tcPr>
          <w:p w14:paraId="6811870C" w14:textId="77777777" w:rsidR="004269DF" w:rsidRPr="003920D7" w:rsidRDefault="004269DF" w:rsidP="00FF1DE0">
            <w:pPr>
              <w:pStyle w:val="ExhibitText"/>
              <w:jc w:val="right"/>
              <w:rPr>
                <w:lang w:val="en-GB" w:eastAsia="en-CA"/>
              </w:rPr>
            </w:pPr>
            <w:proofErr w:type="spellStart"/>
            <w:r w:rsidRPr="003920D7">
              <w:rPr>
                <w:lang w:val="en-GB" w:eastAsia="en-CA"/>
              </w:rPr>
              <w:t>n.a</w:t>
            </w:r>
            <w:proofErr w:type="spellEnd"/>
            <w:r w:rsidRPr="003920D7">
              <w:rPr>
                <w:lang w:val="en-GB" w:eastAsia="en-CA"/>
              </w:rPr>
              <w:t>.</w:t>
            </w:r>
          </w:p>
        </w:tc>
      </w:tr>
      <w:tr w:rsidR="004269DF" w:rsidRPr="003920D7" w14:paraId="1AE0D22D" w14:textId="77777777" w:rsidTr="00D05797">
        <w:trPr>
          <w:trHeight w:val="300"/>
          <w:jc w:val="center"/>
        </w:trPr>
        <w:tc>
          <w:tcPr>
            <w:tcW w:w="6300" w:type="dxa"/>
            <w:tcBorders>
              <w:top w:val="nil"/>
              <w:left w:val="nil"/>
              <w:bottom w:val="nil"/>
              <w:right w:val="nil"/>
            </w:tcBorders>
            <w:shd w:val="clear" w:color="auto" w:fill="auto"/>
            <w:vAlign w:val="bottom"/>
            <w:hideMark/>
          </w:tcPr>
          <w:p w14:paraId="011EA227" w14:textId="77777777" w:rsidR="004269DF" w:rsidRPr="003920D7" w:rsidRDefault="004269DF" w:rsidP="00D05797">
            <w:pPr>
              <w:pStyle w:val="ExhibitText"/>
              <w:jc w:val="left"/>
              <w:rPr>
                <w:lang w:val="en-GB" w:eastAsia="en-CA"/>
              </w:rPr>
            </w:pPr>
            <w:r w:rsidRPr="003920D7">
              <w:rPr>
                <w:lang w:val="en-GB" w:eastAsia="en-CA"/>
              </w:rPr>
              <w:t>Contributed Surplus</w:t>
            </w:r>
          </w:p>
        </w:tc>
        <w:tc>
          <w:tcPr>
            <w:tcW w:w="810" w:type="dxa"/>
            <w:tcBorders>
              <w:top w:val="nil"/>
              <w:left w:val="nil"/>
              <w:bottom w:val="nil"/>
              <w:right w:val="nil"/>
            </w:tcBorders>
            <w:shd w:val="clear" w:color="auto" w:fill="auto"/>
            <w:vAlign w:val="bottom"/>
            <w:hideMark/>
          </w:tcPr>
          <w:p w14:paraId="0F3F63EC"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0DE91F98" w14:textId="77777777" w:rsidR="004269DF" w:rsidRPr="003920D7" w:rsidRDefault="004269DF" w:rsidP="00FF1DE0">
            <w:pPr>
              <w:pStyle w:val="ExhibitText"/>
              <w:jc w:val="right"/>
              <w:rPr>
                <w:lang w:val="en-GB" w:eastAsia="en-CA"/>
              </w:rPr>
            </w:pPr>
            <w:r w:rsidRPr="003920D7">
              <w:rPr>
                <w:lang w:val="en-GB" w:eastAsia="en-CA"/>
              </w:rPr>
              <w:t xml:space="preserve">13.0 </w:t>
            </w:r>
          </w:p>
        </w:tc>
        <w:tc>
          <w:tcPr>
            <w:tcW w:w="952" w:type="dxa"/>
            <w:tcBorders>
              <w:top w:val="nil"/>
              <w:left w:val="nil"/>
              <w:bottom w:val="nil"/>
              <w:right w:val="nil"/>
            </w:tcBorders>
            <w:shd w:val="clear" w:color="auto" w:fill="auto"/>
            <w:vAlign w:val="bottom"/>
            <w:hideMark/>
          </w:tcPr>
          <w:p w14:paraId="436DB471" w14:textId="77777777" w:rsidR="004269DF" w:rsidRPr="003920D7" w:rsidRDefault="004269DF" w:rsidP="00FF1DE0">
            <w:pPr>
              <w:pStyle w:val="ExhibitText"/>
              <w:jc w:val="right"/>
              <w:rPr>
                <w:lang w:val="en-GB" w:eastAsia="en-CA"/>
              </w:rPr>
            </w:pPr>
            <w:proofErr w:type="spellStart"/>
            <w:r w:rsidRPr="003920D7">
              <w:rPr>
                <w:lang w:val="en-GB" w:eastAsia="en-CA"/>
              </w:rPr>
              <w:t>n.a</w:t>
            </w:r>
            <w:proofErr w:type="spellEnd"/>
            <w:r w:rsidRPr="003920D7">
              <w:rPr>
                <w:lang w:val="en-GB" w:eastAsia="en-CA"/>
              </w:rPr>
              <w:t>.</w:t>
            </w:r>
          </w:p>
        </w:tc>
        <w:tc>
          <w:tcPr>
            <w:tcW w:w="770" w:type="dxa"/>
            <w:tcBorders>
              <w:top w:val="nil"/>
              <w:left w:val="nil"/>
              <w:bottom w:val="nil"/>
              <w:right w:val="nil"/>
            </w:tcBorders>
            <w:shd w:val="clear" w:color="auto" w:fill="auto"/>
            <w:vAlign w:val="bottom"/>
            <w:hideMark/>
          </w:tcPr>
          <w:p w14:paraId="62B0274E" w14:textId="77777777" w:rsidR="004269DF" w:rsidRPr="003920D7" w:rsidRDefault="004269DF" w:rsidP="00FF1DE0">
            <w:pPr>
              <w:pStyle w:val="ExhibitText"/>
              <w:jc w:val="right"/>
              <w:rPr>
                <w:lang w:val="en-GB" w:eastAsia="en-CA"/>
              </w:rPr>
            </w:pPr>
            <w:proofErr w:type="spellStart"/>
            <w:r w:rsidRPr="003920D7">
              <w:rPr>
                <w:lang w:val="en-GB" w:eastAsia="en-CA"/>
              </w:rPr>
              <w:t>n.a</w:t>
            </w:r>
            <w:proofErr w:type="spellEnd"/>
            <w:r w:rsidRPr="003920D7">
              <w:rPr>
                <w:lang w:val="en-GB" w:eastAsia="en-CA"/>
              </w:rPr>
              <w:t>.</w:t>
            </w:r>
          </w:p>
        </w:tc>
      </w:tr>
      <w:tr w:rsidR="004269DF" w:rsidRPr="003920D7" w14:paraId="6BB8C57D" w14:textId="77777777" w:rsidTr="00D05797">
        <w:trPr>
          <w:trHeight w:val="300"/>
          <w:jc w:val="center"/>
        </w:trPr>
        <w:tc>
          <w:tcPr>
            <w:tcW w:w="6300" w:type="dxa"/>
            <w:tcBorders>
              <w:top w:val="nil"/>
              <w:left w:val="nil"/>
              <w:bottom w:val="nil"/>
              <w:right w:val="nil"/>
            </w:tcBorders>
            <w:shd w:val="clear" w:color="auto" w:fill="auto"/>
            <w:vAlign w:val="bottom"/>
            <w:hideMark/>
          </w:tcPr>
          <w:p w14:paraId="3DEBBEF9" w14:textId="77777777" w:rsidR="004269DF" w:rsidRPr="003920D7" w:rsidRDefault="004269DF" w:rsidP="00D05797">
            <w:pPr>
              <w:pStyle w:val="ExhibitText"/>
              <w:jc w:val="left"/>
              <w:rPr>
                <w:lang w:val="en-GB" w:eastAsia="en-CA"/>
              </w:rPr>
            </w:pPr>
            <w:r w:rsidRPr="003920D7">
              <w:rPr>
                <w:lang w:val="en-GB" w:eastAsia="en-CA"/>
              </w:rPr>
              <w:t>Retained Earnings</w:t>
            </w:r>
          </w:p>
        </w:tc>
        <w:tc>
          <w:tcPr>
            <w:tcW w:w="810" w:type="dxa"/>
            <w:tcBorders>
              <w:top w:val="nil"/>
              <w:left w:val="nil"/>
              <w:bottom w:val="nil"/>
              <w:right w:val="nil"/>
            </w:tcBorders>
            <w:shd w:val="clear" w:color="auto" w:fill="auto"/>
            <w:vAlign w:val="bottom"/>
            <w:hideMark/>
          </w:tcPr>
          <w:p w14:paraId="180A19E5" w14:textId="77777777" w:rsidR="004269DF" w:rsidRPr="003920D7" w:rsidRDefault="004269DF" w:rsidP="00FF1DE0">
            <w:pPr>
              <w:pStyle w:val="ExhibitText"/>
              <w:jc w:val="right"/>
              <w:rPr>
                <w:lang w:val="en-GB" w:eastAsia="en-CA"/>
              </w:rPr>
            </w:pPr>
          </w:p>
        </w:tc>
        <w:tc>
          <w:tcPr>
            <w:tcW w:w="961" w:type="dxa"/>
            <w:tcBorders>
              <w:top w:val="nil"/>
              <w:left w:val="nil"/>
              <w:bottom w:val="nil"/>
              <w:right w:val="nil"/>
            </w:tcBorders>
            <w:shd w:val="clear" w:color="auto" w:fill="auto"/>
            <w:vAlign w:val="bottom"/>
            <w:hideMark/>
          </w:tcPr>
          <w:p w14:paraId="56902BF3" w14:textId="77777777" w:rsidR="004269DF" w:rsidRPr="003920D7" w:rsidRDefault="004269DF" w:rsidP="00FF1DE0">
            <w:pPr>
              <w:pStyle w:val="ExhibitText"/>
              <w:jc w:val="right"/>
              <w:rPr>
                <w:u w:val="single"/>
                <w:lang w:val="en-GB" w:eastAsia="en-CA"/>
              </w:rPr>
            </w:pPr>
            <w:r w:rsidRPr="003920D7">
              <w:rPr>
                <w:u w:val="single"/>
                <w:lang w:val="en-GB" w:eastAsia="en-CA"/>
              </w:rPr>
              <w:t>(46.0)</w:t>
            </w:r>
          </w:p>
        </w:tc>
        <w:tc>
          <w:tcPr>
            <w:tcW w:w="952" w:type="dxa"/>
            <w:tcBorders>
              <w:top w:val="nil"/>
              <w:left w:val="nil"/>
              <w:bottom w:val="nil"/>
              <w:right w:val="nil"/>
            </w:tcBorders>
            <w:shd w:val="clear" w:color="auto" w:fill="auto"/>
            <w:vAlign w:val="bottom"/>
            <w:hideMark/>
          </w:tcPr>
          <w:p w14:paraId="73F2E73C" w14:textId="77777777" w:rsidR="004269DF" w:rsidRPr="003920D7" w:rsidRDefault="004269DF" w:rsidP="00FF1DE0">
            <w:pPr>
              <w:pStyle w:val="ExhibitText"/>
              <w:jc w:val="right"/>
              <w:rPr>
                <w:u w:val="single"/>
                <w:lang w:val="en-GB" w:eastAsia="en-CA"/>
              </w:rPr>
            </w:pPr>
            <w:proofErr w:type="spellStart"/>
            <w:r w:rsidRPr="003920D7">
              <w:rPr>
                <w:u w:val="single"/>
                <w:lang w:val="en-GB" w:eastAsia="en-CA"/>
              </w:rPr>
              <w:t>n.a</w:t>
            </w:r>
            <w:proofErr w:type="spellEnd"/>
            <w:r w:rsidRPr="003920D7">
              <w:rPr>
                <w:u w:val="single"/>
                <w:lang w:val="en-GB" w:eastAsia="en-CA"/>
              </w:rPr>
              <w:t>.</w:t>
            </w:r>
          </w:p>
        </w:tc>
        <w:tc>
          <w:tcPr>
            <w:tcW w:w="770" w:type="dxa"/>
            <w:tcBorders>
              <w:top w:val="nil"/>
              <w:left w:val="nil"/>
              <w:bottom w:val="nil"/>
              <w:right w:val="nil"/>
            </w:tcBorders>
            <w:shd w:val="clear" w:color="auto" w:fill="auto"/>
            <w:vAlign w:val="bottom"/>
            <w:hideMark/>
          </w:tcPr>
          <w:p w14:paraId="489DE075" w14:textId="77777777" w:rsidR="004269DF" w:rsidRPr="003920D7" w:rsidRDefault="004269DF" w:rsidP="00FF1DE0">
            <w:pPr>
              <w:pStyle w:val="ExhibitText"/>
              <w:jc w:val="right"/>
              <w:rPr>
                <w:u w:val="single"/>
                <w:lang w:val="en-GB" w:eastAsia="en-CA"/>
              </w:rPr>
            </w:pPr>
            <w:proofErr w:type="spellStart"/>
            <w:r w:rsidRPr="003920D7">
              <w:rPr>
                <w:u w:val="single"/>
                <w:lang w:val="en-GB" w:eastAsia="en-CA"/>
              </w:rPr>
              <w:t>n.a</w:t>
            </w:r>
            <w:proofErr w:type="spellEnd"/>
            <w:r w:rsidRPr="003920D7">
              <w:rPr>
                <w:u w:val="single"/>
                <w:lang w:val="en-GB" w:eastAsia="en-CA"/>
              </w:rPr>
              <w:t>.</w:t>
            </w:r>
          </w:p>
        </w:tc>
      </w:tr>
      <w:tr w:rsidR="004269DF" w:rsidRPr="003920D7" w14:paraId="17E50954" w14:textId="77777777" w:rsidTr="00D05797">
        <w:trPr>
          <w:trHeight w:val="300"/>
          <w:jc w:val="center"/>
        </w:trPr>
        <w:tc>
          <w:tcPr>
            <w:tcW w:w="6300" w:type="dxa"/>
            <w:tcBorders>
              <w:top w:val="nil"/>
              <w:left w:val="nil"/>
              <w:bottom w:val="nil"/>
              <w:right w:val="nil"/>
            </w:tcBorders>
            <w:shd w:val="clear" w:color="auto" w:fill="auto"/>
            <w:vAlign w:val="bottom"/>
            <w:hideMark/>
          </w:tcPr>
          <w:p w14:paraId="2A7D3636" w14:textId="4B94CBD9" w:rsidR="004269DF" w:rsidRPr="003920D7" w:rsidRDefault="004269DF" w:rsidP="00D05797">
            <w:pPr>
              <w:pStyle w:val="ExhibitText"/>
              <w:jc w:val="left"/>
              <w:rPr>
                <w:lang w:val="en-GB" w:eastAsia="en-CA"/>
              </w:rPr>
            </w:pPr>
            <w:r w:rsidRPr="003920D7">
              <w:rPr>
                <w:lang w:val="en-GB" w:eastAsia="en-CA"/>
              </w:rPr>
              <w:t>Total Shareholders</w:t>
            </w:r>
            <w:r w:rsidR="00676744" w:rsidRPr="003920D7">
              <w:rPr>
                <w:lang w:val="en-GB" w:eastAsia="en-CA"/>
              </w:rPr>
              <w:t>’</w:t>
            </w:r>
            <w:r w:rsidRPr="003920D7">
              <w:rPr>
                <w:lang w:val="en-GB" w:eastAsia="en-CA"/>
              </w:rPr>
              <w:t xml:space="preserve"> Equity</w:t>
            </w:r>
          </w:p>
        </w:tc>
        <w:tc>
          <w:tcPr>
            <w:tcW w:w="810" w:type="dxa"/>
            <w:tcBorders>
              <w:top w:val="nil"/>
              <w:left w:val="nil"/>
              <w:bottom w:val="nil"/>
              <w:right w:val="nil"/>
            </w:tcBorders>
            <w:shd w:val="clear" w:color="auto" w:fill="auto"/>
            <w:vAlign w:val="bottom"/>
            <w:hideMark/>
          </w:tcPr>
          <w:p w14:paraId="20957B61" w14:textId="77777777" w:rsidR="004269DF" w:rsidRPr="003920D7" w:rsidRDefault="004269DF" w:rsidP="00FF1DE0">
            <w:pPr>
              <w:pStyle w:val="ExhibitText"/>
              <w:jc w:val="right"/>
              <w:rPr>
                <w:lang w:val="en-GB" w:eastAsia="en-CA"/>
              </w:rPr>
            </w:pPr>
            <w:r w:rsidRPr="003920D7">
              <w:rPr>
                <w:lang w:val="en-GB" w:eastAsia="en-CA"/>
              </w:rPr>
              <w:t>6</w:t>
            </w:r>
          </w:p>
        </w:tc>
        <w:tc>
          <w:tcPr>
            <w:tcW w:w="961" w:type="dxa"/>
            <w:tcBorders>
              <w:top w:val="nil"/>
              <w:left w:val="nil"/>
              <w:bottom w:val="nil"/>
              <w:right w:val="nil"/>
            </w:tcBorders>
            <w:shd w:val="clear" w:color="auto" w:fill="auto"/>
            <w:vAlign w:val="bottom"/>
            <w:hideMark/>
          </w:tcPr>
          <w:p w14:paraId="21AAEFD6" w14:textId="77777777" w:rsidR="004269DF" w:rsidRPr="003920D7" w:rsidRDefault="004269DF" w:rsidP="00FF1DE0">
            <w:pPr>
              <w:pStyle w:val="ExhibitText"/>
              <w:jc w:val="right"/>
              <w:rPr>
                <w:u w:val="double"/>
                <w:lang w:val="en-GB" w:eastAsia="en-CA"/>
              </w:rPr>
            </w:pPr>
            <w:r w:rsidRPr="003920D7">
              <w:rPr>
                <w:u w:val="double"/>
                <w:lang w:val="en-GB" w:eastAsia="en-CA"/>
              </w:rPr>
              <w:t xml:space="preserve">748.0 </w:t>
            </w:r>
          </w:p>
        </w:tc>
        <w:tc>
          <w:tcPr>
            <w:tcW w:w="952" w:type="dxa"/>
            <w:tcBorders>
              <w:top w:val="nil"/>
              <w:left w:val="nil"/>
              <w:bottom w:val="nil"/>
              <w:right w:val="nil"/>
            </w:tcBorders>
            <w:shd w:val="clear" w:color="auto" w:fill="auto"/>
            <w:vAlign w:val="bottom"/>
            <w:hideMark/>
          </w:tcPr>
          <w:p w14:paraId="35BFB60A" w14:textId="77777777" w:rsidR="004269DF" w:rsidRPr="003920D7" w:rsidRDefault="004269DF" w:rsidP="00FF1DE0">
            <w:pPr>
              <w:pStyle w:val="ExhibitText"/>
              <w:jc w:val="right"/>
              <w:rPr>
                <w:u w:val="double"/>
                <w:lang w:val="en-GB" w:eastAsia="en-CA"/>
              </w:rPr>
            </w:pPr>
            <w:r w:rsidRPr="003920D7">
              <w:rPr>
                <w:u w:val="double"/>
                <w:lang w:val="en-GB" w:eastAsia="en-CA"/>
              </w:rPr>
              <w:t xml:space="preserve">123.0 </w:t>
            </w:r>
          </w:p>
        </w:tc>
        <w:tc>
          <w:tcPr>
            <w:tcW w:w="770" w:type="dxa"/>
            <w:tcBorders>
              <w:top w:val="nil"/>
              <w:left w:val="nil"/>
              <w:bottom w:val="nil"/>
              <w:right w:val="nil"/>
            </w:tcBorders>
            <w:shd w:val="clear" w:color="auto" w:fill="auto"/>
            <w:noWrap/>
            <w:vAlign w:val="bottom"/>
            <w:hideMark/>
          </w:tcPr>
          <w:p w14:paraId="16B77A8C" w14:textId="77777777" w:rsidR="004269DF" w:rsidRPr="003920D7" w:rsidRDefault="004269DF" w:rsidP="00FF1DE0">
            <w:pPr>
              <w:pStyle w:val="ExhibitText"/>
              <w:jc w:val="right"/>
              <w:rPr>
                <w:lang w:val="en-GB" w:eastAsia="en-CA"/>
              </w:rPr>
            </w:pPr>
            <w:r w:rsidRPr="003920D7">
              <w:rPr>
                <w:lang w:val="en-GB" w:eastAsia="en-CA"/>
              </w:rPr>
              <w:t>16%</w:t>
            </w:r>
          </w:p>
        </w:tc>
      </w:tr>
    </w:tbl>
    <w:p w14:paraId="48A3A565" w14:textId="77777777" w:rsidR="004269DF" w:rsidRPr="003920D7" w:rsidRDefault="004269DF" w:rsidP="004269DF">
      <w:pPr>
        <w:rPr>
          <w:lang w:val="en-GB"/>
        </w:rPr>
      </w:pPr>
    </w:p>
    <w:p w14:paraId="490CF147" w14:textId="4B64CA9C" w:rsidR="004269DF" w:rsidRPr="003920D7" w:rsidRDefault="004269DF" w:rsidP="004269DF">
      <w:pPr>
        <w:pStyle w:val="Footnote"/>
        <w:numPr>
          <w:ilvl w:val="0"/>
          <w:numId w:val="9"/>
        </w:numPr>
        <w:rPr>
          <w:lang w:val="en-GB"/>
        </w:rPr>
      </w:pPr>
      <w:r w:rsidRPr="003920D7">
        <w:rPr>
          <w:lang w:val="en-GB"/>
        </w:rPr>
        <w:t xml:space="preserve">Term loans are secured by assets of </w:t>
      </w:r>
      <w:proofErr w:type="spellStart"/>
      <w:r w:rsidRPr="003920D7">
        <w:rPr>
          <w:lang w:val="en-GB"/>
        </w:rPr>
        <w:t>Stelco</w:t>
      </w:r>
      <w:r w:rsidR="002F6F36" w:rsidRPr="003920D7">
        <w:rPr>
          <w:lang w:val="en-GB"/>
        </w:rPr>
        <w:t>’</w:t>
      </w:r>
      <w:r w:rsidRPr="003920D7">
        <w:rPr>
          <w:lang w:val="en-GB"/>
        </w:rPr>
        <w:t>s</w:t>
      </w:r>
      <w:proofErr w:type="spellEnd"/>
      <w:r w:rsidRPr="003920D7">
        <w:rPr>
          <w:lang w:val="en-GB"/>
        </w:rPr>
        <w:t xml:space="preserve"> </w:t>
      </w:r>
      <w:r w:rsidR="002F6F36" w:rsidRPr="003920D7">
        <w:rPr>
          <w:lang w:val="en-GB"/>
        </w:rPr>
        <w:t>“</w:t>
      </w:r>
      <w:r w:rsidRPr="003920D7">
        <w:rPr>
          <w:lang w:val="en-GB"/>
        </w:rPr>
        <w:t>various subsidiaries and joint ventures</w:t>
      </w:r>
      <w:r w:rsidR="002F6F36" w:rsidRPr="003920D7">
        <w:rPr>
          <w:lang w:val="en-GB"/>
        </w:rPr>
        <w:t>”</w:t>
      </w:r>
      <w:r w:rsidRPr="003920D7">
        <w:rPr>
          <w:lang w:val="en-GB"/>
        </w:rPr>
        <w:t xml:space="preserve"> and amortize on monthly, quarterly</w:t>
      </w:r>
      <w:r w:rsidR="002F6F36" w:rsidRPr="003920D7">
        <w:rPr>
          <w:lang w:val="en-GB"/>
        </w:rPr>
        <w:t>,</w:t>
      </w:r>
      <w:r w:rsidRPr="003920D7">
        <w:rPr>
          <w:lang w:val="en-GB"/>
        </w:rPr>
        <w:t xml:space="preserve"> or semi-annual </w:t>
      </w:r>
      <w:proofErr w:type="spellStart"/>
      <w:r w:rsidRPr="003920D7">
        <w:rPr>
          <w:lang w:val="en-GB"/>
        </w:rPr>
        <w:t>installments</w:t>
      </w:r>
      <w:proofErr w:type="spellEnd"/>
      <w:r w:rsidRPr="003920D7">
        <w:rPr>
          <w:lang w:val="en-GB"/>
        </w:rPr>
        <w:t>.</w:t>
      </w:r>
      <w:r w:rsidR="003920D7" w:rsidRPr="003920D7">
        <w:rPr>
          <w:lang w:val="en-GB"/>
        </w:rPr>
        <w:t xml:space="preserve"> </w:t>
      </w:r>
    </w:p>
    <w:p w14:paraId="1091059D" w14:textId="38834E26" w:rsidR="004269DF" w:rsidRPr="003920D7" w:rsidRDefault="004269DF" w:rsidP="004269DF">
      <w:pPr>
        <w:pStyle w:val="Footnote"/>
        <w:numPr>
          <w:ilvl w:val="0"/>
          <w:numId w:val="9"/>
        </w:numPr>
        <w:rPr>
          <w:lang w:val="en-GB"/>
        </w:rPr>
      </w:pPr>
      <w:r w:rsidRPr="003920D7">
        <w:rPr>
          <w:lang w:val="en-GB"/>
        </w:rPr>
        <w:t xml:space="preserve">10-year contract with EDS Canada </w:t>
      </w:r>
      <w:r w:rsidR="002F6F36" w:rsidRPr="003920D7">
        <w:rPr>
          <w:lang w:val="en-GB"/>
        </w:rPr>
        <w:t xml:space="preserve">Inc. </w:t>
      </w:r>
      <w:r w:rsidRPr="003920D7">
        <w:rPr>
          <w:lang w:val="en-GB"/>
        </w:rPr>
        <w:t>to a maximum of $47 million over term. Repayment commences in Oct 2004.</w:t>
      </w:r>
    </w:p>
    <w:p w14:paraId="26912331" w14:textId="77777777" w:rsidR="004269DF" w:rsidRPr="003920D7" w:rsidRDefault="004269DF" w:rsidP="004269DF">
      <w:pPr>
        <w:pStyle w:val="Footnote"/>
        <w:numPr>
          <w:ilvl w:val="0"/>
          <w:numId w:val="9"/>
        </w:numPr>
        <w:rPr>
          <w:lang w:val="en-GB"/>
        </w:rPr>
      </w:pPr>
      <w:r w:rsidRPr="003920D7">
        <w:rPr>
          <w:lang w:val="en-GB"/>
        </w:rPr>
        <w:t xml:space="preserve">Borrower is </w:t>
      </w:r>
      <w:proofErr w:type="spellStart"/>
      <w:r w:rsidRPr="003920D7">
        <w:rPr>
          <w:lang w:val="en-GB"/>
        </w:rPr>
        <w:t>Stelco</w:t>
      </w:r>
      <w:proofErr w:type="spellEnd"/>
      <w:r w:rsidRPr="003920D7">
        <w:rPr>
          <w:lang w:val="en-GB"/>
        </w:rPr>
        <w:t xml:space="preserve"> Inc. </w:t>
      </w:r>
    </w:p>
    <w:p w14:paraId="28FFC965" w14:textId="77777777" w:rsidR="004269DF" w:rsidRPr="003920D7" w:rsidRDefault="004269DF" w:rsidP="004269DF">
      <w:pPr>
        <w:pStyle w:val="Footnote"/>
        <w:numPr>
          <w:ilvl w:val="0"/>
          <w:numId w:val="9"/>
        </w:numPr>
        <w:rPr>
          <w:lang w:val="en-GB"/>
        </w:rPr>
      </w:pPr>
      <w:r w:rsidRPr="003920D7">
        <w:rPr>
          <w:lang w:val="en-GB"/>
        </w:rPr>
        <w:t xml:space="preserve">Borrower is </w:t>
      </w:r>
      <w:proofErr w:type="spellStart"/>
      <w:r w:rsidRPr="003920D7">
        <w:rPr>
          <w:lang w:val="en-GB"/>
        </w:rPr>
        <w:t>Stelco</w:t>
      </w:r>
      <w:proofErr w:type="spellEnd"/>
      <w:r w:rsidRPr="003920D7">
        <w:rPr>
          <w:lang w:val="en-GB"/>
        </w:rPr>
        <w:t xml:space="preserve"> Inc. Convertible into Series </w:t>
      </w:r>
      <w:proofErr w:type="gramStart"/>
      <w:r w:rsidRPr="003920D7">
        <w:rPr>
          <w:lang w:val="en-GB"/>
        </w:rPr>
        <w:t>A</w:t>
      </w:r>
      <w:proofErr w:type="gramEnd"/>
      <w:r w:rsidRPr="003920D7">
        <w:rPr>
          <w:lang w:val="en-GB"/>
        </w:rPr>
        <w:t xml:space="preserve"> shares at $4.50 per share. </w:t>
      </w:r>
      <w:proofErr w:type="spellStart"/>
      <w:r w:rsidRPr="003920D7">
        <w:rPr>
          <w:lang w:val="en-GB"/>
        </w:rPr>
        <w:t>Stelco</w:t>
      </w:r>
      <w:proofErr w:type="spellEnd"/>
      <w:r w:rsidRPr="003920D7">
        <w:rPr>
          <w:lang w:val="en-GB"/>
        </w:rPr>
        <w:t xml:space="preserve"> Inc. can pay interest and principal by the issuance of shares provided there is no Event of Default.</w:t>
      </w:r>
    </w:p>
    <w:p w14:paraId="77DE032D" w14:textId="77777777" w:rsidR="004269DF" w:rsidRPr="003920D7" w:rsidRDefault="004269DF" w:rsidP="004269DF">
      <w:pPr>
        <w:pStyle w:val="Footnote"/>
        <w:numPr>
          <w:ilvl w:val="0"/>
          <w:numId w:val="9"/>
        </w:numPr>
        <w:rPr>
          <w:lang w:val="en-GB"/>
        </w:rPr>
      </w:pPr>
      <w:r w:rsidRPr="003920D7">
        <w:rPr>
          <w:lang w:val="en-GB"/>
        </w:rPr>
        <w:t>As of fiscal year ending 2002.</w:t>
      </w:r>
    </w:p>
    <w:p w14:paraId="1B2CCD3C" w14:textId="77777777" w:rsidR="004269DF" w:rsidRPr="003920D7" w:rsidRDefault="004269DF" w:rsidP="004269DF">
      <w:pPr>
        <w:pStyle w:val="Footnote"/>
        <w:numPr>
          <w:ilvl w:val="0"/>
          <w:numId w:val="9"/>
        </w:numPr>
        <w:rPr>
          <w:lang w:val="en-GB"/>
        </w:rPr>
      </w:pPr>
      <w:r w:rsidRPr="003920D7">
        <w:rPr>
          <w:lang w:val="en-GB"/>
        </w:rPr>
        <w:t xml:space="preserve">Based on the prices of the Series A and B shares traded on the Toronto Stock Exchange. </w:t>
      </w:r>
    </w:p>
    <w:p w14:paraId="20590181" w14:textId="77777777" w:rsidR="00676744" w:rsidRPr="003920D7" w:rsidRDefault="00676744" w:rsidP="004269DF">
      <w:pPr>
        <w:pStyle w:val="Footnote"/>
        <w:rPr>
          <w:lang w:val="en-GB"/>
        </w:rPr>
      </w:pPr>
    </w:p>
    <w:p w14:paraId="1C2E5000" w14:textId="37BFD216" w:rsidR="002F6F36" w:rsidRPr="003920D7" w:rsidRDefault="002F6F36" w:rsidP="004269DF">
      <w:pPr>
        <w:pStyle w:val="Footnote"/>
        <w:rPr>
          <w:lang w:val="en-GB"/>
        </w:rPr>
      </w:pPr>
      <w:r w:rsidRPr="003920D7">
        <w:rPr>
          <w:lang w:val="en-GB"/>
        </w:rPr>
        <w:t xml:space="preserve">Note: </w:t>
      </w:r>
      <w:proofErr w:type="spellStart"/>
      <w:proofErr w:type="gramStart"/>
      <w:r w:rsidRPr="003920D7">
        <w:rPr>
          <w:lang w:val="en-GB"/>
        </w:rPr>
        <w:t>n.a</w:t>
      </w:r>
      <w:proofErr w:type="spellEnd"/>
      <w:proofErr w:type="gramEnd"/>
      <w:r w:rsidRPr="003920D7">
        <w:rPr>
          <w:lang w:val="en-GB"/>
        </w:rPr>
        <w:t>. = not available</w:t>
      </w:r>
    </w:p>
    <w:p w14:paraId="0A5C67B9" w14:textId="3F01049E" w:rsidR="008C3AF9" w:rsidRPr="003920D7" w:rsidRDefault="004269DF" w:rsidP="004269DF">
      <w:pPr>
        <w:pStyle w:val="Footnote"/>
        <w:rPr>
          <w:lang w:val="en-GB"/>
        </w:rPr>
      </w:pPr>
      <w:r w:rsidRPr="003920D7">
        <w:rPr>
          <w:lang w:val="en-GB"/>
        </w:rPr>
        <w:t xml:space="preserve">Source: </w:t>
      </w:r>
      <w:proofErr w:type="spellStart"/>
      <w:r w:rsidRPr="003920D7">
        <w:rPr>
          <w:lang w:val="en-GB"/>
        </w:rPr>
        <w:t>Stelco</w:t>
      </w:r>
      <w:proofErr w:type="spellEnd"/>
      <w:r w:rsidR="00676744" w:rsidRPr="003920D7">
        <w:rPr>
          <w:lang w:val="en-GB"/>
        </w:rPr>
        <w:t xml:space="preserve"> Inc.</w:t>
      </w:r>
      <w:r w:rsidRPr="003920D7">
        <w:rPr>
          <w:lang w:val="en-GB"/>
        </w:rPr>
        <w:t xml:space="preserve"> </w:t>
      </w:r>
      <w:r w:rsidRPr="003920D7">
        <w:rPr>
          <w:i/>
          <w:lang w:val="en-GB"/>
        </w:rPr>
        <w:t>Annual Report</w:t>
      </w:r>
      <w:r w:rsidR="00676744" w:rsidRPr="003920D7">
        <w:rPr>
          <w:i/>
          <w:lang w:val="en-GB"/>
        </w:rPr>
        <w:t xml:space="preserve"> 2003</w:t>
      </w:r>
      <w:r w:rsidR="00676744" w:rsidRPr="003920D7">
        <w:rPr>
          <w:lang w:val="en-GB"/>
        </w:rPr>
        <w:t>, 2003;</w:t>
      </w:r>
      <w:r w:rsidRPr="003920D7">
        <w:rPr>
          <w:lang w:val="en-GB"/>
        </w:rPr>
        <w:t xml:space="preserve"> Quantum </w:t>
      </w:r>
      <w:r w:rsidR="00676744" w:rsidRPr="003920D7">
        <w:rPr>
          <w:lang w:val="en-GB"/>
        </w:rPr>
        <w:t xml:space="preserve">Investors Inc. </w:t>
      </w:r>
      <w:r w:rsidRPr="003920D7">
        <w:rPr>
          <w:lang w:val="en-GB"/>
        </w:rPr>
        <w:t>internal analysis</w:t>
      </w:r>
      <w:r w:rsidR="00916954">
        <w:rPr>
          <w:lang w:val="en-GB"/>
        </w:rPr>
        <w:t>.</w:t>
      </w:r>
      <w:bookmarkStart w:id="0" w:name="_GoBack"/>
      <w:bookmarkEnd w:id="0"/>
    </w:p>
    <w:p w14:paraId="0AC56DC0" w14:textId="77777777" w:rsidR="008C3AF9" w:rsidRPr="003920D7" w:rsidRDefault="008C3AF9">
      <w:pPr>
        <w:spacing w:after="200" w:line="276" w:lineRule="auto"/>
        <w:rPr>
          <w:rFonts w:ascii="Arial" w:hAnsi="Arial" w:cs="Arial"/>
          <w:sz w:val="17"/>
          <w:szCs w:val="17"/>
          <w:lang w:val="en-GB"/>
        </w:rPr>
      </w:pPr>
      <w:r w:rsidRPr="003920D7">
        <w:rPr>
          <w:lang w:val="en-GB"/>
        </w:rPr>
        <w:br w:type="page"/>
      </w:r>
    </w:p>
    <w:p w14:paraId="03861767" w14:textId="25C0F853" w:rsidR="004269DF" w:rsidRPr="003920D7" w:rsidRDefault="008C3AF9" w:rsidP="008C3AF9">
      <w:pPr>
        <w:pStyle w:val="ExhibitHeading"/>
        <w:rPr>
          <w:lang w:val="en-GB"/>
        </w:rPr>
      </w:pPr>
      <w:r w:rsidRPr="003920D7">
        <w:rPr>
          <w:lang w:val="en-GB"/>
        </w:rPr>
        <w:lastRenderedPageBreak/>
        <w:t xml:space="preserve">EXHIBIT 7: Stelco </w:t>
      </w:r>
      <w:r w:rsidR="00AC759C">
        <w:rPr>
          <w:lang w:val="en-GB"/>
        </w:rPr>
        <w:t xml:space="preserve">inc. </w:t>
      </w:r>
      <w:r w:rsidRPr="003920D7">
        <w:rPr>
          <w:lang w:val="en-GB"/>
        </w:rPr>
        <w:t>v</w:t>
      </w:r>
      <w:r w:rsidR="00346349" w:rsidRPr="003920D7">
        <w:rPr>
          <w:lang w:val="en-GB"/>
        </w:rPr>
        <w:t>ersu</w:t>
      </w:r>
      <w:r w:rsidRPr="003920D7">
        <w:rPr>
          <w:lang w:val="en-GB"/>
        </w:rPr>
        <w:t>s TORONTO STOCK EXCHANGE (TSX) Indices</w:t>
      </w:r>
    </w:p>
    <w:p w14:paraId="67A5FA46" w14:textId="77777777" w:rsidR="009C39C2" w:rsidRPr="003920D7" w:rsidRDefault="009C39C2" w:rsidP="008C3AF9">
      <w:pPr>
        <w:pStyle w:val="ExhibitHeading"/>
        <w:rPr>
          <w:lang w:val="en-GB"/>
        </w:rPr>
      </w:pPr>
    </w:p>
    <w:p w14:paraId="657F4537" w14:textId="23C0666E" w:rsidR="009C39C2" w:rsidRPr="003920D7" w:rsidRDefault="009C39C2" w:rsidP="00D339E8">
      <w:pPr>
        <w:pStyle w:val="ExhibitHeading"/>
        <w:jc w:val="left"/>
        <w:rPr>
          <w:lang w:val="en-GB"/>
        </w:rPr>
      </w:pPr>
      <w:r w:rsidRPr="003920D7">
        <w:rPr>
          <w:noProof/>
        </w:rPr>
        <w:drawing>
          <wp:inline distT="0" distB="0" distL="0" distR="0" wp14:anchorId="272654AB" wp14:editId="0ED61AB1">
            <wp:extent cx="5943600" cy="4319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943600" cy="4319905"/>
                    </a:xfrm>
                    <a:prstGeom prst="rect">
                      <a:avLst/>
                    </a:prstGeom>
                  </pic:spPr>
                </pic:pic>
              </a:graphicData>
            </a:graphic>
          </wp:inline>
        </w:drawing>
      </w:r>
    </w:p>
    <w:p w14:paraId="55876CC7" w14:textId="10A0E45C" w:rsidR="004269DF" w:rsidRPr="003920D7" w:rsidRDefault="004269DF" w:rsidP="004269DF">
      <w:pPr>
        <w:pStyle w:val="Footnote"/>
        <w:rPr>
          <w:lang w:val="en-GB"/>
        </w:rPr>
      </w:pPr>
    </w:p>
    <w:p w14:paraId="4F2B0DF4" w14:textId="4EDB038A" w:rsidR="00CA6A03" w:rsidRPr="003920D7" w:rsidRDefault="00CA6A03" w:rsidP="004269DF">
      <w:pPr>
        <w:pStyle w:val="Footnote"/>
        <w:rPr>
          <w:lang w:val="en-GB"/>
        </w:rPr>
      </w:pPr>
      <w:r w:rsidRPr="003920D7">
        <w:rPr>
          <w:lang w:val="en-GB"/>
        </w:rPr>
        <w:t>Source: DataStream</w:t>
      </w:r>
      <w:r w:rsidR="003B574E" w:rsidRPr="003920D7">
        <w:rPr>
          <w:lang w:val="en-GB"/>
        </w:rPr>
        <w:t xml:space="preserve"> and</w:t>
      </w:r>
      <w:r w:rsidRPr="003920D7">
        <w:rPr>
          <w:lang w:val="en-GB"/>
        </w:rPr>
        <w:t xml:space="preserve"> case</w:t>
      </w:r>
      <w:r w:rsidR="003B574E" w:rsidRPr="003920D7">
        <w:rPr>
          <w:lang w:val="en-GB"/>
        </w:rPr>
        <w:t xml:space="preserve"> author’s</w:t>
      </w:r>
      <w:r w:rsidRPr="003920D7">
        <w:rPr>
          <w:lang w:val="en-GB"/>
        </w:rPr>
        <w:t xml:space="preserve"> calculations.</w:t>
      </w:r>
    </w:p>
    <w:sectPr w:rsidR="00CA6A03" w:rsidRPr="003920D7" w:rsidSect="004269DF">
      <w:headerReference w:type="default" r:id="rId15"/>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4F69D" w14:textId="77777777" w:rsidR="008467D8" w:rsidRDefault="008467D8" w:rsidP="00D75295">
      <w:r>
        <w:separator/>
      </w:r>
    </w:p>
  </w:endnote>
  <w:endnote w:type="continuationSeparator" w:id="0">
    <w:p w14:paraId="2E5BDC01" w14:textId="77777777" w:rsidR="008467D8" w:rsidRDefault="008467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55325" w14:textId="77777777" w:rsidR="008467D8" w:rsidRDefault="008467D8" w:rsidP="00D75295">
      <w:r>
        <w:separator/>
      </w:r>
    </w:p>
  </w:footnote>
  <w:footnote w:type="continuationSeparator" w:id="0">
    <w:p w14:paraId="413D24F2" w14:textId="77777777" w:rsidR="008467D8" w:rsidRDefault="008467D8" w:rsidP="00D75295">
      <w:r>
        <w:continuationSeparator/>
      </w:r>
    </w:p>
  </w:footnote>
  <w:footnote w:id="1">
    <w:p w14:paraId="794F1ED8" w14:textId="144EE911" w:rsidR="008467D8" w:rsidRPr="00E66D24" w:rsidRDefault="008467D8" w:rsidP="007A2EE5">
      <w:pPr>
        <w:pStyle w:val="Footnote"/>
        <w:rPr>
          <w:b/>
        </w:rPr>
      </w:pPr>
      <w:r>
        <w:rPr>
          <w:rStyle w:val="FootnoteReference"/>
        </w:rPr>
        <w:footnoteRef/>
      </w:r>
      <w:r>
        <w:t xml:space="preserve"> Background and research material has been provided by the case author. The completeness, interpretation, and accuracy of this information is the sole responsibility of the case author.</w:t>
      </w:r>
    </w:p>
  </w:footnote>
  <w:footnote w:id="2">
    <w:p w14:paraId="1D10388D" w14:textId="3D127D2A" w:rsidR="008467D8" w:rsidRDefault="008467D8" w:rsidP="00ED7922">
      <w:pPr>
        <w:pStyle w:val="Footnote"/>
      </w:pPr>
      <w:r>
        <w:rPr>
          <w:rStyle w:val="FootnoteReference"/>
        </w:rPr>
        <w:footnoteRef/>
      </w:r>
      <w:r>
        <w:t xml:space="preserve"> All currency amounts are in Canadian dollars unless noted otherwise.</w:t>
      </w:r>
    </w:p>
  </w:footnote>
  <w:footnote w:id="3">
    <w:p w14:paraId="342400A1" w14:textId="1EDD62A8" w:rsidR="008467D8" w:rsidRDefault="008467D8" w:rsidP="00C91503">
      <w:pPr>
        <w:pStyle w:val="Footnote"/>
      </w:pPr>
      <w:r>
        <w:rPr>
          <w:rStyle w:val="FootnoteReference"/>
        </w:rPr>
        <w:footnoteRef/>
      </w:r>
      <w:r>
        <w:t xml:space="preserve"> Justice Laws Website, </w:t>
      </w:r>
      <w:r w:rsidRPr="00FF1DE0">
        <w:rPr>
          <w:i/>
        </w:rPr>
        <w:t>Bankruptcy and Insolvency Act</w:t>
      </w:r>
      <w:r>
        <w:t xml:space="preserve"> (R.S.C., 1985, c. B-3), Government of Canada, accessed June 26, 2016, </w:t>
      </w:r>
      <w:r w:rsidRPr="00E66D24">
        <w:t>http://laws-lois.justice.gc.ca/eng/acts/b-3/</w:t>
      </w:r>
      <w:r>
        <w:rPr>
          <w:rStyle w:val="Hyperlink"/>
          <w:color w:val="auto"/>
          <w:u w:val="none"/>
        </w:rPr>
        <w:t xml:space="preserve">; </w:t>
      </w:r>
      <w:r w:rsidRPr="00CA6A03">
        <w:t>Office of the Superintendent of Bankruptcy</w:t>
      </w:r>
      <w:r>
        <w:t xml:space="preserve">, “Your Owe Money—Restructure Your Business through the </w:t>
      </w:r>
      <w:r w:rsidRPr="00FF1DE0">
        <w:rPr>
          <w:i/>
        </w:rPr>
        <w:t>Companies’ Creditors Arrangement Act</w:t>
      </w:r>
      <w:r>
        <w:t xml:space="preserve"> (CCAA),” Government of Canada, accessed June 26, 2016, </w:t>
      </w:r>
      <w:r w:rsidRPr="00E66D24">
        <w:t>www.ic.gc.ca/eic/site/bsf-osb.nsf/eng/br03125.html</w:t>
      </w:r>
      <w:r>
        <w:t>.</w:t>
      </w:r>
    </w:p>
  </w:footnote>
  <w:footnote w:id="4">
    <w:p w14:paraId="12562AD4" w14:textId="2E1E9568" w:rsidR="008467D8" w:rsidRDefault="008467D8" w:rsidP="00ED7922">
      <w:pPr>
        <w:pStyle w:val="Footnote"/>
      </w:pPr>
      <w:r>
        <w:rPr>
          <w:rStyle w:val="FootnoteReference"/>
        </w:rPr>
        <w:footnoteRef/>
      </w:r>
      <w:r>
        <w:t xml:space="preserve"> Bruce </w:t>
      </w:r>
      <w:proofErr w:type="spellStart"/>
      <w:r>
        <w:t>Livesey</w:t>
      </w:r>
      <w:proofErr w:type="spellEnd"/>
      <w:r>
        <w:t xml:space="preserve"> and Nicole Mercury, “Rust Never Sleeps: Who Killed </w:t>
      </w:r>
      <w:proofErr w:type="spellStart"/>
      <w:r>
        <w:t>Stelco</w:t>
      </w:r>
      <w:proofErr w:type="spellEnd"/>
      <w:proofErr w:type="gramStart"/>
      <w:r>
        <w:t>?,</w:t>
      </w:r>
      <w:proofErr w:type="gramEnd"/>
      <w:r>
        <w:t xml:space="preserve">” </w:t>
      </w:r>
      <w:r w:rsidRPr="009C503A">
        <w:rPr>
          <w:i/>
        </w:rPr>
        <w:t>Report on Business Magazine</w:t>
      </w:r>
      <w:r>
        <w:t xml:space="preserve">, </w:t>
      </w:r>
      <w:r w:rsidRPr="007A2EE5">
        <w:rPr>
          <w:i/>
        </w:rPr>
        <w:t>Globe and Mail</w:t>
      </w:r>
      <w:r>
        <w:t>, September 29, 2016.</w:t>
      </w:r>
    </w:p>
  </w:footnote>
  <w:footnote w:id="5">
    <w:p w14:paraId="0EB5C3F0" w14:textId="66569078" w:rsidR="008467D8" w:rsidRDefault="008467D8" w:rsidP="00ED7922">
      <w:pPr>
        <w:pStyle w:val="Footnote"/>
      </w:pPr>
      <w:r>
        <w:rPr>
          <w:rStyle w:val="FootnoteReference"/>
        </w:rPr>
        <w:footnoteRef/>
      </w:r>
      <w:r>
        <w:t xml:space="preserve"> </w:t>
      </w:r>
      <w:proofErr w:type="spellStart"/>
      <w:r w:rsidRPr="001472EE">
        <w:t>Stelco</w:t>
      </w:r>
      <w:r>
        <w:t>’s</w:t>
      </w:r>
      <w:proofErr w:type="spellEnd"/>
      <w:r w:rsidRPr="001472EE">
        <w:t xml:space="preserve"> stock rose 12 per cent </w:t>
      </w:r>
      <w:r>
        <w:t xml:space="preserve">to </w:t>
      </w:r>
      <w:r w:rsidRPr="001472EE">
        <w:t xml:space="preserve">$1.23 </w:t>
      </w:r>
      <w:r>
        <w:t xml:space="preserve">per share </w:t>
      </w:r>
      <w:r w:rsidRPr="001472EE">
        <w:t xml:space="preserve">in heavy trading </w:t>
      </w:r>
      <w:r>
        <w:t xml:space="preserve">on the day following </w:t>
      </w:r>
      <w:proofErr w:type="spellStart"/>
      <w:r>
        <w:t>Alfano’s</w:t>
      </w:r>
      <w:proofErr w:type="spellEnd"/>
      <w:r>
        <w:t xml:space="preserve"> </w:t>
      </w:r>
      <w:r w:rsidRPr="001472EE">
        <w:t>announced departure</w:t>
      </w:r>
      <w:r>
        <w:t>; Steve Erwin, “</w:t>
      </w:r>
      <w:proofErr w:type="spellStart"/>
      <w:r>
        <w:t>Stelco</w:t>
      </w:r>
      <w:proofErr w:type="spellEnd"/>
      <w:r>
        <w:t xml:space="preserve"> Shares Up on CEO’s Departure, but Analysts Wait for Cost-cutting Plan,” </w:t>
      </w:r>
      <w:r w:rsidRPr="003767A7">
        <w:rPr>
          <w:i/>
        </w:rPr>
        <w:t>Canadian Press</w:t>
      </w:r>
      <w:r w:rsidRPr="00FF1DE0">
        <w:t>,</w:t>
      </w:r>
      <w:r w:rsidRPr="00DA3FEF" w:rsidDel="005D275F">
        <w:t xml:space="preserve"> </w:t>
      </w:r>
      <w:r>
        <w:t xml:space="preserve">July 29, 2003. </w:t>
      </w:r>
    </w:p>
  </w:footnote>
  <w:footnote w:id="6">
    <w:p w14:paraId="6E2A7526" w14:textId="21F135B2" w:rsidR="008467D8" w:rsidRDefault="008467D8" w:rsidP="00ED7922">
      <w:pPr>
        <w:pStyle w:val="Footnote"/>
      </w:pPr>
      <w:r>
        <w:rPr>
          <w:rStyle w:val="FootnoteReference"/>
        </w:rPr>
        <w:footnoteRef/>
      </w:r>
      <w:r>
        <w:t xml:space="preserve"> Peter </w:t>
      </w:r>
      <w:proofErr w:type="spellStart"/>
      <w:r>
        <w:t>Brieger</w:t>
      </w:r>
      <w:proofErr w:type="spellEnd"/>
      <w:r>
        <w:t>, “</w:t>
      </w:r>
      <w:proofErr w:type="spellStart"/>
      <w:r>
        <w:t>Stelco</w:t>
      </w:r>
      <w:proofErr w:type="spellEnd"/>
      <w:r>
        <w:t xml:space="preserve">–Restructuring,” </w:t>
      </w:r>
      <w:r w:rsidRPr="003767A7">
        <w:rPr>
          <w:i/>
        </w:rPr>
        <w:t>Canadian Press</w:t>
      </w:r>
      <w:r>
        <w:t>,</w:t>
      </w:r>
      <w:r w:rsidDel="00D409BD">
        <w:t xml:space="preserve"> </w:t>
      </w:r>
      <w:r>
        <w:t>September 12, 2003.</w:t>
      </w:r>
    </w:p>
  </w:footnote>
  <w:footnote w:id="7">
    <w:p w14:paraId="7C0C0C42" w14:textId="5D00D150" w:rsidR="008467D8" w:rsidRPr="00FF1DE0" w:rsidRDefault="008467D8" w:rsidP="00FF1DE0">
      <w:pPr>
        <w:pStyle w:val="Footnote"/>
        <w:rPr>
          <w:lang w:val="en-CA"/>
        </w:rPr>
      </w:pPr>
      <w:r>
        <w:rPr>
          <w:rStyle w:val="FootnoteReference"/>
        </w:rPr>
        <w:footnoteRef/>
      </w:r>
      <w:r>
        <w:t xml:space="preserve"> </w:t>
      </w:r>
      <w:r>
        <w:rPr>
          <w:lang w:val="en-CA"/>
        </w:rPr>
        <w:t>Chapter 11 was a form of bankruptcy that involved a reorganization of a debtor’s business affairs, debts, and assets.</w:t>
      </w:r>
    </w:p>
  </w:footnote>
  <w:footnote w:id="8">
    <w:p w14:paraId="6DDD1E06" w14:textId="3DA5A8EF" w:rsidR="008467D8" w:rsidRDefault="008467D8" w:rsidP="00ED7922">
      <w:pPr>
        <w:pStyle w:val="Footnote"/>
      </w:pPr>
      <w:r>
        <w:rPr>
          <w:rStyle w:val="FootnoteReference"/>
        </w:rPr>
        <w:footnoteRef/>
      </w:r>
      <w:r>
        <w:t xml:space="preserve"> Steve Erwin, “</w:t>
      </w:r>
      <w:proofErr w:type="spellStart"/>
      <w:r>
        <w:t>Stelco</w:t>
      </w:r>
      <w:proofErr w:type="spellEnd"/>
      <w:r>
        <w:t xml:space="preserve"> Looks to Slash </w:t>
      </w:r>
      <w:proofErr w:type="spellStart"/>
      <w:r>
        <w:t>Labour</w:t>
      </w:r>
      <w:proofErr w:type="spellEnd"/>
      <w:r>
        <w:t xml:space="preserve">, Pension Costs; Bankruptcy Protection Possible,” </w:t>
      </w:r>
      <w:r w:rsidRPr="00AE33BC">
        <w:rPr>
          <w:i/>
        </w:rPr>
        <w:t xml:space="preserve">Canadian </w:t>
      </w:r>
      <w:r w:rsidRPr="00E66D24">
        <w:rPr>
          <w:i/>
        </w:rPr>
        <w:t>Press</w:t>
      </w:r>
      <w:r>
        <w:t xml:space="preserve">, </w:t>
      </w:r>
      <w:r w:rsidRPr="00897DC6">
        <w:t>October</w:t>
      </w:r>
      <w:r>
        <w:t xml:space="preserve"> 22, 2003.</w:t>
      </w:r>
    </w:p>
  </w:footnote>
  <w:footnote w:id="9">
    <w:p w14:paraId="56D5C9AF" w14:textId="20562A5E" w:rsidR="008467D8" w:rsidRDefault="008467D8" w:rsidP="00ED7922">
      <w:pPr>
        <w:pStyle w:val="Footnote"/>
      </w:pPr>
      <w:r>
        <w:rPr>
          <w:rStyle w:val="FootnoteReference"/>
        </w:rPr>
        <w:footnoteRef/>
      </w:r>
      <w:r>
        <w:t xml:space="preserve"> Julius </w:t>
      </w:r>
      <w:proofErr w:type="spellStart"/>
      <w:r>
        <w:t>Melnitzer</w:t>
      </w:r>
      <w:proofErr w:type="spellEnd"/>
      <w:r>
        <w:t xml:space="preserve">, “Pensions: Corporate Powerhouses in Crisis,” </w:t>
      </w:r>
      <w:r w:rsidRPr="000E32C0">
        <w:rPr>
          <w:i/>
        </w:rPr>
        <w:t>L</w:t>
      </w:r>
      <w:r>
        <w:rPr>
          <w:i/>
        </w:rPr>
        <w:t>EXPERT</w:t>
      </w:r>
      <w:r>
        <w:t>,</w:t>
      </w:r>
      <w:r>
        <w:rPr>
          <w:i/>
        </w:rPr>
        <w:t xml:space="preserve"> </w:t>
      </w:r>
      <w:r>
        <w:t>April 2004.</w:t>
      </w:r>
    </w:p>
  </w:footnote>
  <w:footnote w:id="10">
    <w:p w14:paraId="62A72201" w14:textId="603A9F02" w:rsidR="008467D8" w:rsidRDefault="008467D8" w:rsidP="00ED7922">
      <w:pPr>
        <w:pStyle w:val="Footnote"/>
      </w:pPr>
      <w:r>
        <w:rPr>
          <w:rStyle w:val="FootnoteReference"/>
        </w:rPr>
        <w:footnoteRef/>
      </w:r>
      <w:r>
        <w:t xml:space="preserve"> </w:t>
      </w:r>
      <w:r w:rsidRPr="00D86A93">
        <w:t xml:space="preserve">The </w:t>
      </w:r>
      <w:r>
        <w:t xml:space="preserve">U.S. </w:t>
      </w:r>
      <w:r w:rsidRPr="00D86A93">
        <w:t>Pension Benefit Guaranty Corporation</w:t>
      </w:r>
      <w:r>
        <w:t xml:space="preserve"> (PBGC)</w:t>
      </w:r>
      <w:r w:rsidRPr="00D86A93">
        <w:t xml:space="preserve"> ha</w:t>
      </w:r>
      <w:r>
        <w:t>d</w:t>
      </w:r>
      <w:r w:rsidRPr="00D86A93">
        <w:t xml:space="preserve"> absorbed more than </w:t>
      </w:r>
      <w:r>
        <w:t>US</w:t>
      </w:r>
      <w:r w:rsidRPr="00D86A93">
        <w:t>$6</w:t>
      </w:r>
      <w:r>
        <w:t xml:space="preserve"> billion</w:t>
      </w:r>
      <w:r w:rsidRPr="00D86A93">
        <w:t xml:space="preserve"> in pension </w:t>
      </w:r>
      <w:r>
        <w:t>liabilities</w:t>
      </w:r>
      <w:r w:rsidRPr="00D86A93">
        <w:t xml:space="preserve"> from bankrupt </w:t>
      </w:r>
      <w:r>
        <w:t xml:space="preserve">U.S. </w:t>
      </w:r>
      <w:r w:rsidRPr="00D86A93">
        <w:t xml:space="preserve">steel companies. The three largest claims in </w:t>
      </w:r>
      <w:r>
        <w:t xml:space="preserve">the </w:t>
      </w:r>
      <w:r w:rsidRPr="00D86A93">
        <w:t>PBGC’s history were Bethlehem Steel</w:t>
      </w:r>
      <w:r>
        <w:t xml:space="preserve"> Corporation, at US</w:t>
      </w:r>
      <w:r w:rsidRPr="00D86A93">
        <w:t>$4.3</w:t>
      </w:r>
      <w:r>
        <w:t xml:space="preserve"> billion; </w:t>
      </w:r>
      <w:r w:rsidRPr="00D86A93">
        <w:t>LTV Steel</w:t>
      </w:r>
      <w:r>
        <w:t xml:space="preserve"> Corporation, at US</w:t>
      </w:r>
      <w:r w:rsidRPr="00D86A93">
        <w:t>$2.2</w:t>
      </w:r>
      <w:r>
        <w:t xml:space="preserve"> billion; </w:t>
      </w:r>
      <w:r w:rsidRPr="00D86A93">
        <w:t>and National Steel</w:t>
      </w:r>
      <w:r>
        <w:t xml:space="preserve"> Corporation, at US$1.5 billion.</w:t>
      </w:r>
    </w:p>
  </w:footnote>
  <w:footnote w:id="11">
    <w:p w14:paraId="40D05BA0" w14:textId="174EA64E" w:rsidR="008467D8" w:rsidRDefault="008467D8" w:rsidP="00ED7922">
      <w:pPr>
        <w:pStyle w:val="Footnote"/>
      </w:pPr>
      <w:r>
        <w:rPr>
          <w:rStyle w:val="FootnoteReference"/>
        </w:rPr>
        <w:footnoteRef/>
      </w:r>
      <w:r>
        <w:t xml:space="preserve"> A defined </w:t>
      </w:r>
      <w:r w:rsidRPr="00EB04FE">
        <w:rPr>
          <w:i/>
        </w:rPr>
        <w:t>benefit</w:t>
      </w:r>
      <w:r>
        <w:t xml:space="preserve"> pension plan paid out to retirees based on a formula linked to years of service and average salary in their final years. This structure created large, long-lived liabilities for a company with aging employees. </w:t>
      </w:r>
    </w:p>
  </w:footnote>
  <w:footnote w:id="12">
    <w:p w14:paraId="1457EC1C" w14:textId="47FA1664" w:rsidR="008467D8" w:rsidRDefault="008467D8" w:rsidP="00ED7922">
      <w:pPr>
        <w:pStyle w:val="Footnote"/>
      </w:pPr>
      <w:r>
        <w:rPr>
          <w:rStyle w:val="FootnoteReference"/>
        </w:rPr>
        <w:footnoteRef/>
      </w:r>
      <w:r>
        <w:t xml:space="preserve"> </w:t>
      </w:r>
      <w:proofErr w:type="spellStart"/>
      <w:r w:rsidRPr="007648A1">
        <w:t>Stelco</w:t>
      </w:r>
      <w:proofErr w:type="spellEnd"/>
      <w:r w:rsidRPr="007648A1">
        <w:t xml:space="preserve"> </w:t>
      </w:r>
      <w:r>
        <w:t xml:space="preserve">had </w:t>
      </w:r>
      <w:r w:rsidRPr="007648A1">
        <w:t xml:space="preserve">increased its </w:t>
      </w:r>
      <w:r>
        <w:t>revolver</w:t>
      </w:r>
      <w:r w:rsidRPr="007648A1">
        <w:t xml:space="preserve"> twice in 2003</w:t>
      </w:r>
      <w:r>
        <w:t>—</w:t>
      </w:r>
      <w:r w:rsidRPr="007648A1">
        <w:t>a $25</w:t>
      </w:r>
      <w:r>
        <w:t xml:space="preserve"> million </w:t>
      </w:r>
      <w:r w:rsidRPr="007648A1">
        <w:t xml:space="preserve">increase </w:t>
      </w:r>
      <w:r>
        <w:t>during the first quarter of 2003,</w:t>
      </w:r>
      <w:r w:rsidRPr="007648A1">
        <w:t xml:space="preserve"> and a</w:t>
      </w:r>
      <w:r>
        <w:t xml:space="preserve"> </w:t>
      </w:r>
      <w:r w:rsidRPr="007648A1">
        <w:t>$20</w:t>
      </w:r>
      <w:r>
        <w:t xml:space="preserve"> million </w:t>
      </w:r>
      <w:r w:rsidRPr="007648A1">
        <w:t>increase on July 8, 2003</w:t>
      </w:r>
      <w:r>
        <w:t>.</w:t>
      </w:r>
    </w:p>
  </w:footnote>
  <w:footnote w:id="13">
    <w:p w14:paraId="0C099FA1" w14:textId="63D176B7" w:rsidR="008467D8" w:rsidRDefault="008467D8" w:rsidP="00ED7922">
      <w:pPr>
        <w:pStyle w:val="Footnote"/>
      </w:pPr>
      <w:r>
        <w:rPr>
          <w:rStyle w:val="FootnoteReference"/>
        </w:rPr>
        <w:footnoteRef/>
      </w:r>
      <w:r>
        <w:t xml:space="preserve"> </w:t>
      </w:r>
      <w:proofErr w:type="spellStart"/>
      <w:r>
        <w:t>Stelco</w:t>
      </w:r>
      <w:proofErr w:type="spellEnd"/>
      <w:r>
        <w:t xml:space="preserve"> Inc., </w:t>
      </w:r>
      <w:r w:rsidRPr="00FF1DE0">
        <w:rPr>
          <w:i/>
        </w:rPr>
        <w:t>Annual Report 2002</w:t>
      </w:r>
      <w:r>
        <w:t>, 2002, 39.</w:t>
      </w:r>
    </w:p>
  </w:footnote>
  <w:footnote w:id="14">
    <w:p w14:paraId="683D9277" w14:textId="546EF6A8" w:rsidR="008467D8" w:rsidRDefault="008467D8" w:rsidP="00ED7922">
      <w:pPr>
        <w:pStyle w:val="Footnote"/>
      </w:pPr>
      <w:r>
        <w:rPr>
          <w:rStyle w:val="FootnoteReference"/>
        </w:rPr>
        <w:footnoteRef/>
      </w:r>
      <w:r>
        <w:t xml:space="preserve"> Douglas </w:t>
      </w:r>
      <w:proofErr w:type="spellStart"/>
      <w:r>
        <w:t>Goold</w:t>
      </w:r>
      <w:proofErr w:type="spellEnd"/>
      <w:r>
        <w:t xml:space="preserve">, “Steely Resolve Needed to Cure the Troubles at </w:t>
      </w:r>
      <w:proofErr w:type="spellStart"/>
      <w:r>
        <w:t>Stelco</w:t>
      </w:r>
      <w:proofErr w:type="spellEnd"/>
      <w:r>
        <w:t xml:space="preserve">,” </w:t>
      </w:r>
      <w:r w:rsidRPr="00FF1DE0">
        <w:rPr>
          <w:i/>
        </w:rPr>
        <w:t>Globe and Mail</w:t>
      </w:r>
      <w:r>
        <w:t>, August 4, 2003,</w:t>
      </w:r>
      <w:r w:rsidRPr="00923C0B">
        <w:t xml:space="preserve"> </w:t>
      </w:r>
      <w:r>
        <w:t xml:space="preserve">accessed April 17, 2018, </w:t>
      </w:r>
      <w:r w:rsidRPr="00923C0B">
        <w:t>www.theglobeandmail.com/report-on-business/steely-resolve-needed-to-cure-the-troubles-at-stelco/article752107/</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24EA61A" w:rsidR="008467D8" w:rsidRPr="00C92CC4" w:rsidRDefault="008467D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954">
      <w:rPr>
        <w:rFonts w:ascii="Arial" w:hAnsi="Arial"/>
        <w:b/>
        <w:noProof/>
      </w:rPr>
      <w:t>14</w:t>
    </w:r>
    <w:r>
      <w:rPr>
        <w:rFonts w:ascii="Arial" w:hAnsi="Arial"/>
        <w:b/>
      </w:rPr>
      <w:fldChar w:fldCharType="end"/>
    </w:r>
    <w:r>
      <w:rPr>
        <w:rFonts w:ascii="Arial" w:hAnsi="Arial"/>
        <w:b/>
      </w:rPr>
      <w:tab/>
    </w:r>
    <w:r w:rsidR="002C18AF">
      <w:rPr>
        <w:rFonts w:ascii="Arial" w:hAnsi="Arial"/>
        <w:b/>
      </w:rPr>
      <w:t>9B18N009</w:t>
    </w:r>
  </w:p>
  <w:p w14:paraId="2B53C0A0" w14:textId="77777777" w:rsidR="008467D8" w:rsidRDefault="008467D8" w:rsidP="00D13667">
    <w:pPr>
      <w:pStyle w:val="Header"/>
      <w:tabs>
        <w:tab w:val="clear" w:pos="4680"/>
      </w:tabs>
      <w:rPr>
        <w:sz w:val="18"/>
        <w:szCs w:val="18"/>
      </w:rPr>
    </w:pPr>
  </w:p>
  <w:p w14:paraId="47119730" w14:textId="77777777" w:rsidR="008467D8" w:rsidRPr="00C92CC4" w:rsidRDefault="008467D8"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A3FA7" w14:textId="753CAF9B" w:rsidR="008467D8" w:rsidRPr="00C92CC4" w:rsidRDefault="008467D8" w:rsidP="00FE465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954">
      <w:rPr>
        <w:rFonts w:ascii="Arial" w:hAnsi="Arial"/>
        <w:b/>
        <w:noProof/>
      </w:rPr>
      <w:t>15</w:t>
    </w:r>
    <w:r>
      <w:rPr>
        <w:rFonts w:ascii="Arial" w:hAnsi="Arial"/>
        <w:b/>
      </w:rPr>
      <w:fldChar w:fldCharType="end"/>
    </w:r>
    <w:r>
      <w:rPr>
        <w:rFonts w:ascii="Arial" w:hAnsi="Arial"/>
        <w:b/>
      </w:rPr>
      <w:tab/>
    </w:r>
    <w:r w:rsidR="002C18AF">
      <w:rPr>
        <w:rFonts w:ascii="Arial" w:hAnsi="Arial"/>
        <w:b/>
      </w:rPr>
      <w:t>9B18N009</w:t>
    </w:r>
  </w:p>
  <w:p w14:paraId="7F58DC4E" w14:textId="77777777" w:rsidR="008467D8" w:rsidRDefault="008467D8" w:rsidP="00FE4652">
    <w:pPr>
      <w:pStyle w:val="Header"/>
      <w:tabs>
        <w:tab w:val="clear" w:pos="4680"/>
        <w:tab w:val="clear" w:pos="9360"/>
        <w:tab w:val="right" w:pos="12960"/>
      </w:tabs>
      <w:rPr>
        <w:sz w:val="18"/>
        <w:szCs w:val="18"/>
      </w:rPr>
    </w:pPr>
  </w:p>
  <w:p w14:paraId="0F089918" w14:textId="77777777" w:rsidR="008467D8" w:rsidRPr="00C92CC4" w:rsidRDefault="008467D8" w:rsidP="00FE465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517FA" w14:textId="5576865A" w:rsidR="008467D8" w:rsidRPr="00C92CC4" w:rsidRDefault="008467D8" w:rsidP="004269DF">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954">
      <w:rPr>
        <w:rFonts w:ascii="Arial" w:hAnsi="Arial"/>
        <w:b/>
        <w:noProof/>
      </w:rPr>
      <w:t>16</w:t>
    </w:r>
    <w:r>
      <w:rPr>
        <w:rFonts w:ascii="Arial" w:hAnsi="Arial"/>
        <w:b/>
      </w:rPr>
      <w:fldChar w:fldCharType="end"/>
    </w:r>
    <w:r>
      <w:rPr>
        <w:rFonts w:ascii="Arial" w:hAnsi="Arial"/>
        <w:b/>
      </w:rPr>
      <w:tab/>
    </w:r>
    <w:r w:rsidR="002C18AF">
      <w:rPr>
        <w:rFonts w:ascii="Arial" w:hAnsi="Arial"/>
        <w:b/>
      </w:rPr>
      <w:t>9B18N009</w:t>
    </w:r>
  </w:p>
  <w:p w14:paraId="4165C6C9" w14:textId="77777777" w:rsidR="008467D8" w:rsidRDefault="008467D8" w:rsidP="004269DF">
    <w:pPr>
      <w:pStyle w:val="Header"/>
      <w:tabs>
        <w:tab w:val="clear" w:pos="4680"/>
      </w:tabs>
      <w:rPr>
        <w:sz w:val="18"/>
        <w:szCs w:val="18"/>
      </w:rPr>
    </w:pPr>
  </w:p>
  <w:p w14:paraId="7887D53F" w14:textId="77777777" w:rsidR="008467D8" w:rsidRPr="00C92CC4" w:rsidRDefault="008467D8" w:rsidP="004269DF">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8C309E"/>
    <w:multiLevelType w:val="hybridMultilevel"/>
    <w:tmpl w:val="8E468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01093A"/>
    <w:multiLevelType w:val="hybridMultilevel"/>
    <w:tmpl w:val="1E3647AC"/>
    <w:lvl w:ilvl="0" w:tplc="2708C5C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7F4A00"/>
    <w:multiLevelType w:val="hybridMultilevel"/>
    <w:tmpl w:val="9A9825A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3C7CF306"/>
    <w:lvl w:ilvl="0" w:tplc="E1FC2E2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2"/>
  </w:num>
  <w:num w:numId="6">
    <w:abstractNumId w:val="5"/>
  </w:num>
  <w:num w:numId="7">
    <w:abstractNumId w:val="0"/>
  </w:num>
  <w:num w:numId="8">
    <w:abstractNumId w:val="6"/>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6E5"/>
    <w:rsid w:val="00013360"/>
    <w:rsid w:val="00016366"/>
    <w:rsid w:val="00016759"/>
    <w:rsid w:val="000216CE"/>
    <w:rsid w:val="00022D4F"/>
    <w:rsid w:val="00024ED4"/>
    <w:rsid w:val="00025DC7"/>
    <w:rsid w:val="000322AF"/>
    <w:rsid w:val="00035F09"/>
    <w:rsid w:val="00044ECC"/>
    <w:rsid w:val="000531D3"/>
    <w:rsid w:val="0005646B"/>
    <w:rsid w:val="000729EA"/>
    <w:rsid w:val="0008102D"/>
    <w:rsid w:val="00086B26"/>
    <w:rsid w:val="00094C0E"/>
    <w:rsid w:val="00097851"/>
    <w:rsid w:val="000A146D"/>
    <w:rsid w:val="000D6DB6"/>
    <w:rsid w:val="000D7091"/>
    <w:rsid w:val="000E6301"/>
    <w:rsid w:val="000F02EE"/>
    <w:rsid w:val="000F0C22"/>
    <w:rsid w:val="000F6B09"/>
    <w:rsid w:val="000F6FDC"/>
    <w:rsid w:val="00104567"/>
    <w:rsid w:val="00104916"/>
    <w:rsid w:val="00104AA7"/>
    <w:rsid w:val="0011663E"/>
    <w:rsid w:val="0012732D"/>
    <w:rsid w:val="0013584C"/>
    <w:rsid w:val="00143F25"/>
    <w:rsid w:val="00152682"/>
    <w:rsid w:val="00154FC9"/>
    <w:rsid w:val="0016293A"/>
    <w:rsid w:val="00163C63"/>
    <w:rsid w:val="0019241A"/>
    <w:rsid w:val="00192A18"/>
    <w:rsid w:val="001A22D1"/>
    <w:rsid w:val="001A752D"/>
    <w:rsid w:val="001A757E"/>
    <w:rsid w:val="001B5032"/>
    <w:rsid w:val="001C58C6"/>
    <w:rsid w:val="001C7777"/>
    <w:rsid w:val="001D01EE"/>
    <w:rsid w:val="001E364F"/>
    <w:rsid w:val="001F4222"/>
    <w:rsid w:val="00203AA1"/>
    <w:rsid w:val="00213E98"/>
    <w:rsid w:val="0023081A"/>
    <w:rsid w:val="00265FA8"/>
    <w:rsid w:val="00282B2A"/>
    <w:rsid w:val="002902F1"/>
    <w:rsid w:val="002904F1"/>
    <w:rsid w:val="00293CB7"/>
    <w:rsid w:val="002C18AF"/>
    <w:rsid w:val="002C5825"/>
    <w:rsid w:val="002F460C"/>
    <w:rsid w:val="002F48D6"/>
    <w:rsid w:val="002F6218"/>
    <w:rsid w:val="002F6F36"/>
    <w:rsid w:val="003170DF"/>
    <w:rsid w:val="00317391"/>
    <w:rsid w:val="0031787A"/>
    <w:rsid w:val="00326216"/>
    <w:rsid w:val="00336580"/>
    <w:rsid w:val="00346349"/>
    <w:rsid w:val="00354899"/>
    <w:rsid w:val="00355FD6"/>
    <w:rsid w:val="00364A5C"/>
    <w:rsid w:val="00373FB1"/>
    <w:rsid w:val="00376D6C"/>
    <w:rsid w:val="00382931"/>
    <w:rsid w:val="003920D7"/>
    <w:rsid w:val="00396C76"/>
    <w:rsid w:val="003B30D8"/>
    <w:rsid w:val="003B574E"/>
    <w:rsid w:val="003B7EF2"/>
    <w:rsid w:val="003C3FA4"/>
    <w:rsid w:val="003D0BA1"/>
    <w:rsid w:val="003D7DCA"/>
    <w:rsid w:val="003F2B0C"/>
    <w:rsid w:val="004105B2"/>
    <w:rsid w:val="00412900"/>
    <w:rsid w:val="004138F5"/>
    <w:rsid w:val="0041796E"/>
    <w:rsid w:val="004221E4"/>
    <w:rsid w:val="004269DF"/>
    <w:rsid w:val="004273F8"/>
    <w:rsid w:val="004355A3"/>
    <w:rsid w:val="00440A2C"/>
    <w:rsid w:val="00446546"/>
    <w:rsid w:val="00452769"/>
    <w:rsid w:val="00454FA7"/>
    <w:rsid w:val="00465348"/>
    <w:rsid w:val="004845DC"/>
    <w:rsid w:val="004979A5"/>
    <w:rsid w:val="004B1CCB"/>
    <w:rsid w:val="004B632F"/>
    <w:rsid w:val="004B6B55"/>
    <w:rsid w:val="004D3FB1"/>
    <w:rsid w:val="004D6F21"/>
    <w:rsid w:val="004D73A5"/>
    <w:rsid w:val="005160F1"/>
    <w:rsid w:val="00520C83"/>
    <w:rsid w:val="00524F2F"/>
    <w:rsid w:val="00527E5C"/>
    <w:rsid w:val="00532CF5"/>
    <w:rsid w:val="00547ADF"/>
    <w:rsid w:val="005528CB"/>
    <w:rsid w:val="00566771"/>
    <w:rsid w:val="00581774"/>
    <w:rsid w:val="00581E2E"/>
    <w:rsid w:val="00584F15"/>
    <w:rsid w:val="0059514B"/>
    <w:rsid w:val="005A1B0F"/>
    <w:rsid w:val="005B1E56"/>
    <w:rsid w:val="005D275F"/>
    <w:rsid w:val="005F5130"/>
    <w:rsid w:val="006163F7"/>
    <w:rsid w:val="00616A74"/>
    <w:rsid w:val="00617901"/>
    <w:rsid w:val="00620FAB"/>
    <w:rsid w:val="00627C63"/>
    <w:rsid w:val="0063350B"/>
    <w:rsid w:val="00652606"/>
    <w:rsid w:val="006639E1"/>
    <w:rsid w:val="00676744"/>
    <w:rsid w:val="006946EE"/>
    <w:rsid w:val="006A58A9"/>
    <w:rsid w:val="006A606D"/>
    <w:rsid w:val="006B0F8D"/>
    <w:rsid w:val="006C0371"/>
    <w:rsid w:val="006C08B6"/>
    <w:rsid w:val="006C0B1A"/>
    <w:rsid w:val="006C6065"/>
    <w:rsid w:val="006C7F9F"/>
    <w:rsid w:val="006E2F6D"/>
    <w:rsid w:val="006E58F6"/>
    <w:rsid w:val="006E6CB0"/>
    <w:rsid w:val="006E77E1"/>
    <w:rsid w:val="006F131D"/>
    <w:rsid w:val="006F2077"/>
    <w:rsid w:val="00711642"/>
    <w:rsid w:val="0072320B"/>
    <w:rsid w:val="007507C6"/>
    <w:rsid w:val="00751E0B"/>
    <w:rsid w:val="00752BCD"/>
    <w:rsid w:val="00754F05"/>
    <w:rsid w:val="00755123"/>
    <w:rsid w:val="00766DA1"/>
    <w:rsid w:val="00780D94"/>
    <w:rsid w:val="007866A6"/>
    <w:rsid w:val="007A130D"/>
    <w:rsid w:val="007A2EE5"/>
    <w:rsid w:val="007A61CF"/>
    <w:rsid w:val="007D1A2D"/>
    <w:rsid w:val="007D4102"/>
    <w:rsid w:val="007E54A7"/>
    <w:rsid w:val="007F43B7"/>
    <w:rsid w:val="007F6771"/>
    <w:rsid w:val="007F798C"/>
    <w:rsid w:val="008024BC"/>
    <w:rsid w:val="00821FFC"/>
    <w:rsid w:val="008271CA"/>
    <w:rsid w:val="008467D5"/>
    <w:rsid w:val="008467D8"/>
    <w:rsid w:val="0086451F"/>
    <w:rsid w:val="0087396E"/>
    <w:rsid w:val="00882B3C"/>
    <w:rsid w:val="00895F14"/>
    <w:rsid w:val="00897DC6"/>
    <w:rsid w:val="008A4DC4"/>
    <w:rsid w:val="008B3B4A"/>
    <w:rsid w:val="008B438C"/>
    <w:rsid w:val="008B6289"/>
    <w:rsid w:val="008C3AF9"/>
    <w:rsid w:val="008D06CA"/>
    <w:rsid w:val="008D3A46"/>
    <w:rsid w:val="008D669A"/>
    <w:rsid w:val="008F2385"/>
    <w:rsid w:val="009027BF"/>
    <w:rsid w:val="009067A4"/>
    <w:rsid w:val="00906B58"/>
    <w:rsid w:val="00916954"/>
    <w:rsid w:val="00923C0B"/>
    <w:rsid w:val="00924C5E"/>
    <w:rsid w:val="00930885"/>
    <w:rsid w:val="00933D68"/>
    <w:rsid w:val="009340DB"/>
    <w:rsid w:val="0094618C"/>
    <w:rsid w:val="009469A4"/>
    <w:rsid w:val="0095684B"/>
    <w:rsid w:val="00972498"/>
    <w:rsid w:val="009740FB"/>
    <w:rsid w:val="0097481F"/>
    <w:rsid w:val="00974CC6"/>
    <w:rsid w:val="00976AD4"/>
    <w:rsid w:val="00995547"/>
    <w:rsid w:val="009A312F"/>
    <w:rsid w:val="009A5348"/>
    <w:rsid w:val="009B0AB7"/>
    <w:rsid w:val="009B494B"/>
    <w:rsid w:val="009C39C2"/>
    <w:rsid w:val="009C76D5"/>
    <w:rsid w:val="009F7AA4"/>
    <w:rsid w:val="00A06F18"/>
    <w:rsid w:val="00A10AD7"/>
    <w:rsid w:val="00A36B91"/>
    <w:rsid w:val="00A559DB"/>
    <w:rsid w:val="00A569EA"/>
    <w:rsid w:val="00A676A0"/>
    <w:rsid w:val="00AC759C"/>
    <w:rsid w:val="00AE33BC"/>
    <w:rsid w:val="00AE501D"/>
    <w:rsid w:val="00AF35FC"/>
    <w:rsid w:val="00AF5556"/>
    <w:rsid w:val="00B03639"/>
    <w:rsid w:val="00B05F36"/>
    <w:rsid w:val="00B0652A"/>
    <w:rsid w:val="00B229CB"/>
    <w:rsid w:val="00B40937"/>
    <w:rsid w:val="00B423EF"/>
    <w:rsid w:val="00B453DE"/>
    <w:rsid w:val="00B47A8C"/>
    <w:rsid w:val="00B6587A"/>
    <w:rsid w:val="00B72597"/>
    <w:rsid w:val="00B7442B"/>
    <w:rsid w:val="00B901F9"/>
    <w:rsid w:val="00BB2D4D"/>
    <w:rsid w:val="00BC4D98"/>
    <w:rsid w:val="00BD6EFB"/>
    <w:rsid w:val="00BF08F1"/>
    <w:rsid w:val="00BF5EAB"/>
    <w:rsid w:val="00C06030"/>
    <w:rsid w:val="00C1584D"/>
    <w:rsid w:val="00C15BE2"/>
    <w:rsid w:val="00C3447F"/>
    <w:rsid w:val="00C67102"/>
    <w:rsid w:val="00C81491"/>
    <w:rsid w:val="00C81676"/>
    <w:rsid w:val="00C85C5D"/>
    <w:rsid w:val="00C91503"/>
    <w:rsid w:val="00C92CC4"/>
    <w:rsid w:val="00CA0AFB"/>
    <w:rsid w:val="00CA2CE1"/>
    <w:rsid w:val="00CA3976"/>
    <w:rsid w:val="00CA50E3"/>
    <w:rsid w:val="00CA6A03"/>
    <w:rsid w:val="00CA757B"/>
    <w:rsid w:val="00CC1787"/>
    <w:rsid w:val="00CC182C"/>
    <w:rsid w:val="00CD0824"/>
    <w:rsid w:val="00CD2908"/>
    <w:rsid w:val="00D02E73"/>
    <w:rsid w:val="00D03A82"/>
    <w:rsid w:val="00D05797"/>
    <w:rsid w:val="00D13667"/>
    <w:rsid w:val="00D15344"/>
    <w:rsid w:val="00D15B7B"/>
    <w:rsid w:val="00D23F57"/>
    <w:rsid w:val="00D252A3"/>
    <w:rsid w:val="00D31BEC"/>
    <w:rsid w:val="00D339E8"/>
    <w:rsid w:val="00D409BD"/>
    <w:rsid w:val="00D465BB"/>
    <w:rsid w:val="00D567EC"/>
    <w:rsid w:val="00D62DCF"/>
    <w:rsid w:val="00D63150"/>
    <w:rsid w:val="00D636BA"/>
    <w:rsid w:val="00D64A32"/>
    <w:rsid w:val="00D64EFC"/>
    <w:rsid w:val="00D708F0"/>
    <w:rsid w:val="00D75295"/>
    <w:rsid w:val="00D76CE9"/>
    <w:rsid w:val="00D8201C"/>
    <w:rsid w:val="00D9131C"/>
    <w:rsid w:val="00D97F12"/>
    <w:rsid w:val="00DA3FEF"/>
    <w:rsid w:val="00DA4B4E"/>
    <w:rsid w:val="00DA5C89"/>
    <w:rsid w:val="00DA6095"/>
    <w:rsid w:val="00DB2697"/>
    <w:rsid w:val="00DB42E7"/>
    <w:rsid w:val="00DC09D8"/>
    <w:rsid w:val="00DD062E"/>
    <w:rsid w:val="00DE01A6"/>
    <w:rsid w:val="00DE7A98"/>
    <w:rsid w:val="00DF32C2"/>
    <w:rsid w:val="00DF64C3"/>
    <w:rsid w:val="00E0104E"/>
    <w:rsid w:val="00E1566C"/>
    <w:rsid w:val="00E471A7"/>
    <w:rsid w:val="00E53573"/>
    <w:rsid w:val="00E635CF"/>
    <w:rsid w:val="00E63BF1"/>
    <w:rsid w:val="00E66D24"/>
    <w:rsid w:val="00E71A4D"/>
    <w:rsid w:val="00EA3ED1"/>
    <w:rsid w:val="00EC1668"/>
    <w:rsid w:val="00EC6E0A"/>
    <w:rsid w:val="00EC756D"/>
    <w:rsid w:val="00ED17FE"/>
    <w:rsid w:val="00ED4E18"/>
    <w:rsid w:val="00ED7922"/>
    <w:rsid w:val="00ED7F94"/>
    <w:rsid w:val="00EE02C4"/>
    <w:rsid w:val="00EE1F37"/>
    <w:rsid w:val="00F00ECA"/>
    <w:rsid w:val="00F0159C"/>
    <w:rsid w:val="00F105B7"/>
    <w:rsid w:val="00F13220"/>
    <w:rsid w:val="00F17A21"/>
    <w:rsid w:val="00F37B27"/>
    <w:rsid w:val="00F46556"/>
    <w:rsid w:val="00F50E91"/>
    <w:rsid w:val="00F53247"/>
    <w:rsid w:val="00F57D29"/>
    <w:rsid w:val="00F60786"/>
    <w:rsid w:val="00F72BE7"/>
    <w:rsid w:val="00F72CB2"/>
    <w:rsid w:val="00F91BC7"/>
    <w:rsid w:val="00F96201"/>
    <w:rsid w:val="00FA0D7B"/>
    <w:rsid w:val="00FB4C0C"/>
    <w:rsid w:val="00FD0B18"/>
    <w:rsid w:val="00FD2FAD"/>
    <w:rsid w:val="00FE4652"/>
    <w:rsid w:val="00FE714F"/>
    <w:rsid w:val="00FF1DE0"/>
    <w:rsid w:val="00FF7152"/>
    <w:rsid w:val="00FF7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79AA937"/>
  <w15:docId w15:val="{45BA89F0-82E1-43E2-9FFC-57DFFB45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PlaceholderText">
    <w:name w:val="Placeholder Text"/>
    <w:basedOn w:val="DefaultParagraphFont"/>
    <w:uiPriority w:val="99"/>
    <w:semiHidden/>
    <w:rsid w:val="003B5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2261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D9883-5F06-4AEE-ACAD-EB81D3C1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6433</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2015-03-04T20:34:00Z</cp:lastPrinted>
  <dcterms:created xsi:type="dcterms:W3CDTF">2018-06-04T17:01:00Z</dcterms:created>
  <dcterms:modified xsi:type="dcterms:W3CDTF">2018-06-08T15:51:00Z</dcterms:modified>
</cp:coreProperties>
</file>