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81D077" w14:textId="4BABD895" w:rsidR="00950C94" w:rsidRPr="005A3538" w:rsidRDefault="005A3538" w:rsidP="008467D5">
      <w:pPr>
        <w:pBdr>
          <w:bottom w:val="single" w:sz="18" w:space="1" w:color="auto"/>
        </w:pBdr>
        <w:tabs>
          <w:tab w:val="left" w:pos="-1440"/>
          <w:tab w:val="left" w:pos="-720"/>
          <w:tab w:val="left" w:pos="1"/>
        </w:tabs>
        <w:jc w:val="both"/>
        <w:rPr>
          <w:rFonts w:ascii="Arial" w:hAnsi="Arial"/>
          <w:b/>
          <w:sz w:val="24"/>
        </w:rPr>
      </w:pPr>
      <w:r w:rsidRPr="005A3538">
        <w:rPr>
          <w:rFonts w:ascii="Arial" w:hAnsi="Arial"/>
          <w:b/>
          <w:noProof/>
          <w:sz w:val="24"/>
          <w:lang w:val="en-US"/>
        </w:rPr>
        <w:drawing>
          <wp:inline distT="0" distB="0" distL="0" distR="0" wp14:anchorId="06FCA674" wp14:editId="258A74B4">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2E27249F" w14:textId="1F22C9D9" w:rsidR="00D75295" w:rsidRPr="005A3538" w:rsidRDefault="00A02B76" w:rsidP="00FF3573">
      <w:pPr>
        <w:pStyle w:val="ProductNumber"/>
        <w:outlineLvl w:val="0"/>
      </w:pPr>
      <w:r>
        <w:t>9B18N010</w:t>
      </w:r>
    </w:p>
    <w:p w14:paraId="2EB4B4DD" w14:textId="77777777" w:rsidR="00D75295" w:rsidRPr="005A3538" w:rsidRDefault="00D75295" w:rsidP="00D75295">
      <w:pPr>
        <w:jc w:val="right"/>
        <w:rPr>
          <w:rFonts w:ascii="Arial" w:hAnsi="Arial"/>
          <w:b/>
          <w:sz w:val="28"/>
          <w:szCs w:val="28"/>
        </w:rPr>
      </w:pPr>
    </w:p>
    <w:p w14:paraId="658B589A" w14:textId="77777777" w:rsidR="00013360" w:rsidRPr="005A3538" w:rsidRDefault="00013360" w:rsidP="00D75295">
      <w:pPr>
        <w:jc w:val="right"/>
        <w:rPr>
          <w:rFonts w:ascii="Arial" w:hAnsi="Arial"/>
          <w:b/>
          <w:sz w:val="28"/>
          <w:szCs w:val="28"/>
        </w:rPr>
      </w:pPr>
    </w:p>
    <w:p w14:paraId="2DD2EF60" w14:textId="3FB5427A" w:rsidR="00013360" w:rsidRPr="005A3538" w:rsidRDefault="00A01583" w:rsidP="00013360">
      <w:pPr>
        <w:pStyle w:val="CaseTitle"/>
        <w:spacing w:after="0" w:line="240" w:lineRule="auto"/>
        <w:rPr>
          <w:rFonts w:eastAsia="Times New Roman"/>
          <w:szCs w:val="20"/>
        </w:rPr>
      </w:pPr>
      <w:r w:rsidRPr="005A3538">
        <w:rPr>
          <w:rFonts w:eastAsia="Times New Roman"/>
          <w:szCs w:val="20"/>
        </w:rPr>
        <w:t xml:space="preserve">padhy leather: minimizing commercial risk </w:t>
      </w:r>
      <w:r w:rsidR="00091439" w:rsidRPr="005A3538">
        <w:rPr>
          <w:rFonts w:eastAsia="Times New Roman"/>
          <w:szCs w:val="20"/>
        </w:rPr>
        <w:t>through</w:t>
      </w:r>
      <w:r w:rsidR="004C6CEE" w:rsidRPr="005A3538">
        <w:rPr>
          <w:rFonts w:eastAsia="Times New Roman"/>
          <w:szCs w:val="20"/>
        </w:rPr>
        <w:t xml:space="preserve"> </w:t>
      </w:r>
      <w:r w:rsidR="001C49BF" w:rsidRPr="005A3538">
        <w:rPr>
          <w:rFonts w:eastAsia="Times New Roman"/>
          <w:szCs w:val="20"/>
        </w:rPr>
        <w:t>a</w:t>
      </w:r>
      <w:r w:rsidR="00FF3573">
        <w:rPr>
          <w:rFonts w:eastAsia="Times New Roman"/>
          <w:szCs w:val="20"/>
        </w:rPr>
        <w:t xml:space="preserve"> </w:t>
      </w:r>
      <w:r w:rsidRPr="005A3538">
        <w:rPr>
          <w:rFonts w:eastAsia="Times New Roman"/>
          <w:szCs w:val="20"/>
        </w:rPr>
        <w:t>letter of credit</w:t>
      </w:r>
    </w:p>
    <w:p w14:paraId="10361124" w14:textId="77777777" w:rsidR="00CA3976" w:rsidRPr="005A3538" w:rsidRDefault="00CA3976" w:rsidP="00013360">
      <w:pPr>
        <w:pStyle w:val="CaseTitle"/>
        <w:spacing w:after="0" w:line="240" w:lineRule="auto"/>
        <w:rPr>
          <w:sz w:val="20"/>
          <w:szCs w:val="20"/>
        </w:rPr>
      </w:pPr>
    </w:p>
    <w:p w14:paraId="053C4EB3" w14:textId="77777777" w:rsidR="00013360" w:rsidRPr="005A3538" w:rsidRDefault="00013360" w:rsidP="00013360">
      <w:pPr>
        <w:pStyle w:val="CaseTitle"/>
        <w:spacing w:after="0" w:line="240" w:lineRule="auto"/>
        <w:rPr>
          <w:sz w:val="20"/>
          <w:szCs w:val="20"/>
        </w:rPr>
      </w:pPr>
    </w:p>
    <w:p w14:paraId="75A3DA7A" w14:textId="09B5F519" w:rsidR="00627C63" w:rsidRPr="005A3538" w:rsidRDefault="00F00970" w:rsidP="00627C63">
      <w:pPr>
        <w:pStyle w:val="StyleCopyrightStatementAfter0ptBottomSinglesolidline1"/>
      </w:pPr>
      <w:hyperlink r:id="rId9" w:history="1">
        <w:r w:rsidR="009F2FF5" w:rsidRPr="005A3538">
          <w:rPr>
            <w:rStyle w:val="Hyperlink"/>
            <w:color w:val="auto"/>
            <w:u w:val="none"/>
          </w:rPr>
          <w:t>D.</w:t>
        </w:r>
        <w:r w:rsidR="005578DE" w:rsidRPr="005A3538">
          <w:rPr>
            <w:rStyle w:val="Hyperlink"/>
            <w:color w:val="auto"/>
            <w:u w:val="none"/>
          </w:rPr>
          <w:t xml:space="preserve"> </w:t>
        </w:r>
        <w:r w:rsidR="009F2FF5" w:rsidRPr="005A3538">
          <w:rPr>
            <w:rStyle w:val="Hyperlink"/>
            <w:color w:val="auto"/>
            <w:u w:val="none"/>
          </w:rPr>
          <w:t>N</w:t>
        </w:r>
        <w:r w:rsidR="005578DE" w:rsidRPr="005A3538">
          <w:rPr>
            <w:rStyle w:val="Hyperlink"/>
            <w:color w:val="auto"/>
            <w:u w:val="none"/>
          </w:rPr>
          <w:t>.</w:t>
        </w:r>
        <w:r w:rsidR="009F2FF5" w:rsidRPr="005A3538">
          <w:rPr>
            <w:rStyle w:val="Hyperlink"/>
            <w:color w:val="auto"/>
            <w:u w:val="none"/>
          </w:rPr>
          <w:t xml:space="preserve"> </w:t>
        </w:r>
        <w:proofErr w:type="spellStart"/>
        <w:r w:rsidR="009F2FF5" w:rsidRPr="005A3538">
          <w:rPr>
            <w:rStyle w:val="Hyperlink"/>
            <w:color w:val="auto"/>
            <w:u w:val="none"/>
          </w:rPr>
          <w:t>Panigrahi</w:t>
        </w:r>
        <w:proofErr w:type="spellEnd"/>
      </w:hyperlink>
      <w:r w:rsidR="009F2FF5" w:rsidRPr="005A3538">
        <w:rPr>
          <w:color w:val="auto"/>
        </w:rPr>
        <w:t xml:space="preserve"> </w:t>
      </w:r>
      <w:r w:rsidR="004B632F" w:rsidRPr="005A3538">
        <w:rPr>
          <w:color w:val="auto"/>
        </w:rPr>
        <w:t>wrote</w:t>
      </w:r>
      <w:r w:rsidR="004B632F" w:rsidRPr="005A3538">
        <w:t xml:space="preserve"> this </w:t>
      </w:r>
      <w:r w:rsidR="00152682" w:rsidRPr="005A3538">
        <w:t>case</w:t>
      </w:r>
      <w:r w:rsidR="004B632F" w:rsidRPr="005A3538">
        <w:t xml:space="preserve"> </w:t>
      </w:r>
      <w:r w:rsidR="00152682" w:rsidRPr="005A3538">
        <w:t>solely to provide material for class discussion. The</w:t>
      </w:r>
      <w:r w:rsidR="001C7777" w:rsidRPr="005A3538">
        <w:t xml:space="preserve"> author</w:t>
      </w:r>
      <w:r w:rsidR="00152682" w:rsidRPr="005A3538">
        <w:t xml:space="preserve"> do</w:t>
      </w:r>
      <w:r w:rsidR="009F2FF5" w:rsidRPr="005A3538">
        <w:t>es</w:t>
      </w:r>
      <w:r w:rsidR="00152682" w:rsidRPr="005A3538">
        <w:t xml:space="preserve"> not intend to illustrate either effective or ineffective handling of a managerial situation. The author may have disguised certain names and other identifying information to protect confidentiality.</w:t>
      </w:r>
    </w:p>
    <w:p w14:paraId="2A017607" w14:textId="77777777" w:rsidR="00751E0B" w:rsidRPr="005A3538" w:rsidRDefault="00751E0B" w:rsidP="00751E0B">
      <w:pPr>
        <w:pStyle w:val="StyleCopyrightStatementAfter0ptBottomSinglesolidline1"/>
      </w:pPr>
    </w:p>
    <w:p w14:paraId="6E6404D2" w14:textId="77777777" w:rsidR="005A3538" w:rsidRPr="00E23AB7" w:rsidRDefault="005A3538" w:rsidP="00A13D57">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14:paraId="1D2F1629" w14:textId="507B859F" w:rsidR="009F2FF5" w:rsidRPr="005A3538" w:rsidRDefault="009F2FF5" w:rsidP="00751E0B">
      <w:pPr>
        <w:pStyle w:val="StyleCopyrightStatementAfter0ptBottomSinglesolidline1"/>
      </w:pPr>
    </w:p>
    <w:p w14:paraId="43A1CE6C" w14:textId="194083A9" w:rsidR="0017653E" w:rsidRPr="005A3538" w:rsidRDefault="005A3538" w:rsidP="00751E0B">
      <w:pPr>
        <w:pStyle w:val="StyleStyleCopyrightStatementAfter0ptBottomSinglesolid"/>
      </w:pPr>
      <w:r w:rsidRPr="005A3538">
        <w:rPr>
          <w:rFonts w:cs="Arial"/>
          <w:szCs w:val="16"/>
        </w:rPr>
        <w:t xml:space="preserve">Copyright © 2018, </w:t>
      </w:r>
      <w:r w:rsidRPr="005A3538">
        <w:rPr>
          <w:rFonts w:cs="Arial"/>
          <w:szCs w:val="16"/>
          <w:lang w:val="en-CA"/>
        </w:rPr>
        <w:t>Ivey Business School Foundation</w:t>
      </w:r>
      <w:r w:rsidR="00A569EA" w:rsidRPr="005A3538">
        <w:rPr>
          <w:rFonts w:cs="Arial"/>
          <w:szCs w:val="16"/>
        </w:rPr>
        <w:tab/>
      </w:r>
      <w:r w:rsidR="00751E0B" w:rsidRPr="005A3538">
        <w:t xml:space="preserve">Version: </w:t>
      </w:r>
      <w:r w:rsidR="003D0BA1" w:rsidRPr="005A3538">
        <w:t>20</w:t>
      </w:r>
      <w:r w:rsidR="009F2FF5" w:rsidRPr="005A3538">
        <w:t>18</w:t>
      </w:r>
      <w:r w:rsidR="001C7777" w:rsidRPr="005A3538">
        <w:t>-</w:t>
      </w:r>
      <w:r w:rsidR="00EA6770" w:rsidRPr="005A3538">
        <w:t>0</w:t>
      </w:r>
      <w:r w:rsidR="00B958F3">
        <w:t>6</w:t>
      </w:r>
      <w:r w:rsidR="00751E0B" w:rsidRPr="005A3538">
        <w:t>-</w:t>
      </w:r>
      <w:r w:rsidR="00F00970">
        <w:t>08</w:t>
      </w:r>
    </w:p>
    <w:p w14:paraId="5D46CD2A" w14:textId="77777777" w:rsidR="00751E0B" w:rsidRPr="005A3538" w:rsidRDefault="00751E0B" w:rsidP="00751E0B">
      <w:pPr>
        <w:pStyle w:val="StyleCopyrightStatementAfter0ptBottomSinglesolidline1"/>
        <w:rPr>
          <w:rFonts w:ascii="Times New Roman" w:hAnsi="Times New Roman"/>
          <w:sz w:val="20"/>
        </w:rPr>
      </w:pPr>
    </w:p>
    <w:p w14:paraId="0039B3C1" w14:textId="77777777" w:rsidR="004B632F" w:rsidRPr="005A3538" w:rsidRDefault="004B632F" w:rsidP="004B632F">
      <w:pPr>
        <w:pStyle w:val="StyleCopyrightStatementAfter0ptBottomSinglesolidline1"/>
        <w:rPr>
          <w:rFonts w:ascii="Times New Roman" w:hAnsi="Times New Roman"/>
          <w:sz w:val="20"/>
        </w:rPr>
      </w:pPr>
    </w:p>
    <w:p w14:paraId="40B1B161" w14:textId="5110034A" w:rsidR="009F2FF5" w:rsidRPr="005A3538" w:rsidRDefault="009F2FF5" w:rsidP="009F2FF5">
      <w:pPr>
        <w:pStyle w:val="BodyTextMain"/>
      </w:pPr>
      <w:r w:rsidRPr="005A3538">
        <w:t>In</w:t>
      </w:r>
      <w:r w:rsidR="00142A24" w:rsidRPr="005A3538">
        <w:t xml:space="preserve"> September 2017</w:t>
      </w:r>
      <w:r w:rsidRPr="005A3538">
        <w:t xml:space="preserve">, </w:t>
      </w:r>
      <w:r w:rsidR="0043461E" w:rsidRPr="005A3538">
        <w:t>Puja</w:t>
      </w:r>
      <w:r w:rsidRPr="005A3538">
        <w:t xml:space="preserve"> </w:t>
      </w:r>
      <w:proofErr w:type="spellStart"/>
      <w:r w:rsidRPr="005A3538">
        <w:t>Mohanty</w:t>
      </w:r>
      <w:proofErr w:type="spellEnd"/>
      <w:r w:rsidRPr="005A3538">
        <w:t xml:space="preserve"> moved</w:t>
      </w:r>
      <w:r w:rsidR="0038333E" w:rsidRPr="005A3538">
        <w:t xml:space="preserve"> to New Town, India</w:t>
      </w:r>
      <w:r w:rsidR="00FF3573">
        <w:t>,</w:t>
      </w:r>
      <w:r w:rsidR="0038333E" w:rsidRPr="005A3538">
        <w:t xml:space="preserve"> to work as business development m</w:t>
      </w:r>
      <w:r w:rsidRPr="005A3538">
        <w:t xml:space="preserve">anager for M/S </w:t>
      </w:r>
      <w:proofErr w:type="spellStart"/>
      <w:r w:rsidR="002C57CA" w:rsidRPr="005A3538">
        <w:t>Padhy</w:t>
      </w:r>
      <w:proofErr w:type="spellEnd"/>
      <w:r w:rsidR="002C57CA" w:rsidRPr="005A3538">
        <w:t xml:space="preserve"> Leather</w:t>
      </w:r>
      <w:r w:rsidRPr="005A3538">
        <w:t xml:space="preserve"> Ltd., a start-up manufacturing company exporting leather garments. </w:t>
      </w:r>
      <w:proofErr w:type="spellStart"/>
      <w:r w:rsidRPr="005A3538">
        <w:t>Mohanty’s</w:t>
      </w:r>
      <w:proofErr w:type="spellEnd"/>
      <w:r w:rsidRPr="005A3538">
        <w:t xml:space="preserve"> </w:t>
      </w:r>
      <w:r w:rsidR="00960B08" w:rsidRPr="005A3538">
        <w:t xml:space="preserve">main </w:t>
      </w:r>
      <w:r w:rsidRPr="005A3538">
        <w:t xml:space="preserve">responsibility was to expand the </w:t>
      </w:r>
      <w:r w:rsidR="00B51990" w:rsidRPr="005A3538">
        <w:t xml:space="preserve">company’s </w:t>
      </w:r>
      <w:r w:rsidRPr="005A3538">
        <w:t>business</w:t>
      </w:r>
      <w:r w:rsidR="00B51990" w:rsidRPr="005A3538">
        <w:t xml:space="preserve"> </w:t>
      </w:r>
      <w:r w:rsidRPr="005A3538">
        <w:t xml:space="preserve">into new markets and </w:t>
      </w:r>
      <w:r w:rsidR="00B51990" w:rsidRPr="005A3538">
        <w:t xml:space="preserve">acquire </w:t>
      </w:r>
      <w:r w:rsidRPr="005A3538">
        <w:t xml:space="preserve">new clients. </w:t>
      </w:r>
      <w:r w:rsidR="00DB04A9" w:rsidRPr="005A3538">
        <w:t xml:space="preserve">Her specific role was to negotiate trade contracts with overseas buyers and suppliers of raw materials </w:t>
      </w:r>
      <w:r w:rsidR="00FF3573">
        <w:t>and</w:t>
      </w:r>
      <w:r w:rsidR="00DB04A9" w:rsidRPr="005A3538">
        <w:t xml:space="preserve"> machines. </w:t>
      </w:r>
      <w:r w:rsidR="00E75165" w:rsidRPr="005A3538">
        <w:t>S</w:t>
      </w:r>
      <w:r w:rsidR="00960B08" w:rsidRPr="005A3538">
        <w:t>he needed to</w:t>
      </w:r>
      <w:r w:rsidR="00DB04A9" w:rsidRPr="005A3538">
        <w:t xml:space="preserve"> expand business volumes and improve profitability, but at the sa</w:t>
      </w:r>
      <w:r w:rsidR="00F00970">
        <w:t xml:space="preserve">me time minimize the </w:t>
      </w:r>
      <w:r w:rsidR="00DB04A9" w:rsidRPr="005A3538">
        <w:t>risk</w:t>
      </w:r>
      <w:r w:rsidR="00F00970">
        <w:t>s of international trade</w:t>
      </w:r>
      <w:r w:rsidR="00DB04A9" w:rsidRPr="005A3538">
        <w:t>.</w:t>
      </w:r>
    </w:p>
    <w:p w14:paraId="7BEEADE7" w14:textId="77777777" w:rsidR="009F2FF5" w:rsidRPr="005A3538" w:rsidRDefault="009F2FF5" w:rsidP="009F2FF5">
      <w:pPr>
        <w:pStyle w:val="BodyTextMain"/>
      </w:pPr>
    </w:p>
    <w:p w14:paraId="210F80FE" w14:textId="5C8419B9" w:rsidR="009F2FF5" w:rsidRPr="005A3538" w:rsidRDefault="009F2FF5" w:rsidP="009F2FF5">
      <w:pPr>
        <w:pStyle w:val="BodyTextMain"/>
      </w:pPr>
      <w:proofErr w:type="spellStart"/>
      <w:r w:rsidRPr="005A3538">
        <w:t>Mohanty</w:t>
      </w:r>
      <w:proofErr w:type="spellEnd"/>
      <w:r w:rsidRPr="005A3538">
        <w:t xml:space="preserve"> initially concentrated on exploring new clients from the United States. Subsequently</w:t>
      </w:r>
      <w:r w:rsidR="00B51990" w:rsidRPr="005A3538">
        <w:t>,</w:t>
      </w:r>
      <w:r w:rsidRPr="005A3538">
        <w:t xml:space="preserve"> </w:t>
      </w:r>
      <w:r w:rsidR="0043461E" w:rsidRPr="005A3538">
        <w:t>s</w:t>
      </w:r>
      <w:r w:rsidRPr="005A3538">
        <w:t xml:space="preserve">he tried to expand the business into Canada. </w:t>
      </w:r>
      <w:r w:rsidR="004134AE" w:rsidRPr="005A3538">
        <w:t>B</w:t>
      </w:r>
      <w:r w:rsidR="00077B5B" w:rsidRPr="005A3538">
        <w:t>y March 31, 2018</w:t>
      </w:r>
      <w:r w:rsidR="00FF3573">
        <w:t>,</w:t>
      </w:r>
      <w:r w:rsidR="004134AE" w:rsidRPr="005A3538">
        <w:t xml:space="preserve"> six months into her new job</w:t>
      </w:r>
      <w:r w:rsidRPr="005A3538">
        <w:t xml:space="preserve">, </w:t>
      </w:r>
      <w:r w:rsidR="0043461E" w:rsidRPr="005A3538">
        <w:t>s</w:t>
      </w:r>
      <w:r w:rsidRPr="005A3538">
        <w:t>he</w:t>
      </w:r>
      <w:r w:rsidR="00B600E0" w:rsidRPr="005A3538">
        <w:t xml:space="preserve"> </w:t>
      </w:r>
      <w:r w:rsidR="00960B08" w:rsidRPr="005A3538">
        <w:t xml:space="preserve">had </w:t>
      </w:r>
      <w:r w:rsidRPr="005A3538">
        <w:t>acquire</w:t>
      </w:r>
      <w:r w:rsidR="00B600E0" w:rsidRPr="005A3538">
        <w:t>d</w:t>
      </w:r>
      <w:r w:rsidRPr="005A3538">
        <w:t xml:space="preserve"> a </w:t>
      </w:r>
      <w:r w:rsidR="00F00970">
        <w:t>high</w:t>
      </w:r>
      <w:r w:rsidR="0038333E" w:rsidRPr="005A3538">
        <w:t xml:space="preserve"> number of new clients from </w:t>
      </w:r>
      <w:r w:rsidR="001C49BF" w:rsidRPr="005A3538">
        <w:t>both countries</w:t>
      </w:r>
      <w:r w:rsidRPr="005A3538">
        <w:t xml:space="preserve">. </w:t>
      </w:r>
      <w:r w:rsidR="00B51990" w:rsidRPr="005A3538">
        <w:t>However,</w:t>
      </w:r>
      <w:r w:rsidRPr="005A3538">
        <w:t xml:space="preserve"> </w:t>
      </w:r>
      <w:r w:rsidR="0043461E" w:rsidRPr="005A3538">
        <w:t>s</w:t>
      </w:r>
      <w:r w:rsidRPr="005A3538">
        <w:t>he was wary of mitigating commercial risks in the form of default risk or non-payment risk arising out of export transactions with the</w:t>
      </w:r>
      <w:r w:rsidR="00F06523" w:rsidRPr="005A3538">
        <w:t xml:space="preserve">se </w:t>
      </w:r>
      <w:r w:rsidRPr="005A3538">
        <w:t>new and u</w:t>
      </w:r>
      <w:r w:rsidR="0038333E" w:rsidRPr="005A3538">
        <w:t xml:space="preserve">ntested </w:t>
      </w:r>
      <w:proofErr w:type="gramStart"/>
      <w:r w:rsidR="0038333E" w:rsidRPr="005A3538">
        <w:t>overseas</w:t>
      </w:r>
      <w:proofErr w:type="gramEnd"/>
      <w:r w:rsidR="0038333E" w:rsidRPr="005A3538">
        <w:t xml:space="preserve"> buyers</w:t>
      </w:r>
      <w:r w:rsidRPr="005A3538">
        <w:t>.</w:t>
      </w:r>
      <w:r w:rsidR="00E75165" w:rsidRPr="005A3538">
        <w:t xml:space="preserve"> </w:t>
      </w:r>
      <w:r w:rsidR="00960B08" w:rsidRPr="005A3538">
        <w:t>A</w:t>
      </w:r>
      <w:r w:rsidR="00F06523" w:rsidRPr="005A3538">
        <w:t xml:space="preserve">nxious to </w:t>
      </w:r>
      <w:r w:rsidRPr="005A3538">
        <w:t>minimi</w:t>
      </w:r>
      <w:r w:rsidR="00B51990" w:rsidRPr="005A3538">
        <w:t>z</w:t>
      </w:r>
      <w:r w:rsidRPr="005A3538">
        <w:t xml:space="preserve">e </w:t>
      </w:r>
      <w:r w:rsidR="004C6CEE" w:rsidRPr="005A3538">
        <w:t xml:space="preserve">the </w:t>
      </w:r>
      <w:r w:rsidRPr="005A3538">
        <w:t>commercial risks</w:t>
      </w:r>
      <w:r w:rsidR="00B51990" w:rsidRPr="005A3538">
        <w:t>,</w:t>
      </w:r>
      <w:r w:rsidRPr="005A3538">
        <w:t xml:space="preserve"> </w:t>
      </w:r>
      <w:proofErr w:type="spellStart"/>
      <w:r w:rsidR="00960B08" w:rsidRPr="005A3538">
        <w:t>Mohanty</w:t>
      </w:r>
      <w:proofErr w:type="spellEnd"/>
      <w:r w:rsidR="00960B08" w:rsidRPr="005A3538">
        <w:t xml:space="preserve"> </w:t>
      </w:r>
      <w:r w:rsidR="0038333E" w:rsidRPr="005A3538">
        <w:t>stipulated 100 per cent</w:t>
      </w:r>
      <w:r w:rsidRPr="005A3538">
        <w:t xml:space="preserve"> advance payment for almost all export orders. </w:t>
      </w:r>
      <w:r w:rsidR="00B51990" w:rsidRPr="005A3538">
        <w:t>However,</w:t>
      </w:r>
      <w:r w:rsidRPr="005A3538">
        <w:t xml:space="preserve"> many new customers </w:t>
      </w:r>
      <w:r w:rsidR="0038333E" w:rsidRPr="005A3538">
        <w:t>were not willing to provide 100 per cent</w:t>
      </w:r>
      <w:r w:rsidRPr="005A3538">
        <w:t xml:space="preserve"> advance payment</w:t>
      </w:r>
      <w:r w:rsidR="00B51990" w:rsidRPr="005A3538">
        <w:t>;</w:t>
      </w:r>
      <w:r w:rsidRPr="005A3538">
        <w:t xml:space="preserve"> as a consequence</w:t>
      </w:r>
      <w:r w:rsidR="00B51990" w:rsidRPr="005A3538">
        <w:t>,</w:t>
      </w:r>
      <w:r w:rsidRPr="005A3538">
        <w:t xml:space="preserve"> </w:t>
      </w:r>
      <w:proofErr w:type="spellStart"/>
      <w:r w:rsidRPr="005A3538">
        <w:t>Mohanty</w:t>
      </w:r>
      <w:proofErr w:type="spellEnd"/>
      <w:r w:rsidRPr="005A3538">
        <w:t xml:space="preserve"> was not able to firm up many contracts. What could </w:t>
      </w:r>
      <w:r w:rsidR="0043461E" w:rsidRPr="005A3538">
        <w:t>s</w:t>
      </w:r>
      <w:r w:rsidRPr="005A3538">
        <w:t>he do to balance h</w:t>
      </w:r>
      <w:r w:rsidR="0043461E" w:rsidRPr="005A3538">
        <w:t>er</w:t>
      </w:r>
      <w:r w:rsidRPr="005A3538">
        <w:t xml:space="preserve"> goal</w:t>
      </w:r>
      <w:r w:rsidR="00F06523" w:rsidRPr="005A3538">
        <w:t>s</w:t>
      </w:r>
      <w:r w:rsidRPr="005A3538">
        <w:t xml:space="preserve"> of </w:t>
      </w:r>
      <w:r w:rsidR="00F06523" w:rsidRPr="005A3538">
        <w:t xml:space="preserve">developing </w:t>
      </w:r>
      <w:r w:rsidRPr="005A3538">
        <w:t xml:space="preserve">business </w:t>
      </w:r>
      <w:r w:rsidR="00F06523" w:rsidRPr="005A3538">
        <w:t>a</w:t>
      </w:r>
      <w:r w:rsidRPr="005A3538">
        <w:t>nd minimi</w:t>
      </w:r>
      <w:r w:rsidR="00B51990" w:rsidRPr="005A3538">
        <w:t>zing</w:t>
      </w:r>
      <w:r w:rsidRPr="005A3538">
        <w:t xml:space="preserve"> commercial risk? </w:t>
      </w:r>
    </w:p>
    <w:p w14:paraId="6AD44625" w14:textId="77777777" w:rsidR="009F2FF5" w:rsidRPr="005A3538" w:rsidRDefault="009F2FF5" w:rsidP="009F2FF5">
      <w:pPr>
        <w:pStyle w:val="BodyTextMain"/>
        <w:rPr>
          <w:b/>
        </w:rPr>
      </w:pPr>
    </w:p>
    <w:p w14:paraId="6C93EA48" w14:textId="77777777" w:rsidR="009F2FF5" w:rsidRPr="005A3538" w:rsidRDefault="009F2FF5" w:rsidP="009F2FF5">
      <w:pPr>
        <w:pStyle w:val="BodyTextMain"/>
        <w:rPr>
          <w:b/>
        </w:rPr>
      </w:pPr>
    </w:p>
    <w:p w14:paraId="018FBB47" w14:textId="77777777" w:rsidR="009F2FF5" w:rsidRPr="005A3538" w:rsidRDefault="009F2FF5" w:rsidP="00FF3573">
      <w:pPr>
        <w:pStyle w:val="Casehead1"/>
        <w:outlineLvl w:val="0"/>
      </w:pPr>
      <w:r w:rsidRPr="005A3538">
        <w:t>COMPANY BACKGROUND</w:t>
      </w:r>
    </w:p>
    <w:p w14:paraId="021054A9" w14:textId="77777777" w:rsidR="009F2FF5" w:rsidRPr="005A3538" w:rsidRDefault="009F2FF5" w:rsidP="009F2FF5">
      <w:pPr>
        <w:pStyle w:val="BodyTextMain"/>
      </w:pPr>
    </w:p>
    <w:p w14:paraId="478C7DE9" w14:textId="5209517E" w:rsidR="009F2FF5" w:rsidRPr="005A3538" w:rsidRDefault="009F2FF5" w:rsidP="009F2FF5">
      <w:pPr>
        <w:pStyle w:val="BodyTextMain"/>
        <w:rPr>
          <w:bCs/>
        </w:rPr>
      </w:pPr>
      <w:r w:rsidRPr="005A3538">
        <w:rPr>
          <w:bCs/>
        </w:rPr>
        <w:t xml:space="preserve">M/S </w:t>
      </w:r>
      <w:proofErr w:type="spellStart"/>
      <w:r w:rsidR="002C57CA" w:rsidRPr="005A3538">
        <w:t>Padhy</w:t>
      </w:r>
      <w:proofErr w:type="spellEnd"/>
      <w:r w:rsidR="002C57CA" w:rsidRPr="005A3538">
        <w:t xml:space="preserve"> Leather</w:t>
      </w:r>
      <w:r w:rsidRPr="005A3538">
        <w:rPr>
          <w:bCs/>
        </w:rPr>
        <w:t xml:space="preserve"> Ltd. was established in March 201</w:t>
      </w:r>
      <w:r w:rsidR="0043461E" w:rsidRPr="005A3538">
        <w:rPr>
          <w:bCs/>
        </w:rPr>
        <w:t>6</w:t>
      </w:r>
      <w:r w:rsidRPr="005A3538">
        <w:rPr>
          <w:bCs/>
        </w:rPr>
        <w:t xml:space="preserve"> by two</w:t>
      </w:r>
      <w:r w:rsidR="00E75165" w:rsidRPr="005A3538">
        <w:rPr>
          <w:bCs/>
        </w:rPr>
        <w:t xml:space="preserve"> young,</w:t>
      </w:r>
      <w:r w:rsidRPr="005A3538">
        <w:rPr>
          <w:bCs/>
        </w:rPr>
        <w:t xml:space="preserve"> first generation entrepreneurs. The company manufactur</w:t>
      </w:r>
      <w:r w:rsidR="00493EF9" w:rsidRPr="005A3538">
        <w:rPr>
          <w:bCs/>
        </w:rPr>
        <w:t>ed</w:t>
      </w:r>
      <w:r w:rsidRPr="005A3538">
        <w:rPr>
          <w:bCs/>
        </w:rPr>
        <w:t xml:space="preserve"> </w:t>
      </w:r>
      <w:r w:rsidR="0051443A" w:rsidRPr="005A3538">
        <w:rPr>
          <w:bCs/>
        </w:rPr>
        <w:t>leather garments</w:t>
      </w:r>
      <w:r w:rsidR="00E75165" w:rsidRPr="005A3538">
        <w:rPr>
          <w:bCs/>
        </w:rPr>
        <w:t xml:space="preserve"> as winter clothing</w:t>
      </w:r>
      <w:r w:rsidR="0051443A" w:rsidRPr="005A3538">
        <w:rPr>
          <w:bCs/>
        </w:rPr>
        <w:t xml:space="preserve"> for men</w:t>
      </w:r>
      <w:r w:rsidRPr="005A3538">
        <w:rPr>
          <w:bCs/>
        </w:rPr>
        <w:t xml:space="preserve">, </w:t>
      </w:r>
      <w:r w:rsidR="0051443A" w:rsidRPr="005A3538">
        <w:rPr>
          <w:bCs/>
        </w:rPr>
        <w:t>women</w:t>
      </w:r>
      <w:r w:rsidR="00F06523" w:rsidRPr="005A3538">
        <w:rPr>
          <w:bCs/>
        </w:rPr>
        <w:t>,</w:t>
      </w:r>
      <w:r w:rsidRPr="005A3538">
        <w:rPr>
          <w:bCs/>
        </w:rPr>
        <w:t xml:space="preserve"> and </w:t>
      </w:r>
      <w:r w:rsidR="0051443A" w:rsidRPr="005A3538">
        <w:rPr>
          <w:bCs/>
        </w:rPr>
        <w:t>children</w:t>
      </w:r>
      <w:r w:rsidR="0038333E" w:rsidRPr="005A3538">
        <w:rPr>
          <w:bCs/>
        </w:rPr>
        <w:t>. Around 90 per cent</w:t>
      </w:r>
      <w:r w:rsidR="00F00970">
        <w:rPr>
          <w:bCs/>
        </w:rPr>
        <w:t xml:space="preserve"> of the turnover</w:t>
      </w:r>
      <w:r w:rsidRPr="005A3538">
        <w:rPr>
          <w:bCs/>
        </w:rPr>
        <w:t xml:space="preserve"> c</w:t>
      </w:r>
      <w:r w:rsidR="0038333E" w:rsidRPr="005A3538">
        <w:rPr>
          <w:bCs/>
        </w:rPr>
        <w:t xml:space="preserve">ame from exports and </w:t>
      </w:r>
      <w:r w:rsidR="004C6CEE" w:rsidRPr="005A3538">
        <w:rPr>
          <w:bCs/>
        </w:rPr>
        <w:t xml:space="preserve">the </w:t>
      </w:r>
      <w:r w:rsidR="00F06523" w:rsidRPr="005A3538">
        <w:rPr>
          <w:bCs/>
        </w:rPr>
        <w:t>remaining</w:t>
      </w:r>
      <w:r w:rsidR="0038333E" w:rsidRPr="005A3538">
        <w:rPr>
          <w:bCs/>
        </w:rPr>
        <w:t xml:space="preserve"> 10 per cent</w:t>
      </w:r>
      <w:r w:rsidRPr="005A3538">
        <w:rPr>
          <w:bCs/>
        </w:rPr>
        <w:t xml:space="preserve"> from domestic sales. The company’s turnover for the two full</w:t>
      </w:r>
      <w:r w:rsidR="0038333E" w:rsidRPr="005A3538">
        <w:rPr>
          <w:bCs/>
        </w:rPr>
        <w:t xml:space="preserve"> years of its existence w</w:t>
      </w:r>
      <w:r w:rsidR="00F06523" w:rsidRPr="005A3538">
        <w:rPr>
          <w:bCs/>
        </w:rPr>
        <w:t>as</w:t>
      </w:r>
      <w:r w:rsidR="0038333E" w:rsidRPr="005A3538">
        <w:rPr>
          <w:bCs/>
        </w:rPr>
        <w:t xml:space="preserve"> </w:t>
      </w:r>
      <w:r w:rsidR="0038333E" w:rsidRPr="005A3538">
        <w:rPr>
          <w:rFonts w:ascii="Tahoma" w:hAnsi="Tahoma" w:cs="Tahoma"/>
        </w:rPr>
        <w:t>₹</w:t>
      </w:r>
      <w:r w:rsidRPr="005A3538">
        <w:rPr>
          <w:bCs/>
        </w:rPr>
        <w:t>3 million</w:t>
      </w:r>
      <w:r w:rsidR="0038333E" w:rsidRPr="000430B4">
        <w:rPr>
          <w:rStyle w:val="FootnoteReference"/>
        </w:rPr>
        <w:footnoteReference w:id="1"/>
      </w:r>
      <w:r w:rsidR="0038333E" w:rsidRPr="005A3538">
        <w:rPr>
          <w:bCs/>
        </w:rPr>
        <w:t xml:space="preserve"> and </w:t>
      </w:r>
      <w:r w:rsidR="0038333E" w:rsidRPr="005A3538">
        <w:rPr>
          <w:rFonts w:ascii="Tahoma" w:hAnsi="Tahoma" w:cs="Tahoma"/>
        </w:rPr>
        <w:t>₹</w:t>
      </w:r>
      <w:r w:rsidRPr="005A3538">
        <w:rPr>
          <w:bCs/>
        </w:rPr>
        <w:t>5 million for fiscal years 201</w:t>
      </w:r>
      <w:r w:rsidR="0043461E" w:rsidRPr="005A3538">
        <w:rPr>
          <w:bCs/>
        </w:rPr>
        <w:t>6</w:t>
      </w:r>
      <w:r w:rsidR="00F06523" w:rsidRPr="005A3538">
        <w:rPr>
          <w:bCs/>
        </w:rPr>
        <w:t>–</w:t>
      </w:r>
      <w:r w:rsidRPr="005A3538">
        <w:rPr>
          <w:bCs/>
        </w:rPr>
        <w:t>1</w:t>
      </w:r>
      <w:r w:rsidR="0043461E" w:rsidRPr="005A3538">
        <w:rPr>
          <w:bCs/>
        </w:rPr>
        <w:t>7</w:t>
      </w:r>
      <w:r w:rsidRPr="005A3538">
        <w:rPr>
          <w:bCs/>
        </w:rPr>
        <w:t xml:space="preserve"> and 201</w:t>
      </w:r>
      <w:r w:rsidR="0043461E" w:rsidRPr="005A3538">
        <w:rPr>
          <w:bCs/>
        </w:rPr>
        <w:t>7</w:t>
      </w:r>
      <w:r w:rsidR="00F06523" w:rsidRPr="005A3538">
        <w:rPr>
          <w:bCs/>
        </w:rPr>
        <w:t>–</w:t>
      </w:r>
      <w:r w:rsidRPr="005A3538">
        <w:rPr>
          <w:bCs/>
        </w:rPr>
        <w:t>1</w:t>
      </w:r>
      <w:r w:rsidR="0043461E" w:rsidRPr="005A3538">
        <w:rPr>
          <w:bCs/>
        </w:rPr>
        <w:t>8</w:t>
      </w:r>
      <w:r w:rsidRPr="005A3538">
        <w:rPr>
          <w:bCs/>
        </w:rPr>
        <w:t xml:space="preserve"> respectively. Leather was the main input</w:t>
      </w:r>
      <w:r w:rsidR="00F06523" w:rsidRPr="005A3538">
        <w:rPr>
          <w:bCs/>
        </w:rPr>
        <w:t>,</w:t>
      </w:r>
      <w:r w:rsidRPr="005A3538">
        <w:rPr>
          <w:bCs/>
        </w:rPr>
        <w:t xml:space="preserve"> and the company sourced most of th</w:t>
      </w:r>
      <w:r w:rsidR="00F06523" w:rsidRPr="005A3538">
        <w:rPr>
          <w:bCs/>
        </w:rPr>
        <w:t>is</w:t>
      </w:r>
      <w:r w:rsidRPr="005A3538">
        <w:rPr>
          <w:bCs/>
        </w:rPr>
        <w:t xml:space="preserve"> leather through imports from different countries.</w:t>
      </w:r>
    </w:p>
    <w:p w14:paraId="73C7208E" w14:textId="77777777" w:rsidR="009F2FF5" w:rsidRPr="005A3538" w:rsidRDefault="009F2FF5" w:rsidP="009F2FF5">
      <w:pPr>
        <w:pStyle w:val="BodyTextMain"/>
        <w:rPr>
          <w:bCs/>
        </w:rPr>
      </w:pPr>
    </w:p>
    <w:p w14:paraId="01970C6E" w14:textId="74AAFC45" w:rsidR="009F2FF5" w:rsidRPr="005A3538" w:rsidRDefault="009F2FF5" w:rsidP="009F2FF5">
      <w:pPr>
        <w:pStyle w:val="BodyTextMain"/>
        <w:rPr>
          <w:bCs/>
        </w:rPr>
      </w:pPr>
      <w:r w:rsidRPr="005A3538">
        <w:rPr>
          <w:bCs/>
        </w:rPr>
        <w:t>The company raised its fixed (block) capital and working capital needs through a mix of equity and bank loans.</w:t>
      </w:r>
      <w:r w:rsidR="00493EF9" w:rsidRPr="005A3538">
        <w:rPr>
          <w:bCs/>
        </w:rPr>
        <w:t xml:space="preserve"> </w:t>
      </w:r>
      <w:r w:rsidRPr="005A3538">
        <w:rPr>
          <w:bCs/>
        </w:rPr>
        <w:t xml:space="preserve">There </w:t>
      </w:r>
      <w:r w:rsidR="00692D5D" w:rsidRPr="005A3538">
        <w:rPr>
          <w:bCs/>
        </w:rPr>
        <w:t>were</w:t>
      </w:r>
      <w:r w:rsidRPr="005A3538">
        <w:rPr>
          <w:bCs/>
        </w:rPr>
        <w:t xml:space="preserve"> many competitors who export</w:t>
      </w:r>
      <w:r w:rsidR="00FF3573">
        <w:rPr>
          <w:bCs/>
        </w:rPr>
        <w:t>ed</w:t>
      </w:r>
      <w:r w:rsidRPr="005A3538">
        <w:rPr>
          <w:bCs/>
        </w:rPr>
        <w:t xml:space="preserve"> garments to different countries. </w:t>
      </w:r>
      <w:r w:rsidR="00493EF9" w:rsidRPr="005A3538">
        <w:rPr>
          <w:bCs/>
        </w:rPr>
        <w:t>However,</w:t>
      </w:r>
      <w:r w:rsidRPr="005A3538">
        <w:rPr>
          <w:bCs/>
        </w:rPr>
        <w:t xml:space="preserve"> the company </w:t>
      </w:r>
      <w:r w:rsidRPr="005A3538">
        <w:rPr>
          <w:bCs/>
        </w:rPr>
        <w:lastRenderedPageBreak/>
        <w:t>wanted to target a niche market of special leather garments meant for winter wear. In this segment, the company felt</w:t>
      </w:r>
      <w:r w:rsidR="00493EF9" w:rsidRPr="005A3538">
        <w:rPr>
          <w:bCs/>
        </w:rPr>
        <w:t xml:space="preserve"> that</w:t>
      </w:r>
      <w:r w:rsidRPr="005A3538">
        <w:rPr>
          <w:bCs/>
        </w:rPr>
        <w:t xml:space="preserve"> competition was not severe. </w:t>
      </w:r>
    </w:p>
    <w:p w14:paraId="51F37EFF" w14:textId="77777777" w:rsidR="00EA6770" w:rsidRPr="005A3538" w:rsidRDefault="00EA6770" w:rsidP="009F2FF5">
      <w:pPr>
        <w:pStyle w:val="BodyTextMain"/>
        <w:rPr>
          <w:bCs/>
        </w:rPr>
      </w:pPr>
    </w:p>
    <w:p w14:paraId="055BEC82" w14:textId="77777777" w:rsidR="00EA6770" w:rsidRPr="005A3538" w:rsidRDefault="00EA6770" w:rsidP="009F2FF5">
      <w:pPr>
        <w:pStyle w:val="BodyTextMain"/>
        <w:rPr>
          <w:bCs/>
        </w:rPr>
      </w:pPr>
    </w:p>
    <w:p w14:paraId="04079710" w14:textId="5D213E1A" w:rsidR="009F2FF5" w:rsidRPr="005A3538" w:rsidRDefault="0068678F" w:rsidP="00FF3573">
      <w:pPr>
        <w:pStyle w:val="Casehead1"/>
        <w:outlineLvl w:val="0"/>
      </w:pPr>
      <w:r w:rsidRPr="005A3538">
        <w:t>SEMINAR ON PROMOTING EXPORTS FROM INDIA</w:t>
      </w:r>
    </w:p>
    <w:p w14:paraId="283675E4" w14:textId="77777777" w:rsidR="0068678F" w:rsidRPr="005A3538" w:rsidRDefault="0068678F" w:rsidP="009F2FF5">
      <w:pPr>
        <w:pStyle w:val="BodyTextMain"/>
      </w:pPr>
    </w:p>
    <w:p w14:paraId="1F95CCF1" w14:textId="65039B46" w:rsidR="00D46452" w:rsidRPr="005A3538" w:rsidRDefault="007A5E9F" w:rsidP="009F2FF5">
      <w:pPr>
        <w:pStyle w:val="BodyTextMain"/>
      </w:pPr>
      <w:r w:rsidRPr="005A3538">
        <w:t xml:space="preserve">The </w:t>
      </w:r>
      <w:r w:rsidR="009F2FF5" w:rsidRPr="005A3538">
        <w:t>Director</w:t>
      </w:r>
      <w:r w:rsidR="00580C2D" w:rsidRPr="005A3538">
        <w:t>ate</w:t>
      </w:r>
      <w:r w:rsidR="009F2FF5" w:rsidRPr="005A3538">
        <w:t xml:space="preserve"> General of Foreign Trade (DGFT)</w:t>
      </w:r>
      <w:r w:rsidRPr="005A3538">
        <w:t>,</w:t>
      </w:r>
      <w:r w:rsidR="009F2FF5" w:rsidRPr="005A3538">
        <w:t xml:space="preserve"> under </w:t>
      </w:r>
      <w:r w:rsidR="0038333E" w:rsidRPr="005A3538">
        <w:t xml:space="preserve">the </w:t>
      </w:r>
      <w:r w:rsidR="009F2FF5" w:rsidRPr="005A3538">
        <w:t>Ministry of Commerce</w:t>
      </w:r>
      <w:r w:rsidRPr="005A3538">
        <w:t>,</w:t>
      </w:r>
      <w:r w:rsidR="009F2FF5" w:rsidRPr="005A3538">
        <w:t xml:space="preserve"> organi</w:t>
      </w:r>
      <w:r w:rsidRPr="005A3538">
        <w:t>z</w:t>
      </w:r>
      <w:r w:rsidR="009F2FF5" w:rsidRPr="005A3538">
        <w:t>ed a seminar</w:t>
      </w:r>
      <w:r w:rsidR="00077B5B" w:rsidRPr="005A3538">
        <w:t xml:space="preserve"> in March 2018</w:t>
      </w:r>
      <w:r w:rsidR="009F2FF5" w:rsidRPr="005A3538">
        <w:t xml:space="preserve"> on “Promoting Exports from India</w:t>
      </w:r>
      <w:r w:rsidR="00833C97">
        <w:t>.</w:t>
      </w:r>
      <w:r w:rsidR="009F2FF5" w:rsidRPr="005A3538">
        <w:t>”</w:t>
      </w:r>
      <w:r w:rsidR="00833C97">
        <w:t xml:space="preserve"> The seminar was held</w:t>
      </w:r>
      <w:r w:rsidR="009F2FF5" w:rsidRPr="005A3538">
        <w:t xml:space="preserve"> in New Delhi</w:t>
      </w:r>
      <w:r w:rsidR="00833C97">
        <w:t>,</w:t>
      </w:r>
      <w:r w:rsidR="009F2FF5" w:rsidRPr="005A3538">
        <w:t xml:space="preserve"> as a part of the </w:t>
      </w:r>
      <w:r w:rsidR="00E75165" w:rsidRPr="005A3538">
        <w:t>g</w:t>
      </w:r>
      <w:r w:rsidR="00B85C96" w:rsidRPr="005A3538">
        <w:t xml:space="preserve">overnment of India’s </w:t>
      </w:r>
      <w:r w:rsidR="00F00970">
        <w:t>“Make i</w:t>
      </w:r>
      <w:r w:rsidR="009F2FF5" w:rsidRPr="005A3538">
        <w:t>n India” driv</w:t>
      </w:r>
      <w:r w:rsidR="00B85C96" w:rsidRPr="005A3538">
        <w:t>e</w:t>
      </w:r>
      <w:r w:rsidRPr="005A3538">
        <w:t>. The o</w:t>
      </w:r>
      <w:r w:rsidR="009F2FF5" w:rsidRPr="005A3538">
        <w:t xml:space="preserve">bjective </w:t>
      </w:r>
      <w:r w:rsidRPr="005A3538">
        <w:t xml:space="preserve">was </w:t>
      </w:r>
      <w:r w:rsidR="009F2FF5" w:rsidRPr="005A3538">
        <w:t>to educate the new generation</w:t>
      </w:r>
      <w:r w:rsidRPr="005A3538">
        <w:t xml:space="preserve"> of</w:t>
      </w:r>
      <w:r w:rsidR="009F2FF5" w:rsidRPr="005A3538">
        <w:t xml:space="preserve"> exporters about various techniques of international trade and export promotion facilities provided by </w:t>
      </w:r>
      <w:r w:rsidR="00256E1A" w:rsidRPr="005A3538">
        <w:t>the government</w:t>
      </w:r>
      <w:r w:rsidR="009F2FF5" w:rsidRPr="005A3538">
        <w:t xml:space="preserve"> through financing banks and agencies. </w:t>
      </w:r>
      <w:proofErr w:type="spellStart"/>
      <w:r w:rsidR="00833C97">
        <w:t>Mohanty</w:t>
      </w:r>
      <w:proofErr w:type="spellEnd"/>
      <w:r w:rsidR="00833C97" w:rsidRPr="005A3538">
        <w:t xml:space="preserve"> </w:t>
      </w:r>
      <w:r w:rsidR="009F2FF5" w:rsidRPr="005A3538">
        <w:t>attended the seminar to upgrade h</w:t>
      </w:r>
      <w:r w:rsidR="0043461E" w:rsidRPr="005A3538">
        <w:t>er</w:t>
      </w:r>
      <w:r w:rsidR="009F2FF5" w:rsidRPr="005A3538">
        <w:t xml:space="preserve"> knowledge and skills relating to international trade. </w:t>
      </w:r>
    </w:p>
    <w:p w14:paraId="54ACA455" w14:textId="77777777" w:rsidR="00D46452" w:rsidRPr="005A3538" w:rsidRDefault="00D46452" w:rsidP="009F2FF5">
      <w:pPr>
        <w:pStyle w:val="BodyTextMain"/>
      </w:pPr>
    </w:p>
    <w:p w14:paraId="64A2D88A" w14:textId="0A7CD730" w:rsidR="00EC2EDD" w:rsidRPr="005A3538" w:rsidRDefault="009F2FF5" w:rsidP="009F2FF5">
      <w:pPr>
        <w:pStyle w:val="BodyTextMain"/>
      </w:pPr>
      <w:r w:rsidRPr="005A3538">
        <w:t>There were many technical session</w:t>
      </w:r>
      <w:r w:rsidR="00082058" w:rsidRPr="005A3538">
        <w:t>s where experts from export financing banks and export promotion organi</w:t>
      </w:r>
      <w:r w:rsidR="00256E1A" w:rsidRPr="005A3538">
        <w:t>za</w:t>
      </w:r>
      <w:r w:rsidR="00F00970">
        <w:t>tions</w:t>
      </w:r>
      <w:r w:rsidR="00082058" w:rsidRPr="005A3538">
        <w:t xml:space="preserve"> </w:t>
      </w:r>
      <w:r w:rsidRPr="005A3538">
        <w:t>discussed important topics o</w:t>
      </w:r>
      <w:r w:rsidR="00256E1A" w:rsidRPr="005A3538">
        <w:t>n</w:t>
      </w:r>
      <w:r w:rsidRPr="005A3538">
        <w:t xml:space="preserve"> international trade transactions</w:t>
      </w:r>
      <w:r w:rsidR="00B85C96" w:rsidRPr="005A3538">
        <w:t xml:space="preserve">. The sessions </w:t>
      </w:r>
      <w:r w:rsidRPr="005A3538">
        <w:t>cover</w:t>
      </w:r>
      <w:r w:rsidR="00B85C96" w:rsidRPr="005A3538">
        <w:t>ed</w:t>
      </w:r>
      <w:r w:rsidRPr="005A3538">
        <w:t xml:space="preserve"> various </w:t>
      </w:r>
      <w:r w:rsidR="00082058" w:rsidRPr="005A3538">
        <w:t>risks encountered in international trade and different payment mechanisms</w:t>
      </w:r>
      <w:r w:rsidRPr="005A3538">
        <w:t>, as</w:t>
      </w:r>
      <w:r w:rsidR="00B85C96" w:rsidRPr="005A3538">
        <w:t xml:space="preserve"> well as</w:t>
      </w:r>
      <w:r w:rsidRPr="005A3538">
        <w:t xml:space="preserve"> </w:t>
      </w:r>
      <w:r w:rsidR="00082058" w:rsidRPr="005A3538">
        <w:t>strategies to mitigate those risks</w:t>
      </w:r>
      <w:r w:rsidRPr="005A3538">
        <w:t xml:space="preserve">. The seminar also </w:t>
      </w:r>
      <w:r w:rsidR="00256E1A" w:rsidRPr="005A3538">
        <w:t>covered</w:t>
      </w:r>
      <w:r w:rsidRPr="005A3538">
        <w:t xml:space="preserve"> topics </w:t>
      </w:r>
      <w:r w:rsidR="00256E1A" w:rsidRPr="005A3538">
        <w:t>such a</w:t>
      </w:r>
      <w:r w:rsidR="00833C97">
        <w:t>s</w:t>
      </w:r>
      <w:r w:rsidR="00256E1A" w:rsidRPr="005A3538">
        <w:t xml:space="preserve"> m</w:t>
      </w:r>
      <w:r w:rsidRPr="005A3538">
        <w:t xml:space="preserve">arine </w:t>
      </w:r>
      <w:r w:rsidR="00256E1A" w:rsidRPr="005A3538">
        <w:t>i</w:t>
      </w:r>
      <w:r w:rsidRPr="005A3538">
        <w:t xml:space="preserve">nsurance, </w:t>
      </w:r>
      <w:r w:rsidR="00256E1A" w:rsidRPr="005A3538">
        <w:t>t</w:t>
      </w:r>
      <w:r w:rsidRPr="005A3538">
        <w:t xml:space="preserve">ransport </w:t>
      </w:r>
      <w:r w:rsidR="00256E1A" w:rsidRPr="005A3538">
        <w:t>d</w:t>
      </w:r>
      <w:r w:rsidRPr="005A3538">
        <w:t xml:space="preserve">ocuments, </w:t>
      </w:r>
      <w:r w:rsidR="00256E1A" w:rsidRPr="005A3538">
        <w:t>e</w:t>
      </w:r>
      <w:r w:rsidRPr="005A3538">
        <w:t xml:space="preserve">xchange </w:t>
      </w:r>
      <w:r w:rsidR="00256E1A" w:rsidRPr="005A3538">
        <w:t>c</w:t>
      </w:r>
      <w:r w:rsidRPr="005A3538">
        <w:t>ontrol</w:t>
      </w:r>
      <w:r w:rsidR="00256E1A" w:rsidRPr="005A3538">
        <w:t>,</w:t>
      </w:r>
      <w:r w:rsidRPr="005A3538">
        <w:t xml:space="preserve"> and </w:t>
      </w:r>
      <w:r w:rsidR="00256E1A" w:rsidRPr="005A3538">
        <w:t>t</w:t>
      </w:r>
      <w:r w:rsidRPr="005A3538">
        <w:t xml:space="preserve">rade </w:t>
      </w:r>
      <w:r w:rsidR="00256E1A" w:rsidRPr="005A3538">
        <w:t>c</w:t>
      </w:r>
      <w:r w:rsidRPr="005A3538">
        <w:t>ontrol regulations</w:t>
      </w:r>
      <w:r w:rsidR="005B4A9F" w:rsidRPr="005A3538">
        <w:t>.</w:t>
      </w:r>
    </w:p>
    <w:p w14:paraId="5716B59C" w14:textId="77777777" w:rsidR="00EC2EDD" w:rsidRPr="005A3538" w:rsidRDefault="00EC2EDD" w:rsidP="00AC67AE">
      <w:pPr>
        <w:pStyle w:val="BodyTextMain"/>
      </w:pPr>
    </w:p>
    <w:p w14:paraId="7117134A" w14:textId="77777777" w:rsidR="0068678F" w:rsidRPr="005A3538" w:rsidRDefault="0068678F" w:rsidP="00B958F3">
      <w:pPr>
        <w:pStyle w:val="BodyTextMain"/>
        <w:rPr>
          <w:sz w:val="18"/>
          <w:szCs w:val="18"/>
        </w:rPr>
      </w:pPr>
    </w:p>
    <w:p w14:paraId="1D4BFB9D" w14:textId="33B9D46D" w:rsidR="0068678F" w:rsidRPr="005A3538" w:rsidRDefault="00F00970" w:rsidP="00766842">
      <w:pPr>
        <w:pStyle w:val="Casehead1"/>
        <w:outlineLvl w:val="0"/>
      </w:pPr>
      <w:r>
        <w:t>RISKS associated with</w:t>
      </w:r>
      <w:r w:rsidR="0068678F" w:rsidRPr="005A3538">
        <w:t xml:space="preserve"> INTERNATIONAL TRADE</w:t>
      </w:r>
    </w:p>
    <w:p w14:paraId="2E5B71CE" w14:textId="77777777" w:rsidR="00857C76" w:rsidRPr="005A3538" w:rsidRDefault="00857C76" w:rsidP="00B958F3">
      <w:pPr>
        <w:pStyle w:val="BodyTextMain"/>
      </w:pPr>
    </w:p>
    <w:p w14:paraId="29A8A560" w14:textId="4BA6641D" w:rsidR="0068678F" w:rsidRPr="005A3538" w:rsidRDefault="00857C76" w:rsidP="00B958F3">
      <w:pPr>
        <w:pStyle w:val="BodyTextMain"/>
      </w:pPr>
      <w:r w:rsidRPr="005A3538">
        <w:t xml:space="preserve">International trade </w:t>
      </w:r>
      <w:r w:rsidR="00256E1A" w:rsidRPr="005A3538">
        <w:t>was</w:t>
      </w:r>
      <w:r w:rsidRPr="005A3538">
        <w:t xml:space="preserve"> the set of activities by which buyers and sellers exchange</w:t>
      </w:r>
      <w:r w:rsidR="00256E1A" w:rsidRPr="005A3538">
        <w:t>d</w:t>
      </w:r>
      <w:r w:rsidRPr="005A3538">
        <w:t xml:space="preserve"> goods and</w:t>
      </w:r>
      <w:r w:rsidR="00766842">
        <w:t xml:space="preserve"> </w:t>
      </w:r>
      <w:r w:rsidRPr="005A3538">
        <w:t xml:space="preserve">services for payment of money or for other goods </w:t>
      </w:r>
      <w:r w:rsidR="00766842">
        <w:t>and</w:t>
      </w:r>
      <w:r w:rsidRPr="005A3538">
        <w:t xml:space="preserve"> services across national borders. When goods and services </w:t>
      </w:r>
      <w:r w:rsidR="00256E1A" w:rsidRPr="005A3538">
        <w:t>were</w:t>
      </w:r>
      <w:r w:rsidRPr="005A3538">
        <w:t xml:space="preserve"> exchanged for other goods and services, it </w:t>
      </w:r>
      <w:r w:rsidR="00256E1A" w:rsidRPr="005A3538">
        <w:t>was</w:t>
      </w:r>
      <w:r w:rsidRPr="005A3538">
        <w:t xml:space="preserve"> known as counter-trade. International trade </w:t>
      </w:r>
      <w:r w:rsidR="007A723E" w:rsidRPr="005A3538">
        <w:t>c</w:t>
      </w:r>
      <w:r w:rsidR="00256E1A" w:rsidRPr="005A3538">
        <w:t>ould</w:t>
      </w:r>
      <w:r w:rsidR="007A723E" w:rsidRPr="005A3538">
        <w:t xml:space="preserve"> </w:t>
      </w:r>
      <w:r w:rsidRPr="005A3538">
        <w:t xml:space="preserve">be both visible and invisible. Visible trade </w:t>
      </w:r>
      <w:r w:rsidR="00256E1A" w:rsidRPr="005A3538">
        <w:t>was</w:t>
      </w:r>
      <w:r w:rsidRPr="005A3538">
        <w:t xml:space="preserve"> the export and import of goods. Services such as logistics, insurance, consultancy, travel</w:t>
      </w:r>
      <w:r w:rsidR="00B600E0" w:rsidRPr="005A3538">
        <w:t>,</w:t>
      </w:r>
      <w:r w:rsidRPr="005A3538">
        <w:t xml:space="preserve"> and tourism form</w:t>
      </w:r>
      <w:r w:rsidR="00256E1A" w:rsidRPr="005A3538">
        <w:t>ed</w:t>
      </w:r>
      <w:r w:rsidRPr="005A3538">
        <w:t xml:space="preserve"> part of invisible trade. </w:t>
      </w:r>
    </w:p>
    <w:p w14:paraId="22E13785" w14:textId="77777777" w:rsidR="0068678F" w:rsidRPr="005A3538" w:rsidRDefault="0068678F" w:rsidP="00B958F3">
      <w:pPr>
        <w:pStyle w:val="BodyTextMain"/>
      </w:pPr>
    </w:p>
    <w:p w14:paraId="6A3B832A" w14:textId="5FA5A00E" w:rsidR="004E322E" w:rsidRPr="005A3538" w:rsidRDefault="004E322E" w:rsidP="00B958F3">
      <w:pPr>
        <w:pStyle w:val="BodyTextMain"/>
      </w:pPr>
      <w:r w:rsidRPr="005A3538">
        <w:t xml:space="preserve">Risk </w:t>
      </w:r>
      <w:r w:rsidR="00256E1A" w:rsidRPr="005A3538">
        <w:t>was</w:t>
      </w:r>
      <w:r w:rsidRPr="005A3538">
        <w:t xml:space="preserve"> inherent in any business. Recogni</w:t>
      </w:r>
      <w:r w:rsidR="00256E1A" w:rsidRPr="005A3538">
        <w:t>z</w:t>
      </w:r>
      <w:r w:rsidRPr="005A3538">
        <w:t xml:space="preserve">ing and managing risk </w:t>
      </w:r>
      <w:r w:rsidR="00256E1A" w:rsidRPr="005A3538">
        <w:t>was</w:t>
      </w:r>
      <w:r w:rsidRPr="005A3538">
        <w:t xml:space="preserve"> the key to sustainable growth of any business. Any domestic trade </w:t>
      </w:r>
      <w:r w:rsidR="007A723E" w:rsidRPr="005A3538">
        <w:t>carrie</w:t>
      </w:r>
      <w:r w:rsidR="00256E1A" w:rsidRPr="005A3538">
        <w:t>d</w:t>
      </w:r>
      <w:r w:rsidRPr="005A3538">
        <w:t xml:space="preserve"> risk elements </w:t>
      </w:r>
      <w:r w:rsidR="00256E1A" w:rsidRPr="005A3538">
        <w:t>such as</w:t>
      </w:r>
      <w:r w:rsidRPr="005A3538">
        <w:t xml:space="preserve"> </w:t>
      </w:r>
      <w:r w:rsidR="00256E1A" w:rsidRPr="005A3538">
        <w:t>c</w:t>
      </w:r>
      <w:r w:rsidRPr="005A3538">
        <w:t>arriage (</w:t>
      </w:r>
      <w:r w:rsidR="00256E1A" w:rsidRPr="005A3538">
        <w:t>t</w:t>
      </w:r>
      <w:r w:rsidRPr="005A3538">
        <w:t xml:space="preserve">ransport) </w:t>
      </w:r>
      <w:r w:rsidR="00256E1A" w:rsidRPr="005A3538">
        <w:t>r</w:t>
      </w:r>
      <w:r w:rsidRPr="005A3538">
        <w:t xml:space="preserve">isk and </w:t>
      </w:r>
      <w:r w:rsidR="00256E1A" w:rsidRPr="005A3538">
        <w:t>c</w:t>
      </w:r>
      <w:r w:rsidRPr="005A3538">
        <w:t>ommercial (</w:t>
      </w:r>
      <w:r w:rsidR="00256E1A" w:rsidRPr="005A3538">
        <w:t>c</w:t>
      </w:r>
      <w:r w:rsidRPr="005A3538">
        <w:t xml:space="preserve">ontract and </w:t>
      </w:r>
      <w:r w:rsidR="00256E1A" w:rsidRPr="005A3538">
        <w:t>c</w:t>
      </w:r>
      <w:r w:rsidRPr="005A3538">
        <w:t xml:space="preserve">redit) </w:t>
      </w:r>
      <w:r w:rsidR="004C6CEE" w:rsidRPr="005A3538">
        <w:t>r</w:t>
      </w:r>
      <w:r w:rsidRPr="005A3538">
        <w:t xml:space="preserve">isk. </w:t>
      </w:r>
    </w:p>
    <w:p w14:paraId="0823D62D" w14:textId="77777777" w:rsidR="004E322E" w:rsidRPr="005A3538" w:rsidRDefault="004E322E" w:rsidP="00B958F3">
      <w:pPr>
        <w:pStyle w:val="BodyTextMain"/>
        <w:rPr>
          <w:sz w:val="18"/>
          <w:szCs w:val="18"/>
        </w:rPr>
      </w:pPr>
    </w:p>
    <w:p w14:paraId="4F47A771" w14:textId="77777777" w:rsidR="00EA6770" w:rsidRPr="005A3538" w:rsidRDefault="00EA6770" w:rsidP="00B958F3">
      <w:pPr>
        <w:pStyle w:val="BodyTextMain"/>
        <w:rPr>
          <w:sz w:val="18"/>
          <w:szCs w:val="18"/>
        </w:rPr>
      </w:pPr>
    </w:p>
    <w:p w14:paraId="78B9D798" w14:textId="77777777" w:rsidR="00EA6770" w:rsidRPr="005A3538" w:rsidRDefault="004E322E" w:rsidP="00766842">
      <w:pPr>
        <w:pStyle w:val="Casehead2"/>
        <w:outlineLvl w:val="0"/>
      </w:pPr>
      <w:r w:rsidRPr="005A3538">
        <w:t>Carriage (Transport) Risk</w:t>
      </w:r>
    </w:p>
    <w:p w14:paraId="2B3FF285" w14:textId="77777777" w:rsidR="00EA6770" w:rsidRPr="005A3538" w:rsidRDefault="00EA6770" w:rsidP="00B958F3">
      <w:pPr>
        <w:pStyle w:val="BodyTextMain"/>
      </w:pPr>
    </w:p>
    <w:p w14:paraId="61DC2FBF" w14:textId="119703FF" w:rsidR="004E322E" w:rsidRPr="005A3538" w:rsidRDefault="004E322E" w:rsidP="00B958F3">
      <w:pPr>
        <w:pStyle w:val="BodyTextMain"/>
      </w:pPr>
      <w:r w:rsidRPr="005A3538">
        <w:t xml:space="preserve">This </w:t>
      </w:r>
      <w:r w:rsidR="00256E1A" w:rsidRPr="005A3538">
        <w:t xml:space="preserve">was </w:t>
      </w:r>
      <w:r w:rsidRPr="005A3538">
        <w:t xml:space="preserve">the risk that the goods shipped to the buyer </w:t>
      </w:r>
      <w:r w:rsidR="00766842">
        <w:t>could be</w:t>
      </w:r>
      <w:r w:rsidR="00766842" w:rsidRPr="005A3538">
        <w:t xml:space="preserve"> </w:t>
      </w:r>
      <w:r w:rsidRPr="005A3538">
        <w:t>damage</w:t>
      </w:r>
      <w:r w:rsidR="00766842">
        <w:t>d</w:t>
      </w:r>
      <w:r w:rsidRPr="005A3538">
        <w:t xml:space="preserve"> or los</w:t>
      </w:r>
      <w:r w:rsidR="00766842">
        <w:t>t</w:t>
      </w:r>
      <w:r w:rsidRPr="005A3538">
        <w:t xml:space="preserve"> in transit. Thus</w:t>
      </w:r>
      <w:r w:rsidR="00B600E0" w:rsidRPr="005A3538">
        <w:t>,</w:t>
      </w:r>
      <w:r w:rsidRPr="005A3538">
        <w:t xml:space="preserve"> this ris</w:t>
      </w:r>
      <w:r w:rsidR="00B600E0" w:rsidRPr="005A3538">
        <w:t>k</w:t>
      </w:r>
      <w:r w:rsidRPr="005A3538">
        <w:t xml:space="preserve"> involved </w:t>
      </w:r>
      <w:r w:rsidR="00C71106" w:rsidRPr="005A3538">
        <w:t xml:space="preserve">the </w:t>
      </w:r>
      <w:r w:rsidRPr="005A3538">
        <w:t xml:space="preserve">physical movement of goods from the seller’s place </w:t>
      </w:r>
      <w:r w:rsidR="00B600E0" w:rsidRPr="005A3538">
        <w:t>un</w:t>
      </w:r>
      <w:r w:rsidRPr="005A3538">
        <w:t xml:space="preserve">til it </w:t>
      </w:r>
      <w:r w:rsidR="00256E1A" w:rsidRPr="005A3538">
        <w:t>was</w:t>
      </w:r>
      <w:r w:rsidRPr="005A3538">
        <w:t xml:space="preserve"> delivered at the buyer’s place. </w:t>
      </w:r>
    </w:p>
    <w:p w14:paraId="5720A374" w14:textId="77777777" w:rsidR="004E322E" w:rsidRPr="005A3538" w:rsidRDefault="004E322E" w:rsidP="00B958F3">
      <w:pPr>
        <w:pStyle w:val="BodyTextMain"/>
      </w:pPr>
    </w:p>
    <w:p w14:paraId="17B28B97" w14:textId="77777777" w:rsidR="00EA6770" w:rsidRPr="005A3538" w:rsidRDefault="00EA6770" w:rsidP="00B958F3">
      <w:pPr>
        <w:pStyle w:val="BodyTextMain"/>
      </w:pPr>
    </w:p>
    <w:p w14:paraId="090A8AB0" w14:textId="77777777" w:rsidR="00EA6770" w:rsidRPr="005A3538" w:rsidRDefault="004E322E" w:rsidP="00766842">
      <w:pPr>
        <w:pStyle w:val="Casehead2"/>
        <w:outlineLvl w:val="0"/>
      </w:pPr>
      <w:r w:rsidRPr="005A3538">
        <w:t>Commer</w:t>
      </w:r>
      <w:r w:rsidR="00EA6770" w:rsidRPr="005A3538">
        <w:t>cial (Contract and Credit) Risk</w:t>
      </w:r>
    </w:p>
    <w:p w14:paraId="1BD8DA3A" w14:textId="77777777" w:rsidR="00EA6770" w:rsidRPr="005A3538" w:rsidRDefault="00EA6770" w:rsidP="00B958F3">
      <w:pPr>
        <w:pStyle w:val="BodyTextMain"/>
      </w:pPr>
    </w:p>
    <w:p w14:paraId="1A2B76A7" w14:textId="72C5BA66" w:rsidR="004E322E" w:rsidRPr="005A3538" w:rsidRDefault="00B600E0" w:rsidP="00B958F3">
      <w:pPr>
        <w:pStyle w:val="BodyTextMain"/>
      </w:pPr>
      <w:r w:rsidRPr="005A3538">
        <w:t xml:space="preserve">This was </w:t>
      </w:r>
      <w:r w:rsidR="004E322E" w:rsidRPr="005A3538">
        <w:t xml:space="preserve">the risk </w:t>
      </w:r>
      <w:r w:rsidRPr="005A3538">
        <w:t xml:space="preserve">that </w:t>
      </w:r>
      <w:r w:rsidR="004E322E" w:rsidRPr="005A3538">
        <w:t>the buyer m</w:t>
      </w:r>
      <w:r w:rsidRPr="005A3538">
        <w:t xml:space="preserve">ight </w:t>
      </w:r>
      <w:r w:rsidR="004E322E" w:rsidRPr="005A3538">
        <w:t>not accept the goods or fail to pay on the due date for the goods received. It include</w:t>
      </w:r>
      <w:r w:rsidRPr="005A3538">
        <w:t>d</w:t>
      </w:r>
      <w:r w:rsidR="004E322E" w:rsidRPr="005A3538">
        <w:t xml:space="preserve"> the risk that the buyer m</w:t>
      </w:r>
      <w:r w:rsidRPr="005A3538">
        <w:t>ight</w:t>
      </w:r>
      <w:r w:rsidR="004E322E" w:rsidRPr="005A3538">
        <w:t xml:space="preserve"> go bankrupt and </w:t>
      </w:r>
      <w:r w:rsidRPr="005A3538">
        <w:t xml:space="preserve">be </w:t>
      </w:r>
      <w:r w:rsidR="004E322E" w:rsidRPr="005A3538">
        <w:t xml:space="preserve">unable to pay for the goods received </w:t>
      </w:r>
      <w:r w:rsidRPr="005A3538">
        <w:t xml:space="preserve">according to the </w:t>
      </w:r>
      <w:r w:rsidR="004E322E" w:rsidRPr="005A3538">
        <w:t xml:space="preserve">commitment. </w:t>
      </w:r>
      <w:r w:rsidRPr="005A3538">
        <w:t xml:space="preserve">It was </w:t>
      </w:r>
      <w:r w:rsidR="004E322E" w:rsidRPr="005A3538">
        <w:t xml:space="preserve">also known as </w:t>
      </w:r>
      <w:r w:rsidRPr="005A3538">
        <w:t>n</w:t>
      </w:r>
      <w:r w:rsidR="004E322E" w:rsidRPr="005A3538">
        <w:t>on-payment risk</w:t>
      </w:r>
      <w:r w:rsidRPr="005A3538">
        <w:t xml:space="preserve">, </w:t>
      </w:r>
      <w:r w:rsidR="004E322E" w:rsidRPr="005A3538">
        <w:t>default risk</w:t>
      </w:r>
      <w:r w:rsidRPr="005A3538">
        <w:t>,</w:t>
      </w:r>
      <w:r w:rsidR="004E322E" w:rsidRPr="005A3538">
        <w:t xml:space="preserve"> or counterparty risk. </w:t>
      </w:r>
    </w:p>
    <w:p w14:paraId="722378DB" w14:textId="77777777" w:rsidR="00DE6B36" w:rsidRPr="005A3538" w:rsidRDefault="00DE6B36" w:rsidP="00B958F3">
      <w:pPr>
        <w:pStyle w:val="BodyTextMain"/>
      </w:pPr>
    </w:p>
    <w:p w14:paraId="758F3FA7" w14:textId="77777777" w:rsidR="00755B87" w:rsidRDefault="00755B87" w:rsidP="00B958F3">
      <w:pPr>
        <w:pStyle w:val="BodyTextMain"/>
      </w:pPr>
    </w:p>
    <w:p w14:paraId="11E3D524" w14:textId="77777777" w:rsidR="00755B87" w:rsidRPr="005A3538" w:rsidRDefault="00755B87" w:rsidP="00A02B76">
      <w:pPr>
        <w:pStyle w:val="Casehead2"/>
        <w:outlineLvl w:val="0"/>
        <w:rPr>
          <w:b w:val="0"/>
        </w:rPr>
      </w:pPr>
      <w:r w:rsidRPr="005A3538">
        <w:t>Special Risk Factors in International Trade</w:t>
      </w:r>
    </w:p>
    <w:p w14:paraId="49FAFEAF" w14:textId="77777777" w:rsidR="00755B87" w:rsidRPr="00A02B76" w:rsidRDefault="00755B87" w:rsidP="00A02B76">
      <w:pPr>
        <w:pStyle w:val="BodyTextMain"/>
        <w:rPr>
          <w:sz w:val="18"/>
          <w:szCs w:val="18"/>
        </w:rPr>
      </w:pPr>
    </w:p>
    <w:p w14:paraId="07975E8A" w14:textId="5666EA99" w:rsidR="009C2C3E" w:rsidRPr="00A02B76" w:rsidRDefault="009C2C3E" w:rsidP="00B958F3">
      <w:pPr>
        <w:pStyle w:val="BodyTextMain"/>
        <w:rPr>
          <w:spacing w:val="-4"/>
          <w:kern w:val="22"/>
        </w:rPr>
      </w:pPr>
      <w:r w:rsidRPr="00A02B76">
        <w:rPr>
          <w:spacing w:val="-4"/>
          <w:kern w:val="22"/>
        </w:rPr>
        <w:t xml:space="preserve">Apart from the two normal trading risks, two more special risk factors </w:t>
      </w:r>
      <w:r w:rsidR="00B600E0" w:rsidRPr="00A02B76">
        <w:rPr>
          <w:spacing w:val="-4"/>
          <w:kern w:val="22"/>
        </w:rPr>
        <w:t>were</w:t>
      </w:r>
      <w:r w:rsidRPr="00A02B76">
        <w:rPr>
          <w:spacing w:val="-4"/>
          <w:kern w:val="22"/>
        </w:rPr>
        <w:t xml:space="preserve"> present in any internati</w:t>
      </w:r>
      <w:r w:rsidR="0038333E" w:rsidRPr="00A02B76">
        <w:rPr>
          <w:spacing w:val="-4"/>
          <w:kern w:val="22"/>
        </w:rPr>
        <w:t>onal trade transaction</w:t>
      </w:r>
      <w:r w:rsidR="00755B87" w:rsidRPr="00A02B76">
        <w:rPr>
          <w:spacing w:val="-4"/>
          <w:kern w:val="22"/>
        </w:rPr>
        <w:t xml:space="preserve">: </w:t>
      </w:r>
      <w:r w:rsidR="007860AC" w:rsidRPr="00A02B76">
        <w:rPr>
          <w:spacing w:val="-4"/>
          <w:kern w:val="22"/>
        </w:rPr>
        <w:t>c</w:t>
      </w:r>
      <w:r w:rsidRPr="00A02B76">
        <w:rPr>
          <w:spacing w:val="-4"/>
          <w:kern w:val="22"/>
        </w:rPr>
        <w:t>urrency (</w:t>
      </w:r>
      <w:r w:rsidR="007860AC" w:rsidRPr="00A02B76">
        <w:rPr>
          <w:spacing w:val="-4"/>
          <w:kern w:val="22"/>
        </w:rPr>
        <w:t>f</w:t>
      </w:r>
      <w:r w:rsidRPr="00A02B76">
        <w:rPr>
          <w:spacing w:val="-4"/>
          <w:kern w:val="22"/>
        </w:rPr>
        <w:t xml:space="preserve">oreign </w:t>
      </w:r>
      <w:r w:rsidR="007860AC" w:rsidRPr="00A02B76">
        <w:rPr>
          <w:spacing w:val="-4"/>
          <w:kern w:val="22"/>
        </w:rPr>
        <w:t>e</w:t>
      </w:r>
      <w:r w:rsidRPr="00A02B76">
        <w:rPr>
          <w:spacing w:val="-4"/>
          <w:kern w:val="22"/>
        </w:rPr>
        <w:t xml:space="preserve">xchange </w:t>
      </w:r>
      <w:r w:rsidR="007860AC" w:rsidRPr="00A02B76">
        <w:rPr>
          <w:spacing w:val="-4"/>
          <w:kern w:val="22"/>
        </w:rPr>
        <w:t>r</w:t>
      </w:r>
      <w:r w:rsidRPr="00A02B76">
        <w:rPr>
          <w:spacing w:val="-4"/>
          <w:kern w:val="22"/>
        </w:rPr>
        <w:t xml:space="preserve">ate </w:t>
      </w:r>
      <w:r w:rsidR="007860AC" w:rsidRPr="00A02B76">
        <w:rPr>
          <w:spacing w:val="-4"/>
          <w:kern w:val="22"/>
        </w:rPr>
        <w:t>f</w:t>
      </w:r>
      <w:r w:rsidRPr="00A02B76">
        <w:rPr>
          <w:spacing w:val="-4"/>
          <w:kern w:val="22"/>
        </w:rPr>
        <w:t xml:space="preserve">luctuation) </w:t>
      </w:r>
      <w:r w:rsidR="007860AC" w:rsidRPr="00A02B76">
        <w:rPr>
          <w:spacing w:val="-4"/>
          <w:kern w:val="22"/>
        </w:rPr>
        <w:t>r</w:t>
      </w:r>
      <w:r w:rsidRPr="00A02B76">
        <w:rPr>
          <w:spacing w:val="-4"/>
          <w:kern w:val="22"/>
        </w:rPr>
        <w:t xml:space="preserve">isk and </w:t>
      </w:r>
      <w:r w:rsidR="007860AC" w:rsidRPr="00A02B76">
        <w:rPr>
          <w:spacing w:val="-4"/>
          <w:kern w:val="22"/>
        </w:rPr>
        <w:t>c</w:t>
      </w:r>
      <w:r w:rsidRPr="00A02B76">
        <w:rPr>
          <w:spacing w:val="-4"/>
          <w:kern w:val="22"/>
        </w:rPr>
        <w:t xml:space="preserve">ountry </w:t>
      </w:r>
      <w:r w:rsidR="007860AC" w:rsidRPr="00A02B76">
        <w:rPr>
          <w:spacing w:val="-4"/>
          <w:kern w:val="22"/>
        </w:rPr>
        <w:t>r</w:t>
      </w:r>
      <w:r w:rsidRPr="00A02B76">
        <w:rPr>
          <w:spacing w:val="-4"/>
          <w:kern w:val="22"/>
        </w:rPr>
        <w:t>isk</w:t>
      </w:r>
      <w:r w:rsidR="0038333E" w:rsidRPr="00A02B76">
        <w:rPr>
          <w:spacing w:val="-4"/>
          <w:kern w:val="22"/>
        </w:rPr>
        <w:t>, with its four components of political stability</w:t>
      </w:r>
      <w:r w:rsidR="007860AC" w:rsidRPr="00A02B76">
        <w:rPr>
          <w:spacing w:val="-4"/>
          <w:kern w:val="22"/>
        </w:rPr>
        <w:t xml:space="preserve">, </w:t>
      </w:r>
      <w:r w:rsidR="0038333E" w:rsidRPr="00A02B76">
        <w:rPr>
          <w:spacing w:val="-4"/>
          <w:kern w:val="22"/>
        </w:rPr>
        <w:t>e</w:t>
      </w:r>
      <w:r w:rsidRPr="00A02B76">
        <w:rPr>
          <w:spacing w:val="-4"/>
          <w:kern w:val="22"/>
        </w:rPr>
        <w:t>conomic</w:t>
      </w:r>
      <w:r w:rsidR="0038333E" w:rsidRPr="00A02B76">
        <w:rPr>
          <w:spacing w:val="-4"/>
          <w:kern w:val="22"/>
        </w:rPr>
        <w:t xml:space="preserve"> environment</w:t>
      </w:r>
      <w:r w:rsidR="007860AC" w:rsidRPr="00A02B76">
        <w:rPr>
          <w:spacing w:val="-4"/>
          <w:kern w:val="22"/>
        </w:rPr>
        <w:t>,</w:t>
      </w:r>
      <w:r w:rsidR="0038333E" w:rsidRPr="00A02B76">
        <w:rPr>
          <w:spacing w:val="-4"/>
          <w:kern w:val="22"/>
        </w:rPr>
        <w:t xml:space="preserve"> legal i</w:t>
      </w:r>
      <w:r w:rsidRPr="00A02B76">
        <w:rPr>
          <w:spacing w:val="-4"/>
          <w:kern w:val="22"/>
        </w:rPr>
        <w:t>nfrastructure</w:t>
      </w:r>
      <w:r w:rsidR="007860AC" w:rsidRPr="00A02B76">
        <w:rPr>
          <w:spacing w:val="-4"/>
          <w:kern w:val="22"/>
        </w:rPr>
        <w:t>,</w:t>
      </w:r>
      <w:r w:rsidR="0038333E" w:rsidRPr="00A02B76">
        <w:rPr>
          <w:spacing w:val="-4"/>
          <w:kern w:val="22"/>
        </w:rPr>
        <w:t xml:space="preserve"> and foreign exchange restrictions</w:t>
      </w:r>
      <w:r w:rsidRPr="00A02B76">
        <w:rPr>
          <w:spacing w:val="-4"/>
          <w:kern w:val="22"/>
        </w:rPr>
        <w:t>.</w:t>
      </w:r>
    </w:p>
    <w:p w14:paraId="6A2A2ABC" w14:textId="77777777" w:rsidR="00EA6770" w:rsidRPr="005A3538" w:rsidRDefault="00EA6770" w:rsidP="00FF3573">
      <w:pPr>
        <w:pStyle w:val="Casehead2"/>
        <w:outlineLvl w:val="0"/>
        <w:rPr>
          <w:rFonts w:ascii="Times New Roman" w:hAnsi="Times New Roman" w:cs="Times New Roman"/>
          <w:b w:val="0"/>
          <w:sz w:val="22"/>
          <w:szCs w:val="22"/>
          <w:u w:val="single"/>
        </w:rPr>
      </w:pPr>
      <w:r w:rsidRPr="005A3538">
        <w:rPr>
          <w:rFonts w:ascii="Times New Roman" w:hAnsi="Times New Roman" w:cs="Times New Roman"/>
          <w:b w:val="0"/>
          <w:sz w:val="22"/>
          <w:szCs w:val="22"/>
          <w:u w:val="single"/>
        </w:rPr>
        <w:lastRenderedPageBreak/>
        <w:t>Currency Risk</w:t>
      </w:r>
    </w:p>
    <w:p w14:paraId="6566F0F1" w14:textId="77777777" w:rsidR="00EA6770" w:rsidRPr="005A3538" w:rsidRDefault="00EA6770" w:rsidP="00B958F3">
      <w:pPr>
        <w:pStyle w:val="BodyTextMain"/>
      </w:pPr>
    </w:p>
    <w:p w14:paraId="1CB84741" w14:textId="7D7C320C" w:rsidR="008C453A" w:rsidRDefault="009C2C3E" w:rsidP="00B958F3">
      <w:pPr>
        <w:pStyle w:val="BodyTextMain"/>
      </w:pPr>
      <w:r w:rsidRPr="005A3538">
        <w:t>Settl</w:t>
      </w:r>
      <w:r w:rsidR="00735889" w:rsidRPr="005A3538">
        <w:t xml:space="preserve">ing </w:t>
      </w:r>
      <w:r w:rsidRPr="005A3538">
        <w:t xml:space="preserve">a trade transaction in </w:t>
      </w:r>
      <w:r w:rsidR="00450006" w:rsidRPr="005A3538">
        <w:t xml:space="preserve">a </w:t>
      </w:r>
      <w:r w:rsidRPr="005A3538">
        <w:t>foreign currency at a future date always h</w:t>
      </w:r>
      <w:r w:rsidR="00735889" w:rsidRPr="005A3538">
        <w:t>eld</w:t>
      </w:r>
      <w:r w:rsidRPr="005A3538">
        <w:t xml:space="preserve"> out the risk of adverse </w:t>
      </w:r>
      <w:r w:rsidR="00C5279D" w:rsidRPr="005A3538">
        <w:t xml:space="preserve">currency movement between the </w:t>
      </w:r>
      <w:r w:rsidRPr="005A3538">
        <w:t>foreig</w:t>
      </w:r>
      <w:r w:rsidR="00C5279D" w:rsidRPr="005A3538">
        <w:t>n currency and the home currency</w:t>
      </w:r>
      <w:r w:rsidR="00735889" w:rsidRPr="005A3538">
        <w:t>,</w:t>
      </w:r>
      <w:r w:rsidR="00C5279D" w:rsidRPr="005A3538">
        <w:t xml:space="preserve"> which </w:t>
      </w:r>
      <w:r w:rsidR="00735889" w:rsidRPr="005A3538">
        <w:t>could</w:t>
      </w:r>
      <w:r w:rsidR="00C5279D" w:rsidRPr="005A3538">
        <w:t xml:space="preserve"> result in </w:t>
      </w:r>
      <w:r w:rsidR="00755B87" w:rsidRPr="005A3538">
        <w:t xml:space="preserve">an </w:t>
      </w:r>
      <w:r w:rsidR="00C5279D" w:rsidRPr="005A3538">
        <w:t>uncertain</w:t>
      </w:r>
      <w:r w:rsidR="0011447C" w:rsidRPr="005A3538">
        <w:t xml:space="preserve"> or </w:t>
      </w:r>
      <w:r w:rsidR="00C5279D" w:rsidRPr="005A3538">
        <w:t xml:space="preserve">unpredictable value of the future payments for the exporters and the importers in their home currencies. </w:t>
      </w:r>
      <w:r w:rsidR="00735889" w:rsidRPr="005A3538">
        <w:t>The v</w:t>
      </w:r>
      <w:r w:rsidR="00C5279D" w:rsidRPr="005A3538">
        <w:t xml:space="preserve">alue of payments received for exports could be reduced, or </w:t>
      </w:r>
      <w:r w:rsidR="00450006" w:rsidRPr="005A3538">
        <w:t xml:space="preserve">the </w:t>
      </w:r>
      <w:r w:rsidR="00C5279D" w:rsidRPr="005A3538">
        <w:t>value of payments needed to be made for imports could be increased</w:t>
      </w:r>
      <w:r w:rsidR="00450006" w:rsidRPr="005A3538">
        <w:t>,</w:t>
      </w:r>
      <w:r w:rsidR="00C5279D" w:rsidRPr="005A3538">
        <w:t xml:space="preserve"> depending on the direction of movement of the currency of </w:t>
      </w:r>
      <w:r w:rsidR="005A3538" w:rsidRPr="005A3538">
        <w:t>invoicing with</w:t>
      </w:r>
      <w:r w:rsidR="004134AE" w:rsidRPr="005A3538">
        <w:t xml:space="preserve"> regard to </w:t>
      </w:r>
      <w:r w:rsidR="00C5279D" w:rsidRPr="005A3538">
        <w:t>the home currency of the exporter</w:t>
      </w:r>
      <w:r w:rsidR="008C453A">
        <w:t xml:space="preserve"> or </w:t>
      </w:r>
      <w:r w:rsidR="00C5279D" w:rsidRPr="005A3538">
        <w:t xml:space="preserve">importer. </w:t>
      </w:r>
    </w:p>
    <w:p w14:paraId="5AB5FD67" w14:textId="77777777" w:rsidR="008C453A" w:rsidRPr="00AC67AE" w:rsidRDefault="008C453A" w:rsidP="00B958F3">
      <w:pPr>
        <w:pStyle w:val="BodyTextMain"/>
      </w:pPr>
    </w:p>
    <w:p w14:paraId="1BC6D9D3" w14:textId="649246E0" w:rsidR="009C2C3E" w:rsidRPr="005A3538" w:rsidRDefault="00C5279D" w:rsidP="00B958F3">
      <w:pPr>
        <w:pStyle w:val="BodyTextMain"/>
      </w:pPr>
      <w:r w:rsidRPr="005A3538">
        <w:t xml:space="preserve">This risk </w:t>
      </w:r>
      <w:r w:rsidR="00520BEC" w:rsidRPr="005A3538">
        <w:t>was</w:t>
      </w:r>
      <w:r w:rsidRPr="005A3538">
        <w:t xml:space="preserve"> </w:t>
      </w:r>
      <w:r w:rsidR="00015452" w:rsidRPr="005A3538">
        <w:t xml:space="preserve">also known as </w:t>
      </w:r>
      <w:r w:rsidRPr="005A3538">
        <w:t>e</w:t>
      </w:r>
      <w:r w:rsidR="00015452" w:rsidRPr="005A3538">
        <w:t xml:space="preserve">xchange rate risk or foreign exchange rate fluctuation risk. </w:t>
      </w:r>
      <w:r w:rsidR="000E6FD9" w:rsidRPr="005A3538">
        <w:t xml:space="preserve">Unfavourable exchange rate movements </w:t>
      </w:r>
      <w:r w:rsidR="00520BEC" w:rsidRPr="005A3538">
        <w:t>could</w:t>
      </w:r>
      <w:r w:rsidR="000E6FD9" w:rsidRPr="005A3538">
        <w:t xml:space="preserve"> </w:t>
      </w:r>
      <w:r w:rsidR="00520BEC" w:rsidRPr="005A3538">
        <w:t>have a</w:t>
      </w:r>
      <w:r w:rsidR="000E6FD9" w:rsidRPr="005A3538">
        <w:t xml:space="preserve"> huge negative impact </w:t>
      </w:r>
      <w:r w:rsidR="007702D9" w:rsidRPr="005A3538">
        <w:t xml:space="preserve">on </w:t>
      </w:r>
      <w:r w:rsidR="000E6FD9" w:rsidRPr="005A3538">
        <w:t>the earnings, profitability</w:t>
      </w:r>
      <w:r w:rsidR="00520BEC" w:rsidRPr="005A3538">
        <w:t>, and</w:t>
      </w:r>
      <w:r w:rsidR="0059276D" w:rsidRPr="005A3538">
        <w:t xml:space="preserve"> </w:t>
      </w:r>
      <w:r w:rsidR="007702D9" w:rsidRPr="005A3538">
        <w:t>market value of the equity for the firms involved in exports and imports. Hence</w:t>
      </w:r>
      <w:r w:rsidR="00520BEC" w:rsidRPr="005A3538">
        <w:t>,</w:t>
      </w:r>
      <w:r w:rsidR="007702D9" w:rsidRPr="005A3538">
        <w:t xml:space="preserve"> it </w:t>
      </w:r>
      <w:r w:rsidR="00520BEC" w:rsidRPr="005A3538">
        <w:t>was</w:t>
      </w:r>
      <w:r w:rsidR="007702D9" w:rsidRPr="005A3538">
        <w:t xml:space="preserve"> imperative for exporters and importers to appreciate the nature, consequences</w:t>
      </w:r>
      <w:r w:rsidR="00520BEC" w:rsidRPr="005A3538">
        <w:t>,</w:t>
      </w:r>
      <w:r w:rsidR="007702D9" w:rsidRPr="005A3538">
        <w:t xml:space="preserve"> and management techniques of currency risk.</w:t>
      </w:r>
      <w:r w:rsidR="00260E0B" w:rsidRPr="00B958F3">
        <w:rPr>
          <w:rStyle w:val="FootnoteReference"/>
          <w:rFonts w:ascii="Arial" w:hAnsi="Arial" w:cs="Arial"/>
          <w:caps/>
          <w:sz w:val="20"/>
          <w:szCs w:val="20"/>
        </w:rPr>
        <w:footnoteReference w:id="2"/>
      </w:r>
      <w:r w:rsidR="007702D9" w:rsidRPr="005A3538">
        <w:t xml:space="preserve"> </w:t>
      </w:r>
    </w:p>
    <w:p w14:paraId="403DC868" w14:textId="77777777" w:rsidR="0068678F" w:rsidRPr="005A3538" w:rsidRDefault="0068678F" w:rsidP="00B958F3">
      <w:pPr>
        <w:pStyle w:val="BodyTextMain"/>
      </w:pPr>
    </w:p>
    <w:p w14:paraId="6EDF69FF" w14:textId="77777777" w:rsidR="00EA6770" w:rsidRPr="005A3538" w:rsidRDefault="00EA6770" w:rsidP="00B958F3">
      <w:pPr>
        <w:pStyle w:val="BodyTextMain"/>
      </w:pPr>
    </w:p>
    <w:p w14:paraId="1EC82A04" w14:textId="77777777" w:rsidR="00EA6770" w:rsidRPr="005A3538" w:rsidRDefault="00EA6770" w:rsidP="00FF3573">
      <w:pPr>
        <w:pStyle w:val="Casehead2"/>
        <w:outlineLvl w:val="0"/>
        <w:rPr>
          <w:rFonts w:ascii="Times New Roman" w:hAnsi="Times New Roman" w:cs="Times New Roman"/>
          <w:b w:val="0"/>
          <w:sz w:val="22"/>
          <w:szCs w:val="22"/>
          <w:u w:val="single"/>
        </w:rPr>
      </w:pPr>
      <w:r w:rsidRPr="005A3538">
        <w:rPr>
          <w:rFonts w:ascii="Times New Roman" w:hAnsi="Times New Roman" w:cs="Times New Roman"/>
          <w:b w:val="0"/>
          <w:sz w:val="22"/>
          <w:szCs w:val="22"/>
          <w:u w:val="single"/>
        </w:rPr>
        <w:t>Country Risk</w:t>
      </w:r>
    </w:p>
    <w:p w14:paraId="31C58322" w14:textId="77777777" w:rsidR="00EA6770" w:rsidRPr="005A3538" w:rsidRDefault="00EA6770" w:rsidP="00B958F3">
      <w:pPr>
        <w:pStyle w:val="BodyTextMain"/>
      </w:pPr>
    </w:p>
    <w:p w14:paraId="2B587D25" w14:textId="2EB6B7CF" w:rsidR="00B509CC" w:rsidRPr="005A3538" w:rsidRDefault="00CD67B6" w:rsidP="00AC67AE">
      <w:pPr>
        <w:pStyle w:val="BodyTextMain"/>
      </w:pPr>
      <w:r w:rsidRPr="005A3538">
        <w:t xml:space="preserve">Country risk, also known as sovereign risk, </w:t>
      </w:r>
      <w:r w:rsidR="00450006" w:rsidRPr="005A3538">
        <w:t>was</w:t>
      </w:r>
      <w:r w:rsidRPr="005A3538">
        <w:t xml:space="preserve"> the risk that the government of a particular country w</w:t>
      </w:r>
      <w:r w:rsidR="00450006" w:rsidRPr="005A3538">
        <w:t>ould</w:t>
      </w:r>
      <w:r w:rsidRPr="005A3538">
        <w:t xml:space="preserve"> fail </w:t>
      </w:r>
      <w:r w:rsidR="00CD6F14" w:rsidRPr="005A3538">
        <w:t>i</w:t>
      </w:r>
      <w:r w:rsidRPr="005A3538">
        <w:t>n its payment commitments to exporters or overseas suppliers of goods and services. It include</w:t>
      </w:r>
      <w:r w:rsidR="00450006" w:rsidRPr="005A3538">
        <w:t>d</w:t>
      </w:r>
      <w:r w:rsidRPr="005A3538">
        <w:t xml:space="preserve"> the risk that even when buyers </w:t>
      </w:r>
      <w:r w:rsidR="00450006" w:rsidRPr="005A3538">
        <w:t>were</w:t>
      </w:r>
      <w:r w:rsidRPr="005A3538">
        <w:t xml:space="preserve"> able and willing to meet their obligations</w:t>
      </w:r>
      <w:r w:rsidR="00B509CC" w:rsidRPr="005A3538">
        <w:t xml:space="preserve">, </w:t>
      </w:r>
      <w:r w:rsidRPr="005A3538">
        <w:t xml:space="preserve">economic and political factors </w:t>
      </w:r>
      <w:r w:rsidR="00450006" w:rsidRPr="005A3538">
        <w:t>might</w:t>
      </w:r>
      <w:r w:rsidRPr="005A3538">
        <w:t xml:space="preserve"> prevent settlement with the sell</w:t>
      </w:r>
      <w:r w:rsidR="00B509CC" w:rsidRPr="005A3538">
        <w:t>er. For example, there could be an a</w:t>
      </w:r>
      <w:r w:rsidR="00630A6D" w:rsidRPr="005A3538">
        <w:t>dverse e</w:t>
      </w:r>
      <w:r w:rsidRPr="005A3538">
        <w:t xml:space="preserve">conomic environment </w:t>
      </w:r>
      <w:r w:rsidR="00630A6D" w:rsidRPr="005A3538">
        <w:t>in the importer’s country</w:t>
      </w:r>
      <w:r w:rsidR="00450006" w:rsidRPr="005A3538">
        <w:t>, which could</w:t>
      </w:r>
      <w:r w:rsidR="00630A6D" w:rsidRPr="005A3538">
        <w:t xml:space="preserve"> re</w:t>
      </w:r>
      <w:r w:rsidR="00450006" w:rsidRPr="005A3538">
        <w:t>sult</w:t>
      </w:r>
      <w:r w:rsidR="00630A6D" w:rsidRPr="005A3538">
        <w:t xml:space="preserve"> in poor paying capacity </w:t>
      </w:r>
      <w:r w:rsidR="00BE1296" w:rsidRPr="005A3538">
        <w:t>for</w:t>
      </w:r>
      <w:r w:rsidR="00630A6D" w:rsidRPr="005A3538">
        <w:t xml:space="preserve"> importing companies. Adverse economic situations in the exporters’ and importers’ countries </w:t>
      </w:r>
      <w:r w:rsidR="00450006" w:rsidRPr="005A3538">
        <w:t xml:space="preserve">could </w:t>
      </w:r>
      <w:r w:rsidR="00630A6D" w:rsidRPr="005A3538">
        <w:t xml:space="preserve">also result in </w:t>
      </w:r>
      <w:r w:rsidR="00BE1296" w:rsidRPr="005A3538">
        <w:t xml:space="preserve">an </w:t>
      </w:r>
      <w:r w:rsidR="00630A6D" w:rsidRPr="005A3538">
        <w:t>unstable</w:t>
      </w:r>
      <w:r w:rsidR="00CD6F14" w:rsidRPr="005A3538">
        <w:t xml:space="preserve"> and </w:t>
      </w:r>
      <w:r w:rsidR="00630A6D" w:rsidRPr="005A3538">
        <w:t xml:space="preserve">volatile currency </w:t>
      </w:r>
      <w:r w:rsidR="00BE1296" w:rsidRPr="005A3538">
        <w:t>in</w:t>
      </w:r>
      <w:r w:rsidR="00630A6D" w:rsidRPr="005A3538">
        <w:t xml:space="preserve"> the</w:t>
      </w:r>
      <w:r w:rsidR="006E774A" w:rsidRPr="005A3538">
        <w:t xml:space="preserve">se </w:t>
      </w:r>
      <w:r w:rsidR="00630A6D" w:rsidRPr="005A3538">
        <w:t>countries, exposing trading partners to adverse foreign currency risks.</w:t>
      </w:r>
      <w:r w:rsidR="00B509CC" w:rsidRPr="005A3538">
        <w:t xml:space="preserve"> </w:t>
      </w:r>
    </w:p>
    <w:p w14:paraId="47939F5A" w14:textId="77777777" w:rsidR="00B509CC" w:rsidRPr="005A3538" w:rsidRDefault="00B509CC" w:rsidP="00AC67AE">
      <w:pPr>
        <w:pStyle w:val="BodyTextMain"/>
      </w:pPr>
    </w:p>
    <w:p w14:paraId="260B3D89" w14:textId="2098FA4F" w:rsidR="00CD67B6" w:rsidRPr="005A3538" w:rsidRDefault="00B509CC" w:rsidP="00AC67AE">
      <w:pPr>
        <w:pStyle w:val="BodyTextMain"/>
        <w:rPr>
          <w:b/>
        </w:rPr>
      </w:pPr>
      <w:r w:rsidRPr="005A3538">
        <w:t>There could also be p</w:t>
      </w:r>
      <w:r w:rsidR="00CD67B6" w:rsidRPr="005A3538">
        <w:t>olitical instability</w:t>
      </w:r>
      <w:r w:rsidR="00450006" w:rsidRPr="005A3538">
        <w:t>,</w:t>
      </w:r>
      <w:r w:rsidR="00CD67B6" w:rsidRPr="005A3538">
        <w:t xml:space="preserve"> leading to delayed payment or default</w:t>
      </w:r>
      <w:r w:rsidRPr="005A3538">
        <w:t>, and p</w:t>
      </w:r>
      <w:r w:rsidR="00CD67B6" w:rsidRPr="005A3538">
        <w:t>oor legal infrastructure</w:t>
      </w:r>
      <w:r w:rsidR="00450006" w:rsidRPr="005A3538">
        <w:t>,</w:t>
      </w:r>
      <w:r w:rsidR="00CD67B6" w:rsidRPr="005A3538">
        <w:t xml:space="preserve"> </w:t>
      </w:r>
      <w:r w:rsidR="004C6CEE" w:rsidRPr="005A3538">
        <w:t xml:space="preserve">which could </w:t>
      </w:r>
      <w:r w:rsidR="00CD67B6" w:rsidRPr="005A3538">
        <w:t xml:space="preserve">result in delayed payment </w:t>
      </w:r>
      <w:r w:rsidR="003A1A5F" w:rsidRPr="005A3538">
        <w:t>from</w:t>
      </w:r>
      <w:r w:rsidR="00CD67B6" w:rsidRPr="005A3538">
        <w:t xml:space="preserve"> </w:t>
      </w:r>
      <w:r w:rsidR="00450006" w:rsidRPr="005A3538">
        <w:t xml:space="preserve">a </w:t>
      </w:r>
      <w:r w:rsidR="00CD67B6" w:rsidRPr="005A3538">
        <w:t>trade dispute</w:t>
      </w:r>
      <w:r w:rsidR="0038333E" w:rsidRPr="005A3538">
        <w:t>.</w:t>
      </w:r>
      <w:r w:rsidRPr="005A3538">
        <w:t xml:space="preserve"> Finally, </w:t>
      </w:r>
      <w:r w:rsidR="00F044BB" w:rsidRPr="005A3538">
        <w:t>f</w:t>
      </w:r>
      <w:r w:rsidR="00630A6D" w:rsidRPr="005A3538">
        <w:t>ore</w:t>
      </w:r>
      <w:r w:rsidRPr="005A3538">
        <w:t>i</w:t>
      </w:r>
      <w:r w:rsidR="00630A6D" w:rsidRPr="005A3538">
        <w:t>gn exchange restrictions</w:t>
      </w:r>
      <w:r w:rsidRPr="005A3538">
        <w:t>,</w:t>
      </w:r>
      <w:r w:rsidR="00630A6D" w:rsidRPr="005A3538">
        <w:t xml:space="preserve"> </w:t>
      </w:r>
      <w:r w:rsidR="00F044BB" w:rsidRPr="005A3538">
        <w:t>caused by</w:t>
      </w:r>
      <w:r w:rsidR="00630A6D" w:rsidRPr="005A3538">
        <w:t xml:space="preserve"> </w:t>
      </w:r>
      <w:r w:rsidR="00450006" w:rsidRPr="005A3538">
        <w:t xml:space="preserve">an </w:t>
      </w:r>
      <w:r w:rsidR="00630A6D" w:rsidRPr="005A3538">
        <w:t>unfavourable balance of payment situation</w:t>
      </w:r>
      <w:r w:rsidR="008C453A">
        <w:t xml:space="preserve"> or </w:t>
      </w:r>
      <w:r w:rsidR="00630A6D" w:rsidRPr="005A3538">
        <w:t>shortage of foreign exchange in an importer’s country</w:t>
      </w:r>
      <w:r w:rsidR="00450006" w:rsidRPr="005A3538">
        <w:t>,</w:t>
      </w:r>
      <w:r w:rsidR="00630A6D" w:rsidRPr="005A3538">
        <w:t xml:space="preserve"> </w:t>
      </w:r>
      <w:r w:rsidRPr="005A3538">
        <w:t xml:space="preserve">could </w:t>
      </w:r>
      <w:r w:rsidR="00630A6D" w:rsidRPr="005A3538">
        <w:t>limit an importer’s ability to make payments for its international purchases</w:t>
      </w:r>
      <w:r w:rsidR="0038333E" w:rsidRPr="005A3538">
        <w:t>.</w:t>
      </w:r>
    </w:p>
    <w:p w14:paraId="24ABF143" w14:textId="77777777" w:rsidR="0068678F" w:rsidRPr="005A3538" w:rsidRDefault="0068678F" w:rsidP="00B958F3">
      <w:pPr>
        <w:pStyle w:val="BodyTextMain"/>
      </w:pPr>
    </w:p>
    <w:p w14:paraId="73534BB6" w14:textId="77777777" w:rsidR="0068678F" w:rsidRPr="005A3538" w:rsidRDefault="0068678F" w:rsidP="00B958F3">
      <w:pPr>
        <w:pStyle w:val="BodyTextMain"/>
      </w:pPr>
    </w:p>
    <w:p w14:paraId="36C9A6F7" w14:textId="27C77D98" w:rsidR="0068678F" w:rsidRPr="005A3538" w:rsidRDefault="0068678F" w:rsidP="00FF3573">
      <w:pPr>
        <w:pStyle w:val="Casehead1"/>
        <w:outlineLvl w:val="0"/>
      </w:pPr>
      <w:r w:rsidRPr="005A3538">
        <w:t>METHODS OF PAYMENT IN INTERNATIONAL TRADE</w:t>
      </w:r>
    </w:p>
    <w:p w14:paraId="02B78CC3" w14:textId="77777777" w:rsidR="004836EF" w:rsidRPr="005A3538" w:rsidRDefault="004836EF" w:rsidP="00B958F3">
      <w:pPr>
        <w:pStyle w:val="BodyTextMain"/>
      </w:pPr>
    </w:p>
    <w:p w14:paraId="1327D1DE" w14:textId="6418A898" w:rsidR="004836EF" w:rsidRPr="005A3538" w:rsidRDefault="004836EF" w:rsidP="00B958F3">
      <w:pPr>
        <w:pStyle w:val="BodyTextMain"/>
      </w:pPr>
      <w:r w:rsidRPr="005A3538">
        <w:t>At the time of negotiating any international trade contract, one of the critical issues the importer and exporter</w:t>
      </w:r>
      <w:r w:rsidR="00B224B1" w:rsidRPr="005A3538">
        <w:t xml:space="preserve"> had to</w:t>
      </w:r>
      <w:r w:rsidRPr="005A3538">
        <w:t xml:space="preserve"> agree on </w:t>
      </w:r>
      <w:r w:rsidR="00B224B1" w:rsidRPr="005A3538">
        <w:t>was</w:t>
      </w:r>
      <w:r w:rsidRPr="005A3538">
        <w:t xml:space="preserve"> the manner of settlement of dues against the goods or services traded</w:t>
      </w:r>
      <w:r w:rsidR="00B224B1" w:rsidRPr="005A3538">
        <w:t>—t</w:t>
      </w:r>
      <w:r w:rsidRPr="005A3538">
        <w:t>hat is, when and how the payment w</w:t>
      </w:r>
      <w:r w:rsidR="00B224B1" w:rsidRPr="005A3538">
        <w:t xml:space="preserve">ould </w:t>
      </w:r>
      <w:r w:rsidRPr="005A3538">
        <w:t>be made by the importer to the exporter. The method of settlement that the seller/exporter and the buyer/importer agree</w:t>
      </w:r>
      <w:r w:rsidR="00B224B1" w:rsidRPr="005A3538">
        <w:t>d on</w:t>
      </w:r>
      <w:r w:rsidRPr="005A3538">
        <w:t xml:space="preserve"> between themselves depend</w:t>
      </w:r>
      <w:r w:rsidR="00B224B1" w:rsidRPr="005A3538">
        <w:t xml:space="preserve">ed </w:t>
      </w:r>
      <w:r w:rsidRPr="005A3538">
        <w:t>on a combination of factors</w:t>
      </w:r>
      <w:r w:rsidR="00B224B1" w:rsidRPr="005A3538">
        <w:t xml:space="preserve"> such as the t</w:t>
      </w:r>
      <w:r w:rsidRPr="005A3538">
        <w:t xml:space="preserve">rack record and experience </w:t>
      </w:r>
      <w:r w:rsidR="00F044BB" w:rsidRPr="005A3538">
        <w:t xml:space="preserve">in </w:t>
      </w:r>
      <w:r w:rsidRPr="005A3538">
        <w:t>dealing with the counterparty</w:t>
      </w:r>
      <w:r w:rsidR="00B224B1" w:rsidRPr="005A3538">
        <w:t>; the l</w:t>
      </w:r>
      <w:r w:rsidRPr="005A3538">
        <w:t>evel of mutual trust, confidence</w:t>
      </w:r>
      <w:r w:rsidR="00B224B1" w:rsidRPr="005A3538">
        <w:t>,</w:t>
      </w:r>
      <w:r w:rsidRPr="005A3538">
        <w:t xml:space="preserve"> and </w:t>
      </w:r>
      <w:r w:rsidR="00B224B1" w:rsidRPr="005A3538">
        <w:t>comfort; e</w:t>
      </w:r>
      <w:r w:rsidRPr="005A3538">
        <w:t>xternal risk factors such as country risk and currency risk</w:t>
      </w:r>
      <w:r w:rsidR="00B224B1" w:rsidRPr="005A3538">
        <w:t>; the r</w:t>
      </w:r>
      <w:r w:rsidRPr="005A3538">
        <w:t xml:space="preserve">elative bargaining power of the importer and </w:t>
      </w:r>
      <w:r w:rsidR="00645982" w:rsidRPr="005A3538">
        <w:t xml:space="preserve">the </w:t>
      </w:r>
      <w:r w:rsidRPr="005A3538">
        <w:t>exporter to se</w:t>
      </w:r>
      <w:r w:rsidR="0038333E" w:rsidRPr="005A3538">
        <w:t>cure the most favourable terms</w:t>
      </w:r>
      <w:r w:rsidR="00B224B1" w:rsidRPr="005A3538">
        <w:t>; and r</w:t>
      </w:r>
      <w:r w:rsidRPr="005A3538">
        <w:t>equirements of exchange control and trade control regulations</w:t>
      </w:r>
      <w:r w:rsidR="0038333E" w:rsidRPr="005A3538">
        <w:t>.</w:t>
      </w:r>
    </w:p>
    <w:p w14:paraId="0B207085" w14:textId="77777777" w:rsidR="00CD6F14" w:rsidRPr="00811EA4" w:rsidRDefault="00CD6F14" w:rsidP="00B958F3">
      <w:pPr>
        <w:pStyle w:val="BodyTextMain"/>
        <w:rPr>
          <w:sz w:val="18"/>
          <w:szCs w:val="18"/>
        </w:rPr>
      </w:pPr>
    </w:p>
    <w:p w14:paraId="2B757630" w14:textId="60ABCC1B" w:rsidR="004836EF" w:rsidRPr="005A3538" w:rsidRDefault="004836EF" w:rsidP="00B958F3">
      <w:pPr>
        <w:pStyle w:val="BodyTextMain"/>
      </w:pPr>
      <w:r w:rsidRPr="005A3538">
        <w:t xml:space="preserve">There </w:t>
      </w:r>
      <w:r w:rsidR="007860AC" w:rsidRPr="005A3538">
        <w:t>we</w:t>
      </w:r>
      <w:r w:rsidRPr="005A3538">
        <w:t>re three major recogni</w:t>
      </w:r>
      <w:r w:rsidR="007860AC" w:rsidRPr="005A3538">
        <w:t>z</w:t>
      </w:r>
      <w:r w:rsidRPr="005A3538">
        <w:t xml:space="preserve">ed methods of </w:t>
      </w:r>
      <w:r w:rsidR="0039376E" w:rsidRPr="005A3538">
        <w:t xml:space="preserve">making </w:t>
      </w:r>
      <w:r w:rsidRPr="005A3538">
        <w:t>payment</w:t>
      </w:r>
      <w:r w:rsidR="0039376E" w:rsidRPr="005A3538">
        <w:t>s</w:t>
      </w:r>
      <w:r w:rsidR="00645982" w:rsidRPr="005A3538">
        <w:t xml:space="preserve"> globally</w:t>
      </w:r>
      <w:r w:rsidRPr="005A3538">
        <w:t xml:space="preserve"> in international trade</w:t>
      </w:r>
      <w:r w:rsidR="001F68EF" w:rsidRPr="005A3538">
        <w:t>.</w:t>
      </w:r>
    </w:p>
    <w:p w14:paraId="4B3DC229" w14:textId="77777777" w:rsidR="00EA6770" w:rsidRPr="00811EA4" w:rsidRDefault="00EA6770" w:rsidP="005A3538">
      <w:pPr>
        <w:pStyle w:val="BodyTextMain"/>
        <w:rPr>
          <w:sz w:val="18"/>
          <w:szCs w:val="18"/>
        </w:rPr>
      </w:pPr>
    </w:p>
    <w:p w14:paraId="2BA1FB60" w14:textId="4CDBCB87" w:rsidR="00B509CC" w:rsidRPr="00811EA4" w:rsidRDefault="00B509CC" w:rsidP="005A3538">
      <w:pPr>
        <w:pStyle w:val="BodyTextMain"/>
        <w:rPr>
          <w:sz w:val="18"/>
          <w:szCs w:val="18"/>
        </w:rPr>
      </w:pPr>
    </w:p>
    <w:p w14:paraId="048CE6B6" w14:textId="77777777" w:rsidR="00EA6770" w:rsidRPr="005A3538" w:rsidRDefault="004836EF" w:rsidP="00811EA4">
      <w:pPr>
        <w:pStyle w:val="Casehead2"/>
        <w:outlineLvl w:val="0"/>
      </w:pPr>
      <w:r w:rsidRPr="005A3538">
        <w:t>Clean P</w:t>
      </w:r>
      <w:r w:rsidR="00EA6770" w:rsidRPr="005A3538">
        <w:t>ayments</w:t>
      </w:r>
    </w:p>
    <w:p w14:paraId="1BCE0FB8" w14:textId="77777777" w:rsidR="00EA6770" w:rsidRPr="00811EA4" w:rsidRDefault="00EA6770" w:rsidP="00811EA4">
      <w:pPr>
        <w:pStyle w:val="BodyTextMain"/>
        <w:rPr>
          <w:sz w:val="18"/>
          <w:szCs w:val="18"/>
        </w:rPr>
      </w:pPr>
    </w:p>
    <w:p w14:paraId="49B878BA" w14:textId="76B9D487" w:rsidR="004836EF" w:rsidRPr="005A3538" w:rsidRDefault="004836EF" w:rsidP="00EA6770">
      <w:pPr>
        <w:pStyle w:val="BodyTextMain"/>
      </w:pPr>
      <w:r w:rsidRPr="005A3538">
        <w:t xml:space="preserve">In </w:t>
      </w:r>
      <w:r w:rsidR="001F68EF" w:rsidRPr="005A3538">
        <w:t xml:space="preserve">the </w:t>
      </w:r>
      <w:r w:rsidRPr="005A3538">
        <w:t>case of clean payment transactions, all shipping</w:t>
      </w:r>
      <w:r w:rsidR="007246D1" w:rsidRPr="005A3538">
        <w:t xml:space="preserve"> and commercial</w:t>
      </w:r>
      <w:r w:rsidR="0038333E" w:rsidRPr="005A3538">
        <w:t xml:space="preserve"> documents</w:t>
      </w:r>
      <w:r w:rsidR="007246D1" w:rsidRPr="005A3538">
        <w:t xml:space="preserve">, </w:t>
      </w:r>
      <w:r w:rsidR="00CD6F14" w:rsidRPr="005A3538">
        <w:t>including</w:t>
      </w:r>
      <w:r w:rsidR="0038333E" w:rsidRPr="005A3538">
        <w:t xml:space="preserve"> documents </w:t>
      </w:r>
      <w:r w:rsidR="002F65FA" w:rsidRPr="005A3538">
        <w:t xml:space="preserve">of </w:t>
      </w:r>
      <w:r w:rsidR="0038333E" w:rsidRPr="005A3538">
        <w:t>title to goods</w:t>
      </w:r>
      <w:r w:rsidR="007246D1" w:rsidRPr="005A3538">
        <w:t xml:space="preserve"> (</w:t>
      </w:r>
      <w:r w:rsidR="0038333E" w:rsidRPr="005A3538">
        <w:t>such as</w:t>
      </w:r>
      <w:r w:rsidR="000F2B85" w:rsidRPr="005A3538">
        <w:t xml:space="preserve"> a</w:t>
      </w:r>
      <w:r w:rsidR="005A3538">
        <w:t xml:space="preserve"> </w:t>
      </w:r>
      <w:r w:rsidR="00645982" w:rsidRPr="005A3538">
        <w:t>b</w:t>
      </w:r>
      <w:r w:rsidRPr="005A3538">
        <w:t xml:space="preserve">ill of </w:t>
      </w:r>
      <w:r w:rsidR="00645982" w:rsidRPr="005A3538">
        <w:t>lading</w:t>
      </w:r>
      <w:r w:rsidR="0011447C" w:rsidRPr="005A3538">
        <w:t xml:space="preserve">, </w:t>
      </w:r>
      <w:r w:rsidR="00645982" w:rsidRPr="005A3538">
        <w:t>airway bill</w:t>
      </w:r>
      <w:r w:rsidR="0011447C" w:rsidRPr="005A3538">
        <w:t>,</w:t>
      </w:r>
      <w:r w:rsidR="0038333E" w:rsidRPr="005A3538">
        <w:t xml:space="preserve"> </w:t>
      </w:r>
      <w:r w:rsidR="00645982" w:rsidRPr="005A3538">
        <w:t>p</w:t>
      </w:r>
      <w:r w:rsidRPr="005A3538">
        <w:t xml:space="preserve">ost </w:t>
      </w:r>
      <w:r w:rsidR="00645982" w:rsidRPr="005A3538">
        <w:t>p</w:t>
      </w:r>
      <w:r w:rsidRPr="005A3538">
        <w:t xml:space="preserve">arcel </w:t>
      </w:r>
      <w:r w:rsidR="00645982" w:rsidRPr="005A3538">
        <w:t>receipt</w:t>
      </w:r>
      <w:r w:rsidR="0011447C" w:rsidRPr="005A3538">
        <w:t>,</w:t>
      </w:r>
      <w:r w:rsidR="000F2B85" w:rsidRPr="005A3538">
        <w:t xml:space="preserve"> or </w:t>
      </w:r>
      <w:r w:rsidR="00645982" w:rsidRPr="005A3538">
        <w:t>railway r</w:t>
      </w:r>
      <w:r w:rsidRPr="005A3538">
        <w:t>eceip</w:t>
      </w:r>
      <w:r w:rsidR="00CD6F14" w:rsidRPr="005A3538">
        <w:t>t</w:t>
      </w:r>
      <w:r w:rsidR="004134AE" w:rsidRPr="005A3538">
        <w:t xml:space="preserve"> </w:t>
      </w:r>
      <w:r w:rsidR="000F2B85" w:rsidRPr="005A3538">
        <w:t xml:space="preserve">as the case may </w:t>
      </w:r>
      <w:r w:rsidR="004134AE" w:rsidRPr="005A3538">
        <w:lastRenderedPageBreak/>
        <w:t xml:space="preserve">have </w:t>
      </w:r>
      <w:r w:rsidR="000F2B85" w:rsidRPr="005A3538">
        <w:t>be</w:t>
      </w:r>
      <w:r w:rsidR="004134AE" w:rsidRPr="005A3538">
        <w:t>en</w:t>
      </w:r>
      <w:r w:rsidR="007246D1" w:rsidRPr="005A3538">
        <w:t>),</w:t>
      </w:r>
      <w:r w:rsidR="00832571" w:rsidRPr="005A3538">
        <w:t xml:space="preserve"> </w:t>
      </w:r>
      <w:r w:rsidRPr="005A3538">
        <w:t>commercial invoic</w:t>
      </w:r>
      <w:r w:rsidR="0038333E" w:rsidRPr="005A3538">
        <w:t>e</w:t>
      </w:r>
      <w:r w:rsidR="00CD6F14" w:rsidRPr="005A3538">
        <w:t>s,</w:t>
      </w:r>
      <w:r w:rsidR="0011447C" w:rsidRPr="005A3538">
        <w:t xml:space="preserve"> and</w:t>
      </w:r>
      <w:r w:rsidRPr="005A3538">
        <w:t xml:space="preserve"> insurance documents</w:t>
      </w:r>
      <w:r w:rsidR="004B1706">
        <w:t>,</w:t>
      </w:r>
      <w:r w:rsidRPr="005A3538">
        <w:t xml:space="preserve"> </w:t>
      </w:r>
      <w:r w:rsidR="00C37D7F" w:rsidRPr="005A3538">
        <w:t>were</w:t>
      </w:r>
      <w:r w:rsidRPr="005A3538">
        <w:t xml:space="preserve"> handled directly by the trading parties. In other words, the documents </w:t>
      </w:r>
      <w:r w:rsidR="00C37D7F" w:rsidRPr="005A3538">
        <w:t>were</w:t>
      </w:r>
      <w:r w:rsidRPr="005A3538">
        <w:t xml:space="preserve"> d</w:t>
      </w:r>
      <w:r w:rsidR="00C37D7F" w:rsidRPr="005A3538">
        <w:t>i</w:t>
      </w:r>
      <w:r w:rsidRPr="005A3538">
        <w:t>spatched directly by the exporter to the importer</w:t>
      </w:r>
      <w:r w:rsidR="00A91AED" w:rsidRPr="005A3538">
        <w:t>,</w:t>
      </w:r>
      <w:r w:rsidRPr="005A3538">
        <w:t xml:space="preserve"> and goods </w:t>
      </w:r>
      <w:r w:rsidR="00C37D7F" w:rsidRPr="005A3538">
        <w:t>were</w:t>
      </w:r>
      <w:r w:rsidRPr="005A3538">
        <w:t xml:space="preserve"> also consigned directly by the exporter to the importer. The role of the banks </w:t>
      </w:r>
      <w:r w:rsidR="00C37D7F" w:rsidRPr="005A3538">
        <w:t>was</w:t>
      </w:r>
      <w:r w:rsidRPr="005A3538">
        <w:t xml:space="preserve"> limited to the remittance of funds</w:t>
      </w:r>
      <w:r w:rsidR="00C37D7F" w:rsidRPr="005A3538">
        <w:t>,</w:t>
      </w:r>
      <w:r w:rsidRPr="005A3538">
        <w:t xml:space="preserve"> as required. There </w:t>
      </w:r>
      <w:r w:rsidR="001F68EF" w:rsidRPr="005A3538">
        <w:t>were</w:t>
      </w:r>
      <w:r w:rsidRPr="005A3538">
        <w:t xml:space="preserve"> four types of clean payments</w:t>
      </w:r>
      <w:r w:rsidR="00431303" w:rsidRPr="005A3538">
        <w:t>.</w:t>
      </w:r>
    </w:p>
    <w:p w14:paraId="44FC5634" w14:textId="2DBF675B" w:rsidR="004836EF" w:rsidRPr="005A3538" w:rsidRDefault="004836EF" w:rsidP="00AC67AE">
      <w:pPr>
        <w:pStyle w:val="BodyTextMain"/>
      </w:pPr>
    </w:p>
    <w:p w14:paraId="22ECE221" w14:textId="77777777" w:rsidR="00EA6770" w:rsidRPr="005A3538" w:rsidRDefault="00EA6770" w:rsidP="00AC67AE">
      <w:pPr>
        <w:pStyle w:val="BodyTextMain"/>
      </w:pPr>
    </w:p>
    <w:p w14:paraId="6A8D78A2" w14:textId="77777777" w:rsidR="00EA6770" w:rsidRPr="005A3538" w:rsidRDefault="00EA6770" w:rsidP="00FF3573">
      <w:pPr>
        <w:pStyle w:val="Casehead3"/>
        <w:outlineLvl w:val="0"/>
      </w:pPr>
      <w:r w:rsidRPr="005A3538">
        <w:t>Advance Payment/Remittance</w:t>
      </w:r>
    </w:p>
    <w:p w14:paraId="209007A0" w14:textId="77777777" w:rsidR="00EA6770" w:rsidRPr="005A3538" w:rsidRDefault="00EA6770" w:rsidP="00AC67AE">
      <w:pPr>
        <w:pStyle w:val="BodyTextMain"/>
      </w:pPr>
    </w:p>
    <w:p w14:paraId="1F83F28B" w14:textId="1B13E109" w:rsidR="004836EF" w:rsidRPr="005A3538" w:rsidRDefault="003B6698" w:rsidP="00EA6770">
      <w:pPr>
        <w:pStyle w:val="BodyTextMain"/>
        <w:rPr>
          <w:spacing w:val="-2"/>
          <w:kern w:val="22"/>
        </w:rPr>
      </w:pPr>
      <w:r>
        <w:rPr>
          <w:spacing w:val="-2"/>
          <w:kern w:val="22"/>
        </w:rPr>
        <w:t>Advance payment</w:t>
      </w:r>
      <w:r w:rsidRPr="005A3538">
        <w:rPr>
          <w:spacing w:val="-2"/>
          <w:kern w:val="22"/>
        </w:rPr>
        <w:t xml:space="preserve"> </w:t>
      </w:r>
      <w:r w:rsidR="00431303" w:rsidRPr="005A3538">
        <w:rPr>
          <w:spacing w:val="-2"/>
          <w:kern w:val="22"/>
        </w:rPr>
        <w:t>was</w:t>
      </w:r>
      <w:r w:rsidR="007702D9" w:rsidRPr="005A3538">
        <w:rPr>
          <w:spacing w:val="-2"/>
          <w:kern w:val="22"/>
        </w:rPr>
        <w:t xml:space="preserve"> a</w:t>
      </w:r>
      <w:r w:rsidR="00431303" w:rsidRPr="005A3538">
        <w:rPr>
          <w:spacing w:val="-2"/>
          <w:kern w:val="22"/>
        </w:rPr>
        <w:t xml:space="preserve"> type of</w:t>
      </w:r>
      <w:r w:rsidR="007702D9" w:rsidRPr="005A3538">
        <w:rPr>
          <w:spacing w:val="-2"/>
          <w:kern w:val="22"/>
        </w:rPr>
        <w:t xml:space="preserve"> </w:t>
      </w:r>
      <w:r w:rsidR="008645CE">
        <w:rPr>
          <w:spacing w:val="-2"/>
          <w:kern w:val="22"/>
        </w:rPr>
        <w:t>remittance</w:t>
      </w:r>
      <w:r w:rsidR="008645CE" w:rsidRPr="005A3538">
        <w:rPr>
          <w:spacing w:val="-2"/>
          <w:kern w:val="22"/>
        </w:rPr>
        <w:t xml:space="preserve"> </w:t>
      </w:r>
      <w:r w:rsidR="00431303" w:rsidRPr="005A3538">
        <w:rPr>
          <w:spacing w:val="-2"/>
          <w:kern w:val="22"/>
        </w:rPr>
        <w:t>in which</w:t>
      </w:r>
      <w:r w:rsidR="007702D9" w:rsidRPr="005A3538">
        <w:rPr>
          <w:spacing w:val="-2"/>
          <w:kern w:val="22"/>
        </w:rPr>
        <w:t xml:space="preserve"> the exporter stipulated that the importer should </w:t>
      </w:r>
      <w:r w:rsidR="00622206" w:rsidRPr="005A3538">
        <w:rPr>
          <w:spacing w:val="-2"/>
          <w:kern w:val="22"/>
        </w:rPr>
        <w:t xml:space="preserve">make full </w:t>
      </w:r>
      <w:r w:rsidR="008645CE">
        <w:rPr>
          <w:spacing w:val="-2"/>
          <w:kern w:val="22"/>
        </w:rPr>
        <w:t xml:space="preserve">payment </w:t>
      </w:r>
      <w:r w:rsidR="00622206" w:rsidRPr="005A3538">
        <w:rPr>
          <w:spacing w:val="-2"/>
          <w:kern w:val="22"/>
        </w:rPr>
        <w:t xml:space="preserve">to the exporter </w:t>
      </w:r>
      <w:r w:rsidR="008645CE">
        <w:rPr>
          <w:spacing w:val="-2"/>
          <w:kern w:val="22"/>
        </w:rPr>
        <w:t xml:space="preserve">before </w:t>
      </w:r>
      <w:r w:rsidR="00622206" w:rsidRPr="005A3538">
        <w:rPr>
          <w:spacing w:val="-2"/>
          <w:kern w:val="22"/>
        </w:rPr>
        <w:t xml:space="preserve">the </w:t>
      </w:r>
      <w:r w:rsidR="0059276D" w:rsidRPr="005A3538">
        <w:rPr>
          <w:spacing w:val="-2"/>
          <w:kern w:val="22"/>
        </w:rPr>
        <w:t>purchased</w:t>
      </w:r>
      <w:r w:rsidR="008645CE">
        <w:rPr>
          <w:spacing w:val="-2"/>
          <w:kern w:val="22"/>
        </w:rPr>
        <w:t xml:space="preserve"> goods were provided</w:t>
      </w:r>
      <w:r w:rsidR="00622206" w:rsidRPr="005A3538">
        <w:rPr>
          <w:spacing w:val="-2"/>
          <w:kern w:val="22"/>
        </w:rPr>
        <w:t>. The exporter w</w:t>
      </w:r>
      <w:r w:rsidR="00431303" w:rsidRPr="005A3538">
        <w:rPr>
          <w:spacing w:val="-2"/>
          <w:kern w:val="22"/>
        </w:rPr>
        <w:t xml:space="preserve">ould </w:t>
      </w:r>
      <w:r w:rsidR="00622206" w:rsidRPr="005A3538">
        <w:rPr>
          <w:spacing w:val="-2"/>
          <w:kern w:val="22"/>
        </w:rPr>
        <w:t>first receive the full payment consideration from the importer, then procure</w:t>
      </w:r>
      <w:r w:rsidR="001337A8" w:rsidRPr="005A3538">
        <w:rPr>
          <w:spacing w:val="-2"/>
          <w:kern w:val="22"/>
        </w:rPr>
        <w:t xml:space="preserve"> and</w:t>
      </w:r>
      <w:r w:rsidR="00622206" w:rsidRPr="005A3538">
        <w:rPr>
          <w:spacing w:val="-2"/>
          <w:kern w:val="22"/>
        </w:rPr>
        <w:t xml:space="preserve"> manufacture the goods and make arrangement for shipment. This </w:t>
      </w:r>
      <w:r w:rsidR="00431303" w:rsidRPr="005A3538">
        <w:rPr>
          <w:spacing w:val="-2"/>
          <w:kern w:val="22"/>
        </w:rPr>
        <w:t>was</w:t>
      </w:r>
      <w:r w:rsidR="00622206" w:rsidRPr="005A3538">
        <w:rPr>
          <w:spacing w:val="-2"/>
          <w:kern w:val="22"/>
        </w:rPr>
        <w:t xml:space="preserve"> the safest payment term that the exporter c</w:t>
      </w:r>
      <w:r w:rsidR="00431303" w:rsidRPr="005A3538">
        <w:rPr>
          <w:spacing w:val="-2"/>
          <w:kern w:val="22"/>
        </w:rPr>
        <w:t>ould</w:t>
      </w:r>
      <w:r w:rsidR="00622206" w:rsidRPr="005A3538">
        <w:rPr>
          <w:spacing w:val="-2"/>
          <w:kern w:val="22"/>
        </w:rPr>
        <w:t xml:space="preserve"> negotiate with the importer where there </w:t>
      </w:r>
      <w:r w:rsidR="00431303" w:rsidRPr="005A3538">
        <w:rPr>
          <w:spacing w:val="-2"/>
          <w:kern w:val="22"/>
        </w:rPr>
        <w:t>was</w:t>
      </w:r>
      <w:r w:rsidR="00622206" w:rsidRPr="005A3538">
        <w:rPr>
          <w:spacing w:val="-2"/>
          <w:kern w:val="22"/>
        </w:rPr>
        <w:t xml:space="preserve"> no commercial or default risk. The importer</w:t>
      </w:r>
      <w:r w:rsidR="001976C1" w:rsidRPr="005A3538">
        <w:rPr>
          <w:spacing w:val="-2"/>
          <w:kern w:val="22"/>
        </w:rPr>
        <w:t xml:space="preserve"> </w:t>
      </w:r>
      <w:r w:rsidR="00060C86" w:rsidRPr="005A3538">
        <w:rPr>
          <w:spacing w:val="-2"/>
          <w:kern w:val="22"/>
        </w:rPr>
        <w:t>remitt</w:t>
      </w:r>
      <w:r w:rsidR="001976C1" w:rsidRPr="005A3538">
        <w:rPr>
          <w:spacing w:val="-2"/>
          <w:kern w:val="22"/>
        </w:rPr>
        <w:t xml:space="preserve">ed </w:t>
      </w:r>
      <w:r w:rsidR="00060C86" w:rsidRPr="005A3538">
        <w:rPr>
          <w:spacing w:val="-2"/>
          <w:kern w:val="22"/>
        </w:rPr>
        <w:t>money directly to the exporter and relie</w:t>
      </w:r>
      <w:r w:rsidR="001976C1" w:rsidRPr="005A3538">
        <w:rPr>
          <w:spacing w:val="-2"/>
          <w:kern w:val="22"/>
        </w:rPr>
        <w:t>d</w:t>
      </w:r>
      <w:r w:rsidR="00060C86" w:rsidRPr="005A3538">
        <w:rPr>
          <w:spacing w:val="-2"/>
          <w:kern w:val="22"/>
        </w:rPr>
        <w:t xml:space="preserve"> solely on the honesty and integrity of the exporter to ship the goods</w:t>
      </w:r>
      <w:r w:rsidR="00515D30" w:rsidRPr="005A3538">
        <w:rPr>
          <w:spacing w:val="-2"/>
          <w:kern w:val="22"/>
        </w:rPr>
        <w:t xml:space="preserve"> (</w:t>
      </w:r>
      <w:r w:rsidR="001976C1" w:rsidRPr="005A3538">
        <w:rPr>
          <w:spacing w:val="-2"/>
          <w:kern w:val="22"/>
        </w:rPr>
        <w:t xml:space="preserve">in the </w:t>
      </w:r>
      <w:r w:rsidR="00060C86" w:rsidRPr="005A3538">
        <w:rPr>
          <w:spacing w:val="-2"/>
          <w:kern w:val="22"/>
        </w:rPr>
        <w:t>right quantity and quality</w:t>
      </w:r>
      <w:r w:rsidR="00515D30" w:rsidRPr="005A3538">
        <w:rPr>
          <w:spacing w:val="-2"/>
          <w:kern w:val="22"/>
        </w:rPr>
        <w:t xml:space="preserve">) </w:t>
      </w:r>
      <w:r w:rsidR="00060C86" w:rsidRPr="005A3538">
        <w:rPr>
          <w:spacing w:val="-2"/>
          <w:kern w:val="22"/>
        </w:rPr>
        <w:t xml:space="preserve">and commercial documents </w:t>
      </w:r>
      <w:r w:rsidR="001976C1" w:rsidRPr="005A3538">
        <w:rPr>
          <w:spacing w:val="-2"/>
          <w:kern w:val="22"/>
        </w:rPr>
        <w:t>o</w:t>
      </w:r>
      <w:r w:rsidR="00060C86" w:rsidRPr="005A3538">
        <w:rPr>
          <w:spacing w:val="-2"/>
          <w:kern w:val="22"/>
        </w:rPr>
        <w:t>n time.</w:t>
      </w:r>
      <w:r w:rsidR="00260E0B" w:rsidRPr="000430B4">
        <w:rPr>
          <w:rStyle w:val="FootnoteReference"/>
        </w:rPr>
        <w:footnoteReference w:id="3"/>
      </w:r>
      <w:r w:rsidR="004836EF" w:rsidRPr="005A3538">
        <w:rPr>
          <w:spacing w:val="-2"/>
          <w:kern w:val="22"/>
        </w:rPr>
        <w:t xml:space="preserve"> </w:t>
      </w:r>
      <w:r w:rsidR="00CD6F14" w:rsidRPr="005A3538">
        <w:rPr>
          <w:spacing w:val="-2"/>
          <w:kern w:val="22"/>
        </w:rPr>
        <w:t>T</w:t>
      </w:r>
      <w:r w:rsidR="004836EF" w:rsidRPr="005A3538">
        <w:rPr>
          <w:spacing w:val="-2"/>
          <w:kern w:val="22"/>
        </w:rPr>
        <w:t>he importer b</w:t>
      </w:r>
      <w:r w:rsidR="00431303" w:rsidRPr="005A3538">
        <w:rPr>
          <w:spacing w:val="-2"/>
          <w:kern w:val="22"/>
        </w:rPr>
        <w:t>ore</w:t>
      </w:r>
      <w:r w:rsidR="004836EF" w:rsidRPr="005A3538">
        <w:rPr>
          <w:spacing w:val="-2"/>
          <w:kern w:val="22"/>
        </w:rPr>
        <w:t xml:space="preserve"> all the risks of non-performance by the exporter. Advance payments </w:t>
      </w:r>
      <w:r w:rsidR="00431303" w:rsidRPr="005A3538">
        <w:rPr>
          <w:spacing w:val="-2"/>
          <w:kern w:val="22"/>
        </w:rPr>
        <w:t>were</w:t>
      </w:r>
      <w:r w:rsidR="004836EF" w:rsidRPr="005A3538">
        <w:rPr>
          <w:spacing w:val="-2"/>
          <w:kern w:val="22"/>
        </w:rPr>
        <w:t xml:space="preserve"> usually adopted when the trading parties d</w:t>
      </w:r>
      <w:r w:rsidR="00431303" w:rsidRPr="005A3538">
        <w:rPr>
          <w:spacing w:val="-2"/>
          <w:kern w:val="22"/>
        </w:rPr>
        <w:t>id</w:t>
      </w:r>
      <w:r w:rsidR="004836EF" w:rsidRPr="005A3538">
        <w:rPr>
          <w:spacing w:val="-2"/>
          <w:kern w:val="22"/>
        </w:rPr>
        <w:t xml:space="preserve"> not yet have a long-term relationship or where the goods enjoy</w:t>
      </w:r>
      <w:r w:rsidR="00431303" w:rsidRPr="005A3538">
        <w:rPr>
          <w:spacing w:val="-2"/>
          <w:kern w:val="22"/>
        </w:rPr>
        <w:t>ed</w:t>
      </w:r>
      <w:r w:rsidR="004836EF" w:rsidRPr="005A3538">
        <w:rPr>
          <w:spacing w:val="-2"/>
          <w:kern w:val="22"/>
        </w:rPr>
        <w:t xml:space="preserve"> a seller’s market.</w:t>
      </w:r>
      <w:r w:rsidR="00060C86" w:rsidRPr="005A3538">
        <w:rPr>
          <w:spacing w:val="-2"/>
          <w:kern w:val="22"/>
        </w:rPr>
        <w:t xml:space="preserve"> This paym</w:t>
      </w:r>
      <w:r w:rsidR="00431303" w:rsidRPr="005A3538">
        <w:rPr>
          <w:spacing w:val="-2"/>
          <w:kern w:val="22"/>
        </w:rPr>
        <w:t>e</w:t>
      </w:r>
      <w:r w:rsidR="00060C86" w:rsidRPr="005A3538">
        <w:rPr>
          <w:spacing w:val="-2"/>
          <w:kern w:val="22"/>
        </w:rPr>
        <w:t xml:space="preserve">nt mechanism </w:t>
      </w:r>
      <w:r w:rsidR="00431303" w:rsidRPr="005A3538">
        <w:rPr>
          <w:spacing w:val="-2"/>
          <w:kern w:val="22"/>
        </w:rPr>
        <w:t>was</w:t>
      </w:r>
      <w:r w:rsidR="00060C86" w:rsidRPr="005A3538">
        <w:rPr>
          <w:spacing w:val="-2"/>
          <w:kern w:val="22"/>
        </w:rPr>
        <w:t xml:space="preserve"> skewed in favour of the exporter.</w:t>
      </w:r>
    </w:p>
    <w:p w14:paraId="23FC7652" w14:textId="77777777" w:rsidR="004836EF" w:rsidRPr="005A3538" w:rsidRDefault="004836EF" w:rsidP="00AC67AE">
      <w:pPr>
        <w:pStyle w:val="BodyTextMain"/>
      </w:pPr>
    </w:p>
    <w:p w14:paraId="50814ABC" w14:textId="77777777" w:rsidR="00EA6770" w:rsidRPr="005A3538" w:rsidRDefault="00EA6770" w:rsidP="00AC67AE">
      <w:pPr>
        <w:pStyle w:val="BodyTextMain"/>
      </w:pPr>
    </w:p>
    <w:p w14:paraId="4DEB72AD" w14:textId="009A1CE1" w:rsidR="00EA6770" w:rsidRPr="005A3538" w:rsidRDefault="00EA6770" w:rsidP="00FF3573">
      <w:pPr>
        <w:pStyle w:val="Casehead3"/>
        <w:outlineLvl w:val="0"/>
      </w:pPr>
      <w:r w:rsidRPr="005A3538">
        <w:t>Cash on Delivery</w:t>
      </w:r>
    </w:p>
    <w:p w14:paraId="47712F94" w14:textId="77777777" w:rsidR="00EA6770" w:rsidRPr="005A3538" w:rsidRDefault="00EA6770" w:rsidP="00AC67AE">
      <w:pPr>
        <w:pStyle w:val="BodyTextMain"/>
      </w:pPr>
    </w:p>
    <w:p w14:paraId="2753E7A1" w14:textId="0AB87BE0" w:rsidR="004836EF" w:rsidRPr="005A3538" w:rsidRDefault="00060C86" w:rsidP="00154223">
      <w:pPr>
        <w:pStyle w:val="BodyTextMain"/>
        <w:rPr>
          <w:spacing w:val="-2"/>
          <w:kern w:val="22"/>
        </w:rPr>
      </w:pPr>
      <w:r w:rsidRPr="005A3538">
        <w:rPr>
          <w:spacing w:val="-2"/>
          <w:kern w:val="22"/>
        </w:rPr>
        <w:t xml:space="preserve">For items of nominal value </w:t>
      </w:r>
      <w:r w:rsidR="004C6CEE" w:rsidRPr="005A3538">
        <w:rPr>
          <w:spacing w:val="-2"/>
          <w:kern w:val="22"/>
        </w:rPr>
        <w:t>such as</w:t>
      </w:r>
      <w:r w:rsidRPr="005A3538">
        <w:rPr>
          <w:spacing w:val="-2"/>
          <w:kern w:val="22"/>
        </w:rPr>
        <w:t xml:space="preserve"> books and personal care products, the trade term could be cash on deliver</w:t>
      </w:r>
      <w:r w:rsidR="001976C1" w:rsidRPr="005A3538">
        <w:rPr>
          <w:spacing w:val="-2"/>
          <w:kern w:val="22"/>
        </w:rPr>
        <w:t>y.</w:t>
      </w:r>
      <w:r w:rsidRPr="005A3538">
        <w:rPr>
          <w:spacing w:val="-2"/>
          <w:kern w:val="22"/>
        </w:rPr>
        <w:t xml:space="preserve"> The exporter first d</w:t>
      </w:r>
      <w:r w:rsidR="00BD273B" w:rsidRPr="005A3538">
        <w:rPr>
          <w:spacing w:val="-2"/>
          <w:kern w:val="22"/>
        </w:rPr>
        <w:t>i</w:t>
      </w:r>
      <w:r w:rsidRPr="005A3538">
        <w:rPr>
          <w:spacing w:val="-2"/>
          <w:kern w:val="22"/>
        </w:rPr>
        <w:t>spatche</w:t>
      </w:r>
      <w:r w:rsidR="001976C1" w:rsidRPr="005A3538">
        <w:rPr>
          <w:spacing w:val="-2"/>
          <w:kern w:val="22"/>
        </w:rPr>
        <w:t>d</w:t>
      </w:r>
      <w:r w:rsidRPr="005A3538">
        <w:rPr>
          <w:spacing w:val="-2"/>
          <w:kern w:val="22"/>
        </w:rPr>
        <w:t xml:space="preserve"> the goods</w:t>
      </w:r>
      <w:r w:rsidR="00C3190E" w:rsidRPr="005A3538">
        <w:rPr>
          <w:spacing w:val="-2"/>
          <w:kern w:val="22"/>
        </w:rPr>
        <w:t xml:space="preserve"> or </w:t>
      </w:r>
      <w:r w:rsidRPr="005A3538">
        <w:rPr>
          <w:spacing w:val="-2"/>
          <w:kern w:val="22"/>
        </w:rPr>
        <w:t xml:space="preserve">items without receiving </w:t>
      </w:r>
      <w:r w:rsidR="00154223" w:rsidRPr="005A3538">
        <w:rPr>
          <w:spacing w:val="-2"/>
          <w:kern w:val="22"/>
        </w:rPr>
        <w:t>any payment from the importer</w:t>
      </w:r>
      <w:r w:rsidR="001976C1" w:rsidRPr="005A3538">
        <w:rPr>
          <w:spacing w:val="-2"/>
          <w:kern w:val="22"/>
        </w:rPr>
        <w:t>,</w:t>
      </w:r>
      <w:r w:rsidR="00154223" w:rsidRPr="005A3538">
        <w:rPr>
          <w:spacing w:val="-2"/>
          <w:kern w:val="22"/>
        </w:rPr>
        <w:t xml:space="preserve"> and the importer pa</w:t>
      </w:r>
      <w:r w:rsidR="001976C1" w:rsidRPr="005A3538">
        <w:rPr>
          <w:spacing w:val="-2"/>
          <w:kern w:val="22"/>
        </w:rPr>
        <w:t>id</w:t>
      </w:r>
      <w:r w:rsidR="00154223" w:rsidRPr="005A3538">
        <w:rPr>
          <w:spacing w:val="-2"/>
          <w:kern w:val="22"/>
        </w:rPr>
        <w:t xml:space="preserve"> the postal</w:t>
      </w:r>
      <w:r w:rsidR="00FF38AF">
        <w:rPr>
          <w:spacing w:val="-2"/>
          <w:kern w:val="22"/>
        </w:rPr>
        <w:t xml:space="preserve"> or </w:t>
      </w:r>
      <w:r w:rsidR="00154223" w:rsidRPr="005A3538">
        <w:rPr>
          <w:spacing w:val="-2"/>
          <w:kern w:val="22"/>
        </w:rPr>
        <w:t>courier authorit</w:t>
      </w:r>
      <w:r w:rsidR="00FF38AF">
        <w:rPr>
          <w:spacing w:val="-2"/>
          <w:kern w:val="22"/>
        </w:rPr>
        <w:t>y</w:t>
      </w:r>
      <w:r w:rsidR="00154223" w:rsidRPr="005A3538">
        <w:rPr>
          <w:spacing w:val="-2"/>
          <w:kern w:val="22"/>
        </w:rPr>
        <w:t xml:space="preserve"> only on recei</w:t>
      </w:r>
      <w:r w:rsidR="00C3190E" w:rsidRPr="005A3538">
        <w:rPr>
          <w:spacing w:val="-2"/>
          <w:kern w:val="22"/>
        </w:rPr>
        <w:t>ving</w:t>
      </w:r>
      <w:r w:rsidR="00154223" w:rsidRPr="005A3538">
        <w:rPr>
          <w:spacing w:val="-2"/>
          <w:kern w:val="22"/>
        </w:rPr>
        <w:t xml:space="preserve"> the goods. This </w:t>
      </w:r>
      <w:r w:rsidR="001976C1" w:rsidRPr="005A3538">
        <w:rPr>
          <w:spacing w:val="-2"/>
          <w:kern w:val="22"/>
        </w:rPr>
        <w:t>was</w:t>
      </w:r>
      <w:r w:rsidR="00154223" w:rsidRPr="005A3538">
        <w:rPr>
          <w:spacing w:val="-2"/>
          <w:kern w:val="22"/>
        </w:rPr>
        <w:t xml:space="preserve"> not a prevalent method of payment for regular trade.</w:t>
      </w:r>
      <w:r w:rsidR="00260E0B" w:rsidRPr="000430B4">
        <w:rPr>
          <w:rStyle w:val="FootnoteReference"/>
        </w:rPr>
        <w:footnoteReference w:id="4"/>
      </w:r>
      <w:r w:rsidR="004836EF" w:rsidRPr="005A3538">
        <w:rPr>
          <w:spacing w:val="-2"/>
          <w:kern w:val="22"/>
        </w:rPr>
        <w:t xml:space="preserve"> Here</w:t>
      </w:r>
      <w:r w:rsidR="001976C1" w:rsidRPr="005A3538">
        <w:rPr>
          <w:spacing w:val="-2"/>
          <w:kern w:val="22"/>
        </w:rPr>
        <w:t>,</w:t>
      </w:r>
      <w:r w:rsidR="004836EF" w:rsidRPr="005A3538">
        <w:rPr>
          <w:spacing w:val="-2"/>
          <w:kern w:val="22"/>
        </w:rPr>
        <w:t xml:space="preserve"> the </w:t>
      </w:r>
      <w:r w:rsidR="00FF38AF">
        <w:rPr>
          <w:spacing w:val="-2"/>
          <w:kern w:val="22"/>
        </w:rPr>
        <w:t>exporter</w:t>
      </w:r>
      <w:r w:rsidR="00FF38AF" w:rsidRPr="005A3538">
        <w:rPr>
          <w:spacing w:val="-2"/>
          <w:kern w:val="22"/>
        </w:rPr>
        <w:t xml:space="preserve"> </w:t>
      </w:r>
      <w:r w:rsidR="004836EF" w:rsidRPr="005A3538">
        <w:rPr>
          <w:spacing w:val="-2"/>
          <w:kern w:val="22"/>
        </w:rPr>
        <w:t>b</w:t>
      </w:r>
      <w:r w:rsidR="001976C1" w:rsidRPr="005A3538">
        <w:rPr>
          <w:spacing w:val="-2"/>
          <w:kern w:val="22"/>
        </w:rPr>
        <w:t>ore the</w:t>
      </w:r>
      <w:r w:rsidR="004836EF" w:rsidRPr="005A3538">
        <w:rPr>
          <w:spacing w:val="-2"/>
          <w:kern w:val="22"/>
        </w:rPr>
        <w:t xml:space="preserve"> highest risk</w:t>
      </w:r>
      <w:r w:rsidR="001976C1" w:rsidRPr="005A3538">
        <w:rPr>
          <w:spacing w:val="-2"/>
          <w:kern w:val="22"/>
        </w:rPr>
        <w:t>,</w:t>
      </w:r>
      <w:r w:rsidR="004836EF" w:rsidRPr="005A3538">
        <w:rPr>
          <w:spacing w:val="-2"/>
          <w:kern w:val="22"/>
        </w:rPr>
        <w:t xml:space="preserve"> wh</w:t>
      </w:r>
      <w:r w:rsidR="001976C1" w:rsidRPr="005A3538">
        <w:rPr>
          <w:spacing w:val="-2"/>
          <w:kern w:val="22"/>
        </w:rPr>
        <w:t>ile</w:t>
      </w:r>
      <w:r w:rsidR="004836EF" w:rsidRPr="005A3538">
        <w:rPr>
          <w:spacing w:val="-2"/>
          <w:kern w:val="22"/>
        </w:rPr>
        <w:t xml:space="preserve"> the </w:t>
      </w:r>
      <w:r w:rsidR="00FF38AF">
        <w:rPr>
          <w:spacing w:val="-2"/>
          <w:kern w:val="22"/>
        </w:rPr>
        <w:t>importer</w:t>
      </w:r>
      <w:r w:rsidR="00FF38AF" w:rsidRPr="005A3538">
        <w:rPr>
          <w:spacing w:val="-2"/>
          <w:kern w:val="22"/>
        </w:rPr>
        <w:t xml:space="preserve"> </w:t>
      </w:r>
      <w:r w:rsidR="004836EF" w:rsidRPr="005A3538">
        <w:rPr>
          <w:spacing w:val="-2"/>
          <w:kern w:val="22"/>
        </w:rPr>
        <w:t>assume</w:t>
      </w:r>
      <w:r w:rsidR="001976C1" w:rsidRPr="005A3538">
        <w:rPr>
          <w:spacing w:val="-2"/>
          <w:kern w:val="22"/>
        </w:rPr>
        <w:t>d</w:t>
      </w:r>
      <w:r w:rsidR="004836EF" w:rsidRPr="005A3538">
        <w:rPr>
          <w:spacing w:val="-2"/>
          <w:kern w:val="22"/>
        </w:rPr>
        <w:t xml:space="preserve"> the least risk. </w:t>
      </w:r>
    </w:p>
    <w:p w14:paraId="58E9DC09" w14:textId="77777777" w:rsidR="004836EF" w:rsidRPr="005A3538" w:rsidRDefault="004836EF" w:rsidP="00AC67AE">
      <w:pPr>
        <w:pStyle w:val="BodyTextMain"/>
      </w:pPr>
    </w:p>
    <w:p w14:paraId="5C3B0ADE" w14:textId="77777777" w:rsidR="00EA6770" w:rsidRPr="005A3538" w:rsidRDefault="00EA6770" w:rsidP="00AC67AE">
      <w:pPr>
        <w:pStyle w:val="BodyTextMain"/>
      </w:pPr>
    </w:p>
    <w:p w14:paraId="34148826" w14:textId="77777777" w:rsidR="00EA6770" w:rsidRPr="005A3538" w:rsidRDefault="00EA6770" w:rsidP="00FF3573">
      <w:pPr>
        <w:pStyle w:val="Casehead3"/>
        <w:outlineLvl w:val="0"/>
      </w:pPr>
      <w:r w:rsidRPr="005A3538">
        <w:t>Open Account Sale</w:t>
      </w:r>
    </w:p>
    <w:p w14:paraId="35A35745" w14:textId="77777777" w:rsidR="00EA6770" w:rsidRPr="005A3538" w:rsidRDefault="00EA6770" w:rsidP="00AC67AE">
      <w:pPr>
        <w:pStyle w:val="BodyTextMain"/>
      </w:pPr>
    </w:p>
    <w:p w14:paraId="4419A54F" w14:textId="503EDB64" w:rsidR="00E00D7C" w:rsidRDefault="00FF38AF" w:rsidP="00EA6770">
      <w:pPr>
        <w:pStyle w:val="BodyTextMain"/>
      </w:pPr>
      <w:r>
        <w:t xml:space="preserve">In an open account sale, </w:t>
      </w:r>
      <w:r w:rsidR="0059276D" w:rsidRPr="005A3538">
        <w:t>the exporter</w:t>
      </w:r>
      <w:r w:rsidR="00376E43" w:rsidRPr="005A3538">
        <w:t xml:space="preserve"> </w:t>
      </w:r>
      <w:r w:rsidR="0059276D" w:rsidRPr="005A3538">
        <w:t>agreed to d</w:t>
      </w:r>
      <w:r w:rsidR="00BD273B" w:rsidRPr="005A3538">
        <w:t>i</w:t>
      </w:r>
      <w:r w:rsidR="00E315A3" w:rsidRPr="005A3538">
        <w:t>spatch the goods and shipping and commercial documents directly to the importer without involving the banking channel.</w:t>
      </w:r>
      <w:r w:rsidR="00723DD3" w:rsidRPr="000430B4">
        <w:rPr>
          <w:rStyle w:val="FootnoteReference"/>
        </w:rPr>
        <w:footnoteReference w:id="5"/>
      </w:r>
      <w:r w:rsidR="00E315A3" w:rsidRPr="005A3538">
        <w:t xml:space="preserve"> The importer t</w:t>
      </w:r>
      <w:r w:rsidR="00BD273B" w:rsidRPr="005A3538">
        <w:t>ook</w:t>
      </w:r>
      <w:r w:rsidR="00E315A3" w:rsidRPr="005A3538">
        <w:t xml:space="preserve"> delivery of the goods without making payment</w:t>
      </w:r>
      <w:r w:rsidR="00BD273B" w:rsidRPr="005A3538">
        <w:t>,</w:t>
      </w:r>
      <w:r w:rsidR="00E315A3" w:rsidRPr="005A3538">
        <w:t xml:space="preserve"> and </w:t>
      </w:r>
      <w:r>
        <w:t>according to</w:t>
      </w:r>
      <w:r w:rsidR="00E315A3" w:rsidRPr="005A3538">
        <w:t xml:space="preserve"> </w:t>
      </w:r>
      <w:r w:rsidR="00BD273B" w:rsidRPr="005A3538">
        <w:t xml:space="preserve">agreed </w:t>
      </w:r>
      <w:r w:rsidR="00E315A3" w:rsidRPr="005A3538">
        <w:t>trade term</w:t>
      </w:r>
      <w:r w:rsidR="00BD273B" w:rsidRPr="005A3538">
        <w:t>s, was</w:t>
      </w:r>
      <w:r w:rsidR="009302E5" w:rsidRPr="005A3538">
        <w:t xml:space="preserve"> expected to make payment at a pre</w:t>
      </w:r>
      <w:r>
        <w:t xml:space="preserve">viously </w:t>
      </w:r>
      <w:r w:rsidR="009302E5" w:rsidRPr="005A3538">
        <w:t>specified future date.</w:t>
      </w:r>
      <w:r w:rsidR="00723DD3" w:rsidRPr="000430B4">
        <w:rPr>
          <w:rStyle w:val="FootnoteReference"/>
        </w:rPr>
        <w:footnoteReference w:id="6"/>
      </w:r>
      <w:r w:rsidR="004836EF" w:rsidRPr="005A3538">
        <w:t xml:space="preserve"> This method of payment </w:t>
      </w:r>
      <w:r w:rsidR="00BD273B" w:rsidRPr="005A3538">
        <w:t>was</w:t>
      </w:r>
      <w:r w:rsidR="004836EF" w:rsidRPr="005A3538">
        <w:t xml:space="preserve"> adopted when the trading parties ha</w:t>
      </w:r>
      <w:r w:rsidR="00BD273B" w:rsidRPr="005A3538">
        <w:t>d</w:t>
      </w:r>
      <w:r w:rsidR="004836EF" w:rsidRPr="005A3538">
        <w:t xml:space="preserve"> a long-term relationship and </w:t>
      </w:r>
      <w:r>
        <w:t xml:space="preserve">shared </w:t>
      </w:r>
      <w:r w:rsidR="004836EF" w:rsidRPr="005A3538">
        <w:t>a high level of mutual trust</w:t>
      </w:r>
      <w:r w:rsidR="004C6CEE" w:rsidRPr="005A3538">
        <w:t>,</w:t>
      </w:r>
      <w:r w:rsidR="004836EF" w:rsidRPr="005A3538">
        <w:t xml:space="preserve"> or where the commodity command</w:t>
      </w:r>
      <w:r w:rsidR="00BD273B" w:rsidRPr="005A3538">
        <w:t>ed</w:t>
      </w:r>
      <w:r w:rsidR="004836EF" w:rsidRPr="005A3538">
        <w:t xml:space="preserve"> a buyer’s market. </w:t>
      </w:r>
      <w:r w:rsidR="004C6CEE" w:rsidRPr="005A3538">
        <w:t>T</w:t>
      </w:r>
      <w:r w:rsidR="004836EF" w:rsidRPr="005A3538">
        <w:t>he exporter b</w:t>
      </w:r>
      <w:r w:rsidR="00BD273B" w:rsidRPr="005A3538">
        <w:t>ore</w:t>
      </w:r>
      <w:r w:rsidR="004836EF" w:rsidRPr="005A3538">
        <w:t xml:space="preserve"> the entire risk</w:t>
      </w:r>
      <w:r w:rsidR="00E00D7C" w:rsidRPr="005A3538">
        <w:t>,</w:t>
      </w:r>
      <w:r w:rsidR="004836EF" w:rsidRPr="005A3538">
        <w:t xml:space="preserve"> </w:t>
      </w:r>
      <w:r>
        <w:t>and</w:t>
      </w:r>
      <w:r w:rsidRPr="005A3538">
        <w:t xml:space="preserve"> </w:t>
      </w:r>
      <w:r w:rsidR="004836EF" w:rsidRPr="005A3538">
        <w:t>the importer assume</w:t>
      </w:r>
      <w:r w:rsidR="00BD273B" w:rsidRPr="005A3538">
        <w:t>d</w:t>
      </w:r>
      <w:r w:rsidR="004836EF" w:rsidRPr="005A3538">
        <w:t xml:space="preserve"> lowest risk. </w:t>
      </w:r>
      <w:r w:rsidR="009302E5" w:rsidRPr="005A3538">
        <w:t>In many countries, t</w:t>
      </w:r>
      <w:r w:rsidR="004836EF" w:rsidRPr="005A3538">
        <w:t xml:space="preserve">he </w:t>
      </w:r>
      <w:r>
        <w:t xml:space="preserve">exporter’s </w:t>
      </w:r>
      <w:r w:rsidR="004836EF" w:rsidRPr="005A3538">
        <w:t xml:space="preserve">commercial or credit risk </w:t>
      </w:r>
      <w:r>
        <w:t>that the</w:t>
      </w:r>
      <w:r w:rsidR="009302E5" w:rsidRPr="005A3538">
        <w:t xml:space="preserve"> overseas buyers </w:t>
      </w:r>
      <w:r>
        <w:t xml:space="preserve">would not pay </w:t>
      </w:r>
      <w:r w:rsidR="009302E5" w:rsidRPr="005A3538">
        <w:t>under this payment method</w:t>
      </w:r>
      <w:r w:rsidR="004836EF" w:rsidRPr="005A3538">
        <w:t xml:space="preserve"> </w:t>
      </w:r>
      <w:r w:rsidR="00BD273B" w:rsidRPr="005A3538">
        <w:t>was</w:t>
      </w:r>
      <w:r w:rsidR="004836EF" w:rsidRPr="005A3538">
        <w:t xml:space="preserve"> minimi</w:t>
      </w:r>
      <w:r w:rsidR="00E60EF1" w:rsidRPr="005A3538">
        <w:t>z</w:t>
      </w:r>
      <w:r w:rsidR="004836EF" w:rsidRPr="005A3538">
        <w:t>ed to some extent</w:t>
      </w:r>
      <w:r w:rsidR="00E00D7C" w:rsidRPr="005A3538">
        <w:t>,</w:t>
      </w:r>
      <w:r w:rsidR="004836EF" w:rsidRPr="005A3538">
        <w:t xml:space="preserve"> </w:t>
      </w:r>
      <w:r w:rsidR="009302E5" w:rsidRPr="005A3538">
        <w:t xml:space="preserve">provided the exporters </w:t>
      </w:r>
      <w:r w:rsidR="00E00D7C" w:rsidRPr="005A3538">
        <w:t>bought</w:t>
      </w:r>
      <w:r w:rsidR="009302E5" w:rsidRPr="005A3538">
        <w:t xml:space="preserve"> exp</w:t>
      </w:r>
      <w:r w:rsidR="00D82AF1" w:rsidRPr="005A3538">
        <w:t>ort credit risk insurance policies</w:t>
      </w:r>
      <w:r w:rsidR="009302E5" w:rsidRPr="005A3538">
        <w:t xml:space="preserve"> offered by</w:t>
      </w:r>
      <w:r w:rsidR="00D82AF1" w:rsidRPr="005A3538">
        <w:t xml:space="preserve"> designated</w:t>
      </w:r>
      <w:r w:rsidR="009302E5" w:rsidRPr="005A3538">
        <w:t xml:space="preserve"> export credit risk insurance companies. </w:t>
      </w:r>
    </w:p>
    <w:p w14:paraId="3E5551AB" w14:textId="77777777" w:rsidR="005A3538" w:rsidRPr="005A3538" w:rsidRDefault="005A3538" w:rsidP="00AC67AE">
      <w:pPr>
        <w:pStyle w:val="BodyTextMain"/>
      </w:pPr>
    </w:p>
    <w:p w14:paraId="1774542B" w14:textId="671370BA" w:rsidR="008055D6" w:rsidRPr="005A3538" w:rsidRDefault="009302E5" w:rsidP="00EA6770">
      <w:pPr>
        <w:pStyle w:val="BodyTextMain"/>
      </w:pPr>
      <w:r w:rsidRPr="005A3538">
        <w:t xml:space="preserve">In India, </w:t>
      </w:r>
      <w:r w:rsidR="00BD273B" w:rsidRPr="005A3538">
        <w:t xml:space="preserve">the </w:t>
      </w:r>
      <w:r w:rsidRPr="005A3538">
        <w:t>Export Credit Guarantee Corporation of India</w:t>
      </w:r>
      <w:r w:rsidR="005D23EC" w:rsidRPr="005A3538">
        <w:t xml:space="preserve"> Limited</w:t>
      </w:r>
      <w:r w:rsidRPr="005A3538">
        <w:t xml:space="preserve"> (ECGC) </w:t>
      </w:r>
      <w:r w:rsidR="008055D6" w:rsidRPr="005A3538">
        <w:t>offer</w:t>
      </w:r>
      <w:r w:rsidR="00BD273B" w:rsidRPr="005A3538">
        <w:t>ed</w:t>
      </w:r>
      <w:r w:rsidR="008055D6" w:rsidRPr="005A3538">
        <w:t xml:space="preserve"> export credit risk insurance policies to exporters at reasonable rates. </w:t>
      </w:r>
      <w:r w:rsidR="00BD273B" w:rsidRPr="005A3538">
        <w:t xml:space="preserve">The </w:t>
      </w:r>
      <w:r w:rsidR="008055D6" w:rsidRPr="005A3538">
        <w:t>ECGC also provide</w:t>
      </w:r>
      <w:r w:rsidR="00BD273B" w:rsidRPr="005A3538">
        <w:t>d</w:t>
      </w:r>
      <w:r w:rsidR="008055D6" w:rsidRPr="005A3538">
        <w:t xml:space="preserve"> export credit guarantee covers to export financing banks. </w:t>
      </w:r>
      <w:r w:rsidR="00BD273B" w:rsidRPr="005A3538">
        <w:t>However,</w:t>
      </w:r>
      <w:r w:rsidR="008055D6" w:rsidRPr="005A3538">
        <w:t xml:space="preserve"> India’s exchange control regulations impose</w:t>
      </w:r>
      <w:r w:rsidR="00BD273B" w:rsidRPr="005A3538">
        <w:t>d</w:t>
      </w:r>
      <w:r w:rsidR="008055D6" w:rsidRPr="005A3538">
        <w:t xml:space="preserve"> </w:t>
      </w:r>
      <w:r w:rsidR="004C6CEE" w:rsidRPr="005A3538">
        <w:t>many</w:t>
      </w:r>
      <w:r w:rsidR="008055D6" w:rsidRPr="005A3538">
        <w:t xml:space="preserve"> restrictions and safeguards on open account export transactions.</w:t>
      </w:r>
      <w:r w:rsidR="00723DD3" w:rsidRPr="000430B4">
        <w:rPr>
          <w:rStyle w:val="FootnoteReference"/>
        </w:rPr>
        <w:footnoteReference w:id="7"/>
      </w:r>
    </w:p>
    <w:p w14:paraId="27595563" w14:textId="6FD87A91" w:rsidR="004836EF" w:rsidRPr="005A3538" w:rsidRDefault="004836EF" w:rsidP="00EA6770">
      <w:pPr>
        <w:pStyle w:val="BodyTextMain"/>
      </w:pPr>
    </w:p>
    <w:p w14:paraId="0663E5FE" w14:textId="77777777" w:rsidR="00E00D7C" w:rsidRPr="005A3538" w:rsidRDefault="00E00D7C" w:rsidP="00EA6770">
      <w:pPr>
        <w:pStyle w:val="BodyTextMain"/>
      </w:pPr>
    </w:p>
    <w:p w14:paraId="5AAAAAE1" w14:textId="77777777" w:rsidR="00EA6770" w:rsidRPr="005A3538" w:rsidRDefault="00EA6770" w:rsidP="00FF3573">
      <w:pPr>
        <w:pStyle w:val="Casehead3"/>
        <w:keepNext/>
        <w:outlineLvl w:val="0"/>
      </w:pPr>
      <w:r w:rsidRPr="005A3538">
        <w:lastRenderedPageBreak/>
        <w:t>Consignment Sale</w:t>
      </w:r>
    </w:p>
    <w:p w14:paraId="69C4AA0E" w14:textId="77777777" w:rsidR="00EA6770" w:rsidRPr="005A3538" w:rsidRDefault="00EA6770" w:rsidP="005A3538">
      <w:pPr>
        <w:pStyle w:val="BodyTextMain"/>
        <w:keepNext/>
      </w:pPr>
    </w:p>
    <w:p w14:paraId="292D7D19" w14:textId="55C5B0FA" w:rsidR="004836EF" w:rsidRPr="005A3538" w:rsidRDefault="004C6CEE" w:rsidP="004D4494">
      <w:pPr>
        <w:pStyle w:val="BodyTextMain"/>
      </w:pPr>
      <w:r w:rsidRPr="005A3538">
        <w:t>A c</w:t>
      </w:r>
      <w:r w:rsidR="007A53B6" w:rsidRPr="005A3538">
        <w:t xml:space="preserve">onsignment sale </w:t>
      </w:r>
      <w:r w:rsidR="00F64176" w:rsidRPr="005A3538">
        <w:t>was</w:t>
      </w:r>
      <w:r w:rsidR="007A53B6" w:rsidRPr="005A3538">
        <w:t xml:space="preserve"> distinct from </w:t>
      </w:r>
      <w:r w:rsidRPr="005A3538">
        <w:t xml:space="preserve">an </w:t>
      </w:r>
      <w:r w:rsidR="007A53B6" w:rsidRPr="005A3538">
        <w:t xml:space="preserve">outright sale. In </w:t>
      </w:r>
      <w:r w:rsidR="00F64176" w:rsidRPr="005A3538">
        <w:t xml:space="preserve">a </w:t>
      </w:r>
      <w:r w:rsidR="007A53B6" w:rsidRPr="005A3538">
        <w:t>consignment sale, the exporter d</w:t>
      </w:r>
      <w:r w:rsidR="00BD273B" w:rsidRPr="005A3538">
        <w:t>i</w:t>
      </w:r>
      <w:r w:rsidR="007A53B6" w:rsidRPr="005A3538">
        <w:t>spatche</w:t>
      </w:r>
      <w:r w:rsidR="00BD273B" w:rsidRPr="005A3538">
        <w:t>d</w:t>
      </w:r>
      <w:r w:rsidR="007A53B6" w:rsidRPr="005A3538">
        <w:t xml:space="preserve"> the goods to overseas selling agents. These agents t</w:t>
      </w:r>
      <w:r w:rsidR="00F64176" w:rsidRPr="005A3538">
        <w:t>ook</w:t>
      </w:r>
      <w:r w:rsidR="007A53B6" w:rsidRPr="005A3538">
        <w:t xml:space="preserve"> delivery of the goods </w:t>
      </w:r>
      <w:r w:rsidR="00F64176" w:rsidRPr="005A3538">
        <w:t>without</w:t>
      </w:r>
      <w:r w:rsidR="007A53B6" w:rsidRPr="005A3538">
        <w:t xml:space="preserve"> any payment upfront. The agents ma</w:t>
      </w:r>
      <w:r w:rsidR="00F64176" w:rsidRPr="005A3538">
        <w:t>de</w:t>
      </w:r>
      <w:r w:rsidR="007A53B6" w:rsidRPr="005A3538">
        <w:t xml:space="preserve"> their best efforts to </w:t>
      </w:r>
      <w:r w:rsidR="004D4494" w:rsidRPr="005A3538">
        <w:t>sell the goods on behalf of the exporter and remit</w:t>
      </w:r>
      <w:r w:rsidR="0021775B">
        <w:t>ted</w:t>
      </w:r>
      <w:r w:rsidR="004D4494" w:rsidRPr="005A3538">
        <w:t xml:space="preserve"> the</w:t>
      </w:r>
      <w:r w:rsidR="00D82AF1" w:rsidRPr="005A3538">
        <w:t xml:space="preserve"> sale proceeds to </w:t>
      </w:r>
      <w:r w:rsidR="00E00D7C" w:rsidRPr="005A3538">
        <w:t>the exporter</w:t>
      </w:r>
      <w:r w:rsidR="00D82AF1" w:rsidRPr="005A3538">
        <w:t xml:space="preserve"> when </w:t>
      </w:r>
      <w:r w:rsidR="0021775B">
        <w:t>they</w:t>
      </w:r>
      <w:r w:rsidR="004D4494" w:rsidRPr="005A3538">
        <w:t xml:space="preserve"> </w:t>
      </w:r>
      <w:r w:rsidR="00F64176" w:rsidRPr="005A3538">
        <w:t xml:space="preserve">were </w:t>
      </w:r>
      <w:r w:rsidR="004D4494" w:rsidRPr="005A3538">
        <w:t>collected. The goods remain</w:t>
      </w:r>
      <w:r w:rsidR="00F64176" w:rsidRPr="005A3538">
        <w:t>ed</w:t>
      </w:r>
      <w:r w:rsidR="004D4494" w:rsidRPr="005A3538">
        <w:t xml:space="preserve"> with the agent</w:t>
      </w:r>
      <w:r w:rsidR="00CF0643" w:rsidRPr="005A3538">
        <w:t xml:space="preserve">s at the risk of the exporter. </w:t>
      </w:r>
      <w:r w:rsidR="0021775B">
        <w:t>With</w:t>
      </w:r>
      <w:r w:rsidR="0021775B" w:rsidRPr="005A3538">
        <w:t xml:space="preserve"> </w:t>
      </w:r>
      <w:r w:rsidRPr="005A3538">
        <w:t>an o</w:t>
      </w:r>
      <w:r w:rsidR="004D4494" w:rsidRPr="005A3538">
        <w:t>pen account sale</w:t>
      </w:r>
      <w:r w:rsidR="0021775B">
        <w:t>—</w:t>
      </w:r>
      <w:r w:rsidR="004D4494" w:rsidRPr="005A3538">
        <w:t xml:space="preserve">an outright sale </w:t>
      </w:r>
      <w:r w:rsidR="00D82AF1" w:rsidRPr="005A3538">
        <w:t>to the importer</w:t>
      </w:r>
      <w:r w:rsidR="0021775B">
        <w:t>—</w:t>
      </w:r>
      <w:r w:rsidR="004D4494" w:rsidRPr="005A3538">
        <w:t>the importer b</w:t>
      </w:r>
      <w:r w:rsidR="00F64176" w:rsidRPr="005A3538">
        <w:t>ore</w:t>
      </w:r>
      <w:r w:rsidR="004D4494" w:rsidRPr="005A3538">
        <w:t xml:space="preserve"> the risk of bad debts</w:t>
      </w:r>
      <w:r w:rsidRPr="005A3538">
        <w:t xml:space="preserve">, </w:t>
      </w:r>
      <w:r w:rsidR="0021775B">
        <w:t xml:space="preserve">but </w:t>
      </w:r>
      <w:r w:rsidRPr="005A3538">
        <w:t>w</w:t>
      </w:r>
      <w:r w:rsidR="00E00D7C" w:rsidRPr="005A3538">
        <w:t>ith</w:t>
      </w:r>
      <w:r w:rsidR="004D4494" w:rsidRPr="005A3538">
        <w:t xml:space="preserve"> </w:t>
      </w:r>
      <w:r w:rsidR="00F64176" w:rsidRPr="005A3538">
        <w:t xml:space="preserve">a </w:t>
      </w:r>
      <w:r w:rsidR="004D4494" w:rsidRPr="005A3538">
        <w:t>consignment sale</w:t>
      </w:r>
      <w:r w:rsidR="00F64176" w:rsidRPr="005A3538">
        <w:t>,</w:t>
      </w:r>
      <w:r w:rsidR="004D4494" w:rsidRPr="005A3538">
        <w:t xml:space="preserve"> </w:t>
      </w:r>
      <w:r w:rsidR="00D82AF1" w:rsidRPr="005A3538">
        <w:t>the importer carrie</w:t>
      </w:r>
      <w:r w:rsidR="00F64176" w:rsidRPr="005A3538">
        <w:t>d</w:t>
      </w:r>
      <w:r w:rsidR="00D82AF1" w:rsidRPr="005A3538">
        <w:t xml:space="preserve"> out the sale on behalf of the exporter and </w:t>
      </w:r>
      <w:r w:rsidR="004D4494" w:rsidRPr="005A3538">
        <w:t xml:space="preserve">the bad debt risk </w:t>
      </w:r>
      <w:r w:rsidR="00F64176" w:rsidRPr="005A3538">
        <w:t>was</w:t>
      </w:r>
      <w:r w:rsidR="004D4494" w:rsidRPr="005A3538">
        <w:t xml:space="preserve"> borne </w:t>
      </w:r>
      <w:r w:rsidR="0021775B" w:rsidRPr="005A3538">
        <w:t xml:space="preserve">only </w:t>
      </w:r>
      <w:r w:rsidR="004D4494" w:rsidRPr="005A3538">
        <w:t>by the exporter.</w:t>
      </w:r>
      <w:r w:rsidR="00723DD3" w:rsidRPr="000430B4">
        <w:rPr>
          <w:rStyle w:val="FootnoteReference"/>
        </w:rPr>
        <w:footnoteReference w:id="8"/>
      </w:r>
      <w:r w:rsidR="004836EF" w:rsidRPr="005A3538">
        <w:t xml:space="preserve"> </w:t>
      </w:r>
      <w:r w:rsidR="008A4339">
        <w:t>T</w:t>
      </w:r>
      <w:r w:rsidR="008A4339" w:rsidRPr="005A3538">
        <w:t>he importer incurred no risk</w:t>
      </w:r>
      <w:r w:rsidR="008A4339">
        <w:t>.</w:t>
      </w:r>
      <w:r w:rsidR="008A4339" w:rsidRPr="005A3538">
        <w:t xml:space="preserve"> </w:t>
      </w:r>
      <w:r w:rsidR="004836EF" w:rsidRPr="005A3538">
        <w:t>Consignment sale</w:t>
      </w:r>
      <w:r w:rsidRPr="005A3538">
        <w:t>s</w:t>
      </w:r>
      <w:r w:rsidR="004836EF" w:rsidRPr="005A3538">
        <w:t xml:space="preserve"> </w:t>
      </w:r>
      <w:r w:rsidRPr="005A3538">
        <w:t>were</w:t>
      </w:r>
      <w:r w:rsidR="004836EF" w:rsidRPr="005A3538">
        <w:t xml:space="preserve"> not popular.</w:t>
      </w:r>
    </w:p>
    <w:p w14:paraId="51250285" w14:textId="77777777" w:rsidR="004836EF" w:rsidRPr="005A3538" w:rsidRDefault="004836EF" w:rsidP="00EA6770">
      <w:pPr>
        <w:pStyle w:val="BodyTextMain"/>
      </w:pPr>
    </w:p>
    <w:p w14:paraId="38BCDB24" w14:textId="77777777" w:rsidR="00EA6770" w:rsidRPr="005A3538" w:rsidRDefault="00EA6770" w:rsidP="00EA6770">
      <w:pPr>
        <w:pStyle w:val="BodyTextMain"/>
      </w:pPr>
    </w:p>
    <w:p w14:paraId="51198BC9" w14:textId="77777777" w:rsidR="00EA6770" w:rsidRPr="005A3538" w:rsidRDefault="004836EF" w:rsidP="00FF3573">
      <w:pPr>
        <w:pStyle w:val="Casehead2"/>
        <w:outlineLvl w:val="0"/>
      </w:pPr>
      <w:r w:rsidRPr="005A3538">
        <w:t>Bills for Colle</w:t>
      </w:r>
      <w:r w:rsidR="00EA6770" w:rsidRPr="005A3538">
        <w:t>ction or Documentary Collection</w:t>
      </w:r>
    </w:p>
    <w:p w14:paraId="16E85460" w14:textId="77777777" w:rsidR="00EA6770" w:rsidRPr="005A3538" w:rsidRDefault="00EA6770" w:rsidP="00811EA4">
      <w:pPr>
        <w:pStyle w:val="BodyTextMain"/>
      </w:pPr>
    </w:p>
    <w:p w14:paraId="52FD010B" w14:textId="042AE802" w:rsidR="00F42794" w:rsidRPr="00811EA4" w:rsidRDefault="00F42794" w:rsidP="00811EA4">
      <w:pPr>
        <w:pStyle w:val="BodyTextMain"/>
        <w:rPr>
          <w:spacing w:val="-2"/>
          <w:kern w:val="22"/>
        </w:rPr>
      </w:pPr>
      <w:r w:rsidRPr="00811EA4">
        <w:rPr>
          <w:spacing w:val="-2"/>
          <w:kern w:val="22"/>
        </w:rPr>
        <w:t xml:space="preserve">In all types of trade transactions except clean payment methods described earlier, a bill of exchange was drawn by the seller (exporter) on the buyer (importer). A bill of exchange (bill in short) was also known as ‘draft’ in international trade parlance. Depending on the payment instruction mentioned on the bill (also known as </w:t>
      </w:r>
      <w:r w:rsidR="00DE40B0" w:rsidRPr="00811EA4">
        <w:rPr>
          <w:spacing w:val="-2"/>
          <w:kern w:val="22"/>
        </w:rPr>
        <w:t xml:space="preserve">the </w:t>
      </w:r>
      <w:r w:rsidRPr="00811EA4">
        <w:rPr>
          <w:spacing w:val="-2"/>
          <w:kern w:val="22"/>
        </w:rPr>
        <w:t xml:space="preserve">tenor of the bill), there could be two types of bills: </w:t>
      </w:r>
      <w:r w:rsidR="00DE40B0" w:rsidRPr="00811EA4">
        <w:rPr>
          <w:spacing w:val="-2"/>
          <w:kern w:val="22"/>
        </w:rPr>
        <w:t xml:space="preserve">a </w:t>
      </w:r>
      <w:r w:rsidRPr="00811EA4">
        <w:rPr>
          <w:spacing w:val="-2"/>
          <w:kern w:val="22"/>
        </w:rPr>
        <w:t xml:space="preserve">demand bill (also called </w:t>
      </w:r>
      <w:r w:rsidR="00DE40B0" w:rsidRPr="00811EA4">
        <w:rPr>
          <w:spacing w:val="-2"/>
          <w:kern w:val="22"/>
        </w:rPr>
        <w:t xml:space="preserve">a </w:t>
      </w:r>
      <w:r w:rsidRPr="00811EA4">
        <w:rPr>
          <w:spacing w:val="-2"/>
          <w:kern w:val="22"/>
        </w:rPr>
        <w:t>sight bill)</w:t>
      </w:r>
      <w:r w:rsidR="00DE40B0" w:rsidRPr="00811EA4">
        <w:rPr>
          <w:spacing w:val="-2"/>
          <w:kern w:val="22"/>
        </w:rPr>
        <w:t>,</w:t>
      </w:r>
      <w:r w:rsidRPr="00811EA4">
        <w:rPr>
          <w:spacing w:val="-2"/>
          <w:kern w:val="22"/>
        </w:rPr>
        <w:t xml:space="preserve"> which was payable on demand or at sight or on presentation of documents; </w:t>
      </w:r>
      <w:r w:rsidR="00DE40B0" w:rsidRPr="00811EA4">
        <w:rPr>
          <w:spacing w:val="-2"/>
          <w:kern w:val="22"/>
        </w:rPr>
        <w:t>and a</w:t>
      </w:r>
      <w:r w:rsidRPr="00811EA4">
        <w:rPr>
          <w:spacing w:val="-2"/>
          <w:kern w:val="22"/>
        </w:rPr>
        <w:t xml:space="preserve"> </w:t>
      </w:r>
      <w:proofErr w:type="spellStart"/>
      <w:r w:rsidR="00DE40B0" w:rsidRPr="00811EA4">
        <w:rPr>
          <w:spacing w:val="-2"/>
          <w:kern w:val="22"/>
        </w:rPr>
        <w:t>u</w:t>
      </w:r>
      <w:r w:rsidRPr="00811EA4">
        <w:rPr>
          <w:spacing w:val="-2"/>
          <w:kern w:val="22"/>
        </w:rPr>
        <w:t>sance</w:t>
      </w:r>
      <w:proofErr w:type="spellEnd"/>
      <w:r w:rsidRPr="00811EA4">
        <w:rPr>
          <w:spacing w:val="-2"/>
          <w:kern w:val="22"/>
        </w:rPr>
        <w:t xml:space="preserve"> bill (also called </w:t>
      </w:r>
      <w:r w:rsidR="00DE40B0" w:rsidRPr="00811EA4">
        <w:rPr>
          <w:spacing w:val="-2"/>
          <w:kern w:val="22"/>
        </w:rPr>
        <w:t xml:space="preserve">a </w:t>
      </w:r>
      <w:r w:rsidRPr="00811EA4">
        <w:rPr>
          <w:spacing w:val="-2"/>
          <w:kern w:val="22"/>
        </w:rPr>
        <w:t>time or term bill)</w:t>
      </w:r>
      <w:r w:rsidR="00DE40B0" w:rsidRPr="00811EA4">
        <w:rPr>
          <w:spacing w:val="-2"/>
          <w:kern w:val="22"/>
        </w:rPr>
        <w:t>,</w:t>
      </w:r>
      <w:r w:rsidRPr="00811EA4">
        <w:rPr>
          <w:spacing w:val="-2"/>
          <w:kern w:val="22"/>
        </w:rPr>
        <w:t xml:space="preserve"> which was payable at a specified future date after a certain time period mentioned in the bill.</w:t>
      </w:r>
    </w:p>
    <w:p w14:paraId="03B1B1C2" w14:textId="77777777" w:rsidR="00F42794" w:rsidRDefault="00F42794" w:rsidP="00811EA4">
      <w:pPr>
        <w:pStyle w:val="BodyTextMain"/>
        <w:rPr>
          <w:spacing w:val="-2"/>
          <w:kern w:val="22"/>
        </w:rPr>
      </w:pPr>
    </w:p>
    <w:p w14:paraId="749613B4" w14:textId="764BAD0B" w:rsidR="00CD6F14" w:rsidRPr="005A3538" w:rsidRDefault="002F65FA" w:rsidP="00EA6770">
      <w:pPr>
        <w:pStyle w:val="BodyTextMain"/>
        <w:rPr>
          <w:spacing w:val="-2"/>
          <w:kern w:val="22"/>
        </w:rPr>
      </w:pPr>
      <w:r w:rsidRPr="005A3538">
        <w:rPr>
          <w:spacing w:val="-2"/>
          <w:kern w:val="22"/>
        </w:rPr>
        <w:t>With</w:t>
      </w:r>
      <w:r w:rsidR="004836EF" w:rsidRPr="005A3538">
        <w:rPr>
          <w:spacing w:val="-2"/>
          <w:kern w:val="22"/>
        </w:rPr>
        <w:t xml:space="preserve"> </w:t>
      </w:r>
      <w:r w:rsidR="008A4339">
        <w:rPr>
          <w:spacing w:val="-2"/>
          <w:kern w:val="22"/>
        </w:rPr>
        <w:t>bills for collection</w:t>
      </w:r>
      <w:r w:rsidR="004D4494" w:rsidRPr="005A3538">
        <w:rPr>
          <w:spacing w:val="-2"/>
          <w:kern w:val="22"/>
        </w:rPr>
        <w:t>, exporters and importers use</w:t>
      </w:r>
      <w:r w:rsidR="00431303" w:rsidRPr="005A3538">
        <w:rPr>
          <w:spacing w:val="-2"/>
          <w:kern w:val="22"/>
        </w:rPr>
        <w:t>d</w:t>
      </w:r>
      <w:r w:rsidR="004D4494" w:rsidRPr="005A3538">
        <w:rPr>
          <w:spacing w:val="-2"/>
          <w:kern w:val="22"/>
        </w:rPr>
        <w:t xml:space="preserve"> the services of their bank</w:t>
      </w:r>
      <w:r w:rsidR="00E26181" w:rsidRPr="005A3538">
        <w:rPr>
          <w:spacing w:val="-2"/>
          <w:kern w:val="22"/>
        </w:rPr>
        <w:t xml:space="preserve">ers </w:t>
      </w:r>
      <w:r w:rsidR="00F353C3" w:rsidRPr="005A3538">
        <w:rPr>
          <w:spacing w:val="-2"/>
          <w:kern w:val="22"/>
        </w:rPr>
        <w:t xml:space="preserve">to </w:t>
      </w:r>
      <w:r w:rsidR="00E26181" w:rsidRPr="005A3538">
        <w:rPr>
          <w:spacing w:val="-2"/>
          <w:kern w:val="22"/>
        </w:rPr>
        <w:t>move</w:t>
      </w:r>
      <w:r w:rsidR="00F353C3" w:rsidRPr="005A3538">
        <w:rPr>
          <w:spacing w:val="-2"/>
          <w:kern w:val="22"/>
        </w:rPr>
        <w:t xml:space="preserve"> d</w:t>
      </w:r>
      <w:r w:rsidR="00E26181" w:rsidRPr="005A3538">
        <w:rPr>
          <w:spacing w:val="-2"/>
          <w:kern w:val="22"/>
        </w:rPr>
        <w:t xml:space="preserve">ocuments </w:t>
      </w:r>
      <w:r w:rsidRPr="005A3538">
        <w:rPr>
          <w:spacing w:val="-2"/>
          <w:kern w:val="22"/>
        </w:rPr>
        <w:t xml:space="preserve">and </w:t>
      </w:r>
      <w:r w:rsidR="00F00970">
        <w:rPr>
          <w:spacing w:val="-2"/>
          <w:kern w:val="22"/>
        </w:rPr>
        <w:t xml:space="preserve">funds. The </w:t>
      </w:r>
      <w:r w:rsidR="004D4494" w:rsidRPr="005A3538">
        <w:rPr>
          <w:spacing w:val="-2"/>
          <w:kern w:val="22"/>
        </w:rPr>
        <w:t>exporter ship</w:t>
      </w:r>
      <w:r w:rsidRPr="005A3538">
        <w:rPr>
          <w:spacing w:val="-2"/>
          <w:kern w:val="22"/>
        </w:rPr>
        <w:t>ped</w:t>
      </w:r>
      <w:r w:rsidR="004D4494" w:rsidRPr="005A3538">
        <w:rPr>
          <w:spacing w:val="-2"/>
          <w:kern w:val="22"/>
        </w:rPr>
        <w:t xml:space="preserve"> </w:t>
      </w:r>
      <w:r w:rsidR="00F00970">
        <w:rPr>
          <w:spacing w:val="-2"/>
          <w:kern w:val="22"/>
        </w:rPr>
        <w:t xml:space="preserve">the goods to the overseas </w:t>
      </w:r>
      <w:r w:rsidR="004D4494" w:rsidRPr="005A3538">
        <w:rPr>
          <w:spacing w:val="-2"/>
          <w:kern w:val="22"/>
        </w:rPr>
        <w:t xml:space="preserve">importer using various modes of transport </w:t>
      </w:r>
      <w:r w:rsidRPr="005A3538">
        <w:rPr>
          <w:spacing w:val="-2"/>
          <w:kern w:val="22"/>
        </w:rPr>
        <w:t>such as</w:t>
      </w:r>
      <w:r w:rsidR="004D4494" w:rsidRPr="005A3538">
        <w:rPr>
          <w:spacing w:val="-2"/>
          <w:kern w:val="22"/>
        </w:rPr>
        <w:t xml:space="preserve"> ship or air, but rout</w:t>
      </w:r>
      <w:r w:rsidRPr="005A3538">
        <w:rPr>
          <w:spacing w:val="-2"/>
          <w:kern w:val="22"/>
        </w:rPr>
        <w:t>ed</w:t>
      </w:r>
      <w:r w:rsidR="004D4494" w:rsidRPr="005A3538">
        <w:rPr>
          <w:spacing w:val="-2"/>
          <w:kern w:val="22"/>
        </w:rPr>
        <w:t xml:space="preserve"> the </w:t>
      </w:r>
      <w:r w:rsidR="00E26181" w:rsidRPr="005A3538">
        <w:rPr>
          <w:spacing w:val="-2"/>
          <w:kern w:val="22"/>
        </w:rPr>
        <w:t xml:space="preserve">financial, </w:t>
      </w:r>
      <w:r w:rsidR="004D4494" w:rsidRPr="005A3538">
        <w:rPr>
          <w:spacing w:val="-2"/>
          <w:kern w:val="22"/>
        </w:rPr>
        <w:t>commercial</w:t>
      </w:r>
      <w:r w:rsidRPr="005A3538">
        <w:rPr>
          <w:spacing w:val="-2"/>
          <w:kern w:val="22"/>
        </w:rPr>
        <w:t>,</w:t>
      </w:r>
      <w:r w:rsidR="004D4494" w:rsidRPr="005A3538">
        <w:rPr>
          <w:spacing w:val="-2"/>
          <w:kern w:val="22"/>
        </w:rPr>
        <w:t xml:space="preserve"> and transport documents through banking channel</w:t>
      </w:r>
      <w:r w:rsidRPr="005A3538">
        <w:rPr>
          <w:spacing w:val="-2"/>
          <w:kern w:val="22"/>
        </w:rPr>
        <w:t>s</w:t>
      </w:r>
      <w:r w:rsidR="004D4494" w:rsidRPr="005A3538">
        <w:rPr>
          <w:spacing w:val="-2"/>
          <w:kern w:val="22"/>
        </w:rPr>
        <w:t xml:space="preserve"> for collection.</w:t>
      </w:r>
      <w:r w:rsidR="00723DD3" w:rsidRPr="000430B4">
        <w:rPr>
          <w:rStyle w:val="FootnoteReference"/>
        </w:rPr>
        <w:footnoteReference w:id="9"/>
      </w:r>
      <w:r w:rsidR="004836EF" w:rsidRPr="005A3538">
        <w:rPr>
          <w:spacing w:val="-2"/>
          <w:kern w:val="22"/>
        </w:rPr>
        <w:t xml:space="preserve"> </w:t>
      </w:r>
      <w:r w:rsidR="00CD6F14" w:rsidRPr="005A3538">
        <w:rPr>
          <w:spacing w:val="-2"/>
          <w:kern w:val="22"/>
        </w:rPr>
        <w:t>T</w:t>
      </w:r>
      <w:r w:rsidR="0046515E" w:rsidRPr="005A3538">
        <w:rPr>
          <w:spacing w:val="-2"/>
          <w:kern w:val="22"/>
        </w:rPr>
        <w:t xml:space="preserve">he transport documents, also known as the documents of title to goods, </w:t>
      </w:r>
      <w:r w:rsidR="005A49AA" w:rsidRPr="005A3538">
        <w:rPr>
          <w:spacing w:val="-2"/>
          <w:kern w:val="22"/>
        </w:rPr>
        <w:t>such as</w:t>
      </w:r>
      <w:r w:rsidR="004D4494" w:rsidRPr="005A3538">
        <w:rPr>
          <w:spacing w:val="-2"/>
          <w:kern w:val="22"/>
        </w:rPr>
        <w:t xml:space="preserve"> </w:t>
      </w:r>
      <w:r w:rsidRPr="005A3538">
        <w:rPr>
          <w:spacing w:val="-2"/>
          <w:kern w:val="22"/>
        </w:rPr>
        <w:t xml:space="preserve">a </w:t>
      </w:r>
      <w:r w:rsidR="004D4494" w:rsidRPr="005A3538">
        <w:rPr>
          <w:spacing w:val="-2"/>
          <w:kern w:val="22"/>
        </w:rPr>
        <w:t xml:space="preserve">bill of lading or airway bill, </w:t>
      </w:r>
      <w:r w:rsidRPr="005A3538">
        <w:rPr>
          <w:spacing w:val="-2"/>
          <w:kern w:val="22"/>
        </w:rPr>
        <w:t xml:space="preserve">were </w:t>
      </w:r>
      <w:r w:rsidR="0046515E" w:rsidRPr="005A3538">
        <w:rPr>
          <w:spacing w:val="-2"/>
          <w:kern w:val="22"/>
        </w:rPr>
        <w:t xml:space="preserve">consigned either to the collecting banker or the exporter. </w:t>
      </w:r>
      <w:r w:rsidRPr="005A3538">
        <w:rPr>
          <w:spacing w:val="-2"/>
          <w:kern w:val="22"/>
        </w:rPr>
        <w:t>The e</w:t>
      </w:r>
      <w:r w:rsidR="004836EF" w:rsidRPr="005A3538">
        <w:rPr>
          <w:spacing w:val="-2"/>
          <w:kern w:val="22"/>
        </w:rPr>
        <w:t xml:space="preserve">xporter </w:t>
      </w:r>
      <w:r w:rsidR="00D4012C" w:rsidRPr="005A3538">
        <w:rPr>
          <w:spacing w:val="-2"/>
          <w:kern w:val="22"/>
        </w:rPr>
        <w:t>also g</w:t>
      </w:r>
      <w:r w:rsidRPr="005A3538">
        <w:rPr>
          <w:spacing w:val="-2"/>
          <w:kern w:val="22"/>
        </w:rPr>
        <w:t>ave</w:t>
      </w:r>
      <w:r w:rsidR="00D4012C" w:rsidRPr="005A3538">
        <w:rPr>
          <w:spacing w:val="-2"/>
          <w:kern w:val="22"/>
        </w:rPr>
        <w:t xml:space="preserve"> the collecting banks instructions regarding </w:t>
      </w:r>
      <w:r w:rsidRPr="005A3538">
        <w:rPr>
          <w:spacing w:val="-2"/>
          <w:kern w:val="22"/>
        </w:rPr>
        <w:t xml:space="preserve">the </w:t>
      </w:r>
      <w:r w:rsidR="00D4012C" w:rsidRPr="005A3538">
        <w:rPr>
          <w:spacing w:val="-2"/>
          <w:kern w:val="22"/>
        </w:rPr>
        <w:t>delivery of the documents to the importer</w:t>
      </w:r>
      <w:r w:rsidR="008A4339">
        <w:rPr>
          <w:spacing w:val="-2"/>
          <w:kern w:val="22"/>
        </w:rPr>
        <w:t>, also known as a</w:t>
      </w:r>
      <w:r w:rsidR="008A4339" w:rsidRPr="008A4339">
        <w:rPr>
          <w:spacing w:val="-2"/>
          <w:kern w:val="22"/>
        </w:rPr>
        <w:t xml:space="preserve"> </w:t>
      </w:r>
      <w:r w:rsidR="008A4339" w:rsidRPr="005A3538">
        <w:rPr>
          <w:spacing w:val="-2"/>
          <w:kern w:val="22"/>
        </w:rPr>
        <w:t xml:space="preserve">drawee </w:t>
      </w:r>
      <w:r w:rsidR="008A4339">
        <w:rPr>
          <w:spacing w:val="-2"/>
          <w:kern w:val="22"/>
        </w:rPr>
        <w:t>in this situation</w:t>
      </w:r>
      <w:r w:rsidR="00D4012C" w:rsidRPr="005A3538">
        <w:rPr>
          <w:spacing w:val="-2"/>
          <w:kern w:val="22"/>
        </w:rPr>
        <w:t>.</w:t>
      </w:r>
      <w:r w:rsidR="00723DD3" w:rsidRPr="000430B4">
        <w:rPr>
          <w:rStyle w:val="FootnoteReference"/>
        </w:rPr>
        <w:footnoteReference w:id="10"/>
      </w:r>
      <w:r w:rsidR="004836EF" w:rsidRPr="005A3538">
        <w:rPr>
          <w:spacing w:val="-2"/>
          <w:kern w:val="22"/>
        </w:rPr>
        <w:t xml:space="preserve"> </w:t>
      </w:r>
    </w:p>
    <w:p w14:paraId="68199461" w14:textId="77777777" w:rsidR="00CD6F14" w:rsidRPr="005A3538" w:rsidRDefault="00CD6F14" w:rsidP="00EA6770">
      <w:pPr>
        <w:pStyle w:val="BodyTextMain"/>
      </w:pPr>
    </w:p>
    <w:p w14:paraId="2130DDDA" w14:textId="672D6B6A" w:rsidR="005A3538" w:rsidRDefault="004836EF" w:rsidP="00CF0643">
      <w:pPr>
        <w:pStyle w:val="BodyTextMain"/>
      </w:pPr>
      <w:r w:rsidRPr="005A3538">
        <w:t xml:space="preserve">There </w:t>
      </w:r>
      <w:r w:rsidR="008F5B95" w:rsidRPr="005A3538">
        <w:t>were</w:t>
      </w:r>
      <w:r w:rsidRPr="005A3538">
        <w:t xml:space="preserve"> two types of documentary collection transactions</w:t>
      </w:r>
      <w:r w:rsidR="008A4339">
        <w:t>: documents against payment and documents against acceptance</w:t>
      </w:r>
      <w:r w:rsidR="008F5B95" w:rsidRPr="005A3538">
        <w:t>.</w:t>
      </w:r>
      <w:r w:rsidR="00F1113A">
        <w:t xml:space="preserve"> </w:t>
      </w:r>
    </w:p>
    <w:p w14:paraId="6B1A52D2" w14:textId="77777777" w:rsidR="00811EA4" w:rsidRDefault="00811EA4" w:rsidP="00CF0643">
      <w:pPr>
        <w:pStyle w:val="BodyTextMain"/>
      </w:pPr>
    </w:p>
    <w:p w14:paraId="6BE83441" w14:textId="77777777" w:rsidR="00811EA4" w:rsidRPr="005A3538" w:rsidRDefault="00811EA4" w:rsidP="00CF0643">
      <w:pPr>
        <w:pStyle w:val="BodyTextMain"/>
      </w:pPr>
    </w:p>
    <w:p w14:paraId="2AE23F0F" w14:textId="532730D5" w:rsidR="00EA6770" w:rsidRPr="005A3538" w:rsidRDefault="00EA6770" w:rsidP="00FF3573">
      <w:pPr>
        <w:pStyle w:val="Casehead3"/>
        <w:outlineLvl w:val="0"/>
      </w:pPr>
      <w:r w:rsidRPr="005A3538">
        <w:t>Documents against Payment</w:t>
      </w:r>
    </w:p>
    <w:p w14:paraId="5D9C6C2A" w14:textId="77777777" w:rsidR="00EA6770" w:rsidRPr="00811EA4" w:rsidRDefault="00EA6770" w:rsidP="00811EA4">
      <w:pPr>
        <w:pStyle w:val="BodyTextMain"/>
      </w:pPr>
    </w:p>
    <w:p w14:paraId="799B934D" w14:textId="77777777" w:rsidR="001E2E99" w:rsidRPr="00811EA4" w:rsidRDefault="008A4339" w:rsidP="00811EA4">
      <w:pPr>
        <w:pStyle w:val="BodyTextMain"/>
      </w:pPr>
      <w:r w:rsidRPr="00811EA4">
        <w:t>With documents against payment</w:t>
      </w:r>
      <w:r w:rsidR="004836EF" w:rsidRPr="00811EA4">
        <w:t xml:space="preserve">, the documents </w:t>
      </w:r>
      <w:r w:rsidR="002F65FA" w:rsidRPr="00811EA4">
        <w:t>were</w:t>
      </w:r>
      <w:r w:rsidR="004836EF" w:rsidRPr="00811EA4">
        <w:t xml:space="preserve"> released by the collecting banker to the importer </w:t>
      </w:r>
      <w:r w:rsidRPr="00811EA4">
        <w:t>when the importer paid</w:t>
      </w:r>
      <w:r w:rsidR="004836EF" w:rsidRPr="00811EA4">
        <w:t xml:space="preserve"> for the shipment.</w:t>
      </w:r>
      <w:r w:rsidR="002F65FA" w:rsidRPr="00811EA4">
        <w:t xml:space="preserve"> If</w:t>
      </w:r>
      <w:r w:rsidR="004836EF" w:rsidRPr="00811EA4">
        <w:t xml:space="preserve"> the export documents include</w:t>
      </w:r>
      <w:r w:rsidR="002F65FA" w:rsidRPr="00811EA4">
        <w:t>d</w:t>
      </w:r>
      <w:r w:rsidR="004836EF" w:rsidRPr="00811EA4">
        <w:t xml:space="preserve"> the document of title to goods </w:t>
      </w:r>
      <w:r w:rsidR="005A49AA" w:rsidRPr="00811EA4">
        <w:t>such as</w:t>
      </w:r>
      <w:r w:rsidR="004836EF" w:rsidRPr="00811EA4">
        <w:t xml:space="preserve"> </w:t>
      </w:r>
      <w:r w:rsidR="002F65FA" w:rsidRPr="00811EA4">
        <w:t xml:space="preserve">a </w:t>
      </w:r>
      <w:r w:rsidR="004836EF" w:rsidRPr="00811EA4">
        <w:t>bill of</w:t>
      </w:r>
      <w:r w:rsidR="00CF0643" w:rsidRPr="00811EA4">
        <w:t xml:space="preserve"> lading or airway bill</w:t>
      </w:r>
      <w:r w:rsidR="004836EF" w:rsidRPr="00811EA4">
        <w:t>, the exporter retain</w:t>
      </w:r>
      <w:r w:rsidR="002F65FA" w:rsidRPr="00811EA4">
        <w:t xml:space="preserve">ed </w:t>
      </w:r>
      <w:r w:rsidR="004836EF" w:rsidRPr="00811EA4">
        <w:t xml:space="preserve">constructive control over the goods </w:t>
      </w:r>
      <w:r w:rsidR="002F65FA" w:rsidRPr="00811EA4">
        <w:t>until</w:t>
      </w:r>
      <w:r w:rsidR="004836EF" w:rsidRPr="00811EA4">
        <w:t xml:space="preserve"> payment </w:t>
      </w:r>
      <w:r w:rsidR="002F65FA" w:rsidRPr="00811EA4">
        <w:t>was</w:t>
      </w:r>
      <w:r w:rsidR="004836EF" w:rsidRPr="00811EA4">
        <w:t xml:space="preserve"> made.</w:t>
      </w:r>
      <w:r w:rsidR="001E2E99" w:rsidRPr="00811EA4">
        <w:t xml:space="preserve"> A demand (sight) bill used to accompany this payment method. </w:t>
      </w:r>
    </w:p>
    <w:p w14:paraId="154D26D6" w14:textId="6E5CCFC4" w:rsidR="004836EF" w:rsidRPr="00811EA4" w:rsidRDefault="004836EF" w:rsidP="00811EA4">
      <w:pPr>
        <w:pStyle w:val="BodyTextMain"/>
      </w:pPr>
    </w:p>
    <w:p w14:paraId="6ABBBA07" w14:textId="77777777" w:rsidR="005A3538" w:rsidRPr="005A3538" w:rsidRDefault="005A3538" w:rsidP="00EA6770">
      <w:pPr>
        <w:pStyle w:val="BodyTextMain"/>
      </w:pPr>
    </w:p>
    <w:p w14:paraId="41B80D1D" w14:textId="72B32681" w:rsidR="00EA6770" w:rsidRPr="005A3538" w:rsidRDefault="004836EF" w:rsidP="00FF3573">
      <w:pPr>
        <w:pStyle w:val="Casehead3"/>
        <w:outlineLvl w:val="0"/>
      </w:pPr>
      <w:r w:rsidRPr="005A3538">
        <w:t>Documents against Acceptance</w:t>
      </w:r>
    </w:p>
    <w:p w14:paraId="2CAACA7F" w14:textId="77777777" w:rsidR="00EA6770" w:rsidRPr="00811EA4" w:rsidRDefault="00EA6770" w:rsidP="00811EA4">
      <w:pPr>
        <w:pStyle w:val="BodyTextMain"/>
      </w:pPr>
    </w:p>
    <w:p w14:paraId="025B8021" w14:textId="24DE7964" w:rsidR="001E2E99" w:rsidRDefault="00730EF5" w:rsidP="00811EA4">
      <w:pPr>
        <w:pStyle w:val="BodyTextMain"/>
      </w:pPr>
      <w:r w:rsidRPr="00811EA4">
        <w:t>With documents against acceptance</w:t>
      </w:r>
      <w:r w:rsidR="004836EF" w:rsidRPr="00811EA4">
        <w:t>, the documents</w:t>
      </w:r>
      <w:r w:rsidR="002767B5" w:rsidRPr="00811EA4">
        <w:t xml:space="preserve"> were</w:t>
      </w:r>
      <w:r w:rsidR="004836EF" w:rsidRPr="00811EA4">
        <w:t xml:space="preserve"> released by the collecting banker to the importer on obtaining </w:t>
      </w:r>
      <w:r w:rsidR="00AF1125" w:rsidRPr="00811EA4">
        <w:t xml:space="preserve">the importer’s </w:t>
      </w:r>
      <w:r w:rsidR="004836EF" w:rsidRPr="00811EA4">
        <w:t>acceptance o</w:t>
      </w:r>
      <w:r w:rsidR="00AF1125" w:rsidRPr="00811EA4">
        <w:t>f</w:t>
      </w:r>
      <w:r w:rsidR="004836EF" w:rsidRPr="00811EA4">
        <w:t xml:space="preserve"> </w:t>
      </w:r>
      <w:r w:rsidR="004E7A65" w:rsidRPr="00811EA4">
        <w:t xml:space="preserve">the </w:t>
      </w:r>
      <w:r w:rsidR="004836EF" w:rsidRPr="00811EA4">
        <w:t xml:space="preserve">term </w:t>
      </w:r>
      <w:r w:rsidR="004E7A65" w:rsidRPr="00811EA4">
        <w:t xml:space="preserve">for payment, known as the </w:t>
      </w:r>
      <w:proofErr w:type="spellStart"/>
      <w:r w:rsidR="004E7A65" w:rsidRPr="00811EA4">
        <w:t>usance</w:t>
      </w:r>
      <w:proofErr w:type="spellEnd"/>
      <w:r w:rsidR="004E7A65" w:rsidRPr="00811EA4">
        <w:t xml:space="preserve">, specified in a </w:t>
      </w:r>
      <w:r w:rsidR="004836EF" w:rsidRPr="00811EA4">
        <w:t xml:space="preserve">bill of exchange. The </w:t>
      </w:r>
      <w:r w:rsidR="00AF1125" w:rsidRPr="00811EA4">
        <w:t xml:space="preserve">importer’s </w:t>
      </w:r>
      <w:r w:rsidR="004836EF" w:rsidRPr="00811EA4">
        <w:t xml:space="preserve">acceptance </w:t>
      </w:r>
      <w:r w:rsidR="008067B7" w:rsidRPr="00811EA4">
        <w:t>was</w:t>
      </w:r>
      <w:r w:rsidR="004836EF" w:rsidRPr="00811EA4">
        <w:t xml:space="preserve"> a commitment to</w:t>
      </w:r>
      <w:r w:rsidR="00456E31" w:rsidRPr="00811EA4">
        <w:t xml:space="preserve"> </w:t>
      </w:r>
      <w:r w:rsidR="004836EF" w:rsidRPr="00811EA4">
        <w:t>pay for the shipment on the due date. This form of collection d</w:t>
      </w:r>
      <w:r w:rsidR="008067B7" w:rsidRPr="00811EA4">
        <w:t>id</w:t>
      </w:r>
      <w:r w:rsidR="004836EF" w:rsidRPr="00811EA4">
        <w:t xml:space="preserve"> not allow </w:t>
      </w:r>
      <w:r w:rsidR="001503D5" w:rsidRPr="00811EA4">
        <w:t xml:space="preserve">the exporter to have </w:t>
      </w:r>
      <w:r w:rsidR="004836EF" w:rsidRPr="00811EA4">
        <w:t xml:space="preserve">constructive control over the goods after the documents </w:t>
      </w:r>
      <w:r w:rsidR="00AF1125" w:rsidRPr="00811EA4">
        <w:t>were</w:t>
      </w:r>
      <w:r w:rsidR="004836EF" w:rsidRPr="00811EA4">
        <w:t xml:space="preserve"> released</w:t>
      </w:r>
      <w:r w:rsidR="00456E31" w:rsidRPr="00811EA4">
        <w:t xml:space="preserve">; however, </w:t>
      </w:r>
      <w:r w:rsidR="004836EF" w:rsidRPr="00811EA4">
        <w:t xml:space="preserve">the accepted bill of exchange </w:t>
      </w:r>
      <w:r w:rsidR="001503D5" w:rsidRPr="00811EA4">
        <w:t>gave the exporter</w:t>
      </w:r>
      <w:r w:rsidR="004836EF" w:rsidRPr="00811EA4">
        <w:t xml:space="preserve"> legal recourse against the importer </w:t>
      </w:r>
      <w:r w:rsidR="004836EF" w:rsidRPr="00811EA4">
        <w:lastRenderedPageBreak/>
        <w:t xml:space="preserve">in the event </w:t>
      </w:r>
      <w:r w:rsidR="001503D5" w:rsidRPr="00811EA4">
        <w:t xml:space="preserve">the importer did not pay </w:t>
      </w:r>
      <w:r w:rsidR="004836EF" w:rsidRPr="00811EA4">
        <w:t xml:space="preserve">on the due date. The exporter </w:t>
      </w:r>
      <w:r w:rsidR="008067B7" w:rsidRPr="00811EA4">
        <w:t>could</w:t>
      </w:r>
      <w:r w:rsidR="004836EF" w:rsidRPr="00811EA4">
        <w:t xml:space="preserve"> also </w:t>
      </w:r>
      <w:r w:rsidR="001F4690" w:rsidRPr="00811EA4">
        <w:t>obtain</w:t>
      </w:r>
      <w:r w:rsidR="004836EF" w:rsidRPr="00811EA4">
        <w:t xml:space="preserve"> post-shipment finance against the accepted bill of exchange.</w:t>
      </w:r>
      <w:r w:rsidR="001E2E99" w:rsidRPr="00811EA4">
        <w:t xml:space="preserve"> A </w:t>
      </w:r>
      <w:proofErr w:type="spellStart"/>
      <w:r w:rsidR="001E2E99" w:rsidRPr="00811EA4">
        <w:t>usance</w:t>
      </w:r>
      <w:proofErr w:type="spellEnd"/>
      <w:r w:rsidR="001E2E99" w:rsidRPr="00811EA4">
        <w:t xml:space="preserve"> (time</w:t>
      </w:r>
      <w:r w:rsidR="00953D4A" w:rsidRPr="00811EA4">
        <w:t xml:space="preserve"> or term</w:t>
      </w:r>
      <w:r w:rsidR="001E2E99" w:rsidRPr="00811EA4">
        <w:t xml:space="preserve">) bill used to accompany this payment method. </w:t>
      </w:r>
    </w:p>
    <w:p w14:paraId="46298618" w14:textId="77777777" w:rsidR="00811EA4" w:rsidRDefault="00811EA4" w:rsidP="00811EA4">
      <w:pPr>
        <w:pStyle w:val="BodyTextMain"/>
      </w:pPr>
    </w:p>
    <w:p w14:paraId="420A1086" w14:textId="77777777" w:rsidR="00811EA4" w:rsidRPr="00811EA4" w:rsidRDefault="00811EA4" w:rsidP="00811EA4">
      <w:pPr>
        <w:pStyle w:val="BodyTextMain"/>
      </w:pPr>
    </w:p>
    <w:p w14:paraId="5632629E" w14:textId="491F8ED8" w:rsidR="00EA6770" w:rsidRPr="005A3538" w:rsidRDefault="004836EF" w:rsidP="00B958F3">
      <w:pPr>
        <w:pStyle w:val="Casehead1"/>
      </w:pPr>
      <w:r w:rsidRPr="005A3538">
        <w:t xml:space="preserve">Documentary </w:t>
      </w:r>
      <w:r w:rsidR="00EA6770" w:rsidRPr="005A3538">
        <w:t>Credit or Letter of Credit</w:t>
      </w:r>
    </w:p>
    <w:p w14:paraId="6375DA00" w14:textId="77777777" w:rsidR="00EA6770" w:rsidRPr="005A3538" w:rsidRDefault="00EA6770" w:rsidP="00EA6770">
      <w:pPr>
        <w:pStyle w:val="BodyTextMain"/>
      </w:pPr>
    </w:p>
    <w:p w14:paraId="4D80B9C2" w14:textId="52C91B71" w:rsidR="00A456ED" w:rsidRPr="005A3538" w:rsidRDefault="00D4012C" w:rsidP="00EA6770">
      <w:pPr>
        <w:pStyle w:val="BodyTextMain"/>
        <w:rPr>
          <w:spacing w:val="-4"/>
          <w:kern w:val="22"/>
        </w:rPr>
      </w:pPr>
      <w:r w:rsidRPr="005A3538">
        <w:rPr>
          <w:spacing w:val="-4"/>
          <w:kern w:val="22"/>
        </w:rPr>
        <w:t xml:space="preserve">In any </w:t>
      </w:r>
      <w:r w:rsidR="00A456ED" w:rsidRPr="005A3538">
        <w:rPr>
          <w:spacing w:val="-4"/>
          <w:kern w:val="22"/>
        </w:rPr>
        <w:t xml:space="preserve">conventional </w:t>
      </w:r>
      <w:r w:rsidR="00DA6D23" w:rsidRPr="005A3538">
        <w:rPr>
          <w:spacing w:val="-4"/>
          <w:kern w:val="22"/>
        </w:rPr>
        <w:t xml:space="preserve">domestic or </w:t>
      </w:r>
      <w:r w:rsidRPr="005A3538">
        <w:rPr>
          <w:spacing w:val="-4"/>
          <w:kern w:val="22"/>
        </w:rPr>
        <w:t>international trade transaction</w:t>
      </w:r>
      <w:r w:rsidR="00F00970">
        <w:rPr>
          <w:spacing w:val="-4"/>
          <w:kern w:val="22"/>
        </w:rPr>
        <w:t xml:space="preserve">, the </w:t>
      </w:r>
      <w:r w:rsidR="00DA6D23" w:rsidRPr="005A3538">
        <w:rPr>
          <w:spacing w:val="-4"/>
          <w:kern w:val="22"/>
        </w:rPr>
        <w:t>exporter dr</w:t>
      </w:r>
      <w:r w:rsidR="00704267" w:rsidRPr="005A3538">
        <w:rPr>
          <w:spacing w:val="-4"/>
          <w:kern w:val="22"/>
        </w:rPr>
        <w:t xml:space="preserve">ew </w:t>
      </w:r>
      <w:r w:rsidR="00DA6D23" w:rsidRPr="005A3538">
        <w:rPr>
          <w:spacing w:val="-4"/>
          <w:kern w:val="22"/>
        </w:rPr>
        <w:t xml:space="preserve">a bill of exchange (also known as </w:t>
      </w:r>
      <w:r w:rsidR="00B252A0" w:rsidRPr="005A3538">
        <w:rPr>
          <w:spacing w:val="-4"/>
          <w:kern w:val="22"/>
        </w:rPr>
        <w:t xml:space="preserve">a </w:t>
      </w:r>
      <w:r w:rsidR="00F00970">
        <w:rPr>
          <w:spacing w:val="-4"/>
          <w:kern w:val="22"/>
        </w:rPr>
        <w:t xml:space="preserve">draft) on the </w:t>
      </w:r>
      <w:r w:rsidR="00DA6D23" w:rsidRPr="005A3538">
        <w:rPr>
          <w:spacing w:val="-4"/>
          <w:kern w:val="22"/>
        </w:rPr>
        <w:t>importer</w:t>
      </w:r>
      <w:r w:rsidR="00B252A0" w:rsidRPr="005A3538">
        <w:rPr>
          <w:spacing w:val="-4"/>
          <w:kern w:val="22"/>
        </w:rPr>
        <w:t>,</w:t>
      </w:r>
      <w:r w:rsidR="00DA6D23" w:rsidRPr="005A3538">
        <w:rPr>
          <w:spacing w:val="-4"/>
          <w:kern w:val="22"/>
        </w:rPr>
        <w:t xml:space="preserve"> and the importer </w:t>
      </w:r>
      <w:r w:rsidR="00704267" w:rsidRPr="005A3538">
        <w:rPr>
          <w:spacing w:val="-4"/>
          <w:kern w:val="22"/>
        </w:rPr>
        <w:t>was</w:t>
      </w:r>
      <w:r w:rsidR="00DA6D23" w:rsidRPr="005A3538">
        <w:rPr>
          <w:spacing w:val="-4"/>
          <w:kern w:val="22"/>
        </w:rPr>
        <w:t xml:space="preserve"> obliged to make payment on the due date </w:t>
      </w:r>
      <w:r w:rsidR="001503D5">
        <w:rPr>
          <w:spacing w:val="-4"/>
          <w:kern w:val="22"/>
        </w:rPr>
        <w:t>according to</w:t>
      </w:r>
      <w:r w:rsidR="00957489" w:rsidRPr="005A3538">
        <w:rPr>
          <w:spacing w:val="-4"/>
          <w:kern w:val="22"/>
        </w:rPr>
        <w:t xml:space="preserve"> the agreed payment term. In the process</w:t>
      </w:r>
      <w:r w:rsidR="00704267" w:rsidRPr="005A3538">
        <w:rPr>
          <w:spacing w:val="-4"/>
          <w:kern w:val="22"/>
        </w:rPr>
        <w:t>,</w:t>
      </w:r>
      <w:r w:rsidR="00957489" w:rsidRPr="005A3538">
        <w:rPr>
          <w:spacing w:val="-4"/>
          <w:kern w:val="22"/>
        </w:rPr>
        <w:t xml:space="preserve"> many uncertainties c</w:t>
      </w:r>
      <w:r w:rsidR="00704267" w:rsidRPr="005A3538">
        <w:rPr>
          <w:spacing w:val="-4"/>
          <w:kern w:val="22"/>
        </w:rPr>
        <w:t>ould</w:t>
      </w:r>
      <w:r w:rsidR="00957489" w:rsidRPr="005A3538">
        <w:rPr>
          <w:spacing w:val="-4"/>
          <w:kern w:val="22"/>
        </w:rPr>
        <w:t xml:space="preserve"> occur. The biggest risk faced </w:t>
      </w:r>
      <w:r w:rsidR="00EA5D65" w:rsidRPr="005A3538">
        <w:rPr>
          <w:spacing w:val="-4"/>
          <w:kern w:val="22"/>
        </w:rPr>
        <w:t xml:space="preserve">by the </w:t>
      </w:r>
      <w:r w:rsidR="00957489" w:rsidRPr="005A3538">
        <w:rPr>
          <w:spacing w:val="-4"/>
          <w:kern w:val="22"/>
        </w:rPr>
        <w:t xml:space="preserve">exporter </w:t>
      </w:r>
      <w:r w:rsidR="00704267" w:rsidRPr="005A3538">
        <w:rPr>
          <w:spacing w:val="-4"/>
          <w:kern w:val="22"/>
        </w:rPr>
        <w:t>was</w:t>
      </w:r>
      <w:r w:rsidR="00957489" w:rsidRPr="005A3538">
        <w:rPr>
          <w:spacing w:val="-4"/>
          <w:kern w:val="22"/>
        </w:rPr>
        <w:t xml:space="preserve"> the risk </w:t>
      </w:r>
      <w:r w:rsidR="001503D5">
        <w:rPr>
          <w:spacing w:val="-4"/>
          <w:kern w:val="22"/>
        </w:rPr>
        <w:t xml:space="preserve">that the importer would </w:t>
      </w:r>
      <w:r w:rsidR="00957489" w:rsidRPr="005A3538">
        <w:rPr>
          <w:spacing w:val="-4"/>
          <w:kern w:val="22"/>
        </w:rPr>
        <w:t>repudiat</w:t>
      </w:r>
      <w:r w:rsidR="001503D5">
        <w:rPr>
          <w:spacing w:val="-4"/>
          <w:kern w:val="22"/>
        </w:rPr>
        <w:t>e</w:t>
      </w:r>
      <w:r w:rsidR="00957489" w:rsidRPr="005A3538">
        <w:rPr>
          <w:spacing w:val="-4"/>
          <w:kern w:val="22"/>
        </w:rPr>
        <w:t xml:space="preserve"> </w:t>
      </w:r>
      <w:r w:rsidR="001503D5">
        <w:rPr>
          <w:spacing w:val="-4"/>
          <w:kern w:val="22"/>
        </w:rPr>
        <w:t>the</w:t>
      </w:r>
      <w:r w:rsidR="001503D5" w:rsidRPr="005A3538">
        <w:rPr>
          <w:spacing w:val="-4"/>
          <w:kern w:val="22"/>
        </w:rPr>
        <w:t xml:space="preserve"> </w:t>
      </w:r>
      <w:r w:rsidR="00957489" w:rsidRPr="005A3538">
        <w:rPr>
          <w:spacing w:val="-4"/>
          <w:kern w:val="22"/>
        </w:rPr>
        <w:t>contract</w:t>
      </w:r>
      <w:r w:rsidR="001503D5">
        <w:rPr>
          <w:spacing w:val="-4"/>
          <w:kern w:val="22"/>
        </w:rPr>
        <w:t xml:space="preserve">—known as a </w:t>
      </w:r>
      <w:r w:rsidR="00957489" w:rsidRPr="005A3538">
        <w:rPr>
          <w:spacing w:val="-4"/>
          <w:kern w:val="22"/>
        </w:rPr>
        <w:t>commercial risk (or contract and credit ris</w:t>
      </w:r>
      <w:r w:rsidR="00EA5D65" w:rsidRPr="005A3538">
        <w:rPr>
          <w:spacing w:val="-4"/>
          <w:kern w:val="22"/>
        </w:rPr>
        <w:t>k</w:t>
      </w:r>
      <w:r w:rsidR="00957489" w:rsidRPr="005A3538">
        <w:rPr>
          <w:spacing w:val="-4"/>
          <w:kern w:val="22"/>
        </w:rPr>
        <w:t>).</w:t>
      </w:r>
      <w:r w:rsidR="00157332" w:rsidRPr="000430B4">
        <w:rPr>
          <w:rStyle w:val="FootnoteReference"/>
        </w:rPr>
        <w:footnoteReference w:id="11"/>
      </w:r>
      <w:r w:rsidR="00957489" w:rsidRPr="005A3538">
        <w:rPr>
          <w:spacing w:val="-4"/>
          <w:kern w:val="22"/>
        </w:rPr>
        <w:t xml:space="preserve"> There </w:t>
      </w:r>
      <w:r w:rsidR="00704267" w:rsidRPr="005A3538">
        <w:rPr>
          <w:spacing w:val="-4"/>
          <w:kern w:val="22"/>
        </w:rPr>
        <w:t>were</w:t>
      </w:r>
      <w:r w:rsidR="00957489" w:rsidRPr="005A3538">
        <w:rPr>
          <w:spacing w:val="-4"/>
          <w:kern w:val="22"/>
        </w:rPr>
        <w:t xml:space="preserve"> many dimensions to </w:t>
      </w:r>
      <w:r w:rsidR="004C6CEE" w:rsidRPr="005A3538">
        <w:rPr>
          <w:spacing w:val="-4"/>
          <w:kern w:val="22"/>
        </w:rPr>
        <w:t>this risk</w:t>
      </w:r>
      <w:r w:rsidR="00957489" w:rsidRPr="005A3538">
        <w:rPr>
          <w:spacing w:val="-4"/>
          <w:kern w:val="22"/>
        </w:rPr>
        <w:t>.</w:t>
      </w:r>
      <w:r w:rsidR="004836EF" w:rsidRPr="005A3538">
        <w:rPr>
          <w:spacing w:val="-4"/>
          <w:kern w:val="22"/>
        </w:rPr>
        <w:t xml:space="preserve"> The exporter </w:t>
      </w:r>
      <w:r w:rsidR="00704267" w:rsidRPr="005A3538">
        <w:rPr>
          <w:spacing w:val="-4"/>
          <w:kern w:val="22"/>
        </w:rPr>
        <w:t>was</w:t>
      </w:r>
      <w:r w:rsidR="004836EF" w:rsidRPr="005A3538">
        <w:rPr>
          <w:spacing w:val="-4"/>
          <w:kern w:val="22"/>
        </w:rPr>
        <w:t xml:space="preserve"> exposed to the risk that the importer m</w:t>
      </w:r>
      <w:r w:rsidR="00704267" w:rsidRPr="005A3538">
        <w:rPr>
          <w:spacing w:val="-4"/>
          <w:kern w:val="22"/>
        </w:rPr>
        <w:t>ight</w:t>
      </w:r>
      <w:r w:rsidR="004836EF" w:rsidRPr="005A3538">
        <w:rPr>
          <w:spacing w:val="-4"/>
          <w:kern w:val="22"/>
        </w:rPr>
        <w:t xml:space="preserve"> not accept the goods or </w:t>
      </w:r>
      <w:r w:rsidR="001503D5">
        <w:rPr>
          <w:spacing w:val="-4"/>
          <w:kern w:val="22"/>
        </w:rPr>
        <w:t xml:space="preserve">might </w:t>
      </w:r>
      <w:r w:rsidR="004836EF" w:rsidRPr="005A3538">
        <w:rPr>
          <w:spacing w:val="-4"/>
          <w:kern w:val="22"/>
        </w:rPr>
        <w:t>fail to make payment for the goods received. Alternatively, the importer m</w:t>
      </w:r>
      <w:r w:rsidR="00704267" w:rsidRPr="005A3538">
        <w:rPr>
          <w:spacing w:val="-4"/>
          <w:kern w:val="22"/>
        </w:rPr>
        <w:t>ight</w:t>
      </w:r>
      <w:r w:rsidR="004836EF" w:rsidRPr="005A3538">
        <w:rPr>
          <w:spacing w:val="-4"/>
          <w:kern w:val="22"/>
        </w:rPr>
        <w:t xml:space="preserve"> go bankrupt and </w:t>
      </w:r>
      <w:r w:rsidR="00704267" w:rsidRPr="005A3538">
        <w:rPr>
          <w:spacing w:val="-4"/>
          <w:kern w:val="22"/>
        </w:rPr>
        <w:t xml:space="preserve">be </w:t>
      </w:r>
      <w:r w:rsidR="004836EF" w:rsidRPr="005A3538">
        <w:rPr>
          <w:spacing w:val="-4"/>
          <w:kern w:val="22"/>
        </w:rPr>
        <w:t xml:space="preserve">unable to pay for the goods received. </w:t>
      </w:r>
    </w:p>
    <w:p w14:paraId="1BA8D61C" w14:textId="77777777" w:rsidR="00A456ED" w:rsidRPr="005A3538" w:rsidRDefault="00A456ED" w:rsidP="00EA6770">
      <w:pPr>
        <w:pStyle w:val="BodyTextMain"/>
      </w:pPr>
    </w:p>
    <w:p w14:paraId="605CFD90" w14:textId="1AF5874B" w:rsidR="00BD6055" w:rsidRPr="005A3538" w:rsidRDefault="00A456ED" w:rsidP="00697879">
      <w:pPr>
        <w:pStyle w:val="BodyTextMain"/>
      </w:pPr>
      <w:r w:rsidRPr="005A3538">
        <w:t>In international trade</w:t>
      </w:r>
      <w:r w:rsidR="00EA5D65" w:rsidRPr="005A3538">
        <w:t>,</w:t>
      </w:r>
      <w:r w:rsidRPr="005A3538">
        <w:t xml:space="preserve"> exporters and importers </w:t>
      </w:r>
      <w:r w:rsidR="009A74EE" w:rsidRPr="005A3538">
        <w:t xml:space="preserve">were </w:t>
      </w:r>
      <w:r w:rsidRPr="005A3538">
        <w:t>tho</w:t>
      </w:r>
      <w:r w:rsidR="002D115D" w:rsidRPr="005A3538">
        <w:t>u</w:t>
      </w:r>
      <w:r w:rsidRPr="005A3538">
        <w:t>s</w:t>
      </w:r>
      <w:r w:rsidR="002D115D" w:rsidRPr="005A3538">
        <w:t>ands of miles apart and d</w:t>
      </w:r>
      <w:r w:rsidR="009A74EE" w:rsidRPr="005A3538">
        <w:t>id</w:t>
      </w:r>
      <w:r w:rsidR="002D115D" w:rsidRPr="005A3538">
        <w:t xml:space="preserve"> not k</w:t>
      </w:r>
      <w:r w:rsidRPr="005A3538">
        <w:t>now each other. Both parties want</w:t>
      </w:r>
      <w:r w:rsidR="009A74EE" w:rsidRPr="005A3538">
        <w:t xml:space="preserve">ed </w:t>
      </w:r>
      <w:r w:rsidRPr="005A3538">
        <w:t xml:space="preserve">to </w:t>
      </w:r>
      <w:r w:rsidR="00530301">
        <w:t>avoid risk</w:t>
      </w:r>
      <w:r w:rsidRPr="005A3538">
        <w:t>. Exporter</w:t>
      </w:r>
      <w:r w:rsidR="009A74EE" w:rsidRPr="005A3538">
        <w:t>s were</w:t>
      </w:r>
      <w:r w:rsidR="00D85593" w:rsidRPr="005A3538">
        <w:t xml:space="preserve"> wary of </w:t>
      </w:r>
      <w:r w:rsidR="009A74EE" w:rsidRPr="005A3538">
        <w:t xml:space="preserve">the </w:t>
      </w:r>
      <w:r w:rsidR="00D85593" w:rsidRPr="005A3538">
        <w:t xml:space="preserve">risk </w:t>
      </w:r>
      <w:r w:rsidR="00530301">
        <w:t>that</w:t>
      </w:r>
      <w:r w:rsidR="00530301" w:rsidRPr="005A3538">
        <w:t xml:space="preserve"> </w:t>
      </w:r>
      <w:r w:rsidR="00D85593" w:rsidRPr="005A3538">
        <w:t>importer</w:t>
      </w:r>
      <w:r w:rsidR="009A74EE" w:rsidRPr="005A3538">
        <w:t>s</w:t>
      </w:r>
      <w:r w:rsidR="00D85593" w:rsidRPr="005A3538">
        <w:t xml:space="preserve"> </w:t>
      </w:r>
      <w:r w:rsidR="00530301">
        <w:t>would not pay,</w:t>
      </w:r>
      <w:r w:rsidR="00530301" w:rsidRPr="005A3538">
        <w:t xml:space="preserve"> </w:t>
      </w:r>
      <w:r w:rsidR="00D85593" w:rsidRPr="005A3538">
        <w:t>so</w:t>
      </w:r>
      <w:r w:rsidR="00530301">
        <w:t xml:space="preserve"> they</w:t>
      </w:r>
      <w:r w:rsidR="00D85593" w:rsidRPr="005A3538">
        <w:t xml:space="preserve"> </w:t>
      </w:r>
      <w:r w:rsidRPr="005A3538">
        <w:t>like</w:t>
      </w:r>
      <w:r w:rsidR="009A74EE" w:rsidRPr="005A3538">
        <w:t>d</w:t>
      </w:r>
      <w:r w:rsidRPr="005A3538">
        <w:t xml:space="preserve"> to receive payment before part</w:t>
      </w:r>
      <w:r w:rsidR="009A74EE" w:rsidRPr="005A3538">
        <w:t>ing</w:t>
      </w:r>
      <w:r w:rsidRPr="005A3538">
        <w:t xml:space="preserve"> with the goods. Importer</w:t>
      </w:r>
      <w:r w:rsidR="009A74EE" w:rsidRPr="005A3538">
        <w:t>s</w:t>
      </w:r>
      <w:r w:rsidR="00D85593" w:rsidRPr="005A3538">
        <w:t xml:space="preserve"> worried about the risk </w:t>
      </w:r>
      <w:r w:rsidR="00530301">
        <w:t>that</w:t>
      </w:r>
      <w:r w:rsidR="00530301" w:rsidRPr="005A3538">
        <w:t xml:space="preserve"> </w:t>
      </w:r>
      <w:r w:rsidR="00D85593" w:rsidRPr="005A3538">
        <w:t>exporter</w:t>
      </w:r>
      <w:r w:rsidR="009A74EE" w:rsidRPr="005A3538">
        <w:t>s</w:t>
      </w:r>
      <w:r w:rsidR="00D85593" w:rsidRPr="005A3538">
        <w:t xml:space="preserve"> </w:t>
      </w:r>
      <w:r w:rsidR="00530301">
        <w:t xml:space="preserve">would not </w:t>
      </w:r>
      <w:r w:rsidR="00530301" w:rsidRPr="005A3538">
        <w:t>perform</w:t>
      </w:r>
      <w:r w:rsidR="00530301">
        <w:t xml:space="preserve">, so </w:t>
      </w:r>
      <w:r w:rsidRPr="005A3538">
        <w:t>want</w:t>
      </w:r>
      <w:r w:rsidR="009A74EE" w:rsidRPr="005A3538">
        <w:t>ed</w:t>
      </w:r>
      <w:r w:rsidRPr="005A3538">
        <w:t xml:space="preserve"> to receive the goods before part</w:t>
      </w:r>
      <w:r w:rsidR="009A74EE" w:rsidRPr="005A3538">
        <w:t xml:space="preserve">ing </w:t>
      </w:r>
      <w:r w:rsidRPr="005A3538">
        <w:t>with the</w:t>
      </w:r>
      <w:r w:rsidR="00530301">
        <w:t>ir</w:t>
      </w:r>
      <w:r w:rsidRPr="005A3538">
        <w:t xml:space="preserve"> money. </w:t>
      </w:r>
      <w:r w:rsidR="009A74EE" w:rsidRPr="005A3538">
        <w:t>However,</w:t>
      </w:r>
      <w:r w:rsidRPr="005A3538">
        <w:t xml:space="preserve"> </w:t>
      </w:r>
      <w:r w:rsidR="00D85593" w:rsidRPr="005A3538">
        <w:t>both of these ideal conditions c</w:t>
      </w:r>
      <w:r w:rsidR="009A74EE" w:rsidRPr="005A3538">
        <w:t>ould not</w:t>
      </w:r>
      <w:r w:rsidR="00D85593" w:rsidRPr="005A3538">
        <w:t xml:space="preserve"> be achieved simultaneously. </w:t>
      </w:r>
    </w:p>
    <w:p w14:paraId="2AEFC893" w14:textId="77777777" w:rsidR="00BD6055" w:rsidRPr="005A3538" w:rsidRDefault="00BD6055" w:rsidP="00697879">
      <w:pPr>
        <w:pStyle w:val="BodyTextMain"/>
      </w:pPr>
    </w:p>
    <w:p w14:paraId="61C3097A" w14:textId="666336C2" w:rsidR="00E3167D" w:rsidRPr="005A3538" w:rsidRDefault="00D85593" w:rsidP="00697879">
      <w:pPr>
        <w:pStyle w:val="BodyTextMain"/>
      </w:pPr>
      <w:r w:rsidRPr="005A3538">
        <w:t xml:space="preserve">In order to resolve the impasse and facilitate international trade, a secure and safer method of </w:t>
      </w:r>
      <w:r w:rsidR="00B252A0" w:rsidRPr="005A3538">
        <w:t xml:space="preserve">debt </w:t>
      </w:r>
      <w:r w:rsidRPr="005A3538">
        <w:t>settlement</w:t>
      </w:r>
      <w:r w:rsidR="00B252A0" w:rsidRPr="005A3538">
        <w:t xml:space="preserve"> </w:t>
      </w:r>
      <w:r w:rsidRPr="005A3538">
        <w:t xml:space="preserve">and </w:t>
      </w:r>
      <w:r w:rsidR="00B252A0" w:rsidRPr="005A3538">
        <w:t xml:space="preserve">contract </w:t>
      </w:r>
      <w:r w:rsidRPr="005A3538">
        <w:t>performance was devised</w:t>
      </w:r>
      <w:r w:rsidR="009A74EE" w:rsidRPr="005A3538">
        <w:t>,</w:t>
      </w:r>
      <w:r w:rsidRPr="005A3538">
        <w:t xml:space="preserve"> with commercial banks as intermediaries. </w:t>
      </w:r>
      <w:r w:rsidR="00B252A0" w:rsidRPr="005A3538">
        <w:t xml:space="preserve">It was known as a </w:t>
      </w:r>
      <w:r w:rsidR="009A74EE" w:rsidRPr="005A3538">
        <w:t>l</w:t>
      </w:r>
      <w:r w:rsidRPr="005A3538">
        <w:t xml:space="preserve">etter of credit </w:t>
      </w:r>
      <w:r w:rsidR="00B252A0" w:rsidRPr="005A3538">
        <w:t>(LC). The LC</w:t>
      </w:r>
      <w:r w:rsidR="00BD6055" w:rsidRPr="005A3538">
        <w:t xml:space="preserve"> </w:t>
      </w:r>
      <w:r w:rsidR="00B252A0" w:rsidRPr="005A3538">
        <w:t xml:space="preserve">method </w:t>
      </w:r>
      <w:r w:rsidR="00530301">
        <w:t>attempted</w:t>
      </w:r>
      <w:r w:rsidR="00530301" w:rsidRPr="005A3538">
        <w:t xml:space="preserve"> </w:t>
      </w:r>
      <w:r w:rsidRPr="005A3538">
        <w:t xml:space="preserve">to </w:t>
      </w:r>
      <w:r w:rsidR="00A02B76" w:rsidRPr="005A3538">
        <w:t>fulfil</w:t>
      </w:r>
      <w:r w:rsidRPr="005A3538">
        <w:t xml:space="preserve"> the needs of both parties to a large extent. </w:t>
      </w:r>
      <w:r w:rsidR="00F80303" w:rsidRPr="005A3538">
        <w:t xml:space="preserve">The </w:t>
      </w:r>
      <w:r w:rsidRPr="005A3538">
        <w:t xml:space="preserve">LC would </w:t>
      </w:r>
      <w:r w:rsidR="00F80303" w:rsidRPr="005A3538">
        <w:t xml:space="preserve">assure </w:t>
      </w:r>
      <w:r w:rsidRPr="005A3538">
        <w:t>exporter</w:t>
      </w:r>
      <w:r w:rsidR="00BD6055" w:rsidRPr="005A3538">
        <w:t>s</w:t>
      </w:r>
      <w:r w:rsidRPr="005A3538">
        <w:t xml:space="preserve"> that if </w:t>
      </w:r>
      <w:r w:rsidR="00BD6055" w:rsidRPr="005A3538">
        <w:t>they</w:t>
      </w:r>
      <w:r w:rsidRPr="005A3538">
        <w:t xml:space="preserve"> export</w:t>
      </w:r>
      <w:r w:rsidR="00F80303" w:rsidRPr="005A3538">
        <w:t>ed</w:t>
      </w:r>
      <w:r w:rsidRPr="005A3538">
        <w:t xml:space="preserve"> the goods</w:t>
      </w:r>
      <w:r w:rsidR="00530301">
        <w:t xml:space="preserve"> or </w:t>
      </w:r>
      <w:r w:rsidRPr="005A3538">
        <w:t>commodities a</w:t>
      </w:r>
      <w:r w:rsidR="00B252A0" w:rsidRPr="005A3538">
        <w:t>ccording to</w:t>
      </w:r>
      <w:r w:rsidRPr="005A3538">
        <w:t xml:space="preserve"> the </w:t>
      </w:r>
      <w:r w:rsidR="00ED305E" w:rsidRPr="005A3538">
        <w:t>contract terms with the importer</w:t>
      </w:r>
      <w:r w:rsidR="00530301">
        <w:t>s</w:t>
      </w:r>
      <w:r w:rsidR="00ED305E" w:rsidRPr="005A3538">
        <w:t xml:space="preserve"> and produce</w:t>
      </w:r>
      <w:r w:rsidR="00F80303" w:rsidRPr="005A3538">
        <w:t>d</w:t>
      </w:r>
      <w:r w:rsidR="00ED305E" w:rsidRPr="005A3538">
        <w:t xml:space="preserve"> documentary evidence to th</w:t>
      </w:r>
      <w:r w:rsidR="00F80303" w:rsidRPr="005A3538">
        <w:t>at</w:t>
      </w:r>
      <w:r w:rsidR="00ED305E" w:rsidRPr="005A3538">
        <w:t xml:space="preserve"> effect, </w:t>
      </w:r>
      <w:r w:rsidR="00BD6055" w:rsidRPr="005A3538">
        <w:t>the</w:t>
      </w:r>
      <w:r w:rsidR="00530301">
        <w:t xml:space="preserve"> exporters</w:t>
      </w:r>
      <w:r w:rsidR="00ED305E" w:rsidRPr="005A3538">
        <w:t xml:space="preserve"> would receive payment without default. </w:t>
      </w:r>
      <w:r w:rsidR="00F80303" w:rsidRPr="005A3538">
        <w:t>The L</w:t>
      </w:r>
      <w:r w:rsidR="00BD6055" w:rsidRPr="005A3538">
        <w:t>C w</w:t>
      </w:r>
      <w:r w:rsidR="00F80303" w:rsidRPr="005A3538">
        <w:t>as</w:t>
      </w:r>
      <w:r w:rsidR="00ED305E" w:rsidRPr="005A3538">
        <w:t xml:space="preserve"> </w:t>
      </w:r>
      <w:r w:rsidR="00D057B9">
        <w:t>“</w:t>
      </w:r>
      <w:r w:rsidR="00ED305E" w:rsidRPr="005A3538">
        <w:t>o</w:t>
      </w:r>
      <w:r w:rsidR="007E5132" w:rsidRPr="005A3538">
        <w:t>pened</w:t>
      </w:r>
      <w:r w:rsidR="00D057B9">
        <w:t>”</w:t>
      </w:r>
      <w:r w:rsidR="007E5132" w:rsidRPr="005A3538">
        <w:t xml:space="preserve"> </w:t>
      </w:r>
      <w:r w:rsidR="00D057B9">
        <w:t xml:space="preserve">(created) </w:t>
      </w:r>
      <w:r w:rsidR="007E5132" w:rsidRPr="005A3538">
        <w:t>by the importer’s bank a</w:t>
      </w:r>
      <w:r w:rsidR="00ED305E" w:rsidRPr="005A3538">
        <w:t xml:space="preserve">t the request of the importer. </w:t>
      </w:r>
    </w:p>
    <w:p w14:paraId="1045C73E" w14:textId="77777777" w:rsidR="00E3167D" w:rsidRPr="005A3538" w:rsidRDefault="00E3167D" w:rsidP="00697879">
      <w:pPr>
        <w:pStyle w:val="BodyTextMain"/>
      </w:pPr>
    </w:p>
    <w:p w14:paraId="6ABCA103" w14:textId="52349B14" w:rsidR="0046515E" w:rsidRPr="005A3538" w:rsidRDefault="00F80303" w:rsidP="00697879">
      <w:pPr>
        <w:pStyle w:val="BodyTextMain"/>
      </w:pPr>
      <w:r w:rsidRPr="005A3538">
        <w:t xml:space="preserve">The </w:t>
      </w:r>
      <w:r w:rsidR="00ED305E" w:rsidRPr="005A3538">
        <w:t xml:space="preserve">LC </w:t>
      </w:r>
      <w:r w:rsidRPr="005A3538">
        <w:t>was</w:t>
      </w:r>
      <w:r w:rsidR="00ED305E" w:rsidRPr="005A3538">
        <w:t xml:space="preserve"> a conditional undertaking of payment by the importer’s bank in favour of the exporter</w:t>
      </w:r>
      <w:r w:rsidR="00B252A0" w:rsidRPr="005A3538">
        <w:t>,</w:t>
      </w:r>
      <w:r w:rsidR="00ED305E" w:rsidRPr="005A3538">
        <w:t xml:space="preserve"> stating that if the exporter export</w:t>
      </w:r>
      <w:r w:rsidR="00BD6055" w:rsidRPr="005A3538">
        <w:t>ed</w:t>
      </w:r>
      <w:r w:rsidR="00ED305E" w:rsidRPr="005A3538">
        <w:t xml:space="preserve"> the goods and submit</w:t>
      </w:r>
      <w:r w:rsidR="00BD6055" w:rsidRPr="005A3538">
        <w:t xml:space="preserve">ted </w:t>
      </w:r>
      <w:r w:rsidR="00ED305E" w:rsidRPr="005A3538">
        <w:t>documents as specified in the LC</w:t>
      </w:r>
      <w:r w:rsidR="00BD6055" w:rsidRPr="005A3538">
        <w:t>,</w:t>
      </w:r>
      <w:r w:rsidR="00ED305E" w:rsidRPr="005A3538">
        <w:t xml:space="preserve"> and </w:t>
      </w:r>
      <w:r w:rsidR="00D057B9">
        <w:t xml:space="preserve">if the exporter </w:t>
      </w:r>
      <w:r w:rsidR="00ED305E" w:rsidRPr="005A3538">
        <w:t>complie</w:t>
      </w:r>
      <w:r w:rsidR="00BD6055" w:rsidRPr="005A3538">
        <w:t>d</w:t>
      </w:r>
      <w:r w:rsidR="00ED305E" w:rsidRPr="005A3538">
        <w:t xml:space="preserve"> with the terms and conditions covered in the LC, the bank would </w:t>
      </w:r>
      <w:r w:rsidR="00B252A0" w:rsidRPr="005A3538">
        <w:t xml:space="preserve">pay </w:t>
      </w:r>
      <w:r w:rsidR="00ED305E" w:rsidRPr="005A3538">
        <w:t>the exporter. Thus</w:t>
      </w:r>
      <w:r w:rsidRPr="005A3538">
        <w:t>,</w:t>
      </w:r>
      <w:r w:rsidR="00ED305E" w:rsidRPr="005A3538">
        <w:t xml:space="preserve"> in any trade transaction accompanied by an LC</w:t>
      </w:r>
      <w:r w:rsidR="00697879" w:rsidRPr="005A3538">
        <w:t xml:space="preserve">, the primary obligation to pay </w:t>
      </w:r>
      <w:r w:rsidRPr="005A3538">
        <w:t>was</w:t>
      </w:r>
      <w:r w:rsidR="00697879" w:rsidRPr="005A3538">
        <w:t xml:space="preserve"> that of the importer’s bank, not the importer. The exporter, under such LC</w:t>
      </w:r>
      <w:r w:rsidRPr="005A3538">
        <w:t>-</w:t>
      </w:r>
      <w:r w:rsidR="00697879" w:rsidRPr="005A3538">
        <w:t xml:space="preserve">based trade transactions, </w:t>
      </w:r>
      <w:r w:rsidRPr="005A3538">
        <w:t xml:space="preserve">was </w:t>
      </w:r>
      <w:r w:rsidR="00697879" w:rsidRPr="005A3538">
        <w:t>taking a risk on the bank</w:t>
      </w:r>
      <w:r w:rsidRPr="005A3538">
        <w:t xml:space="preserve"> that</w:t>
      </w:r>
      <w:r w:rsidR="00697879" w:rsidRPr="005A3538">
        <w:t xml:space="preserve"> opened the LC</w:t>
      </w:r>
      <w:r w:rsidRPr="005A3538">
        <w:t>,</w:t>
      </w:r>
      <w:r w:rsidR="00697879" w:rsidRPr="005A3538">
        <w:t xml:space="preserve"> rather than a risk on the importer. </w:t>
      </w:r>
      <w:r w:rsidR="00B252A0" w:rsidRPr="005A3538">
        <w:t>A</w:t>
      </w:r>
      <w:r w:rsidR="00697879" w:rsidRPr="005A3538">
        <w:t xml:space="preserve"> risk on a bank </w:t>
      </w:r>
      <w:r w:rsidRPr="005A3538">
        <w:t>was</w:t>
      </w:r>
      <w:r w:rsidR="00697879" w:rsidRPr="005A3538">
        <w:t xml:space="preserve"> definitely a better risk than </w:t>
      </w:r>
      <w:r w:rsidR="00D057B9">
        <w:t>a risk on the importer</w:t>
      </w:r>
      <w:r w:rsidR="00697879" w:rsidRPr="005A3538">
        <w:t>.</w:t>
      </w:r>
      <w:r w:rsidR="007E5132" w:rsidRPr="005A3538">
        <w:t xml:space="preserve"> In other words, in any LC</w:t>
      </w:r>
      <w:r w:rsidRPr="005A3538">
        <w:t>-</w:t>
      </w:r>
      <w:r w:rsidR="007E5132" w:rsidRPr="005A3538">
        <w:t xml:space="preserve">based trade transaction, the obligation of the importer under the contract </w:t>
      </w:r>
      <w:r w:rsidRPr="005A3538">
        <w:t>was</w:t>
      </w:r>
      <w:r w:rsidR="007E5132" w:rsidRPr="005A3538">
        <w:t xml:space="preserve"> supplemented by a superior obligation of a bank, which opened the LC, to make payment.</w:t>
      </w:r>
      <w:r w:rsidR="00157332" w:rsidRPr="000430B4">
        <w:rPr>
          <w:rStyle w:val="FootnoteReference"/>
        </w:rPr>
        <w:footnoteReference w:id="12"/>
      </w:r>
      <w:r w:rsidR="007E5132" w:rsidRPr="005A3538">
        <w:t xml:space="preserve"> </w:t>
      </w:r>
    </w:p>
    <w:p w14:paraId="1C10156C" w14:textId="77777777" w:rsidR="0046515E" w:rsidRPr="005A3538" w:rsidRDefault="0046515E" w:rsidP="00EA6770">
      <w:pPr>
        <w:pStyle w:val="BodyTextMain"/>
      </w:pPr>
    </w:p>
    <w:p w14:paraId="080E9127" w14:textId="0B1AA10F" w:rsidR="004836EF" w:rsidRPr="005A3538" w:rsidRDefault="004836EF" w:rsidP="00EA6770">
      <w:pPr>
        <w:pStyle w:val="BodyTextMain"/>
      </w:pPr>
      <w:r w:rsidRPr="005A3538">
        <w:t>A</w:t>
      </w:r>
      <w:r w:rsidR="00027DFE" w:rsidRPr="005A3538">
        <w:t>n LC</w:t>
      </w:r>
      <w:r w:rsidR="004134AE" w:rsidRPr="005A3538">
        <w:t>,</w:t>
      </w:r>
      <w:r w:rsidR="000F2B85" w:rsidRPr="005A3538">
        <w:t xml:space="preserve"> which call</w:t>
      </w:r>
      <w:r w:rsidR="004134AE" w:rsidRPr="005A3538">
        <w:t>ed</w:t>
      </w:r>
      <w:r w:rsidR="00027DFE" w:rsidRPr="005A3538">
        <w:t xml:space="preserve"> </w:t>
      </w:r>
      <w:r w:rsidRPr="005A3538">
        <w:t>for shipping</w:t>
      </w:r>
      <w:r w:rsidR="007E5132" w:rsidRPr="005A3538">
        <w:t xml:space="preserve"> and commercial</w:t>
      </w:r>
      <w:r w:rsidRPr="005A3538">
        <w:t xml:space="preserve"> documents</w:t>
      </w:r>
      <w:r w:rsidR="00817B23" w:rsidRPr="005A3538">
        <w:t>, including</w:t>
      </w:r>
      <w:r w:rsidRPr="005A3538">
        <w:t xml:space="preserve"> documents </w:t>
      </w:r>
      <w:r w:rsidR="0046515E" w:rsidRPr="005A3538">
        <w:t xml:space="preserve">of </w:t>
      </w:r>
      <w:r w:rsidRPr="005A3538">
        <w:t>title to goods</w:t>
      </w:r>
      <w:r w:rsidR="007246D1" w:rsidRPr="005A3538">
        <w:t xml:space="preserve"> (</w:t>
      </w:r>
      <w:r w:rsidR="00F540BD" w:rsidRPr="005A3538">
        <w:t xml:space="preserve">such as a </w:t>
      </w:r>
      <w:r w:rsidR="0046515E" w:rsidRPr="005A3538">
        <w:t>b</w:t>
      </w:r>
      <w:r w:rsidRPr="005A3538">
        <w:t xml:space="preserve">ill of </w:t>
      </w:r>
      <w:r w:rsidR="0046515E" w:rsidRPr="005A3538">
        <w:t>lading</w:t>
      </w:r>
      <w:r w:rsidR="00F540BD" w:rsidRPr="005A3538">
        <w:t xml:space="preserve">, </w:t>
      </w:r>
      <w:r w:rsidR="0046515E" w:rsidRPr="005A3538">
        <w:t>a</w:t>
      </w:r>
      <w:r w:rsidRPr="005A3538">
        <w:t xml:space="preserve">irway </w:t>
      </w:r>
      <w:r w:rsidR="0046515E" w:rsidRPr="005A3538">
        <w:t>b</w:t>
      </w:r>
      <w:r w:rsidRPr="005A3538">
        <w:t>ill</w:t>
      </w:r>
      <w:r w:rsidR="00F540BD" w:rsidRPr="005A3538">
        <w:t xml:space="preserve">, </w:t>
      </w:r>
      <w:r w:rsidR="0046515E" w:rsidRPr="005A3538">
        <w:t>p</w:t>
      </w:r>
      <w:r w:rsidRPr="005A3538">
        <w:t xml:space="preserve">ost </w:t>
      </w:r>
      <w:r w:rsidR="0046515E" w:rsidRPr="005A3538">
        <w:t>parcel r</w:t>
      </w:r>
      <w:r w:rsidRPr="005A3538">
        <w:t>eceip</w:t>
      </w:r>
      <w:r w:rsidR="00F540BD" w:rsidRPr="005A3538">
        <w:t>t</w:t>
      </w:r>
      <w:r w:rsidR="005A3538" w:rsidRPr="005A3538">
        <w:t>, or</w:t>
      </w:r>
      <w:r w:rsidR="000F2B85" w:rsidRPr="005A3538">
        <w:t xml:space="preserve"> </w:t>
      </w:r>
      <w:r w:rsidR="0046515E" w:rsidRPr="005A3538">
        <w:t>r</w:t>
      </w:r>
      <w:r w:rsidRPr="005A3538">
        <w:t xml:space="preserve">ailway </w:t>
      </w:r>
      <w:r w:rsidR="0046515E" w:rsidRPr="005A3538">
        <w:t>r</w:t>
      </w:r>
      <w:r w:rsidRPr="005A3538">
        <w:t>eceip</w:t>
      </w:r>
      <w:r w:rsidR="007246D1" w:rsidRPr="005A3538">
        <w:t>t</w:t>
      </w:r>
      <w:r w:rsidR="000F2B85" w:rsidRPr="005A3538">
        <w:t xml:space="preserve">, as the case may </w:t>
      </w:r>
      <w:r w:rsidR="004134AE" w:rsidRPr="005A3538">
        <w:t xml:space="preserve">have </w:t>
      </w:r>
      <w:r w:rsidR="000F2B85" w:rsidRPr="005A3538">
        <w:t>be</w:t>
      </w:r>
      <w:r w:rsidR="004134AE" w:rsidRPr="005A3538">
        <w:t>en</w:t>
      </w:r>
      <w:r w:rsidR="007246D1" w:rsidRPr="005A3538">
        <w:t xml:space="preserve">), </w:t>
      </w:r>
      <w:r w:rsidRPr="005A3538">
        <w:t>commercial invoice</w:t>
      </w:r>
      <w:r w:rsidR="00817B23" w:rsidRPr="005A3538">
        <w:t>s</w:t>
      </w:r>
      <w:r w:rsidRPr="005A3538">
        <w:t xml:space="preserve">, </w:t>
      </w:r>
      <w:r w:rsidR="00817B23" w:rsidRPr="005A3538">
        <w:t>and</w:t>
      </w:r>
      <w:r w:rsidR="00F540BD" w:rsidRPr="005A3538">
        <w:t xml:space="preserve"> </w:t>
      </w:r>
      <w:r w:rsidRPr="005A3538">
        <w:t>insurance documents</w:t>
      </w:r>
      <w:r w:rsidR="00817B23" w:rsidRPr="005A3538">
        <w:t>,</w:t>
      </w:r>
      <w:r w:rsidR="00F540BD" w:rsidRPr="005A3538">
        <w:t xml:space="preserve"> </w:t>
      </w:r>
      <w:r w:rsidR="00F80303" w:rsidRPr="005A3538">
        <w:t>was</w:t>
      </w:r>
      <w:r w:rsidRPr="005A3538">
        <w:t xml:space="preserve"> called a documentary letter of credit</w:t>
      </w:r>
      <w:r w:rsidR="00BD6055" w:rsidRPr="005A3538">
        <w:t xml:space="preserve"> </w:t>
      </w:r>
      <w:r w:rsidRPr="005A3538">
        <w:t>(DLC)</w:t>
      </w:r>
      <w:r w:rsidR="00697879" w:rsidRPr="005A3538">
        <w:t xml:space="preserve"> or simply</w:t>
      </w:r>
      <w:r w:rsidR="00445C03" w:rsidRPr="005A3538">
        <w:t xml:space="preserve"> </w:t>
      </w:r>
      <w:r w:rsidR="00697879" w:rsidRPr="005A3538">
        <w:t>a documentary credit (DC)</w:t>
      </w:r>
      <w:r w:rsidRPr="005A3538">
        <w:t>.</w:t>
      </w:r>
      <w:r w:rsidR="0046515E" w:rsidRPr="005A3538">
        <w:t xml:space="preserve"> </w:t>
      </w:r>
    </w:p>
    <w:p w14:paraId="469EE2CC" w14:textId="77777777" w:rsidR="009F2FF5" w:rsidRPr="005A3538" w:rsidRDefault="009F2FF5" w:rsidP="00EA6770">
      <w:pPr>
        <w:pStyle w:val="BodyTextMain"/>
      </w:pPr>
    </w:p>
    <w:p w14:paraId="7D8C2721" w14:textId="77777777" w:rsidR="0068678F" w:rsidRPr="005A3538" w:rsidRDefault="0068678F" w:rsidP="00EA6770">
      <w:pPr>
        <w:pStyle w:val="BodyTextMain"/>
      </w:pPr>
    </w:p>
    <w:p w14:paraId="1AEE8359" w14:textId="0C146BE6" w:rsidR="00EA6770" w:rsidRPr="00B958F3" w:rsidRDefault="00AC310D" w:rsidP="00B958F3">
      <w:pPr>
        <w:pStyle w:val="Casehead2"/>
      </w:pPr>
      <w:r w:rsidRPr="00B958F3">
        <w:t xml:space="preserve">Types of </w:t>
      </w:r>
      <w:r w:rsidR="00B958F3">
        <w:t>Letter</w:t>
      </w:r>
      <w:r w:rsidRPr="00B958F3">
        <w:t>s</w:t>
      </w:r>
      <w:r w:rsidR="00EA6770" w:rsidRPr="00B958F3">
        <w:t xml:space="preserve"> </w:t>
      </w:r>
      <w:r w:rsidR="00B958F3">
        <w:t>of</w:t>
      </w:r>
      <w:r w:rsidR="00EA6770" w:rsidRPr="00B958F3">
        <w:t xml:space="preserve"> C</w:t>
      </w:r>
      <w:r w:rsidR="00B958F3">
        <w:t>redit</w:t>
      </w:r>
    </w:p>
    <w:p w14:paraId="4CE6F4DC" w14:textId="77777777" w:rsidR="00EA6770" w:rsidRPr="005A3538" w:rsidRDefault="00EA6770" w:rsidP="00EA6770">
      <w:pPr>
        <w:pStyle w:val="BodyTextMain"/>
      </w:pPr>
    </w:p>
    <w:p w14:paraId="6DAF10DC" w14:textId="2ADBD24F" w:rsidR="004122DE" w:rsidRPr="005A3538" w:rsidRDefault="004122DE" w:rsidP="00FF3573">
      <w:pPr>
        <w:pStyle w:val="BodyTextMain"/>
        <w:outlineLvl w:val="0"/>
      </w:pPr>
      <w:r w:rsidRPr="005A3538">
        <w:t xml:space="preserve">There </w:t>
      </w:r>
      <w:r w:rsidR="00705CD3" w:rsidRPr="005A3538">
        <w:t>were</w:t>
      </w:r>
      <w:r w:rsidRPr="005A3538">
        <w:t xml:space="preserve"> various types</w:t>
      </w:r>
      <w:bookmarkStart w:id="0" w:name="_GoBack"/>
      <w:bookmarkEnd w:id="0"/>
      <w:r w:rsidRPr="005A3538">
        <w:t xml:space="preserve"> of LCs, depending on the nature and the function of the credit.</w:t>
      </w:r>
      <w:r w:rsidR="009A74EE" w:rsidRPr="005A3538">
        <w:t xml:space="preserve"> </w:t>
      </w:r>
    </w:p>
    <w:p w14:paraId="68A33AF4" w14:textId="77777777" w:rsidR="009A74EE" w:rsidRPr="005A3538" w:rsidRDefault="009A74EE" w:rsidP="00EA6770">
      <w:pPr>
        <w:pStyle w:val="BodyTextMain"/>
      </w:pPr>
    </w:p>
    <w:p w14:paraId="29269509" w14:textId="2BD5C9EE" w:rsidR="00EA6770" w:rsidRPr="005A3538" w:rsidRDefault="00CF0643" w:rsidP="00F00970">
      <w:pPr>
        <w:pStyle w:val="Casehead3"/>
        <w:keepNext/>
      </w:pPr>
      <w:r w:rsidRPr="005A3538">
        <w:lastRenderedPageBreak/>
        <w:t>Sight and</w:t>
      </w:r>
      <w:r w:rsidR="00EA6770" w:rsidRPr="005A3538">
        <w:t xml:space="preserve"> Term Letter of Credit</w:t>
      </w:r>
    </w:p>
    <w:p w14:paraId="013CE62B" w14:textId="77777777" w:rsidR="00EA6770" w:rsidRPr="005A3538" w:rsidRDefault="00EA6770" w:rsidP="00F00970">
      <w:pPr>
        <w:pStyle w:val="BodyTextMain"/>
        <w:keepNext/>
      </w:pPr>
    </w:p>
    <w:p w14:paraId="16FB71DD" w14:textId="7AC8A97D" w:rsidR="004122DE" w:rsidRPr="005A3538" w:rsidRDefault="004122DE" w:rsidP="00B958F3">
      <w:pPr>
        <w:pStyle w:val="BodyTextMain"/>
      </w:pPr>
      <w:r w:rsidRPr="005A3538">
        <w:t xml:space="preserve">If the payment </w:t>
      </w:r>
      <w:r w:rsidR="00F540BD" w:rsidRPr="005A3538">
        <w:t xml:space="preserve">was </w:t>
      </w:r>
      <w:r w:rsidRPr="005A3538">
        <w:t xml:space="preserve">to be made at the time documents </w:t>
      </w:r>
      <w:r w:rsidR="00F540BD" w:rsidRPr="005A3538">
        <w:t>were</w:t>
      </w:r>
      <w:r w:rsidRPr="005A3538">
        <w:t xml:space="preserve"> presented by the </w:t>
      </w:r>
      <w:r w:rsidR="00E56A7B" w:rsidRPr="005A3538">
        <w:t>e</w:t>
      </w:r>
      <w:r w:rsidRPr="005A3538">
        <w:t>xporter (</w:t>
      </w:r>
      <w:r w:rsidR="00701B5D">
        <w:t xml:space="preserve">who was the </w:t>
      </w:r>
      <w:r w:rsidR="00E56A7B" w:rsidRPr="005A3538">
        <w:t>b</w:t>
      </w:r>
      <w:r w:rsidRPr="005A3538">
        <w:t>eneficiary</w:t>
      </w:r>
      <w:r w:rsidR="00E56A7B" w:rsidRPr="005A3538">
        <w:t xml:space="preserve"> of the credit</w:t>
      </w:r>
      <w:r w:rsidRPr="005A3538">
        <w:t xml:space="preserve">), a </w:t>
      </w:r>
      <w:r w:rsidR="00462B32" w:rsidRPr="005A3538">
        <w:t>s</w:t>
      </w:r>
      <w:r w:rsidRPr="005A3538">
        <w:t xml:space="preserve">ight </w:t>
      </w:r>
      <w:r w:rsidR="00132BE3" w:rsidRPr="005A3538">
        <w:t>l</w:t>
      </w:r>
      <w:r w:rsidRPr="005A3538">
        <w:t xml:space="preserve">etter of </w:t>
      </w:r>
      <w:r w:rsidR="00132BE3" w:rsidRPr="005A3538">
        <w:t>c</w:t>
      </w:r>
      <w:r w:rsidRPr="005A3538">
        <w:t>redit</w:t>
      </w:r>
      <w:r w:rsidR="00B5356B" w:rsidRPr="005A3538">
        <w:t xml:space="preserve"> (sight LC)</w:t>
      </w:r>
      <w:r w:rsidR="00701B5D">
        <w:t xml:space="preserve"> was used</w:t>
      </w:r>
      <w:r w:rsidRPr="005A3538">
        <w:t>.</w:t>
      </w:r>
      <w:r w:rsidR="00E56A7B" w:rsidRPr="005A3538">
        <w:t xml:space="preserve"> If there </w:t>
      </w:r>
      <w:r w:rsidR="00701B5D">
        <w:t>wa</w:t>
      </w:r>
      <w:r w:rsidR="00E56A7B" w:rsidRPr="005A3538">
        <w:t xml:space="preserve">s a provision to make payment at a specified future date after the presentation and delivery of documents, </w:t>
      </w:r>
      <w:r w:rsidR="00701B5D">
        <w:t>the credit</w:t>
      </w:r>
      <w:r w:rsidR="00701B5D" w:rsidRPr="005A3538">
        <w:t xml:space="preserve"> </w:t>
      </w:r>
      <w:r w:rsidR="00F540BD" w:rsidRPr="005A3538">
        <w:t>was</w:t>
      </w:r>
      <w:r w:rsidR="00E56A7B" w:rsidRPr="005A3538">
        <w:t xml:space="preserve"> called a </w:t>
      </w:r>
      <w:r w:rsidR="00132BE3" w:rsidRPr="005A3538">
        <w:t>t</w:t>
      </w:r>
      <w:r w:rsidR="00E56A7B" w:rsidRPr="005A3538">
        <w:t xml:space="preserve">erm </w:t>
      </w:r>
      <w:r w:rsidR="00701B5D">
        <w:t xml:space="preserve">or </w:t>
      </w:r>
      <w:proofErr w:type="spellStart"/>
      <w:r w:rsidR="00132BE3" w:rsidRPr="005A3538">
        <w:t>u</w:t>
      </w:r>
      <w:r w:rsidR="00E56A7B" w:rsidRPr="005A3538">
        <w:t>sance</w:t>
      </w:r>
      <w:proofErr w:type="spellEnd"/>
      <w:r w:rsidR="00E56A7B" w:rsidRPr="005A3538">
        <w:t xml:space="preserve"> </w:t>
      </w:r>
      <w:r w:rsidR="00132BE3" w:rsidRPr="005A3538">
        <w:t>l</w:t>
      </w:r>
      <w:r w:rsidR="00E56A7B" w:rsidRPr="005A3538">
        <w:t xml:space="preserve">etter of </w:t>
      </w:r>
      <w:r w:rsidR="00132BE3" w:rsidRPr="005A3538">
        <w:t>c</w:t>
      </w:r>
      <w:r w:rsidR="00E56A7B" w:rsidRPr="005A3538">
        <w:t>redit</w:t>
      </w:r>
      <w:r w:rsidR="00331B57" w:rsidRPr="005A3538">
        <w:t xml:space="preserve"> (</w:t>
      </w:r>
      <w:proofErr w:type="spellStart"/>
      <w:r w:rsidR="00331B57" w:rsidRPr="005A3538">
        <w:t>usance</w:t>
      </w:r>
      <w:proofErr w:type="spellEnd"/>
      <w:r w:rsidR="00331B57" w:rsidRPr="005A3538">
        <w:t xml:space="preserve"> LC)</w:t>
      </w:r>
      <w:r w:rsidR="00E56A7B" w:rsidRPr="005A3538">
        <w:t>.</w:t>
      </w:r>
      <w:r w:rsidR="00157332" w:rsidRPr="000430B4">
        <w:rPr>
          <w:rStyle w:val="FootnoteReference"/>
        </w:rPr>
        <w:footnoteReference w:id="13"/>
      </w:r>
      <w:r w:rsidR="00E56A7B" w:rsidRPr="005A3538">
        <w:t xml:space="preserve"> </w:t>
      </w:r>
      <w:r w:rsidR="00132BE3" w:rsidRPr="005A3538">
        <w:t>A</w:t>
      </w:r>
      <w:r w:rsidR="00E56A7B" w:rsidRPr="005A3538">
        <w:t xml:space="preserve"> sight LC </w:t>
      </w:r>
      <w:r w:rsidR="00DE40B0">
        <w:t>required</w:t>
      </w:r>
      <w:r w:rsidR="00E56A7B" w:rsidRPr="005A3538">
        <w:t xml:space="preserve"> a sight bill of exchange (</w:t>
      </w:r>
      <w:r w:rsidR="00F1113A">
        <w:t xml:space="preserve">also </w:t>
      </w:r>
      <w:r w:rsidR="00DE40B0">
        <w:t>recognized</w:t>
      </w:r>
      <w:r w:rsidR="00F1113A">
        <w:t xml:space="preserve"> as </w:t>
      </w:r>
      <w:r w:rsidR="00E56A7B" w:rsidRPr="005A3538">
        <w:t>draf</w:t>
      </w:r>
      <w:r w:rsidR="00DE40B0">
        <w:t>t</w:t>
      </w:r>
      <w:r w:rsidR="00E56A7B" w:rsidRPr="005A3538">
        <w:t>)</w:t>
      </w:r>
      <w:r w:rsidR="00F540BD" w:rsidRPr="005A3538">
        <w:t>,</w:t>
      </w:r>
      <w:r w:rsidR="00E56A7B" w:rsidRPr="005A3538">
        <w:t xml:space="preserve"> and a </w:t>
      </w:r>
      <w:proofErr w:type="spellStart"/>
      <w:r w:rsidR="00E56A7B" w:rsidRPr="005A3538">
        <w:t>usance</w:t>
      </w:r>
      <w:proofErr w:type="spellEnd"/>
      <w:r w:rsidR="00E56A7B" w:rsidRPr="005A3538">
        <w:t xml:space="preserve"> LC </w:t>
      </w:r>
      <w:r w:rsidR="00DE40B0">
        <w:t>required</w:t>
      </w:r>
      <w:r w:rsidR="00E56A7B" w:rsidRPr="005A3538">
        <w:t xml:space="preserve"> a </w:t>
      </w:r>
      <w:proofErr w:type="spellStart"/>
      <w:r w:rsidR="00E56A7B" w:rsidRPr="005A3538">
        <w:t>usance</w:t>
      </w:r>
      <w:proofErr w:type="spellEnd"/>
      <w:r w:rsidR="00E56A7B" w:rsidRPr="005A3538">
        <w:t xml:space="preserve"> bill of exchange (</w:t>
      </w:r>
      <w:r w:rsidR="00141246">
        <w:t xml:space="preserve">also recognized as </w:t>
      </w:r>
      <w:r w:rsidR="00E56A7B" w:rsidRPr="005A3538">
        <w:t>draft).</w:t>
      </w:r>
    </w:p>
    <w:p w14:paraId="5AE69F3C" w14:textId="0972EBFC" w:rsidR="00E56A7B" w:rsidRPr="00811EA4" w:rsidRDefault="00E56A7B" w:rsidP="00811EA4">
      <w:pPr>
        <w:pStyle w:val="BodyTextMain"/>
      </w:pPr>
    </w:p>
    <w:p w14:paraId="18D3C697" w14:textId="54366C97" w:rsidR="000C6CED" w:rsidRPr="00811EA4" w:rsidRDefault="000C6CED" w:rsidP="00811EA4">
      <w:pPr>
        <w:pStyle w:val="BodyTextMain"/>
      </w:pPr>
    </w:p>
    <w:p w14:paraId="25D104D3" w14:textId="43B078BE" w:rsidR="00EA6770" w:rsidRPr="005A3538" w:rsidRDefault="00EA6770" w:rsidP="00B958F3">
      <w:pPr>
        <w:pStyle w:val="Casehead3"/>
      </w:pPr>
      <w:r w:rsidRPr="005A3538">
        <w:t>Confirmed Letter of Credit</w:t>
      </w:r>
    </w:p>
    <w:p w14:paraId="24D11E5E" w14:textId="77777777" w:rsidR="005D7777" w:rsidRPr="00AC67AE" w:rsidRDefault="005D7777" w:rsidP="00B958F3">
      <w:pPr>
        <w:pStyle w:val="BodyTextMain"/>
      </w:pPr>
    </w:p>
    <w:p w14:paraId="685BF9FF" w14:textId="7CFC0937" w:rsidR="00D52921" w:rsidRPr="00AC67AE" w:rsidRDefault="005D7777" w:rsidP="00B958F3">
      <w:pPr>
        <w:pStyle w:val="BodyTextMain"/>
        <w:rPr>
          <w:spacing w:val="-2"/>
          <w:kern w:val="22"/>
        </w:rPr>
      </w:pPr>
      <w:r w:rsidRPr="00AC67AE">
        <w:rPr>
          <w:spacing w:val="-2"/>
          <w:kern w:val="22"/>
        </w:rPr>
        <w:t xml:space="preserve">A </w:t>
      </w:r>
      <w:r w:rsidR="00462B32" w:rsidRPr="00AC67AE">
        <w:rPr>
          <w:spacing w:val="-2"/>
          <w:kern w:val="22"/>
        </w:rPr>
        <w:t>c</w:t>
      </w:r>
      <w:r w:rsidRPr="00AC67AE">
        <w:rPr>
          <w:spacing w:val="-2"/>
          <w:kern w:val="22"/>
        </w:rPr>
        <w:t xml:space="preserve">onfirmed </w:t>
      </w:r>
      <w:r w:rsidR="00462B32" w:rsidRPr="00AC67AE">
        <w:rPr>
          <w:spacing w:val="-2"/>
          <w:kern w:val="22"/>
        </w:rPr>
        <w:t>l</w:t>
      </w:r>
      <w:r w:rsidRPr="00AC67AE">
        <w:rPr>
          <w:spacing w:val="-2"/>
          <w:kern w:val="22"/>
        </w:rPr>
        <w:t xml:space="preserve">etter of </w:t>
      </w:r>
      <w:r w:rsidR="00462B32" w:rsidRPr="00AC67AE">
        <w:rPr>
          <w:spacing w:val="-2"/>
          <w:kern w:val="22"/>
        </w:rPr>
        <w:t>c</w:t>
      </w:r>
      <w:r w:rsidRPr="00AC67AE">
        <w:rPr>
          <w:spacing w:val="-2"/>
          <w:kern w:val="22"/>
        </w:rPr>
        <w:t xml:space="preserve">redit </w:t>
      </w:r>
      <w:r w:rsidR="00F00970">
        <w:rPr>
          <w:spacing w:val="-2"/>
          <w:kern w:val="22"/>
        </w:rPr>
        <w:t>(</w:t>
      </w:r>
      <w:r w:rsidR="00331B57" w:rsidRPr="00AC67AE">
        <w:rPr>
          <w:spacing w:val="-2"/>
          <w:kern w:val="22"/>
        </w:rPr>
        <w:t xml:space="preserve">LC) </w:t>
      </w:r>
      <w:r w:rsidR="00173BE4" w:rsidRPr="00AC67AE">
        <w:rPr>
          <w:spacing w:val="-2"/>
          <w:kern w:val="22"/>
        </w:rPr>
        <w:t xml:space="preserve">was </w:t>
      </w:r>
      <w:r w:rsidRPr="00AC67AE">
        <w:rPr>
          <w:spacing w:val="-2"/>
          <w:kern w:val="22"/>
        </w:rPr>
        <w:t xml:space="preserve">an irrevocable </w:t>
      </w:r>
      <w:r w:rsidR="00A02B76" w:rsidRPr="00AC67AE">
        <w:rPr>
          <w:spacing w:val="-2"/>
          <w:kern w:val="22"/>
        </w:rPr>
        <w:t>document</w:t>
      </w:r>
      <w:r w:rsidR="00A02B76">
        <w:rPr>
          <w:spacing w:val="-2"/>
          <w:kern w:val="22"/>
        </w:rPr>
        <w:t>ary</w:t>
      </w:r>
      <w:r w:rsidR="00A02B76" w:rsidRPr="00AC67AE">
        <w:rPr>
          <w:spacing w:val="-2"/>
          <w:kern w:val="22"/>
        </w:rPr>
        <w:t xml:space="preserve"> credit</w:t>
      </w:r>
      <w:r w:rsidR="000C6CED" w:rsidRPr="00AC67AE">
        <w:rPr>
          <w:spacing w:val="-2"/>
          <w:kern w:val="22"/>
        </w:rPr>
        <w:t xml:space="preserve"> </w:t>
      </w:r>
      <w:r w:rsidRPr="00AC67AE">
        <w:rPr>
          <w:spacing w:val="-2"/>
          <w:kern w:val="22"/>
        </w:rPr>
        <w:t xml:space="preserve">confirmed by </w:t>
      </w:r>
      <w:r w:rsidR="000C6CED" w:rsidRPr="00AC67AE">
        <w:rPr>
          <w:spacing w:val="-2"/>
          <w:kern w:val="22"/>
        </w:rPr>
        <w:t xml:space="preserve">a second </w:t>
      </w:r>
      <w:r w:rsidRPr="00AC67AE">
        <w:rPr>
          <w:spacing w:val="-2"/>
          <w:kern w:val="22"/>
        </w:rPr>
        <w:t xml:space="preserve">bank, </w:t>
      </w:r>
      <w:r w:rsidR="000C6CED" w:rsidRPr="00AC67AE">
        <w:rPr>
          <w:spacing w:val="-2"/>
          <w:kern w:val="22"/>
        </w:rPr>
        <w:t xml:space="preserve">known as the confirming bank and </w:t>
      </w:r>
      <w:r w:rsidRPr="00AC67AE">
        <w:rPr>
          <w:spacing w:val="-2"/>
          <w:kern w:val="22"/>
        </w:rPr>
        <w:t>usually situated in the exporter’s country</w:t>
      </w:r>
      <w:r w:rsidR="00462B32" w:rsidRPr="00AC67AE">
        <w:rPr>
          <w:spacing w:val="-2"/>
          <w:kern w:val="22"/>
        </w:rPr>
        <w:t xml:space="preserve">. </w:t>
      </w:r>
      <w:r w:rsidRPr="00AC67AE">
        <w:rPr>
          <w:spacing w:val="-2"/>
          <w:kern w:val="22"/>
        </w:rPr>
        <w:t>Generally</w:t>
      </w:r>
      <w:r w:rsidR="0047546A" w:rsidRPr="00AC67AE">
        <w:rPr>
          <w:spacing w:val="-2"/>
          <w:kern w:val="22"/>
        </w:rPr>
        <w:t>,</w:t>
      </w:r>
      <w:r w:rsidRPr="00AC67AE">
        <w:rPr>
          <w:spacing w:val="-2"/>
          <w:kern w:val="22"/>
        </w:rPr>
        <w:t xml:space="preserve"> the </w:t>
      </w:r>
      <w:r w:rsidR="008E273F" w:rsidRPr="00AC67AE">
        <w:rPr>
          <w:spacing w:val="-2"/>
          <w:kern w:val="22"/>
        </w:rPr>
        <w:t xml:space="preserve">bank issuing the </w:t>
      </w:r>
      <w:r w:rsidRPr="00AC67AE">
        <w:rPr>
          <w:spacing w:val="-2"/>
          <w:kern w:val="22"/>
        </w:rPr>
        <w:t>LC</w:t>
      </w:r>
      <w:r w:rsidR="008E273F" w:rsidRPr="00AC67AE">
        <w:rPr>
          <w:spacing w:val="-2"/>
          <w:kern w:val="22"/>
        </w:rPr>
        <w:t xml:space="preserve"> </w:t>
      </w:r>
      <w:r w:rsidRPr="00AC67AE">
        <w:rPr>
          <w:spacing w:val="-2"/>
          <w:kern w:val="22"/>
        </w:rPr>
        <w:t>request</w:t>
      </w:r>
      <w:r w:rsidR="00173BE4" w:rsidRPr="00AC67AE">
        <w:rPr>
          <w:spacing w:val="-2"/>
          <w:kern w:val="22"/>
        </w:rPr>
        <w:t>ed</w:t>
      </w:r>
      <w:r w:rsidRPr="00AC67AE">
        <w:rPr>
          <w:spacing w:val="-2"/>
          <w:kern w:val="22"/>
        </w:rPr>
        <w:t xml:space="preserve"> </w:t>
      </w:r>
      <w:r w:rsidR="00E14A58" w:rsidRPr="00AC67AE">
        <w:rPr>
          <w:spacing w:val="-2"/>
          <w:kern w:val="22"/>
        </w:rPr>
        <w:t xml:space="preserve">that </w:t>
      </w:r>
      <w:r w:rsidRPr="00AC67AE">
        <w:rPr>
          <w:spacing w:val="-2"/>
          <w:kern w:val="22"/>
        </w:rPr>
        <w:t xml:space="preserve">the bank </w:t>
      </w:r>
      <w:r w:rsidR="008E273F" w:rsidRPr="00AC67AE">
        <w:rPr>
          <w:spacing w:val="-2"/>
          <w:kern w:val="22"/>
        </w:rPr>
        <w:t xml:space="preserve">receiving the LC </w:t>
      </w:r>
      <w:r w:rsidRPr="00AC67AE">
        <w:rPr>
          <w:spacing w:val="-2"/>
          <w:kern w:val="22"/>
        </w:rPr>
        <w:t xml:space="preserve">in </w:t>
      </w:r>
      <w:r w:rsidR="00E14A58" w:rsidRPr="00AC67AE">
        <w:rPr>
          <w:spacing w:val="-2"/>
          <w:kern w:val="22"/>
        </w:rPr>
        <w:t xml:space="preserve">the </w:t>
      </w:r>
      <w:r w:rsidRPr="00AC67AE">
        <w:rPr>
          <w:spacing w:val="-2"/>
          <w:kern w:val="22"/>
        </w:rPr>
        <w:t>exporter’s country</w:t>
      </w:r>
      <w:r w:rsidR="00173BE4" w:rsidRPr="00AC67AE">
        <w:rPr>
          <w:spacing w:val="-2"/>
          <w:kern w:val="22"/>
        </w:rPr>
        <w:t xml:space="preserve"> </w:t>
      </w:r>
      <w:r w:rsidRPr="00AC67AE">
        <w:rPr>
          <w:spacing w:val="-2"/>
          <w:kern w:val="22"/>
        </w:rPr>
        <w:t xml:space="preserve">add its confirmation </w:t>
      </w:r>
      <w:r w:rsidR="008E273F" w:rsidRPr="00AC67AE">
        <w:rPr>
          <w:spacing w:val="-2"/>
          <w:kern w:val="22"/>
        </w:rPr>
        <w:t xml:space="preserve">to the LC </w:t>
      </w:r>
      <w:r w:rsidRPr="00AC67AE">
        <w:rPr>
          <w:spacing w:val="-2"/>
          <w:kern w:val="22"/>
        </w:rPr>
        <w:t>while advising the exporter</w:t>
      </w:r>
      <w:r w:rsidR="008E273F" w:rsidRPr="00AC67AE">
        <w:rPr>
          <w:spacing w:val="-2"/>
          <w:kern w:val="22"/>
        </w:rPr>
        <w:t>.</w:t>
      </w:r>
      <w:r w:rsidR="0047546A" w:rsidRPr="00AC67AE">
        <w:rPr>
          <w:spacing w:val="-2"/>
          <w:kern w:val="22"/>
        </w:rPr>
        <w:t xml:space="preserve"> </w:t>
      </w:r>
      <w:r w:rsidR="008E273F" w:rsidRPr="00AC67AE">
        <w:rPr>
          <w:spacing w:val="-2"/>
          <w:kern w:val="22"/>
        </w:rPr>
        <w:t>I</w:t>
      </w:r>
      <w:r w:rsidR="0047546A" w:rsidRPr="00AC67AE">
        <w:rPr>
          <w:spacing w:val="-2"/>
          <w:kern w:val="22"/>
        </w:rPr>
        <w:t xml:space="preserve">n some cases, </w:t>
      </w:r>
      <w:r w:rsidR="00235E73">
        <w:rPr>
          <w:spacing w:val="-2"/>
          <w:kern w:val="22"/>
        </w:rPr>
        <w:t xml:space="preserve">the LC-issuing bank </w:t>
      </w:r>
      <w:r w:rsidR="008E273F" w:rsidRPr="00AC67AE">
        <w:rPr>
          <w:spacing w:val="-2"/>
          <w:kern w:val="22"/>
        </w:rPr>
        <w:t xml:space="preserve">would </w:t>
      </w:r>
      <w:r w:rsidR="00331B57" w:rsidRPr="00AC67AE">
        <w:rPr>
          <w:spacing w:val="-2"/>
          <w:kern w:val="22"/>
        </w:rPr>
        <w:t xml:space="preserve">request </w:t>
      </w:r>
      <w:r w:rsidR="00D52921" w:rsidRPr="00AC67AE">
        <w:rPr>
          <w:spacing w:val="-2"/>
          <w:kern w:val="22"/>
        </w:rPr>
        <w:t xml:space="preserve">that </w:t>
      </w:r>
      <w:r w:rsidR="008E273F" w:rsidRPr="00AC67AE">
        <w:rPr>
          <w:spacing w:val="-2"/>
          <w:kern w:val="22"/>
        </w:rPr>
        <w:t xml:space="preserve">a </w:t>
      </w:r>
      <w:r w:rsidR="0047546A" w:rsidRPr="00AC67AE">
        <w:rPr>
          <w:spacing w:val="-2"/>
          <w:kern w:val="22"/>
        </w:rPr>
        <w:t xml:space="preserve">third bank </w:t>
      </w:r>
      <w:r w:rsidR="00235E73">
        <w:rPr>
          <w:spacing w:val="-2"/>
          <w:kern w:val="22"/>
        </w:rPr>
        <w:t xml:space="preserve">(other than the LC-advising bank) </w:t>
      </w:r>
      <w:r w:rsidR="0047546A" w:rsidRPr="00AC67AE">
        <w:rPr>
          <w:spacing w:val="-2"/>
          <w:kern w:val="22"/>
        </w:rPr>
        <w:t>add its confirmation</w:t>
      </w:r>
      <w:r w:rsidRPr="00AC67AE">
        <w:rPr>
          <w:spacing w:val="-2"/>
          <w:kern w:val="22"/>
        </w:rPr>
        <w:t xml:space="preserve">. </w:t>
      </w:r>
      <w:r w:rsidR="00235E73">
        <w:rPr>
          <w:spacing w:val="-2"/>
          <w:kern w:val="22"/>
        </w:rPr>
        <w:t xml:space="preserve">This situation would arise when the LC-advising bank would </w:t>
      </w:r>
      <w:r w:rsidR="00AF12DA">
        <w:rPr>
          <w:spacing w:val="-2"/>
          <w:kern w:val="22"/>
        </w:rPr>
        <w:t xml:space="preserve">not </w:t>
      </w:r>
      <w:r w:rsidR="00235E73">
        <w:rPr>
          <w:spacing w:val="-2"/>
          <w:kern w:val="22"/>
        </w:rPr>
        <w:t>have counter party credit limits on the LC-issuing bank and/or country risk limits of the LC-issuing bank.</w:t>
      </w:r>
    </w:p>
    <w:p w14:paraId="331C7CB2" w14:textId="77777777" w:rsidR="00D52921" w:rsidRPr="00AC67AE" w:rsidRDefault="00D52921" w:rsidP="00B958F3">
      <w:pPr>
        <w:pStyle w:val="BodyTextMain"/>
      </w:pPr>
    </w:p>
    <w:p w14:paraId="746BCDB1" w14:textId="1F0D34C4" w:rsidR="00CF0558" w:rsidRPr="00811EA4" w:rsidRDefault="005D7777" w:rsidP="00B958F3">
      <w:pPr>
        <w:pStyle w:val="BodyTextMain"/>
        <w:rPr>
          <w:spacing w:val="-2"/>
          <w:kern w:val="22"/>
        </w:rPr>
      </w:pPr>
      <w:r w:rsidRPr="00811EA4">
        <w:rPr>
          <w:spacing w:val="-2"/>
          <w:kern w:val="22"/>
        </w:rPr>
        <w:t>Usually</w:t>
      </w:r>
      <w:r w:rsidR="00173BE4" w:rsidRPr="00811EA4">
        <w:rPr>
          <w:spacing w:val="-2"/>
          <w:kern w:val="22"/>
        </w:rPr>
        <w:t>,</w:t>
      </w:r>
      <w:r w:rsidRPr="00811EA4">
        <w:rPr>
          <w:spacing w:val="-2"/>
          <w:kern w:val="22"/>
        </w:rPr>
        <w:t xml:space="preserve"> there </w:t>
      </w:r>
      <w:r w:rsidR="00173BE4" w:rsidRPr="00811EA4">
        <w:rPr>
          <w:spacing w:val="-2"/>
          <w:kern w:val="22"/>
        </w:rPr>
        <w:t>was</w:t>
      </w:r>
      <w:r w:rsidRPr="00811EA4">
        <w:rPr>
          <w:spacing w:val="-2"/>
          <w:kern w:val="22"/>
        </w:rPr>
        <w:t xml:space="preserve"> an arrangement between the LC</w:t>
      </w:r>
      <w:r w:rsidR="00D52921" w:rsidRPr="00811EA4">
        <w:rPr>
          <w:spacing w:val="-2"/>
          <w:kern w:val="22"/>
        </w:rPr>
        <w:t>-</w:t>
      </w:r>
      <w:r w:rsidRPr="00811EA4">
        <w:rPr>
          <w:spacing w:val="-2"/>
          <w:kern w:val="22"/>
        </w:rPr>
        <w:t xml:space="preserve">issuing bank and </w:t>
      </w:r>
      <w:r w:rsidR="00D52921" w:rsidRPr="00811EA4">
        <w:rPr>
          <w:spacing w:val="-2"/>
          <w:kern w:val="22"/>
        </w:rPr>
        <w:t xml:space="preserve">the </w:t>
      </w:r>
      <w:r w:rsidRPr="00811EA4">
        <w:rPr>
          <w:spacing w:val="-2"/>
          <w:kern w:val="22"/>
        </w:rPr>
        <w:t>correspondent bank in the exporter’s countr</w:t>
      </w:r>
      <w:r w:rsidR="00D52921" w:rsidRPr="00811EA4">
        <w:rPr>
          <w:spacing w:val="-2"/>
          <w:kern w:val="22"/>
        </w:rPr>
        <w:t>y that</w:t>
      </w:r>
      <w:r w:rsidRPr="00811EA4">
        <w:rPr>
          <w:spacing w:val="-2"/>
          <w:kern w:val="22"/>
        </w:rPr>
        <w:t xml:space="preserve"> add</w:t>
      </w:r>
      <w:r w:rsidR="00D52921" w:rsidRPr="00811EA4">
        <w:rPr>
          <w:spacing w:val="-2"/>
          <w:kern w:val="22"/>
        </w:rPr>
        <w:t>ed</w:t>
      </w:r>
      <w:r w:rsidRPr="00811EA4">
        <w:rPr>
          <w:spacing w:val="-2"/>
          <w:kern w:val="22"/>
        </w:rPr>
        <w:t xml:space="preserve"> its confirmation</w:t>
      </w:r>
      <w:r w:rsidR="00CF0558" w:rsidRPr="00811EA4">
        <w:rPr>
          <w:spacing w:val="-2"/>
          <w:kern w:val="22"/>
        </w:rPr>
        <w:t xml:space="preserve">, also known as a </w:t>
      </w:r>
      <w:r w:rsidRPr="00811EA4">
        <w:rPr>
          <w:spacing w:val="-2"/>
          <w:kern w:val="22"/>
        </w:rPr>
        <w:t xml:space="preserve">commitment. Confirmation </w:t>
      </w:r>
      <w:r w:rsidR="00D52921" w:rsidRPr="00811EA4">
        <w:rPr>
          <w:spacing w:val="-2"/>
          <w:kern w:val="22"/>
        </w:rPr>
        <w:t>of</w:t>
      </w:r>
      <w:r w:rsidRPr="00811EA4">
        <w:rPr>
          <w:spacing w:val="-2"/>
          <w:kern w:val="22"/>
        </w:rPr>
        <w:t xml:space="preserve"> an LC </w:t>
      </w:r>
      <w:r w:rsidR="00580B5B" w:rsidRPr="00811EA4">
        <w:rPr>
          <w:spacing w:val="-2"/>
          <w:kern w:val="22"/>
        </w:rPr>
        <w:t>was</w:t>
      </w:r>
      <w:r w:rsidRPr="00811EA4">
        <w:rPr>
          <w:spacing w:val="-2"/>
          <w:kern w:val="22"/>
        </w:rPr>
        <w:t xml:space="preserve"> stipulated in the trade and payment terms the exporter and </w:t>
      </w:r>
      <w:r w:rsidR="0047546A" w:rsidRPr="00811EA4">
        <w:rPr>
          <w:spacing w:val="-2"/>
          <w:kern w:val="22"/>
        </w:rPr>
        <w:t xml:space="preserve">the </w:t>
      </w:r>
      <w:r w:rsidRPr="00811EA4">
        <w:rPr>
          <w:spacing w:val="-2"/>
          <w:kern w:val="22"/>
        </w:rPr>
        <w:t>importer</w:t>
      </w:r>
      <w:r w:rsidR="00CF0558" w:rsidRPr="00811EA4">
        <w:rPr>
          <w:spacing w:val="-2"/>
          <w:kern w:val="22"/>
        </w:rPr>
        <w:t xml:space="preserve"> agreed on</w:t>
      </w:r>
      <w:r w:rsidRPr="00811EA4">
        <w:rPr>
          <w:spacing w:val="-2"/>
          <w:kern w:val="22"/>
        </w:rPr>
        <w:t xml:space="preserve">. </w:t>
      </w:r>
      <w:r w:rsidR="003947A8" w:rsidRPr="00811EA4">
        <w:rPr>
          <w:spacing w:val="-2"/>
          <w:kern w:val="22"/>
        </w:rPr>
        <w:t xml:space="preserve">Under such </w:t>
      </w:r>
      <w:r w:rsidR="00580B5B" w:rsidRPr="00811EA4">
        <w:rPr>
          <w:spacing w:val="-2"/>
          <w:kern w:val="22"/>
        </w:rPr>
        <w:t xml:space="preserve">an </w:t>
      </w:r>
      <w:r w:rsidR="003947A8" w:rsidRPr="00811EA4">
        <w:rPr>
          <w:spacing w:val="-2"/>
          <w:kern w:val="22"/>
        </w:rPr>
        <w:t>arrangement</w:t>
      </w:r>
      <w:r w:rsidR="00580B5B" w:rsidRPr="00811EA4">
        <w:rPr>
          <w:spacing w:val="-2"/>
          <w:kern w:val="22"/>
        </w:rPr>
        <w:t>,</w:t>
      </w:r>
      <w:r w:rsidR="003947A8" w:rsidRPr="00811EA4">
        <w:rPr>
          <w:spacing w:val="-2"/>
          <w:kern w:val="22"/>
        </w:rPr>
        <w:t xml:space="preserve"> the advising bank bec</w:t>
      </w:r>
      <w:r w:rsidR="00580B5B" w:rsidRPr="00811EA4">
        <w:rPr>
          <w:spacing w:val="-2"/>
          <w:kern w:val="22"/>
        </w:rPr>
        <w:t>a</w:t>
      </w:r>
      <w:r w:rsidR="003947A8" w:rsidRPr="00811EA4">
        <w:rPr>
          <w:spacing w:val="-2"/>
          <w:kern w:val="22"/>
        </w:rPr>
        <w:t>me a confirming bank and guarantee</w:t>
      </w:r>
      <w:r w:rsidR="00580B5B" w:rsidRPr="00811EA4">
        <w:rPr>
          <w:spacing w:val="-2"/>
          <w:kern w:val="22"/>
        </w:rPr>
        <w:t>d</w:t>
      </w:r>
      <w:r w:rsidR="003947A8" w:rsidRPr="00811EA4">
        <w:rPr>
          <w:spacing w:val="-2"/>
          <w:kern w:val="22"/>
        </w:rPr>
        <w:t xml:space="preserve"> payment to the beneficiary of the credit</w:t>
      </w:r>
      <w:r w:rsidR="00CF0558" w:rsidRPr="00811EA4">
        <w:rPr>
          <w:spacing w:val="-2"/>
          <w:kern w:val="22"/>
        </w:rPr>
        <w:t xml:space="preserve"> (the exporter in this situation)</w:t>
      </w:r>
      <w:r w:rsidR="00331B57" w:rsidRPr="00811EA4">
        <w:rPr>
          <w:spacing w:val="-2"/>
          <w:kern w:val="22"/>
        </w:rPr>
        <w:t>,</w:t>
      </w:r>
      <w:r w:rsidR="003947A8" w:rsidRPr="00811EA4">
        <w:rPr>
          <w:spacing w:val="-2"/>
          <w:kern w:val="22"/>
        </w:rPr>
        <w:t xml:space="preserve"> provided </w:t>
      </w:r>
      <w:r w:rsidR="00580B5B" w:rsidRPr="00811EA4">
        <w:rPr>
          <w:spacing w:val="-2"/>
          <w:kern w:val="22"/>
        </w:rPr>
        <w:t xml:space="preserve">the beneficiary </w:t>
      </w:r>
      <w:r w:rsidR="003947A8" w:rsidRPr="00811EA4">
        <w:rPr>
          <w:spacing w:val="-2"/>
          <w:kern w:val="22"/>
        </w:rPr>
        <w:t>fulfill</w:t>
      </w:r>
      <w:r w:rsidR="00580B5B" w:rsidRPr="00811EA4">
        <w:rPr>
          <w:spacing w:val="-2"/>
          <w:kern w:val="22"/>
        </w:rPr>
        <w:t>ed</w:t>
      </w:r>
      <w:r w:rsidR="003947A8" w:rsidRPr="00811EA4">
        <w:rPr>
          <w:spacing w:val="-2"/>
          <w:kern w:val="22"/>
        </w:rPr>
        <w:t xml:space="preserve"> all the terms and conditions of the LC and submit</w:t>
      </w:r>
      <w:r w:rsidR="00580B5B" w:rsidRPr="00811EA4">
        <w:rPr>
          <w:spacing w:val="-2"/>
          <w:kern w:val="22"/>
        </w:rPr>
        <w:t>ted</w:t>
      </w:r>
      <w:r w:rsidR="003947A8" w:rsidRPr="00811EA4">
        <w:rPr>
          <w:spacing w:val="-2"/>
          <w:kern w:val="22"/>
        </w:rPr>
        <w:t xml:space="preserve"> all stipulated documents. </w:t>
      </w:r>
      <w:r w:rsidR="00AF12DA" w:rsidRPr="00811EA4">
        <w:rPr>
          <w:spacing w:val="-2"/>
          <w:kern w:val="22"/>
        </w:rPr>
        <w:t>Hence, when a request for confirming an LC was received by a confirming bank from an LC-issuing bank, the confirming bank would assess the risk of the LC-issuing bank</w:t>
      </w:r>
      <w:r w:rsidR="005E7B9D" w:rsidRPr="00811EA4">
        <w:rPr>
          <w:spacing w:val="-2"/>
          <w:kern w:val="22"/>
        </w:rPr>
        <w:t xml:space="preserve"> and availability of credit limit on it as well as the country risk of the LC-issuing bank and availability of country limit.</w:t>
      </w:r>
    </w:p>
    <w:p w14:paraId="2508E900" w14:textId="77777777" w:rsidR="00CF0558" w:rsidRPr="00AC67AE" w:rsidRDefault="00CF0558" w:rsidP="00B958F3">
      <w:pPr>
        <w:pStyle w:val="BodyTextMain"/>
      </w:pPr>
    </w:p>
    <w:p w14:paraId="4565A83C" w14:textId="74408898" w:rsidR="004122DE" w:rsidRPr="00AC67AE" w:rsidRDefault="00580B5B" w:rsidP="00B958F3">
      <w:pPr>
        <w:pStyle w:val="BodyTextMain"/>
      </w:pPr>
      <w:r w:rsidRPr="00AC67AE">
        <w:t>T</w:t>
      </w:r>
      <w:r w:rsidR="003947A8" w:rsidRPr="00AC67AE">
        <w:t xml:space="preserve">he primary obligation under the </w:t>
      </w:r>
      <w:r w:rsidRPr="00AC67AE">
        <w:t xml:space="preserve">confirmed </w:t>
      </w:r>
      <w:r w:rsidR="003947A8" w:rsidRPr="00AC67AE">
        <w:t xml:space="preserve">credit </w:t>
      </w:r>
      <w:r w:rsidRPr="00AC67AE">
        <w:t xml:space="preserve">rested with </w:t>
      </w:r>
      <w:r w:rsidR="003947A8" w:rsidRPr="00AC67AE">
        <w:t>the confirming bank</w:t>
      </w:r>
      <w:r w:rsidRPr="00AC67AE">
        <w:t>,</w:t>
      </w:r>
      <w:r w:rsidR="003947A8" w:rsidRPr="00AC67AE">
        <w:t xml:space="preserve"> and the bill of exchange (</w:t>
      </w:r>
      <w:r w:rsidR="00141246">
        <w:t xml:space="preserve">or </w:t>
      </w:r>
      <w:r w:rsidR="003947A8" w:rsidRPr="00AC67AE">
        <w:t xml:space="preserve">draft) </w:t>
      </w:r>
      <w:r w:rsidRPr="00AC67AE">
        <w:t xml:space="preserve">was </w:t>
      </w:r>
      <w:r w:rsidR="003947A8" w:rsidRPr="00AC67AE">
        <w:t xml:space="preserve">drawn on it. The beneficiary of a confirmed </w:t>
      </w:r>
      <w:r w:rsidR="00331B57" w:rsidRPr="00AC67AE">
        <w:t>LC</w:t>
      </w:r>
      <w:r w:rsidR="003947A8" w:rsidRPr="00AC67AE">
        <w:t xml:space="preserve"> enjoy</w:t>
      </w:r>
      <w:r w:rsidRPr="00AC67AE">
        <w:t>ed</w:t>
      </w:r>
      <w:r w:rsidR="003947A8" w:rsidRPr="00AC67AE">
        <w:t xml:space="preserve"> the payment gu</w:t>
      </w:r>
      <w:r w:rsidR="00331B57" w:rsidRPr="00AC67AE">
        <w:t>a</w:t>
      </w:r>
      <w:r w:rsidR="003947A8" w:rsidRPr="00AC67AE">
        <w:t>rantee from two banks</w:t>
      </w:r>
      <w:r w:rsidRPr="00AC67AE">
        <w:t>. T</w:t>
      </w:r>
      <w:r w:rsidR="003947A8" w:rsidRPr="00AC67AE">
        <w:t>h</w:t>
      </w:r>
      <w:r w:rsidR="0047546A" w:rsidRPr="00AC67AE">
        <w:t xml:space="preserve">e credit risk </w:t>
      </w:r>
      <w:r w:rsidRPr="00AC67AE">
        <w:t>was</w:t>
      </w:r>
      <w:r w:rsidR="0047546A" w:rsidRPr="00AC67AE">
        <w:t xml:space="preserve"> locali</w:t>
      </w:r>
      <w:r w:rsidR="00D60E98" w:rsidRPr="00AC67AE">
        <w:t>z</w:t>
      </w:r>
      <w:r w:rsidR="003947A8" w:rsidRPr="00AC67AE">
        <w:t>ed on the confirming bank</w:t>
      </w:r>
      <w:r w:rsidRPr="00AC67AE">
        <w:t xml:space="preserve">, which the beneficiary could </w:t>
      </w:r>
      <w:r w:rsidR="003947A8" w:rsidRPr="00AC67AE">
        <w:t>deal with conveniently</w:t>
      </w:r>
      <w:r w:rsidR="00331B57" w:rsidRPr="00AC67AE">
        <w:t>,</w:t>
      </w:r>
      <w:r w:rsidR="003947A8" w:rsidRPr="00AC67AE">
        <w:t xml:space="preserve"> </w:t>
      </w:r>
      <w:r w:rsidRPr="00AC67AE">
        <w:t>if needed</w:t>
      </w:r>
      <w:r w:rsidR="00331B57" w:rsidRPr="00AC67AE">
        <w:t>,</w:t>
      </w:r>
      <w:r w:rsidRPr="00AC67AE">
        <w:t xml:space="preserve"> </w:t>
      </w:r>
      <w:r w:rsidR="0047546A" w:rsidRPr="00AC67AE">
        <w:t xml:space="preserve">rather than dealing with </w:t>
      </w:r>
      <w:r w:rsidR="00ED14CF" w:rsidRPr="00AC67AE">
        <w:t>the LC</w:t>
      </w:r>
      <w:r w:rsidRPr="00AC67AE">
        <w:t>-</w:t>
      </w:r>
      <w:r w:rsidR="00ED14CF" w:rsidRPr="00AC67AE">
        <w:t>issuing bank abroad</w:t>
      </w:r>
      <w:r w:rsidR="003947A8" w:rsidRPr="00AC67AE">
        <w:t>.</w:t>
      </w:r>
      <w:r w:rsidR="001E038A" w:rsidRPr="00AC67AE">
        <w:rPr>
          <w:rStyle w:val="FootnoteReference"/>
        </w:rPr>
        <w:footnoteReference w:id="14"/>
      </w:r>
    </w:p>
    <w:p w14:paraId="67F3E3FB" w14:textId="77777777" w:rsidR="004122DE" w:rsidRPr="00B958F3" w:rsidRDefault="004122DE" w:rsidP="00B958F3">
      <w:pPr>
        <w:pStyle w:val="BodyTextMain"/>
      </w:pPr>
    </w:p>
    <w:p w14:paraId="31A5F072" w14:textId="77777777" w:rsidR="00EA6770" w:rsidRPr="00B958F3" w:rsidRDefault="00EA6770" w:rsidP="00B958F3">
      <w:pPr>
        <w:pStyle w:val="BodyTextMain"/>
      </w:pPr>
    </w:p>
    <w:p w14:paraId="5E878024" w14:textId="77777777" w:rsidR="00EA6770" w:rsidRPr="005A3538" w:rsidRDefault="00EA6770" w:rsidP="00B958F3">
      <w:pPr>
        <w:pStyle w:val="Casehead3"/>
      </w:pPr>
      <w:r w:rsidRPr="005A3538">
        <w:t>Transferable Credit</w:t>
      </w:r>
    </w:p>
    <w:p w14:paraId="41ECC678" w14:textId="77777777" w:rsidR="003947A8" w:rsidRPr="005A3538" w:rsidRDefault="003947A8" w:rsidP="00B958F3">
      <w:pPr>
        <w:pStyle w:val="BodyTextMain"/>
      </w:pPr>
    </w:p>
    <w:p w14:paraId="05FB7884" w14:textId="5E82FF55" w:rsidR="004122DE" w:rsidRPr="005A3538" w:rsidRDefault="003947A8" w:rsidP="00B958F3">
      <w:pPr>
        <w:pStyle w:val="BodyTextMain"/>
      </w:pPr>
      <w:r w:rsidRPr="005A3538">
        <w:t xml:space="preserve">A </w:t>
      </w:r>
      <w:r w:rsidR="0032760A" w:rsidRPr="005A3538">
        <w:t>t</w:t>
      </w:r>
      <w:r w:rsidRPr="005A3538">
        <w:t xml:space="preserve">ransferable </w:t>
      </w:r>
      <w:r w:rsidR="0032760A" w:rsidRPr="005A3538">
        <w:t>c</w:t>
      </w:r>
      <w:r w:rsidRPr="005A3538">
        <w:t xml:space="preserve">redit </w:t>
      </w:r>
      <w:r w:rsidR="00173BE4" w:rsidRPr="005A3538">
        <w:t xml:space="preserve">was </w:t>
      </w:r>
      <w:r w:rsidRPr="005A3538">
        <w:t xml:space="preserve">an LC </w:t>
      </w:r>
      <w:r w:rsidR="00173BE4" w:rsidRPr="005A3538">
        <w:t>that was</w:t>
      </w:r>
      <w:r w:rsidR="00ED14CF" w:rsidRPr="005A3538">
        <w:t xml:space="preserve"> marked </w:t>
      </w:r>
      <w:r w:rsidR="0032760A" w:rsidRPr="005A3538">
        <w:t>“</w:t>
      </w:r>
      <w:r w:rsidR="00ED14CF" w:rsidRPr="005A3538">
        <w:t>transferable</w:t>
      </w:r>
      <w:r w:rsidR="0032760A" w:rsidRPr="005A3538">
        <w:t>”</w:t>
      </w:r>
      <w:r w:rsidR="00ED14CF" w:rsidRPr="005A3538">
        <w:t xml:space="preserve"> at </w:t>
      </w:r>
      <w:r w:rsidR="0032760A" w:rsidRPr="005A3538">
        <w:t xml:space="preserve">its </w:t>
      </w:r>
      <w:r w:rsidR="00ED14CF" w:rsidRPr="005A3538">
        <w:t>orig</w:t>
      </w:r>
      <w:r w:rsidRPr="005A3538">
        <w:t>in</w:t>
      </w:r>
      <w:r w:rsidR="00714A9A">
        <w:t xml:space="preserve"> when it was </w:t>
      </w:r>
      <w:r w:rsidRPr="005A3538">
        <w:t>issue</w:t>
      </w:r>
      <w:r w:rsidR="00714A9A">
        <w:t>d.</w:t>
      </w:r>
      <w:r w:rsidR="00CC1484" w:rsidRPr="005A3538">
        <w:t xml:space="preserve"> </w:t>
      </w:r>
      <w:r w:rsidR="00714A9A">
        <w:t>T</w:t>
      </w:r>
      <w:r w:rsidR="00CC1484" w:rsidRPr="005A3538">
        <w:t xml:space="preserve">he benefits </w:t>
      </w:r>
      <w:r w:rsidR="00714A9A">
        <w:t xml:space="preserve">under the LC </w:t>
      </w:r>
      <w:r w:rsidR="00CC1484" w:rsidRPr="005A3538">
        <w:t>c</w:t>
      </w:r>
      <w:r w:rsidR="0032760A" w:rsidRPr="005A3538">
        <w:t>ould</w:t>
      </w:r>
      <w:r w:rsidR="00CC1484" w:rsidRPr="005A3538">
        <w:t xml:space="preserve"> be transferred by the original </w:t>
      </w:r>
      <w:r w:rsidR="00714A9A">
        <w:t xml:space="preserve">or </w:t>
      </w:r>
      <w:r w:rsidR="00714A9A" w:rsidRPr="005A3538">
        <w:t xml:space="preserve">first </w:t>
      </w:r>
      <w:r w:rsidR="00CC1484" w:rsidRPr="005A3538">
        <w:t xml:space="preserve">beneficiary in whole or in part in favour of </w:t>
      </w:r>
      <w:r w:rsidR="00714A9A">
        <w:t xml:space="preserve">one or more </w:t>
      </w:r>
      <w:r w:rsidR="00CC1484" w:rsidRPr="005A3538">
        <w:t>second beneficiaries.</w:t>
      </w:r>
      <w:r w:rsidR="001E038A" w:rsidRPr="000430B4">
        <w:rPr>
          <w:rStyle w:val="FootnoteReference"/>
        </w:rPr>
        <w:footnoteReference w:id="15"/>
      </w:r>
      <w:r w:rsidR="00CC1484" w:rsidRPr="005A3538">
        <w:t xml:space="preserve"> The exporter </w:t>
      </w:r>
      <w:r w:rsidR="0032760A" w:rsidRPr="005A3538">
        <w:t xml:space="preserve">could </w:t>
      </w:r>
      <w:r w:rsidR="00CC1484" w:rsidRPr="005A3538">
        <w:t>be only an intermediary who procure</w:t>
      </w:r>
      <w:r w:rsidR="0032760A" w:rsidRPr="005A3538">
        <w:t>d</w:t>
      </w:r>
      <w:r w:rsidR="00CC1484" w:rsidRPr="005A3538">
        <w:t xml:space="preserve"> goods from the suppliers and arrange</w:t>
      </w:r>
      <w:r w:rsidR="0032760A" w:rsidRPr="005A3538">
        <w:t>d</w:t>
      </w:r>
      <w:r w:rsidR="00CC1484" w:rsidRPr="005A3538">
        <w:t xml:space="preserve"> </w:t>
      </w:r>
      <w:r w:rsidR="00714A9A">
        <w:t xml:space="preserve">for </w:t>
      </w:r>
      <w:r w:rsidR="00CC1484" w:rsidRPr="005A3538">
        <w:t xml:space="preserve">them to be shipped to the importer. </w:t>
      </w:r>
      <w:r w:rsidR="0032760A" w:rsidRPr="005A3538">
        <w:t>The e</w:t>
      </w:r>
      <w:r w:rsidR="00CC1484" w:rsidRPr="005A3538">
        <w:t xml:space="preserve">xporter </w:t>
      </w:r>
      <w:r w:rsidR="0032760A" w:rsidRPr="005A3538">
        <w:t>was</w:t>
      </w:r>
      <w:r w:rsidR="00CC1484" w:rsidRPr="005A3538">
        <w:t xml:space="preserve"> the first beneficiary and </w:t>
      </w:r>
      <w:r w:rsidR="0032760A" w:rsidRPr="005A3538">
        <w:t>could</w:t>
      </w:r>
      <w:r w:rsidR="00CC1484" w:rsidRPr="005A3538">
        <w:t xml:space="preserve"> request </w:t>
      </w:r>
      <w:r w:rsidR="00C33D90" w:rsidRPr="005A3538">
        <w:t xml:space="preserve">that </w:t>
      </w:r>
      <w:r w:rsidR="00CC1484" w:rsidRPr="005A3538">
        <w:t>the negotiating bank (</w:t>
      </w:r>
      <w:r w:rsidR="00653491">
        <w:t xml:space="preserve">the </w:t>
      </w:r>
      <w:r w:rsidR="00CC1484" w:rsidRPr="005A3538">
        <w:t xml:space="preserve">intermediary bank) </w:t>
      </w:r>
      <w:r w:rsidR="008F2DE0" w:rsidRPr="005A3538">
        <w:t xml:space="preserve">transfer the </w:t>
      </w:r>
      <w:r w:rsidR="002B59D6">
        <w:t>benefits of the LC</w:t>
      </w:r>
      <w:r w:rsidR="008F2DE0" w:rsidRPr="005A3538">
        <w:t xml:space="preserve">, </w:t>
      </w:r>
      <w:r w:rsidR="00C33D90" w:rsidRPr="005A3538">
        <w:t xml:space="preserve">in </w:t>
      </w:r>
      <w:r w:rsidR="008F2DE0" w:rsidRPr="005A3538">
        <w:t xml:space="preserve">full or </w:t>
      </w:r>
      <w:r w:rsidR="00C33D90" w:rsidRPr="005A3538">
        <w:t>in</w:t>
      </w:r>
      <w:r w:rsidR="008F2DE0" w:rsidRPr="005A3538">
        <w:t xml:space="preserve"> part, in favour of one or more second beneficiaries.</w:t>
      </w:r>
      <w:r w:rsidR="001E038A" w:rsidRPr="000430B4">
        <w:rPr>
          <w:rStyle w:val="FootnoteReference"/>
        </w:rPr>
        <w:footnoteReference w:id="16"/>
      </w:r>
      <w:r w:rsidR="008F2DE0" w:rsidRPr="005A3538">
        <w:t xml:space="preserve"> </w:t>
      </w:r>
      <w:r w:rsidR="00653491">
        <w:t>The</w:t>
      </w:r>
      <w:r w:rsidR="00653491" w:rsidRPr="005A3538">
        <w:t xml:space="preserve"> </w:t>
      </w:r>
      <w:r w:rsidR="008F2DE0" w:rsidRPr="005A3538">
        <w:t xml:space="preserve">credits </w:t>
      </w:r>
      <w:r w:rsidR="0032760A" w:rsidRPr="005A3538">
        <w:t xml:space="preserve">could </w:t>
      </w:r>
      <w:r w:rsidR="008F2DE0" w:rsidRPr="005A3538">
        <w:t xml:space="preserve">not </w:t>
      </w:r>
      <w:r w:rsidR="00653491">
        <w:t xml:space="preserve">then </w:t>
      </w:r>
      <w:r w:rsidR="008F2DE0" w:rsidRPr="005A3538">
        <w:t>be transferred by the second beneficiary</w:t>
      </w:r>
      <w:r w:rsidR="00653491">
        <w:t xml:space="preserve"> or beneficiaries </w:t>
      </w:r>
      <w:r w:rsidR="008F2DE0" w:rsidRPr="005A3538">
        <w:t xml:space="preserve">to </w:t>
      </w:r>
      <w:r w:rsidR="00653491">
        <w:t xml:space="preserve">one or more </w:t>
      </w:r>
      <w:r w:rsidR="008F2DE0" w:rsidRPr="005A3538">
        <w:t xml:space="preserve">third beneficiaries. Under </w:t>
      </w:r>
      <w:r w:rsidR="00653491">
        <w:t>the</w:t>
      </w:r>
      <w:r w:rsidR="00653491" w:rsidRPr="005A3538">
        <w:t xml:space="preserve"> </w:t>
      </w:r>
      <w:r w:rsidR="008F2DE0" w:rsidRPr="005A3538">
        <w:t>transfer, the original terms and conditions of the credit remain</w:t>
      </w:r>
      <w:r w:rsidR="0032760A" w:rsidRPr="005A3538">
        <w:t>ed the</w:t>
      </w:r>
      <w:r w:rsidR="008F2DE0" w:rsidRPr="005A3538">
        <w:t xml:space="preserve"> same.</w:t>
      </w:r>
      <w:r w:rsidR="001E038A" w:rsidRPr="000430B4">
        <w:rPr>
          <w:rStyle w:val="FootnoteReference"/>
        </w:rPr>
        <w:footnoteReference w:id="17"/>
      </w:r>
      <w:r w:rsidR="008F2DE0" w:rsidRPr="005A3538">
        <w:t xml:space="preserve"> </w:t>
      </w:r>
    </w:p>
    <w:p w14:paraId="5063BA83" w14:textId="77777777" w:rsidR="00EA6770" w:rsidRPr="005A3538" w:rsidRDefault="00EA6770" w:rsidP="00B958F3">
      <w:pPr>
        <w:pStyle w:val="BodyTextMain"/>
      </w:pPr>
    </w:p>
    <w:p w14:paraId="6EF4C01B" w14:textId="77777777" w:rsidR="00CF0643" w:rsidRPr="005A3538" w:rsidRDefault="00CF0643" w:rsidP="00B958F3">
      <w:pPr>
        <w:pStyle w:val="BodyTextMain"/>
      </w:pPr>
    </w:p>
    <w:p w14:paraId="722D19D3" w14:textId="3AD9D83B" w:rsidR="00EA6770" w:rsidRPr="005A3538" w:rsidRDefault="004122DE" w:rsidP="00B958F3">
      <w:pPr>
        <w:pStyle w:val="Casehead3"/>
      </w:pPr>
      <w:r w:rsidRPr="005A3538">
        <w:lastRenderedPageBreak/>
        <w:t>Back</w:t>
      </w:r>
      <w:r w:rsidR="00E60EF1" w:rsidRPr="005A3538">
        <w:t>-</w:t>
      </w:r>
      <w:r w:rsidRPr="005A3538">
        <w:t>to</w:t>
      </w:r>
      <w:r w:rsidR="00E60EF1" w:rsidRPr="005A3538">
        <w:t>-</w:t>
      </w:r>
      <w:r w:rsidRPr="005A3538">
        <w:t>Back Credit</w:t>
      </w:r>
    </w:p>
    <w:p w14:paraId="420F0C05" w14:textId="77777777" w:rsidR="008F2DE0" w:rsidRPr="005A3538" w:rsidRDefault="008F2DE0" w:rsidP="00B958F3">
      <w:pPr>
        <w:pStyle w:val="BodyTextMain"/>
        <w:keepNext/>
      </w:pPr>
    </w:p>
    <w:p w14:paraId="1B4B1D8C" w14:textId="7E192C21" w:rsidR="004122DE" w:rsidRPr="005A3538" w:rsidRDefault="008F2DE0" w:rsidP="0065589B">
      <w:pPr>
        <w:pStyle w:val="Casehead2"/>
        <w:rPr>
          <w:rFonts w:ascii="Times New Roman" w:hAnsi="Times New Roman" w:cs="Times New Roman"/>
          <w:b w:val="0"/>
          <w:sz w:val="22"/>
          <w:szCs w:val="22"/>
        </w:rPr>
      </w:pPr>
      <w:r w:rsidRPr="005A3538">
        <w:rPr>
          <w:rFonts w:ascii="Times New Roman" w:hAnsi="Times New Roman" w:cs="Times New Roman"/>
          <w:b w:val="0"/>
          <w:sz w:val="22"/>
          <w:szCs w:val="22"/>
        </w:rPr>
        <w:t xml:space="preserve">A </w:t>
      </w:r>
      <w:r w:rsidR="00383CEA" w:rsidRPr="005A3538">
        <w:rPr>
          <w:rFonts w:ascii="Times New Roman" w:hAnsi="Times New Roman" w:cs="Times New Roman"/>
          <w:b w:val="0"/>
          <w:sz w:val="22"/>
          <w:szCs w:val="22"/>
        </w:rPr>
        <w:t>b</w:t>
      </w:r>
      <w:r w:rsidRPr="005A3538">
        <w:rPr>
          <w:rFonts w:ascii="Times New Roman" w:hAnsi="Times New Roman" w:cs="Times New Roman"/>
          <w:b w:val="0"/>
          <w:sz w:val="22"/>
          <w:szCs w:val="22"/>
        </w:rPr>
        <w:t>ack-to-</w:t>
      </w:r>
      <w:r w:rsidR="00383CEA" w:rsidRPr="005A3538">
        <w:rPr>
          <w:rFonts w:ascii="Times New Roman" w:hAnsi="Times New Roman" w:cs="Times New Roman"/>
          <w:b w:val="0"/>
          <w:sz w:val="22"/>
          <w:szCs w:val="22"/>
        </w:rPr>
        <w:t>b</w:t>
      </w:r>
      <w:r w:rsidRPr="005A3538">
        <w:rPr>
          <w:rFonts w:ascii="Times New Roman" w:hAnsi="Times New Roman" w:cs="Times New Roman"/>
          <w:b w:val="0"/>
          <w:sz w:val="22"/>
          <w:szCs w:val="22"/>
        </w:rPr>
        <w:t xml:space="preserve">ack </w:t>
      </w:r>
      <w:r w:rsidR="00260234" w:rsidRPr="005A3538">
        <w:rPr>
          <w:rFonts w:ascii="Times New Roman" w:hAnsi="Times New Roman" w:cs="Times New Roman"/>
          <w:b w:val="0"/>
          <w:sz w:val="22"/>
          <w:szCs w:val="22"/>
        </w:rPr>
        <w:t>credit</w:t>
      </w:r>
      <w:r w:rsidRPr="005A3538">
        <w:rPr>
          <w:rFonts w:ascii="Times New Roman" w:hAnsi="Times New Roman" w:cs="Times New Roman"/>
          <w:b w:val="0"/>
          <w:sz w:val="22"/>
          <w:szCs w:val="22"/>
        </w:rPr>
        <w:t xml:space="preserve"> </w:t>
      </w:r>
      <w:r w:rsidR="00383CEA" w:rsidRPr="005A3538">
        <w:rPr>
          <w:rFonts w:ascii="Times New Roman" w:hAnsi="Times New Roman" w:cs="Times New Roman"/>
          <w:b w:val="0"/>
          <w:sz w:val="22"/>
          <w:szCs w:val="22"/>
        </w:rPr>
        <w:t>was</w:t>
      </w:r>
      <w:r w:rsidRPr="005A3538">
        <w:rPr>
          <w:rFonts w:ascii="Times New Roman" w:hAnsi="Times New Roman" w:cs="Times New Roman"/>
          <w:b w:val="0"/>
          <w:sz w:val="22"/>
          <w:szCs w:val="22"/>
        </w:rPr>
        <w:t xml:space="preserve"> a standalone </w:t>
      </w:r>
      <w:r w:rsidR="00260234" w:rsidRPr="005A3538">
        <w:rPr>
          <w:rFonts w:ascii="Times New Roman" w:hAnsi="Times New Roman" w:cs="Times New Roman"/>
          <w:b w:val="0"/>
          <w:sz w:val="22"/>
          <w:szCs w:val="22"/>
        </w:rPr>
        <w:t xml:space="preserve">LC </w:t>
      </w:r>
      <w:r w:rsidRPr="005A3538">
        <w:rPr>
          <w:rFonts w:ascii="Times New Roman" w:hAnsi="Times New Roman" w:cs="Times New Roman"/>
          <w:b w:val="0"/>
          <w:sz w:val="22"/>
          <w:szCs w:val="22"/>
        </w:rPr>
        <w:t>established on the strength</w:t>
      </w:r>
      <w:r w:rsidR="00260234" w:rsidRPr="005A3538">
        <w:rPr>
          <w:rFonts w:ascii="Times New Roman" w:hAnsi="Times New Roman" w:cs="Times New Roman"/>
          <w:b w:val="0"/>
          <w:sz w:val="22"/>
          <w:szCs w:val="22"/>
        </w:rPr>
        <w:t xml:space="preserve"> </w:t>
      </w:r>
      <w:r w:rsidRPr="005A3538">
        <w:rPr>
          <w:rFonts w:ascii="Times New Roman" w:hAnsi="Times New Roman" w:cs="Times New Roman"/>
          <w:b w:val="0"/>
          <w:sz w:val="22"/>
          <w:szCs w:val="22"/>
        </w:rPr>
        <w:t>of the credit received by the seller</w:t>
      </w:r>
      <w:r w:rsidR="002B59D6">
        <w:rPr>
          <w:rFonts w:ascii="Times New Roman" w:hAnsi="Times New Roman" w:cs="Times New Roman"/>
          <w:b w:val="0"/>
          <w:sz w:val="22"/>
          <w:szCs w:val="22"/>
        </w:rPr>
        <w:t xml:space="preserve">/exporter </w:t>
      </w:r>
      <w:r w:rsidR="00383CEA" w:rsidRPr="005A3538">
        <w:rPr>
          <w:rFonts w:ascii="Times New Roman" w:hAnsi="Times New Roman" w:cs="Times New Roman"/>
          <w:b w:val="0"/>
          <w:sz w:val="22"/>
          <w:szCs w:val="22"/>
        </w:rPr>
        <w:t xml:space="preserve">and </w:t>
      </w:r>
      <w:r w:rsidRPr="005A3538">
        <w:rPr>
          <w:rFonts w:ascii="Times New Roman" w:hAnsi="Times New Roman" w:cs="Times New Roman"/>
          <w:b w:val="0"/>
          <w:sz w:val="22"/>
          <w:szCs w:val="22"/>
        </w:rPr>
        <w:t xml:space="preserve">original beneficiary </w:t>
      </w:r>
      <w:r w:rsidR="002B59D6">
        <w:rPr>
          <w:rFonts w:ascii="Times New Roman" w:hAnsi="Times New Roman" w:cs="Times New Roman"/>
          <w:b w:val="0"/>
          <w:sz w:val="22"/>
          <w:szCs w:val="22"/>
        </w:rPr>
        <w:t xml:space="preserve">of the LC </w:t>
      </w:r>
      <w:r w:rsidRPr="005A3538">
        <w:rPr>
          <w:rFonts w:ascii="Times New Roman" w:hAnsi="Times New Roman" w:cs="Times New Roman"/>
          <w:b w:val="0"/>
          <w:sz w:val="22"/>
          <w:szCs w:val="22"/>
        </w:rPr>
        <w:t xml:space="preserve">from </w:t>
      </w:r>
      <w:r w:rsidR="00383CEA" w:rsidRPr="005A3538">
        <w:rPr>
          <w:rFonts w:ascii="Times New Roman" w:hAnsi="Times New Roman" w:cs="Times New Roman"/>
          <w:b w:val="0"/>
          <w:sz w:val="22"/>
          <w:szCs w:val="22"/>
        </w:rPr>
        <w:t>the</w:t>
      </w:r>
      <w:r w:rsidRPr="005A3538">
        <w:rPr>
          <w:rFonts w:ascii="Times New Roman" w:hAnsi="Times New Roman" w:cs="Times New Roman"/>
          <w:b w:val="0"/>
          <w:sz w:val="22"/>
          <w:szCs w:val="22"/>
        </w:rPr>
        <w:t xml:space="preserve"> overseas buyer</w:t>
      </w:r>
      <w:r w:rsidR="002B59D6">
        <w:rPr>
          <w:rFonts w:ascii="Times New Roman" w:hAnsi="Times New Roman" w:cs="Times New Roman"/>
          <w:b w:val="0"/>
          <w:sz w:val="22"/>
          <w:szCs w:val="22"/>
        </w:rPr>
        <w:t>/importer</w:t>
      </w:r>
      <w:r w:rsidRPr="005A3538">
        <w:rPr>
          <w:rFonts w:ascii="Times New Roman" w:hAnsi="Times New Roman" w:cs="Times New Roman"/>
          <w:b w:val="0"/>
          <w:sz w:val="22"/>
          <w:szCs w:val="22"/>
        </w:rPr>
        <w:t xml:space="preserve">. </w:t>
      </w:r>
      <w:r w:rsidR="002B59D6">
        <w:rPr>
          <w:rFonts w:ascii="Times New Roman" w:hAnsi="Times New Roman" w:cs="Times New Roman"/>
          <w:b w:val="0"/>
          <w:sz w:val="22"/>
          <w:szCs w:val="22"/>
        </w:rPr>
        <w:t>A back-to-back credit</w:t>
      </w:r>
      <w:r w:rsidR="002B59D6" w:rsidRPr="005A3538">
        <w:rPr>
          <w:rFonts w:ascii="Times New Roman" w:hAnsi="Times New Roman" w:cs="Times New Roman"/>
          <w:b w:val="0"/>
          <w:sz w:val="22"/>
          <w:szCs w:val="22"/>
        </w:rPr>
        <w:t xml:space="preserve"> </w:t>
      </w:r>
      <w:r w:rsidR="00383CEA" w:rsidRPr="005A3538">
        <w:rPr>
          <w:rFonts w:ascii="Times New Roman" w:hAnsi="Times New Roman" w:cs="Times New Roman"/>
          <w:b w:val="0"/>
          <w:sz w:val="22"/>
          <w:szCs w:val="22"/>
        </w:rPr>
        <w:t xml:space="preserve">was </w:t>
      </w:r>
      <w:r w:rsidRPr="005A3538">
        <w:rPr>
          <w:rFonts w:ascii="Times New Roman" w:hAnsi="Times New Roman" w:cs="Times New Roman"/>
          <w:b w:val="0"/>
          <w:sz w:val="22"/>
          <w:szCs w:val="22"/>
        </w:rPr>
        <w:t xml:space="preserve">also called </w:t>
      </w:r>
      <w:r w:rsidR="00383CEA" w:rsidRPr="005A3538">
        <w:rPr>
          <w:rFonts w:ascii="Times New Roman" w:hAnsi="Times New Roman" w:cs="Times New Roman"/>
          <w:b w:val="0"/>
          <w:sz w:val="22"/>
          <w:szCs w:val="22"/>
        </w:rPr>
        <w:t>a c</w:t>
      </w:r>
      <w:r w:rsidRPr="005A3538">
        <w:rPr>
          <w:rFonts w:ascii="Times New Roman" w:hAnsi="Times New Roman" w:cs="Times New Roman"/>
          <w:b w:val="0"/>
          <w:sz w:val="22"/>
          <w:szCs w:val="22"/>
        </w:rPr>
        <w:t xml:space="preserve">ountervailing </w:t>
      </w:r>
      <w:r w:rsidR="00383CEA" w:rsidRPr="005A3538">
        <w:rPr>
          <w:rFonts w:ascii="Times New Roman" w:hAnsi="Times New Roman" w:cs="Times New Roman"/>
          <w:b w:val="0"/>
          <w:sz w:val="22"/>
          <w:szCs w:val="22"/>
        </w:rPr>
        <w:t>c</w:t>
      </w:r>
      <w:r w:rsidRPr="005A3538">
        <w:rPr>
          <w:rFonts w:ascii="Times New Roman" w:hAnsi="Times New Roman" w:cs="Times New Roman"/>
          <w:b w:val="0"/>
          <w:sz w:val="22"/>
          <w:szCs w:val="22"/>
        </w:rPr>
        <w:t xml:space="preserve">redit. The original credit on the back of which this back-to-back credit </w:t>
      </w:r>
      <w:r w:rsidR="00383CEA" w:rsidRPr="005A3538">
        <w:rPr>
          <w:rFonts w:ascii="Times New Roman" w:hAnsi="Times New Roman" w:cs="Times New Roman"/>
          <w:b w:val="0"/>
          <w:sz w:val="22"/>
          <w:szCs w:val="22"/>
        </w:rPr>
        <w:t>was</w:t>
      </w:r>
      <w:r w:rsidRPr="005A3538">
        <w:rPr>
          <w:rFonts w:ascii="Times New Roman" w:hAnsi="Times New Roman" w:cs="Times New Roman"/>
          <w:b w:val="0"/>
          <w:sz w:val="22"/>
          <w:szCs w:val="22"/>
        </w:rPr>
        <w:t xml:space="preserve"> opened </w:t>
      </w:r>
      <w:r w:rsidR="00383CEA" w:rsidRPr="005A3538">
        <w:rPr>
          <w:rFonts w:ascii="Times New Roman" w:hAnsi="Times New Roman" w:cs="Times New Roman"/>
          <w:b w:val="0"/>
          <w:sz w:val="22"/>
          <w:szCs w:val="22"/>
        </w:rPr>
        <w:t xml:space="preserve">was </w:t>
      </w:r>
      <w:r w:rsidRPr="005A3538">
        <w:rPr>
          <w:rFonts w:ascii="Times New Roman" w:hAnsi="Times New Roman" w:cs="Times New Roman"/>
          <w:b w:val="0"/>
          <w:sz w:val="22"/>
          <w:szCs w:val="22"/>
        </w:rPr>
        <w:t xml:space="preserve">called the overriding </w:t>
      </w:r>
      <w:r w:rsidR="002B59D6">
        <w:rPr>
          <w:rFonts w:ascii="Times New Roman" w:hAnsi="Times New Roman" w:cs="Times New Roman"/>
          <w:b w:val="0"/>
          <w:sz w:val="22"/>
          <w:szCs w:val="22"/>
        </w:rPr>
        <w:t xml:space="preserve">or </w:t>
      </w:r>
      <w:r w:rsidRPr="005A3538">
        <w:rPr>
          <w:rFonts w:ascii="Times New Roman" w:hAnsi="Times New Roman" w:cs="Times New Roman"/>
          <w:b w:val="0"/>
          <w:sz w:val="22"/>
          <w:szCs w:val="22"/>
        </w:rPr>
        <w:t>principal credit</w:t>
      </w:r>
      <w:r w:rsidRPr="00F00970">
        <w:rPr>
          <w:rStyle w:val="BodyTextMainChar"/>
          <w:b w:val="0"/>
        </w:rPr>
        <w:t>.</w:t>
      </w:r>
      <w:r w:rsidR="000B2455" w:rsidRPr="00F00970">
        <w:rPr>
          <w:rStyle w:val="BodyTextMainChar"/>
          <w:b w:val="0"/>
          <w:vertAlign w:val="superscript"/>
        </w:rPr>
        <w:footnoteReference w:id="18"/>
      </w:r>
      <w:r w:rsidRPr="005A3538">
        <w:rPr>
          <w:rFonts w:ascii="Times New Roman" w:hAnsi="Times New Roman" w:cs="Times New Roman"/>
          <w:b w:val="0"/>
          <w:sz w:val="22"/>
          <w:szCs w:val="22"/>
        </w:rPr>
        <w:t xml:space="preserve"> </w:t>
      </w:r>
      <w:r w:rsidR="0065589B" w:rsidRPr="005A3538">
        <w:rPr>
          <w:rFonts w:ascii="Times New Roman" w:hAnsi="Times New Roman" w:cs="Times New Roman"/>
          <w:b w:val="0"/>
          <w:sz w:val="22"/>
          <w:szCs w:val="22"/>
        </w:rPr>
        <w:t xml:space="preserve">The terms of the second credit </w:t>
      </w:r>
      <w:r w:rsidR="002B59D6">
        <w:rPr>
          <w:rFonts w:ascii="Times New Roman" w:hAnsi="Times New Roman" w:cs="Times New Roman"/>
          <w:b w:val="0"/>
          <w:sz w:val="22"/>
          <w:szCs w:val="22"/>
        </w:rPr>
        <w:t>would be</w:t>
      </w:r>
      <w:r w:rsidR="002B59D6" w:rsidRPr="005A3538">
        <w:rPr>
          <w:rFonts w:ascii="Times New Roman" w:hAnsi="Times New Roman" w:cs="Times New Roman"/>
          <w:b w:val="0"/>
          <w:sz w:val="22"/>
          <w:szCs w:val="22"/>
        </w:rPr>
        <w:t xml:space="preserve"> </w:t>
      </w:r>
      <w:r w:rsidR="0065589B" w:rsidRPr="005A3538">
        <w:rPr>
          <w:rFonts w:ascii="Times New Roman" w:hAnsi="Times New Roman" w:cs="Times New Roman"/>
          <w:b w:val="0"/>
          <w:sz w:val="22"/>
          <w:szCs w:val="22"/>
        </w:rPr>
        <w:t>similar in certain</w:t>
      </w:r>
      <w:r w:rsidR="00331B57" w:rsidRPr="005A3538">
        <w:rPr>
          <w:rFonts w:ascii="Times New Roman" w:hAnsi="Times New Roman" w:cs="Times New Roman"/>
          <w:b w:val="0"/>
          <w:sz w:val="22"/>
          <w:szCs w:val="22"/>
        </w:rPr>
        <w:t xml:space="preserve">, but not all, </w:t>
      </w:r>
      <w:r w:rsidR="0065589B" w:rsidRPr="005A3538">
        <w:rPr>
          <w:rFonts w:ascii="Times New Roman" w:hAnsi="Times New Roman" w:cs="Times New Roman"/>
          <w:b w:val="0"/>
          <w:sz w:val="22"/>
          <w:szCs w:val="22"/>
        </w:rPr>
        <w:t xml:space="preserve">aspects to the original credit. </w:t>
      </w:r>
      <w:r w:rsidR="004122DE" w:rsidRPr="005A3538">
        <w:rPr>
          <w:rFonts w:ascii="Times New Roman" w:hAnsi="Times New Roman" w:cs="Times New Roman"/>
          <w:b w:val="0"/>
          <w:sz w:val="22"/>
          <w:szCs w:val="22"/>
        </w:rPr>
        <w:t xml:space="preserve">A back-to-back credit </w:t>
      </w:r>
      <w:r w:rsidR="00383CEA" w:rsidRPr="005A3538">
        <w:rPr>
          <w:rFonts w:ascii="Times New Roman" w:hAnsi="Times New Roman" w:cs="Times New Roman"/>
          <w:b w:val="0"/>
          <w:sz w:val="22"/>
          <w:szCs w:val="22"/>
        </w:rPr>
        <w:t>was</w:t>
      </w:r>
      <w:r w:rsidR="004122DE" w:rsidRPr="005A3538">
        <w:rPr>
          <w:rFonts w:ascii="Times New Roman" w:hAnsi="Times New Roman" w:cs="Times New Roman"/>
          <w:b w:val="0"/>
          <w:sz w:val="22"/>
          <w:szCs w:val="22"/>
        </w:rPr>
        <w:t xml:space="preserve"> often an inland LC.</w:t>
      </w:r>
      <w:r w:rsidR="004134AE" w:rsidRPr="00F00970">
        <w:rPr>
          <w:rStyle w:val="BodyTextMainChar"/>
          <w:b w:val="0"/>
          <w:vertAlign w:val="superscript"/>
        </w:rPr>
        <w:footnoteReference w:id="19"/>
      </w:r>
      <w:r w:rsidR="004122DE" w:rsidRPr="005A3538">
        <w:rPr>
          <w:rFonts w:ascii="Times New Roman" w:hAnsi="Times New Roman" w:cs="Times New Roman"/>
          <w:b w:val="0"/>
          <w:sz w:val="22"/>
          <w:szCs w:val="22"/>
        </w:rPr>
        <w:t xml:space="preserve"> </w:t>
      </w:r>
    </w:p>
    <w:p w14:paraId="2BB9432D" w14:textId="77777777" w:rsidR="004122DE" w:rsidRPr="005A3538" w:rsidRDefault="004122DE" w:rsidP="00B958F3">
      <w:pPr>
        <w:pStyle w:val="BodyTextMain"/>
      </w:pPr>
    </w:p>
    <w:p w14:paraId="7D52DB7A" w14:textId="26BEDDEF" w:rsidR="004122DE" w:rsidRPr="005A3538" w:rsidRDefault="004122DE" w:rsidP="00B958F3">
      <w:pPr>
        <w:pStyle w:val="BodyTextMain"/>
      </w:pPr>
      <w:r w:rsidRPr="005A3538">
        <w:t>A back-to-back credit ha</w:t>
      </w:r>
      <w:r w:rsidR="00383CEA" w:rsidRPr="005A3538">
        <w:t>d</w:t>
      </w:r>
      <w:r w:rsidRPr="005A3538">
        <w:t xml:space="preserve"> certain features in common with a transferable credit. </w:t>
      </w:r>
      <w:r w:rsidR="004C6CEE" w:rsidRPr="005A3538">
        <w:t xml:space="preserve">With </w:t>
      </w:r>
      <w:r w:rsidRPr="005A3538">
        <w:t>both</w:t>
      </w:r>
      <w:r w:rsidR="00383CEA" w:rsidRPr="005A3538">
        <w:t xml:space="preserve"> types</w:t>
      </w:r>
      <w:r w:rsidRPr="005A3538">
        <w:t xml:space="preserve">, the benefits under the credit </w:t>
      </w:r>
      <w:r w:rsidR="00383CEA" w:rsidRPr="005A3538">
        <w:t>were</w:t>
      </w:r>
      <w:r w:rsidRPr="005A3538">
        <w:t xml:space="preserve"> transferred to a third party. </w:t>
      </w:r>
      <w:r w:rsidR="00383CEA" w:rsidRPr="005A3538">
        <w:t>Also, t</w:t>
      </w:r>
      <w:r w:rsidRPr="005A3538">
        <w:t xml:space="preserve">he documents </w:t>
      </w:r>
      <w:r w:rsidR="00383CEA" w:rsidRPr="005A3538">
        <w:t>were</w:t>
      </w:r>
      <w:r w:rsidRPr="005A3538">
        <w:t xml:space="preserve"> substituted by the first beneficiary. The possibility of the importer knowing the real supplier </w:t>
      </w:r>
      <w:r w:rsidR="00260234" w:rsidRPr="005A3538">
        <w:t>(</w:t>
      </w:r>
      <w:r w:rsidRPr="005A3538">
        <w:t xml:space="preserve">or </w:t>
      </w:r>
      <w:r w:rsidR="00260234" w:rsidRPr="005A3538">
        <w:t xml:space="preserve">the supplier knowing the importer) </w:t>
      </w:r>
      <w:r w:rsidR="00383CEA" w:rsidRPr="005A3538">
        <w:t xml:space="preserve">was </w:t>
      </w:r>
      <w:r w:rsidRPr="005A3538">
        <w:t xml:space="preserve">avoided in both cases. </w:t>
      </w:r>
    </w:p>
    <w:p w14:paraId="6EBAD81F" w14:textId="77777777" w:rsidR="004122DE" w:rsidRPr="005A3538" w:rsidRDefault="004122DE" w:rsidP="00B958F3">
      <w:pPr>
        <w:pStyle w:val="BodyTextMain"/>
      </w:pPr>
    </w:p>
    <w:p w14:paraId="2A45F670" w14:textId="697CBBD0" w:rsidR="00AA4F44" w:rsidRPr="005A3538" w:rsidRDefault="00383CEA" w:rsidP="00B958F3">
      <w:pPr>
        <w:pStyle w:val="BodyTextMain"/>
      </w:pPr>
      <w:r w:rsidRPr="005A3538">
        <w:t xml:space="preserve">However, </w:t>
      </w:r>
      <w:r w:rsidR="004122DE" w:rsidRPr="005A3538">
        <w:t>a back-to-back credit differ</w:t>
      </w:r>
      <w:r w:rsidR="00260234" w:rsidRPr="005A3538">
        <w:t>e</w:t>
      </w:r>
      <w:r w:rsidRPr="005A3538">
        <w:t xml:space="preserve">d </w:t>
      </w:r>
      <w:r w:rsidR="004122DE" w:rsidRPr="005A3538">
        <w:t>from a transferable credit in the following aspects:</w:t>
      </w:r>
      <w:r w:rsidRPr="005A3538">
        <w:t xml:space="preserve"> </w:t>
      </w:r>
      <w:r w:rsidR="00515D30" w:rsidRPr="005A3538">
        <w:t>With</w:t>
      </w:r>
      <w:r w:rsidR="004C6CEE" w:rsidRPr="005A3538">
        <w:t xml:space="preserve"> a transferable credit, t</w:t>
      </w:r>
      <w:r w:rsidR="004122DE" w:rsidRPr="005A3538">
        <w:t xml:space="preserve">here </w:t>
      </w:r>
      <w:r w:rsidRPr="005A3538">
        <w:t>was</w:t>
      </w:r>
      <w:r w:rsidR="004122DE" w:rsidRPr="005A3538">
        <w:t xml:space="preserve"> an authority from the issuing bank for the transfer of benefit under the credit. </w:t>
      </w:r>
      <w:r w:rsidR="00515D30" w:rsidRPr="005A3538">
        <w:t>Under a back-to-back credit, t</w:t>
      </w:r>
      <w:r w:rsidR="004C6CEE" w:rsidRPr="005A3538">
        <w:t>here was n</w:t>
      </w:r>
      <w:r w:rsidR="004122DE" w:rsidRPr="005A3538">
        <w:t>o such authority.</w:t>
      </w:r>
      <w:r w:rsidRPr="005A3538">
        <w:t xml:space="preserve"> Also, in the</w:t>
      </w:r>
      <w:r w:rsidR="00AA4F44" w:rsidRPr="005A3538">
        <w:t xml:space="preserve"> case of a transferable</w:t>
      </w:r>
      <w:r w:rsidR="00260234" w:rsidRPr="005A3538">
        <w:t xml:space="preserve"> credit</w:t>
      </w:r>
      <w:r w:rsidR="00AA4F44" w:rsidRPr="005A3538">
        <w:t xml:space="preserve">, the second credit </w:t>
      </w:r>
      <w:r w:rsidR="003467D9" w:rsidRPr="005A3538">
        <w:t>was</w:t>
      </w:r>
      <w:r w:rsidR="00AA4F44" w:rsidRPr="005A3538">
        <w:t xml:space="preserve"> only an extension of the first or original credit</w:t>
      </w:r>
      <w:r w:rsidR="005D7E67">
        <w:t>; it</w:t>
      </w:r>
      <w:r w:rsidR="00AA4F44" w:rsidRPr="005A3538">
        <w:t xml:space="preserve"> ha</w:t>
      </w:r>
      <w:r w:rsidR="003467D9" w:rsidRPr="005A3538">
        <w:t>d</w:t>
      </w:r>
      <w:r w:rsidR="00AA4F44" w:rsidRPr="005A3538">
        <w:t xml:space="preserve"> no existence</w:t>
      </w:r>
      <w:r w:rsidR="00260234" w:rsidRPr="005A3538">
        <w:t xml:space="preserve"> outside t</w:t>
      </w:r>
      <w:r w:rsidR="00AA4F44" w:rsidRPr="005A3538">
        <w:t xml:space="preserve">he original credit. </w:t>
      </w:r>
      <w:r w:rsidR="003467D9" w:rsidRPr="005A3538">
        <w:t xml:space="preserve">In contrast, </w:t>
      </w:r>
      <w:r w:rsidR="00AA4F44" w:rsidRPr="005A3538">
        <w:t>a back-to-back</w:t>
      </w:r>
      <w:r w:rsidR="00260234" w:rsidRPr="005A3538">
        <w:t xml:space="preserve"> credit</w:t>
      </w:r>
      <w:r w:rsidR="00AA4F44" w:rsidRPr="005A3538">
        <w:t xml:space="preserve"> </w:t>
      </w:r>
      <w:r w:rsidR="00260234" w:rsidRPr="005A3538">
        <w:t>existed on its</w:t>
      </w:r>
      <w:r w:rsidR="00AA4F44" w:rsidRPr="005A3538">
        <w:t xml:space="preserve"> own</w:t>
      </w:r>
      <w:r w:rsidR="00260234" w:rsidRPr="005A3538">
        <w:t>,</w:t>
      </w:r>
      <w:r w:rsidR="00AA4F44" w:rsidRPr="005A3538">
        <w:t xml:space="preserve"> independent of the original credit.</w:t>
      </w:r>
      <w:r w:rsidR="000B2455" w:rsidRPr="000430B4">
        <w:rPr>
          <w:rStyle w:val="FootnoteReference"/>
        </w:rPr>
        <w:footnoteReference w:id="20"/>
      </w:r>
    </w:p>
    <w:p w14:paraId="265C33D4" w14:textId="07C642B5" w:rsidR="00EA6770" w:rsidRPr="005A3538" w:rsidRDefault="00EA6770" w:rsidP="00AC67AE">
      <w:pPr>
        <w:pStyle w:val="BodyTextMain"/>
      </w:pPr>
    </w:p>
    <w:p w14:paraId="3E7ACAE3" w14:textId="77777777" w:rsidR="00CF0643" w:rsidRPr="005A3538" w:rsidRDefault="00CF0643" w:rsidP="00CF0643">
      <w:pPr>
        <w:pStyle w:val="BodyTextMain"/>
      </w:pPr>
    </w:p>
    <w:p w14:paraId="308D6366" w14:textId="30BB7551" w:rsidR="00EA6770" w:rsidRPr="005A3538" w:rsidRDefault="004122DE" w:rsidP="00B958F3">
      <w:pPr>
        <w:pStyle w:val="Casehead3"/>
      </w:pPr>
      <w:r w:rsidRPr="005A3538">
        <w:t>Standby Letter of Cre</w:t>
      </w:r>
      <w:r w:rsidR="00EA6770" w:rsidRPr="005A3538">
        <w:t>dit or Guarantee Credit</w:t>
      </w:r>
    </w:p>
    <w:p w14:paraId="7D1A940E" w14:textId="77777777" w:rsidR="00EA6770" w:rsidRPr="005A3538" w:rsidRDefault="00EA6770" w:rsidP="00B958F3">
      <w:pPr>
        <w:pStyle w:val="BodyTextMain"/>
      </w:pPr>
    </w:p>
    <w:p w14:paraId="39C3BB44" w14:textId="6F334D9F" w:rsidR="00066660" w:rsidRPr="005A3538" w:rsidRDefault="008274A8" w:rsidP="00B958F3">
      <w:pPr>
        <w:pStyle w:val="BodyTextMain"/>
      </w:pPr>
      <w:r w:rsidRPr="005A3538">
        <w:t xml:space="preserve">A </w:t>
      </w:r>
      <w:r w:rsidR="00F766A7" w:rsidRPr="005A3538">
        <w:t>s</w:t>
      </w:r>
      <w:r w:rsidR="004122DE" w:rsidRPr="005A3538">
        <w:t xml:space="preserve">tandby </w:t>
      </w:r>
      <w:r w:rsidR="00F00970">
        <w:t>letter of credit</w:t>
      </w:r>
      <w:r w:rsidR="00324270" w:rsidRPr="005A3538">
        <w:t xml:space="preserve"> </w:t>
      </w:r>
      <w:r w:rsidR="0039376E" w:rsidRPr="005A3538">
        <w:t xml:space="preserve">was also </w:t>
      </w:r>
      <w:r w:rsidRPr="005A3538">
        <w:t xml:space="preserve">known as </w:t>
      </w:r>
      <w:r w:rsidR="00DC061C" w:rsidRPr="005A3538">
        <w:t xml:space="preserve">a </w:t>
      </w:r>
      <w:r w:rsidR="00F766A7" w:rsidRPr="005A3538">
        <w:t>g</w:t>
      </w:r>
      <w:r w:rsidRPr="005A3538">
        <w:t xml:space="preserve">uarantee </w:t>
      </w:r>
      <w:r w:rsidR="00F766A7" w:rsidRPr="005A3538">
        <w:t>c</w:t>
      </w:r>
      <w:r w:rsidRPr="005A3538">
        <w:t>redit</w:t>
      </w:r>
      <w:r w:rsidR="0039376E" w:rsidRPr="005A3538">
        <w:t xml:space="preserve">. </w:t>
      </w:r>
      <w:r w:rsidRPr="005A3538">
        <w:t xml:space="preserve">A standby LC </w:t>
      </w:r>
      <w:r w:rsidR="00F766A7" w:rsidRPr="005A3538">
        <w:t>was</w:t>
      </w:r>
      <w:r w:rsidRPr="005A3538">
        <w:t xml:space="preserve"> a contingency payment mechanism </w:t>
      </w:r>
      <w:r w:rsidR="00F766A7" w:rsidRPr="005A3538">
        <w:t>that</w:t>
      </w:r>
      <w:r w:rsidRPr="005A3538">
        <w:t xml:space="preserve"> be</w:t>
      </w:r>
      <w:r w:rsidR="00F766A7" w:rsidRPr="005A3538">
        <w:t>came</w:t>
      </w:r>
      <w:r w:rsidRPr="005A3538">
        <w:t xml:space="preserve"> active </w:t>
      </w:r>
      <w:r w:rsidR="007905B8" w:rsidRPr="005A3538">
        <w:t>in the event of default</w:t>
      </w:r>
      <w:r w:rsidR="00A13D57">
        <w:t xml:space="preserve"> or </w:t>
      </w:r>
      <w:r w:rsidR="007905B8" w:rsidRPr="005A3538">
        <w:t>non-payment under a payment obligation or non-</w:t>
      </w:r>
      <w:r w:rsidR="00A13D57">
        <w:t xml:space="preserve"> or under-</w:t>
      </w:r>
      <w:r w:rsidR="007905B8" w:rsidRPr="005A3538">
        <w:t>performance in a contract.</w:t>
      </w:r>
      <w:r w:rsidR="000B2455" w:rsidRPr="000430B4">
        <w:rPr>
          <w:rStyle w:val="FootnoteReference"/>
        </w:rPr>
        <w:footnoteReference w:id="21"/>
      </w:r>
      <w:r w:rsidR="007905B8" w:rsidRPr="005A3538">
        <w:t xml:space="preserve"> The beneficiary of a standby LC c</w:t>
      </w:r>
      <w:r w:rsidR="00F766A7" w:rsidRPr="005A3538">
        <w:t>ould</w:t>
      </w:r>
      <w:r w:rsidR="007905B8" w:rsidRPr="005A3538">
        <w:t xml:space="preserve"> invoke</w:t>
      </w:r>
      <w:r w:rsidR="00066660" w:rsidRPr="005A3538">
        <w:t xml:space="preserve"> or </w:t>
      </w:r>
      <w:r w:rsidR="007905B8" w:rsidRPr="005A3538">
        <w:t xml:space="preserve">enforce the provisions of </w:t>
      </w:r>
      <w:r w:rsidR="00066660" w:rsidRPr="005A3538">
        <w:t>the LC</w:t>
      </w:r>
      <w:r w:rsidR="007905B8" w:rsidRPr="005A3538">
        <w:t xml:space="preserve"> only if the principal party</w:t>
      </w:r>
      <w:r w:rsidR="00324270" w:rsidRPr="005A3538">
        <w:t xml:space="preserve"> (</w:t>
      </w:r>
      <w:r w:rsidR="00A13D57">
        <w:t xml:space="preserve">the buyer and </w:t>
      </w:r>
      <w:r w:rsidR="007905B8" w:rsidRPr="005A3538">
        <w:t>applicant for credit) fail</w:t>
      </w:r>
      <w:r w:rsidR="00F766A7" w:rsidRPr="005A3538">
        <w:t>ed</w:t>
      </w:r>
      <w:r w:rsidR="007905B8" w:rsidRPr="005A3538">
        <w:t xml:space="preserve"> to </w:t>
      </w:r>
      <w:r w:rsidR="00324270" w:rsidRPr="005A3538">
        <w:t xml:space="preserve">meet </w:t>
      </w:r>
      <w:r w:rsidR="007905B8" w:rsidRPr="005A3538">
        <w:t xml:space="preserve">a payment obligation, or if a contract </w:t>
      </w:r>
      <w:r w:rsidR="00F766A7" w:rsidRPr="005A3538">
        <w:t>was</w:t>
      </w:r>
      <w:r w:rsidR="007905B8" w:rsidRPr="005A3538">
        <w:t xml:space="preserve"> not performed</w:t>
      </w:r>
      <w:r w:rsidR="00907A57" w:rsidRPr="005A3538">
        <w:t xml:space="preserve"> to the satisfaction of the beneficiary under a performance contract. When this happen</w:t>
      </w:r>
      <w:r w:rsidR="00F766A7" w:rsidRPr="005A3538">
        <w:t>ed</w:t>
      </w:r>
      <w:r w:rsidR="00907A57" w:rsidRPr="005A3538">
        <w:t xml:space="preserve">, the seller or the supplier (the beneficiary under </w:t>
      </w:r>
      <w:r w:rsidR="00F766A7" w:rsidRPr="005A3538">
        <w:t>the standby L</w:t>
      </w:r>
      <w:r w:rsidR="00907A57" w:rsidRPr="005A3538">
        <w:t>C) invoke</w:t>
      </w:r>
      <w:r w:rsidR="00F766A7" w:rsidRPr="005A3538">
        <w:t>d</w:t>
      </w:r>
      <w:r w:rsidR="00907A57" w:rsidRPr="005A3538">
        <w:t xml:space="preserve"> the credit and lodge</w:t>
      </w:r>
      <w:r w:rsidR="00F766A7" w:rsidRPr="005A3538">
        <w:t>d</w:t>
      </w:r>
      <w:r w:rsidR="00907A57" w:rsidRPr="005A3538">
        <w:t xml:space="preserve"> </w:t>
      </w:r>
      <w:r w:rsidR="00F766A7" w:rsidRPr="005A3538">
        <w:t>a</w:t>
      </w:r>
      <w:r w:rsidR="00907A57" w:rsidRPr="005A3538">
        <w:t xml:space="preserve"> claim on the </w:t>
      </w:r>
      <w:r w:rsidR="00066660" w:rsidRPr="005A3538">
        <w:t>standby</w:t>
      </w:r>
      <w:r w:rsidR="00A13D57">
        <w:t xml:space="preserve"> </w:t>
      </w:r>
      <w:r w:rsidR="00907A57" w:rsidRPr="005A3538">
        <w:t>LC</w:t>
      </w:r>
      <w:r w:rsidR="00066660" w:rsidRPr="005A3538">
        <w:t>-</w:t>
      </w:r>
      <w:r w:rsidR="00907A57" w:rsidRPr="005A3538">
        <w:t>issuing bank a</w:t>
      </w:r>
      <w:r w:rsidR="00324270" w:rsidRPr="005A3538">
        <w:t xml:space="preserve">ccording to </w:t>
      </w:r>
      <w:r w:rsidR="00907A57" w:rsidRPr="005A3538">
        <w:t xml:space="preserve">the terms of the credit. </w:t>
      </w:r>
      <w:r w:rsidR="009C0392" w:rsidRPr="005A3538">
        <w:t xml:space="preserve">If the invocation </w:t>
      </w:r>
      <w:r w:rsidR="00F766A7" w:rsidRPr="005A3538">
        <w:t>was</w:t>
      </w:r>
      <w:r w:rsidR="009C0392" w:rsidRPr="005A3538">
        <w:t xml:space="preserve"> found in order, the </w:t>
      </w:r>
      <w:r w:rsidR="00F766A7" w:rsidRPr="005A3538">
        <w:t>standby</w:t>
      </w:r>
      <w:r w:rsidR="00A13D57">
        <w:t xml:space="preserve"> </w:t>
      </w:r>
      <w:r w:rsidR="009C0392" w:rsidRPr="005A3538">
        <w:t>LC</w:t>
      </w:r>
      <w:r w:rsidR="00F766A7" w:rsidRPr="005A3538">
        <w:t>-</w:t>
      </w:r>
      <w:r w:rsidR="009C0392" w:rsidRPr="005A3538">
        <w:t>issuin</w:t>
      </w:r>
      <w:r w:rsidR="00F766A7" w:rsidRPr="005A3538">
        <w:t>g</w:t>
      </w:r>
      <w:r w:rsidR="009C0392" w:rsidRPr="005A3538">
        <w:t xml:space="preserve"> bank </w:t>
      </w:r>
      <w:r w:rsidR="00F766A7" w:rsidRPr="005A3538">
        <w:t>p</w:t>
      </w:r>
      <w:r w:rsidR="009C0392" w:rsidRPr="005A3538">
        <w:t>a</w:t>
      </w:r>
      <w:r w:rsidR="00F766A7" w:rsidRPr="005A3538">
        <w:t>id</w:t>
      </w:r>
      <w:r w:rsidR="009C0392" w:rsidRPr="005A3538">
        <w:t xml:space="preserve"> the beneficiary. </w:t>
      </w:r>
      <w:r w:rsidR="004C1D7B">
        <w:t>In contrast to standby LCs, a</w:t>
      </w:r>
      <w:r w:rsidR="000D6DFA">
        <w:t>ll other types of LCs were used in trade and commerce in goods or services</w:t>
      </w:r>
      <w:r w:rsidR="00141246">
        <w:t>,</w:t>
      </w:r>
      <w:r w:rsidR="000D6DFA">
        <w:t xml:space="preserve"> which were usually issued to ensure payment for performance under a supply contract. Hence</w:t>
      </w:r>
      <w:r w:rsidR="00141246">
        <w:t>,</w:t>
      </w:r>
      <w:r w:rsidR="000D6DFA">
        <w:t xml:space="preserve"> all other LCs </w:t>
      </w:r>
      <w:r w:rsidR="00141246">
        <w:t>we</w:t>
      </w:r>
      <w:r w:rsidR="000D6DFA">
        <w:t xml:space="preserve">re often </w:t>
      </w:r>
      <w:r w:rsidR="00141246">
        <w:t>referred to</w:t>
      </w:r>
      <w:r w:rsidR="000D6DFA">
        <w:t xml:space="preserve"> as commercial LCs in order to distinguish them from the standby LCs. </w:t>
      </w:r>
    </w:p>
    <w:p w14:paraId="3BB6BDD4" w14:textId="77777777" w:rsidR="00066660" w:rsidRPr="005A3538" w:rsidRDefault="00066660" w:rsidP="00811EA4">
      <w:pPr>
        <w:pStyle w:val="BodyTextMain"/>
      </w:pPr>
    </w:p>
    <w:p w14:paraId="0F016F9D" w14:textId="51D2E751" w:rsidR="004C1D7B" w:rsidRDefault="00095D7C" w:rsidP="00811EA4">
      <w:pPr>
        <w:pStyle w:val="BodyTextMain"/>
      </w:pPr>
      <w:r w:rsidRPr="005A3538">
        <w:t>A</w:t>
      </w:r>
      <w:r w:rsidR="00577874" w:rsidRPr="005A3538">
        <w:t xml:space="preserve"> standby </w:t>
      </w:r>
      <w:r w:rsidR="00907A57" w:rsidRPr="005A3538">
        <w:t>LC operate</w:t>
      </w:r>
      <w:r w:rsidR="00F766A7" w:rsidRPr="005A3538">
        <w:t>d</w:t>
      </w:r>
      <w:r w:rsidR="00907A57" w:rsidRPr="005A3538">
        <w:t xml:space="preserve"> just like a bank guarantee</w:t>
      </w:r>
      <w:r w:rsidR="00DC061C" w:rsidRPr="005A3538">
        <w:t>. It w</w:t>
      </w:r>
      <w:r w:rsidR="00F766A7" w:rsidRPr="005A3538">
        <w:t xml:space="preserve">as </w:t>
      </w:r>
      <w:r w:rsidR="00907A57" w:rsidRPr="005A3538">
        <w:t>payable on the first demand</w:t>
      </w:r>
      <w:r w:rsidR="00066660" w:rsidRPr="005A3538">
        <w:t xml:space="preserve"> or </w:t>
      </w:r>
      <w:r w:rsidR="00907A57" w:rsidRPr="005A3538">
        <w:t xml:space="preserve">claim of the beneficiary against </w:t>
      </w:r>
      <w:r w:rsidR="00F766A7" w:rsidRPr="005A3538">
        <w:t xml:space="preserve">a </w:t>
      </w:r>
      <w:r w:rsidR="00907A57" w:rsidRPr="005A3538">
        <w:t>simple declaration of non-performance by the principal party, sometimes accompanied by minimum supporting documents</w:t>
      </w:r>
      <w:r w:rsidR="000B3385" w:rsidRPr="005A3538">
        <w:t>,</w:t>
      </w:r>
      <w:r w:rsidR="00907A57" w:rsidRPr="005A3538">
        <w:t xml:space="preserve"> as stated in the </w:t>
      </w:r>
      <w:r w:rsidR="00066660" w:rsidRPr="005A3538">
        <w:t xml:space="preserve">standby </w:t>
      </w:r>
      <w:r w:rsidR="00907A57" w:rsidRPr="005A3538">
        <w:t>LC.</w:t>
      </w:r>
      <w:r w:rsidR="004C1D7B">
        <w:t xml:space="preserve"> Supporting documents could be proof of delivery of goods</w:t>
      </w:r>
      <w:r w:rsidR="00141246">
        <w:t>,</w:t>
      </w:r>
      <w:r w:rsidR="004C1D7B">
        <w:t xml:space="preserve"> </w:t>
      </w:r>
      <w:r w:rsidR="00141246">
        <w:t xml:space="preserve">a </w:t>
      </w:r>
      <w:r w:rsidR="004C1D7B">
        <w:t>certificate of non-performance</w:t>
      </w:r>
      <w:r w:rsidR="00141246">
        <w:t>,</w:t>
      </w:r>
      <w:r w:rsidR="004C1D7B">
        <w:t xml:space="preserve"> or a simple statement of claim or claim certificate. </w:t>
      </w:r>
    </w:p>
    <w:p w14:paraId="23415F57" w14:textId="77777777" w:rsidR="00141246" w:rsidRDefault="00141246" w:rsidP="00811EA4">
      <w:pPr>
        <w:pStyle w:val="BodyTextMain"/>
      </w:pPr>
    </w:p>
    <w:p w14:paraId="337CEFB7" w14:textId="2300EFAF" w:rsidR="004122DE" w:rsidRPr="005A3538" w:rsidRDefault="00232081" w:rsidP="00B958F3">
      <w:pPr>
        <w:pStyle w:val="BodyTextMain"/>
      </w:pPr>
      <w:r w:rsidRPr="005A3538">
        <w:t xml:space="preserve">Thus, a </w:t>
      </w:r>
      <w:r w:rsidR="00577874" w:rsidRPr="005A3538">
        <w:t xml:space="preserve">standby </w:t>
      </w:r>
      <w:r w:rsidRPr="005A3538">
        <w:t xml:space="preserve">LC </w:t>
      </w:r>
      <w:r w:rsidR="00F766A7" w:rsidRPr="005A3538">
        <w:t>was</w:t>
      </w:r>
      <w:r w:rsidR="007905B8" w:rsidRPr="005A3538">
        <w:t xml:space="preserve"> </w:t>
      </w:r>
      <w:r w:rsidRPr="005A3538">
        <w:t xml:space="preserve">used as a substitute for performance guarantee or for securing </w:t>
      </w:r>
      <w:r w:rsidR="00A13D57">
        <w:t xml:space="preserve">a </w:t>
      </w:r>
      <w:r w:rsidRPr="005A3538">
        <w:t>debt obligation.</w:t>
      </w:r>
      <w:r w:rsidR="000B2455" w:rsidRPr="000430B4">
        <w:rPr>
          <w:rStyle w:val="FootnoteReference"/>
        </w:rPr>
        <w:footnoteReference w:id="22"/>
      </w:r>
      <w:r w:rsidR="007905B8" w:rsidRPr="005A3538">
        <w:t xml:space="preserve"> </w:t>
      </w:r>
      <w:r w:rsidR="00577874" w:rsidRPr="005A3538">
        <w:t>A s</w:t>
      </w:r>
      <w:r w:rsidR="004122DE" w:rsidRPr="005A3538">
        <w:t xml:space="preserve">tandby LC </w:t>
      </w:r>
      <w:r w:rsidR="00577874" w:rsidRPr="005A3538">
        <w:t>was</w:t>
      </w:r>
      <w:r w:rsidR="004122DE" w:rsidRPr="005A3538">
        <w:t xml:space="preserve"> a substitute for </w:t>
      </w:r>
      <w:r w:rsidR="00066660" w:rsidRPr="005A3538">
        <w:t xml:space="preserve">a </w:t>
      </w:r>
      <w:r w:rsidR="004122DE" w:rsidRPr="005A3538">
        <w:t>bank guarantee</w:t>
      </w:r>
      <w:r w:rsidR="0039376E" w:rsidRPr="005A3538">
        <w:t xml:space="preserve">. It </w:t>
      </w:r>
      <w:r w:rsidR="00066660" w:rsidRPr="005A3538">
        <w:t>was</w:t>
      </w:r>
      <w:r w:rsidR="004122DE" w:rsidRPr="005A3538">
        <w:t xml:space="preserve"> used in countries where </w:t>
      </w:r>
      <w:r w:rsidR="00066660" w:rsidRPr="005A3538">
        <w:t xml:space="preserve">the </w:t>
      </w:r>
      <w:r w:rsidR="004122DE" w:rsidRPr="005A3538">
        <w:t xml:space="preserve">issuing of bank guarantees </w:t>
      </w:r>
      <w:r w:rsidR="00F766A7" w:rsidRPr="005A3538">
        <w:t>was</w:t>
      </w:r>
      <w:r w:rsidR="004122DE" w:rsidRPr="005A3538">
        <w:t xml:space="preserve"> not allowed </w:t>
      </w:r>
      <w:r w:rsidR="00CF0643" w:rsidRPr="005A3538">
        <w:t>(</w:t>
      </w:r>
      <w:r w:rsidR="00F766A7" w:rsidRPr="005A3538">
        <w:t>for example,</w:t>
      </w:r>
      <w:r w:rsidR="004122DE" w:rsidRPr="005A3538">
        <w:t xml:space="preserve"> </w:t>
      </w:r>
      <w:r w:rsidR="00A13D57">
        <w:t xml:space="preserve">in </w:t>
      </w:r>
      <w:r w:rsidR="004122DE" w:rsidRPr="005A3538">
        <w:t xml:space="preserve">Japan and </w:t>
      </w:r>
      <w:r w:rsidR="00CF0643" w:rsidRPr="005A3538">
        <w:t xml:space="preserve">the </w:t>
      </w:r>
      <w:r w:rsidR="004122DE" w:rsidRPr="005A3538">
        <w:t>U</w:t>
      </w:r>
      <w:r w:rsidR="00CF0643" w:rsidRPr="005A3538">
        <w:t xml:space="preserve">nited </w:t>
      </w:r>
      <w:r w:rsidR="004122DE" w:rsidRPr="005A3538">
        <w:t>S</w:t>
      </w:r>
      <w:r w:rsidR="00CF0643" w:rsidRPr="005A3538">
        <w:t>tates)</w:t>
      </w:r>
      <w:r w:rsidR="004122DE" w:rsidRPr="005A3538">
        <w:t>.</w:t>
      </w:r>
    </w:p>
    <w:p w14:paraId="5B0509BC" w14:textId="77777777" w:rsidR="004122DE" w:rsidRPr="005A3538" w:rsidRDefault="004122DE" w:rsidP="00AC67AE">
      <w:pPr>
        <w:pStyle w:val="BodyTextMain"/>
        <w:rPr>
          <w:sz w:val="18"/>
          <w:szCs w:val="18"/>
        </w:rPr>
      </w:pPr>
    </w:p>
    <w:p w14:paraId="64ECFECF" w14:textId="77777777" w:rsidR="00F74D09" w:rsidRPr="005A3538" w:rsidRDefault="00F74D09" w:rsidP="00AC67AE">
      <w:pPr>
        <w:pStyle w:val="BodyTextMain"/>
        <w:rPr>
          <w:sz w:val="18"/>
          <w:szCs w:val="18"/>
        </w:rPr>
      </w:pPr>
    </w:p>
    <w:p w14:paraId="19BE1D27" w14:textId="39E4D241" w:rsidR="00F74D09" w:rsidRPr="005A3538" w:rsidRDefault="00F74D09" w:rsidP="00FF3573">
      <w:pPr>
        <w:pStyle w:val="Casehead1"/>
        <w:outlineLvl w:val="0"/>
      </w:pPr>
      <w:r w:rsidRPr="005A3538">
        <w:lastRenderedPageBreak/>
        <w:t>Mitigating INTERNATIONAL TRADE risks</w:t>
      </w:r>
    </w:p>
    <w:p w14:paraId="5EAFC637" w14:textId="77777777" w:rsidR="00F74D09" w:rsidRPr="005A3538" w:rsidRDefault="00F74D09" w:rsidP="00B958F3">
      <w:pPr>
        <w:pStyle w:val="BodyTextMain"/>
      </w:pPr>
    </w:p>
    <w:p w14:paraId="04B05671" w14:textId="1A62E3B4" w:rsidR="00EC2EDD" w:rsidRPr="005A3538" w:rsidRDefault="00EC2EDD" w:rsidP="00B958F3">
      <w:pPr>
        <w:pStyle w:val="BodyTextMain"/>
      </w:pPr>
      <w:r w:rsidRPr="005A3538">
        <w:t>Keeping all the risks of international trade transactions in mind, various payment mechan</w:t>
      </w:r>
      <w:r w:rsidR="0039376E" w:rsidRPr="005A3538">
        <w:t>is</w:t>
      </w:r>
      <w:r w:rsidRPr="005A3538">
        <w:t>ms and international trade instruments</w:t>
      </w:r>
      <w:r w:rsidR="000613AF" w:rsidRPr="005A3538">
        <w:t xml:space="preserve"> were</w:t>
      </w:r>
      <w:r w:rsidRPr="005A3538">
        <w:t xml:space="preserve"> developed over time. These payment methods and instruments </w:t>
      </w:r>
      <w:r w:rsidR="000613AF" w:rsidRPr="005A3538">
        <w:t>were</w:t>
      </w:r>
      <w:r w:rsidRPr="005A3538">
        <w:t xml:space="preserve"> designed to minimi</w:t>
      </w:r>
      <w:r w:rsidR="00E60EF1" w:rsidRPr="005A3538">
        <w:t>z</w:t>
      </w:r>
      <w:r w:rsidRPr="005A3538">
        <w:t xml:space="preserve">e risk for each of the parties involved. Depending on the </w:t>
      </w:r>
      <w:r w:rsidR="00D226B1" w:rsidRPr="005A3538">
        <w:t xml:space="preserve">level of trust between </w:t>
      </w:r>
      <w:r w:rsidR="00D44353" w:rsidRPr="005A3538">
        <w:t xml:space="preserve">the </w:t>
      </w:r>
      <w:r w:rsidR="00D226B1" w:rsidRPr="005A3538">
        <w:t>various parties and the international reputation of each part</w:t>
      </w:r>
      <w:r w:rsidR="000613AF" w:rsidRPr="005A3538">
        <w:t>y</w:t>
      </w:r>
      <w:r w:rsidR="00D226B1" w:rsidRPr="005A3538">
        <w:t xml:space="preserve">, different modes of </w:t>
      </w:r>
      <w:r w:rsidR="000B3385" w:rsidRPr="005A3538">
        <w:t xml:space="preserve">settling </w:t>
      </w:r>
      <w:r w:rsidR="00D226B1" w:rsidRPr="005A3538">
        <w:t>payment and other suitable devices</w:t>
      </w:r>
      <w:r w:rsidR="00C600E4">
        <w:t xml:space="preserve"> and </w:t>
      </w:r>
      <w:r w:rsidR="00D226B1" w:rsidRPr="005A3538">
        <w:t xml:space="preserve">business strategies </w:t>
      </w:r>
      <w:r w:rsidR="000613AF" w:rsidRPr="005A3538">
        <w:t>were</w:t>
      </w:r>
      <w:r w:rsidR="00D226B1" w:rsidRPr="005A3538">
        <w:t xml:space="preserve"> adopted. </w:t>
      </w:r>
    </w:p>
    <w:p w14:paraId="7BF0EC36" w14:textId="77777777" w:rsidR="00EC2EDD" w:rsidRPr="005A3538" w:rsidRDefault="00EC2EDD" w:rsidP="00B958F3">
      <w:pPr>
        <w:pStyle w:val="BodyTextMain"/>
      </w:pPr>
    </w:p>
    <w:p w14:paraId="7E38148B" w14:textId="77777777" w:rsidR="00C7149B" w:rsidRPr="005A3538" w:rsidRDefault="00C7149B" w:rsidP="00B958F3">
      <w:pPr>
        <w:pStyle w:val="BodyTextMain"/>
      </w:pPr>
    </w:p>
    <w:p w14:paraId="51216A3D" w14:textId="0BB8EB0D" w:rsidR="00EA6770" w:rsidRPr="005A3538" w:rsidRDefault="00221A5D" w:rsidP="00FF3573">
      <w:pPr>
        <w:pStyle w:val="Casehead2"/>
        <w:outlineLvl w:val="0"/>
      </w:pPr>
      <w:r w:rsidRPr="005A3538">
        <w:t>Mitigati</w:t>
      </w:r>
      <w:r w:rsidR="00DC061C" w:rsidRPr="005A3538">
        <w:t>ng T</w:t>
      </w:r>
      <w:r w:rsidR="00EA6770" w:rsidRPr="005A3538">
        <w:t>ransport (Carriage) Risk</w:t>
      </w:r>
    </w:p>
    <w:p w14:paraId="2DD1486B" w14:textId="77777777" w:rsidR="00EA6770" w:rsidRPr="005A3538" w:rsidRDefault="00EA6770" w:rsidP="00B958F3">
      <w:pPr>
        <w:pStyle w:val="BodyTextMain"/>
      </w:pPr>
    </w:p>
    <w:p w14:paraId="76C9BE4D" w14:textId="73B69DAB" w:rsidR="00C446AA" w:rsidRDefault="00EC2EDD" w:rsidP="00B958F3">
      <w:pPr>
        <w:pStyle w:val="BodyTextMain"/>
      </w:pPr>
      <w:r w:rsidRPr="005A3538">
        <w:t>An exporter c</w:t>
      </w:r>
      <w:r w:rsidR="003C0CEB" w:rsidRPr="005A3538">
        <w:t>ould</w:t>
      </w:r>
      <w:r w:rsidRPr="005A3538">
        <w:t xml:space="preserve"> minimi</w:t>
      </w:r>
      <w:r w:rsidR="00E60EF1" w:rsidRPr="005A3538">
        <w:t>z</w:t>
      </w:r>
      <w:r w:rsidRPr="005A3538">
        <w:t>e the ca</w:t>
      </w:r>
      <w:r w:rsidR="00221A5D" w:rsidRPr="005A3538">
        <w:t xml:space="preserve">rriage or transport risk </w:t>
      </w:r>
      <w:r w:rsidR="00B31841" w:rsidRPr="005A3538">
        <w:t>in different ways. For example, the exporter could ensure p</w:t>
      </w:r>
      <w:r w:rsidRPr="005A3538">
        <w:t>roper packaging</w:t>
      </w:r>
      <w:r w:rsidR="00B31841" w:rsidRPr="005A3538">
        <w:t xml:space="preserve"> and </w:t>
      </w:r>
      <w:r w:rsidRPr="005A3538">
        <w:t xml:space="preserve">storage, </w:t>
      </w:r>
      <w:r w:rsidR="00B31841" w:rsidRPr="005A3538">
        <w:t xml:space="preserve">and carefully </w:t>
      </w:r>
      <w:r w:rsidRPr="005A3538">
        <w:t>decid</w:t>
      </w:r>
      <w:r w:rsidR="00B31841" w:rsidRPr="005A3538">
        <w:t>e</w:t>
      </w:r>
      <w:r w:rsidRPr="005A3538">
        <w:t xml:space="preserve"> on the choice of transport and route</w:t>
      </w:r>
      <w:r w:rsidR="00B31841" w:rsidRPr="005A3538">
        <w:t>. The exporter could also</w:t>
      </w:r>
      <w:r w:rsidRPr="005A3538">
        <w:t xml:space="preserve"> tak</w:t>
      </w:r>
      <w:r w:rsidR="00B31841" w:rsidRPr="005A3538">
        <w:t xml:space="preserve">e </w:t>
      </w:r>
      <w:r w:rsidRPr="005A3538">
        <w:t>out cargo insurance or marine cargo insurance</w:t>
      </w:r>
      <w:r w:rsidR="00C446AA" w:rsidRPr="005A3538">
        <w:t xml:space="preserve"> to cover the loss or damage to the goods in transit, including </w:t>
      </w:r>
      <w:r w:rsidR="00C600E4">
        <w:t xml:space="preserve">loss or damage during </w:t>
      </w:r>
      <w:r w:rsidR="00C446AA" w:rsidRPr="005A3538">
        <w:t>delivery to the port or airport</w:t>
      </w:r>
      <w:r w:rsidR="00B31841" w:rsidRPr="005A3538">
        <w:t>. S</w:t>
      </w:r>
      <w:r w:rsidR="00C446AA" w:rsidRPr="005A3538">
        <w:t>elect</w:t>
      </w:r>
      <w:r w:rsidR="00B31841" w:rsidRPr="005A3538">
        <w:t xml:space="preserve">ing </w:t>
      </w:r>
      <w:r w:rsidR="00C446AA" w:rsidRPr="005A3538">
        <w:t>the right shipment terms</w:t>
      </w:r>
      <w:r w:rsidR="00B31841" w:rsidRPr="005A3538">
        <w:t>—</w:t>
      </w:r>
      <w:r w:rsidR="00C446AA" w:rsidRPr="005A3538">
        <w:t>as defined by I</w:t>
      </w:r>
      <w:r w:rsidR="00FF0EAF" w:rsidRPr="005A3538">
        <w:t>ncoterms</w:t>
      </w:r>
      <w:r w:rsidR="00C446AA" w:rsidRPr="005A3538">
        <w:t xml:space="preserve"> Rules</w:t>
      </w:r>
      <w:r w:rsidR="00B66137" w:rsidRPr="000430B4">
        <w:rPr>
          <w:rStyle w:val="FootnoteReference"/>
        </w:rPr>
        <w:footnoteReference w:id="23"/>
      </w:r>
      <w:r w:rsidR="00B31841" w:rsidRPr="005A3538">
        <w:t>—</w:t>
      </w:r>
      <w:r w:rsidR="00C446AA" w:rsidRPr="005A3538">
        <w:t>c</w:t>
      </w:r>
      <w:r w:rsidR="00B31841" w:rsidRPr="005A3538">
        <w:t>ould</w:t>
      </w:r>
      <w:r w:rsidR="00C446AA" w:rsidRPr="005A3538">
        <w:t xml:space="preserve"> help </w:t>
      </w:r>
      <w:r w:rsidR="00B31841" w:rsidRPr="005A3538">
        <w:t xml:space="preserve">with </w:t>
      </w:r>
      <w:r w:rsidR="00C446AA" w:rsidRPr="005A3538">
        <w:t>apportion</w:t>
      </w:r>
      <w:r w:rsidR="005A45C7" w:rsidRPr="005A3538">
        <w:t xml:space="preserve">ing </w:t>
      </w:r>
      <w:r w:rsidR="00C446AA" w:rsidRPr="005A3538">
        <w:t>responsibilities</w:t>
      </w:r>
      <w:r w:rsidR="005A45C7" w:rsidRPr="005A3538">
        <w:t xml:space="preserve"> and</w:t>
      </w:r>
      <w:r w:rsidR="00C446AA" w:rsidRPr="005A3538">
        <w:t xml:space="preserve"> costs</w:t>
      </w:r>
      <w:r w:rsidR="00B31841" w:rsidRPr="005A3538">
        <w:t>,</w:t>
      </w:r>
      <w:r w:rsidR="00C446AA" w:rsidRPr="005A3538">
        <w:t xml:space="preserve"> and </w:t>
      </w:r>
      <w:r w:rsidR="00C600E4">
        <w:t xml:space="preserve">help with </w:t>
      </w:r>
      <w:r w:rsidR="00C446AA" w:rsidRPr="005A3538">
        <w:t xml:space="preserve">passing risks incidental </w:t>
      </w:r>
      <w:r w:rsidR="00A377FA" w:rsidRPr="005A3538">
        <w:t>to delivery</w:t>
      </w:r>
      <w:r w:rsidR="00F077BA" w:rsidRPr="005A3538">
        <w:t>.</w:t>
      </w:r>
    </w:p>
    <w:p w14:paraId="20E3709D" w14:textId="108E7764" w:rsidR="00C600E4" w:rsidRDefault="00C600E4" w:rsidP="00B958F3">
      <w:pPr>
        <w:pStyle w:val="BodyTextMain"/>
      </w:pPr>
    </w:p>
    <w:p w14:paraId="4486FC30" w14:textId="77777777" w:rsidR="00C600E4" w:rsidRPr="005A3538" w:rsidRDefault="00C600E4" w:rsidP="00B958F3">
      <w:pPr>
        <w:pStyle w:val="BodyTextMain"/>
      </w:pPr>
    </w:p>
    <w:p w14:paraId="0B262EF2" w14:textId="346725E7" w:rsidR="00EA6770" w:rsidRPr="005A3538" w:rsidRDefault="00A377FA" w:rsidP="00FF3573">
      <w:pPr>
        <w:pStyle w:val="Casehead2"/>
        <w:outlineLvl w:val="0"/>
      </w:pPr>
      <w:r w:rsidRPr="005A3538">
        <w:t>Mitigat</w:t>
      </w:r>
      <w:r w:rsidR="00EA6770" w:rsidRPr="005A3538">
        <w:t>i</w:t>
      </w:r>
      <w:r w:rsidR="00DC061C" w:rsidRPr="005A3538">
        <w:t xml:space="preserve">ng </w:t>
      </w:r>
      <w:r w:rsidR="00EA6770" w:rsidRPr="005A3538">
        <w:t>Country (Sovereign) Risk</w:t>
      </w:r>
    </w:p>
    <w:p w14:paraId="02043813" w14:textId="77777777" w:rsidR="00EA6770" w:rsidRPr="005A3538" w:rsidRDefault="00EA6770" w:rsidP="00B958F3">
      <w:pPr>
        <w:pStyle w:val="BodyTextMain"/>
      </w:pPr>
    </w:p>
    <w:p w14:paraId="3218EFE5" w14:textId="3FCBA8F3" w:rsidR="00EC2EDD" w:rsidRPr="005A3538" w:rsidRDefault="003E1B36" w:rsidP="00B958F3">
      <w:pPr>
        <w:pStyle w:val="BodyTextMain"/>
      </w:pPr>
      <w:r w:rsidRPr="005A3538">
        <w:t>E</w:t>
      </w:r>
      <w:r w:rsidR="00EC2EDD" w:rsidRPr="005A3538">
        <w:t>xporter</w:t>
      </w:r>
      <w:r w:rsidRPr="005A3538">
        <w:t>s</w:t>
      </w:r>
      <w:r w:rsidR="00EC2EDD" w:rsidRPr="005A3538">
        <w:t xml:space="preserve"> c</w:t>
      </w:r>
      <w:r w:rsidR="009F5E35" w:rsidRPr="005A3538">
        <w:t>ould</w:t>
      </w:r>
      <w:r w:rsidR="00EC2EDD" w:rsidRPr="005A3538">
        <w:t xml:space="preserve"> minimi</w:t>
      </w:r>
      <w:r w:rsidR="00E60EF1" w:rsidRPr="005A3538">
        <w:t>z</w:t>
      </w:r>
      <w:r w:rsidR="00EC2EDD" w:rsidRPr="005A3538">
        <w:t xml:space="preserve">e country risk </w:t>
      </w:r>
      <w:r w:rsidRPr="005A3538">
        <w:t>b</w:t>
      </w:r>
      <w:r w:rsidR="00A377FA" w:rsidRPr="005A3538">
        <w:t xml:space="preserve">y </w:t>
      </w:r>
      <w:r w:rsidR="009F5E35" w:rsidRPr="005A3538">
        <w:t>obtaining</w:t>
      </w:r>
      <w:r w:rsidR="00EC2EDD" w:rsidRPr="005A3538">
        <w:t xml:space="preserve"> political risk cover from</w:t>
      </w:r>
      <w:r w:rsidR="00A377FA" w:rsidRPr="005A3538">
        <w:t xml:space="preserve"> export credit risk insurance companies </w:t>
      </w:r>
      <w:r w:rsidRPr="005A3538">
        <w:t xml:space="preserve">such as the </w:t>
      </w:r>
      <w:r w:rsidR="00EC2EDD" w:rsidRPr="005A3538">
        <w:t xml:space="preserve">ECGC. </w:t>
      </w:r>
      <w:r w:rsidRPr="005A3538">
        <w:t>They</w:t>
      </w:r>
      <w:r w:rsidR="00EC2EDD" w:rsidRPr="005A3538">
        <w:t xml:space="preserve"> c</w:t>
      </w:r>
      <w:r w:rsidR="00835B84" w:rsidRPr="005A3538">
        <w:t>ould</w:t>
      </w:r>
      <w:r w:rsidR="00EC2EDD" w:rsidRPr="005A3538">
        <w:t xml:space="preserve"> also obtain </w:t>
      </w:r>
      <w:r w:rsidR="00835B84" w:rsidRPr="005A3538">
        <w:t xml:space="preserve">a </w:t>
      </w:r>
      <w:r w:rsidR="00EC2EDD" w:rsidRPr="005A3538">
        <w:t xml:space="preserve">country risk rating from </w:t>
      </w:r>
      <w:r w:rsidR="00835B84" w:rsidRPr="005A3538">
        <w:t xml:space="preserve">the </w:t>
      </w:r>
      <w:r w:rsidR="00EC2EDD" w:rsidRPr="005A3538">
        <w:t>ECGC</w:t>
      </w:r>
      <w:r w:rsidR="00835B84" w:rsidRPr="005A3538">
        <w:t>,</w:t>
      </w:r>
      <w:r w:rsidR="00EC2EDD" w:rsidRPr="005A3538">
        <w:t xml:space="preserve"> </w:t>
      </w:r>
      <w:r w:rsidR="00C600E4">
        <w:t>or</w:t>
      </w:r>
      <w:r w:rsidR="00DC061C" w:rsidRPr="005A3538">
        <w:t xml:space="preserve"> from</w:t>
      </w:r>
      <w:r w:rsidR="00EC2EDD" w:rsidRPr="005A3538">
        <w:t xml:space="preserve"> credit</w:t>
      </w:r>
      <w:r w:rsidR="00835B84" w:rsidRPr="005A3538">
        <w:t>-</w:t>
      </w:r>
      <w:r w:rsidR="00EC2EDD" w:rsidRPr="005A3538">
        <w:t xml:space="preserve">rating agencies </w:t>
      </w:r>
      <w:r w:rsidR="009F5E35" w:rsidRPr="005A3538">
        <w:t>such as</w:t>
      </w:r>
      <w:r w:rsidR="00EC2EDD" w:rsidRPr="005A3538">
        <w:t xml:space="preserve"> Dun &amp; Brad</w:t>
      </w:r>
      <w:r w:rsidR="0061088B" w:rsidRPr="005A3538">
        <w:t>s</w:t>
      </w:r>
      <w:r w:rsidR="00EC2EDD" w:rsidRPr="005A3538">
        <w:t>treet</w:t>
      </w:r>
      <w:r w:rsidR="00835B84" w:rsidRPr="005A3538">
        <w:t>,</w:t>
      </w:r>
      <w:r w:rsidR="00EC2EDD" w:rsidRPr="005A3538">
        <w:t xml:space="preserve"> before taking an exposure to any country.</w:t>
      </w:r>
    </w:p>
    <w:p w14:paraId="0230E1FE" w14:textId="77777777" w:rsidR="003E1B36" w:rsidRPr="005A3538" w:rsidRDefault="003E1B36" w:rsidP="00746E68">
      <w:pPr>
        <w:pStyle w:val="BodyTextMain"/>
        <w:autoSpaceDE w:val="0"/>
        <w:autoSpaceDN w:val="0"/>
        <w:adjustRightInd w:val="0"/>
      </w:pPr>
    </w:p>
    <w:p w14:paraId="3BE888F3" w14:textId="7467DF20" w:rsidR="00EA6770" w:rsidRPr="005A3538" w:rsidRDefault="003E1B36" w:rsidP="00746E68">
      <w:pPr>
        <w:pStyle w:val="BodyTextMain"/>
        <w:autoSpaceDE w:val="0"/>
        <w:autoSpaceDN w:val="0"/>
        <w:adjustRightInd w:val="0"/>
        <w:rPr>
          <w:color w:val="000000"/>
        </w:rPr>
      </w:pPr>
      <w:r w:rsidRPr="005A3538">
        <w:t xml:space="preserve">Exporters could also </w:t>
      </w:r>
      <w:r w:rsidR="00A377FA" w:rsidRPr="005A3538">
        <w:t>stipulat</w:t>
      </w:r>
      <w:r w:rsidRPr="005A3538">
        <w:t>e</w:t>
      </w:r>
      <w:r w:rsidR="00A377FA" w:rsidRPr="005A3538">
        <w:t xml:space="preserve"> </w:t>
      </w:r>
      <w:r w:rsidR="00835B84" w:rsidRPr="005A3538">
        <w:t xml:space="preserve">a </w:t>
      </w:r>
      <w:r w:rsidR="00A377FA" w:rsidRPr="005A3538">
        <w:t xml:space="preserve">confirmed </w:t>
      </w:r>
      <w:r w:rsidR="00DC061C" w:rsidRPr="005A3538">
        <w:t>LC</w:t>
      </w:r>
      <w:r w:rsidR="00A377FA" w:rsidRPr="005A3538">
        <w:t xml:space="preserve"> by a bank outside the importer’s country</w:t>
      </w:r>
      <w:r w:rsidR="0061088B" w:rsidRPr="005A3538">
        <w:t>—</w:t>
      </w:r>
      <w:r w:rsidR="00A377FA" w:rsidRPr="005A3538">
        <w:t>preferably</w:t>
      </w:r>
      <w:r w:rsidR="009F5E35" w:rsidRPr="005A3538">
        <w:t xml:space="preserve"> </w:t>
      </w:r>
      <w:r w:rsidR="00F077BA" w:rsidRPr="005A3538">
        <w:t xml:space="preserve">a bank in the exporter’s own country. This </w:t>
      </w:r>
      <w:r w:rsidR="00835B84" w:rsidRPr="005A3538">
        <w:t>was</w:t>
      </w:r>
      <w:r w:rsidR="00F077BA" w:rsidRPr="005A3538">
        <w:t xml:space="preserve"> done in cases where the buyer’s country risk </w:t>
      </w:r>
      <w:r w:rsidR="00835B84" w:rsidRPr="005A3538">
        <w:t>was</w:t>
      </w:r>
      <w:r w:rsidR="00F077BA" w:rsidRPr="005A3538">
        <w:t xml:space="preserve"> high</w:t>
      </w:r>
      <w:r w:rsidR="009F5E35" w:rsidRPr="005A3538">
        <w:t>, such as</w:t>
      </w:r>
      <w:r w:rsidR="00F077BA" w:rsidRPr="005A3538">
        <w:t xml:space="preserve"> </w:t>
      </w:r>
      <w:r w:rsidR="00C600E4">
        <w:t xml:space="preserve">was the case with </w:t>
      </w:r>
      <w:r w:rsidR="00F077BA" w:rsidRPr="005A3538">
        <w:t xml:space="preserve">importing companies </w:t>
      </w:r>
      <w:r w:rsidR="00835B84" w:rsidRPr="005A3538">
        <w:t>that</w:t>
      </w:r>
      <w:r w:rsidR="00F077BA" w:rsidRPr="005A3538">
        <w:t xml:space="preserve"> operate</w:t>
      </w:r>
      <w:r w:rsidR="00835B84" w:rsidRPr="005A3538">
        <w:t>d</w:t>
      </w:r>
      <w:r w:rsidR="00F077BA" w:rsidRPr="005A3538">
        <w:t xml:space="preserve"> in countries with economic sanctions or embargoes</w:t>
      </w:r>
      <w:r w:rsidR="00835B84" w:rsidRPr="005A3538">
        <w:t>,</w:t>
      </w:r>
      <w:r w:rsidR="00F077BA" w:rsidRPr="005A3538">
        <w:t xml:space="preserve"> or when countries </w:t>
      </w:r>
      <w:r w:rsidR="00835B84" w:rsidRPr="005A3538">
        <w:t>were</w:t>
      </w:r>
      <w:r w:rsidR="00F077BA" w:rsidRPr="005A3538">
        <w:t xml:space="preserve"> rated below investment grade or even worse by international credit</w:t>
      </w:r>
      <w:r w:rsidR="00DC061C" w:rsidRPr="005A3538">
        <w:t>-</w:t>
      </w:r>
      <w:r w:rsidR="00F077BA" w:rsidRPr="005A3538">
        <w:t>rating agencies.</w:t>
      </w:r>
    </w:p>
    <w:p w14:paraId="496581D2" w14:textId="77777777" w:rsidR="00CF0643" w:rsidRPr="005A3538" w:rsidRDefault="00CF0643" w:rsidP="0079634C">
      <w:pPr>
        <w:pStyle w:val="BodyTextMain"/>
      </w:pPr>
    </w:p>
    <w:p w14:paraId="5FF95DC1" w14:textId="77777777" w:rsidR="00E3167D" w:rsidRPr="005A3538" w:rsidRDefault="00E3167D" w:rsidP="0079634C">
      <w:pPr>
        <w:pStyle w:val="BodyTextMain"/>
      </w:pPr>
    </w:p>
    <w:p w14:paraId="363C6EEF" w14:textId="62C86D01" w:rsidR="00EA6770" w:rsidRPr="005A3538" w:rsidRDefault="006E23C0" w:rsidP="00FF3573">
      <w:pPr>
        <w:pStyle w:val="Casehead2"/>
        <w:outlineLvl w:val="0"/>
      </w:pPr>
      <w:r w:rsidRPr="005A3538">
        <w:t>Mitigati</w:t>
      </w:r>
      <w:r w:rsidR="00DC061C" w:rsidRPr="005A3538">
        <w:t xml:space="preserve">ng </w:t>
      </w:r>
      <w:r w:rsidR="00EA6770" w:rsidRPr="005A3538">
        <w:t>Currency (Exchange Rate) Risk</w:t>
      </w:r>
    </w:p>
    <w:p w14:paraId="7995ECFA" w14:textId="77777777" w:rsidR="00EA6770" w:rsidRPr="005A3538" w:rsidRDefault="00EA6770" w:rsidP="00B958F3">
      <w:pPr>
        <w:pStyle w:val="BodyTextMain"/>
      </w:pPr>
    </w:p>
    <w:p w14:paraId="5F885B18" w14:textId="04FCE1B2" w:rsidR="005B299D" w:rsidRPr="005A3538" w:rsidRDefault="00717774" w:rsidP="00B958F3">
      <w:pPr>
        <w:pStyle w:val="BodyTextMain"/>
      </w:pPr>
      <w:r w:rsidRPr="005A3538">
        <w:t>E</w:t>
      </w:r>
      <w:r w:rsidR="00EC2EDD" w:rsidRPr="005A3538">
        <w:t>xporter</w:t>
      </w:r>
      <w:r w:rsidRPr="005A3538">
        <w:t>s</w:t>
      </w:r>
      <w:r w:rsidR="00EC2EDD" w:rsidRPr="005A3538">
        <w:t xml:space="preserve"> </w:t>
      </w:r>
      <w:r w:rsidRPr="005A3538">
        <w:t>and</w:t>
      </w:r>
      <w:r w:rsidR="005B299D" w:rsidRPr="005A3538">
        <w:t xml:space="preserve"> importer</w:t>
      </w:r>
      <w:r w:rsidRPr="005A3538">
        <w:t>s</w:t>
      </w:r>
      <w:r w:rsidR="005B299D" w:rsidRPr="005A3538">
        <w:t xml:space="preserve"> </w:t>
      </w:r>
      <w:r w:rsidR="00EC2EDD" w:rsidRPr="005A3538">
        <w:t>c</w:t>
      </w:r>
      <w:r w:rsidR="003C0CEB" w:rsidRPr="005A3538">
        <w:t xml:space="preserve">ould </w:t>
      </w:r>
      <w:r w:rsidR="00EC2EDD" w:rsidRPr="005A3538">
        <w:t>minimi</w:t>
      </w:r>
      <w:r w:rsidR="00E60EF1" w:rsidRPr="005A3538">
        <w:t>z</w:t>
      </w:r>
      <w:r w:rsidR="00EC2EDD" w:rsidRPr="005A3538">
        <w:t>e currency risk by</w:t>
      </w:r>
      <w:r w:rsidR="00FF0EAF" w:rsidRPr="005A3538">
        <w:t xml:space="preserve"> using </w:t>
      </w:r>
      <w:r w:rsidR="00EC2EDD" w:rsidRPr="005A3538">
        <w:t xml:space="preserve">hedging techniques </w:t>
      </w:r>
      <w:r w:rsidR="00FF0EAF" w:rsidRPr="005A3538">
        <w:t xml:space="preserve">such as </w:t>
      </w:r>
      <w:r w:rsidR="00EC2EDD" w:rsidRPr="005A3538">
        <w:t xml:space="preserve">purchasing </w:t>
      </w:r>
      <w:r w:rsidR="005B299D" w:rsidRPr="005A3538">
        <w:t xml:space="preserve">or selling </w:t>
      </w:r>
      <w:r w:rsidR="00EC2EDD" w:rsidRPr="005A3538">
        <w:t>forward exchange contract</w:t>
      </w:r>
      <w:r w:rsidR="00FF0EAF" w:rsidRPr="005A3538">
        <w:t>s</w:t>
      </w:r>
      <w:r w:rsidR="00EC2EDD" w:rsidRPr="005A3538">
        <w:t>, options</w:t>
      </w:r>
      <w:r w:rsidR="00FF0EAF" w:rsidRPr="005A3538">
        <w:t>,</w:t>
      </w:r>
      <w:r w:rsidR="00EC2EDD" w:rsidRPr="005A3538">
        <w:t xml:space="preserve"> and futures contract</w:t>
      </w:r>
      <w:r w:rsidR="00DC46DE" w:rsidRPr="005A3538">
        <w:t>s</w:t>
      </w:r>
      <w:r w:rsidR="00EC2EDD" w:rsidRPr="005A3538">
        <w:t>.</w:t>
      </w:r>
      <w:r w:rsidRPr="005A3538">
        <w:t xml:space="preserve"> They could also t</w:t>
      </w:r>
      <w:r w:rsidR="005B299D" w:rsidRPr="005A3538">
        <w:t>ak</w:t>
      </w:r>
      <w:r w:rsidRPr="005A3538">
        <w:t>e</w:t>
      </w:r>
      <w:r w:rsidR="005B299D" w:rsidRPr="005A3538">
        <w:t xml:space="preserve"> exchange rate fluctuation risk cover from export credit risk insurance companies </w:t>
      </w:r>
      <w:r w:rsidR="00DC46DE" w:rsidRPr="005A3538">
        <w:t>such as</w:t>
      </w:r>
      <w:r w:rsidR="005B299D" w:rsidRPr="005A3538">
        <w:t xml:space="preserve"> </w:t>
      </w:r>
      <w:r w:rsidR="00FF0EAF" w:rsidRPr="005A3538">
        <w:t>the ECGC</w:t>
      </w:r>
      <w:r w:rsidR="005B299D" w:rsidRPr="005A3538">
        <w:t>.</w:t>
      </w:r>
    </w:p>
    <w:p w14:paraId="57CA2732" w14:textId="77777777" w:rsidR="00EA6770" w:rsidRPr="00811EA4" w:rsidRDefault="00EA6770" w:rsidP="00AC67AE">
      <w:pPr>
        <w:pStyle w:val="BodyTextMain"/>
        <w:rPr>
          <w:sz w:val="18"/>
          <w:szCs w:val="18"/>
        </w:rPr>
      </w:pPr>
    </w:p>
    <w:p w14:paraId="56324322" w14:textId="77777777" w:rsidR="00CF0643" w:rsidRPr="00811EA4" w:rsidRDefault="00CF0643" w:rsidP="00AC67AE">
      <w:pPr>
        <w:pStyle w:val="BodyTextMain"/>
        <w:rPr>
          <w:sz w:val="18"/>
          <w:szCs w:val="18"/>
        </w:rPr>
      </w:pPr>
    </w:p>
    <w:p w14:paraId="40FEE222" w14:textId="5C91ACCA" w:rsidR="00EA6770" w:rsidRPr="005A3538" w:rsidRDefault="005B299D" w:rsidP="00FF3573">
      <w:pPr>
        <w:pStyle w:val="Casehead2"/>
        <w:outlineLvl w:val="0"/>
      </w:pPr>
      <w:r w:rsidRPr="005A3538">
        <w:t>Mitigat</w:t>
      </w:r>
      <w:r w:rsidR="00DC061C" w:rsidRPr="005A3538">
        <w:t xml:space="preserve">ing </w:t>
      </w:r>
      <w:r w:rsidRPr="005A3538">
        <w:t>Commercia</w:t>
      </w:r>
      <w:r w:rsidR="00EA6770" w:rsidRPr="005A3538">
        <w:t>l (Default or Non-Payment) Risk</w:t>
      </w:r>
    </w:p>
    <w:p w14:paraId="6FB1EC1F" w14:textId="77777777" w:rsidR="00EA6770" w:rsidRPr="00811EA4" w:rsidRDefault="00EA6770" w:rsidP="00B958F3">
      <w:pPr>
        <w:pStyle w:val="BodyTextMain"/>
        <w:rPr>
          <w:sz w:val="18"/>
          <w:szCs w:val="18"/>
        </w:rPr>
      </w:pPr>
    </w:p>
    <w:p w14:paraId="57C15E53" w14:textId="75236164" w:rsidR="00D226B1" w:rsidRPr="00811EA4" w:rsidRDefault="00EC2EDD" w:rsidP="00B958F3">
      <w:pPr>
        <w:pStyle w:val="BodyTextMain"/>
        <w:rPr>
          <w:spacing w:val="-6"/>
          <w:kern w:val="22"/>
        </w:rPr>
      </w:pPr>
      <w:r w:rsidRPr="00811EA4">
        <w:rPr>
          <w:spacing w:val="-6"/>
          <w:kern w:val="22"/>
        </w:rPr>
        <w:t xml:space="preserve">Finally, </w:t>
      </w:r>
      <w:r w:rsidR="003E1B36" w:rsidRPr="00811EA4">
        <w:rPr>
          <w:spacing w:val="-6"/>
          <w:kern w:val="22"/>
        </w:rPr>
        <w:t>e</w:t>
      </w:r>
      <w:r w:rsidRPr="00811EA4">
        <w:rPr>
          <w:spacing w:val="-6"/>
          <w:kern w:val="22"/>
        </w:rPr>
        <w:t>xporter</w:t>
      </w:r>
      <w:r w:rsidR="003E1B36" w:rsidRPr="00811EA4">
        <w:rPr>
          <w:spacing w:val="-6"/>
          <w:kern w:val="22"/>
        </w:rPr>
        <w:t>s</w:t>
      </w:r>
      <w:r w:rsidRPr="00811EA4">
        <w:rPr>
          <w:spacing w:val="-6"/>
          <w:kern w:val="22"/>
        </w:rPr>
        <w:t xml:space="preserve"> </w:t>
      </w:r>
      <w:r w:rsidR="003C0CEB" w:rsidRPr="00811EA4">
        <w:rPr>
          <w:spacing w:val="-6"/>
          <w:kern w:val="22"/>
        </w:rPr>
        <w:t>could</w:t>
      </w:r>
      <w:r w:rsidRPr="00811EA4">
        <w:rPr>
          <w:spacing w:val="-6"/>
          <w:kern w:val="22"/>
        </w:rPr>
        <w:t xml:space="preserve"> </w:t>
      </w:r>
      <w:r w:rsidR="00D226B1" w:rsidRPr="00811EA4">
        <w:rPr>
          <w:spacing w:val="-6"/>
          <w:kern w:val="22"/>
        </w:rPr>
        <w:t>mitigate</w:t>
      </w:r>
      <w:r w:rsidRPr="00811EA4">
        <w:rPr>
          <w:spacing w:val="-6"/>
          <w:kern w:val="22"/>
        </w:rPr>
        <w:t xml:space="preserve"> credit or commercial risk </w:t>
      </w:r>
      <w:r w:rsidR="006E5342" w:rsidRPr="00811EA4">
        <w:rPr>
          <w:spacing w:val="-6"/>
          <w:kern w:val="22"/>
        </w:rPr>
        <w:t>from</w:t>
      </w:r>
      <w:r w:rsidR="00D226B1" w:rsidRPr="00811EA4">
        <w:rPr>
          <w:spacing w:val="-6"/>
          <w:kern w:val="22"/>
        </w:rPr>
        <w:t xml:space="preserve"> overseas buyer</w:t>
      </w:r>
      <w:r w:rsidR="00576860" w:rsidRPr="00811EA4">
        <w:rPr>
          <w:spacing w:val="-6"/>
          <w:kern w:val="22"/>
        </w:rPr>
        <w:t>s</w:t>
      </w:r>
      <w:r w:rsidR="00D226B1" w:rsidRPr="00811EA4">
        <w:rPr>
          <w:spacing w:val="-6"/>
          <w:kern w:val="22"/>
        </w:rPr>
        <w:t>/importer</w:t>
      </w:r>
      <w:r w:rsidR="006E5342" w:rsidRPr="00811EA4">
        <w:rPr>
          <w:spacing w:val="-6"/>
          <w:kern w:val="22"/>
        </w:rPr>
        <w:t>s</w:t>
      </w:r>
      <w:r w:rsidR="00D226B1" w:rsidRPr="00811EA4">
        <w:rPr>
          <w:spacing w:val="-6"/>
          <w:kern w:val="22"/>
        </w:rPr>
        <w:t xml:space="preserve"> </w:t>
      </w:r>
      <w:r w:rsidR="00B60820" w:rsidRPr="00811EA4">
        <w:rPr>
          <w:spacing w:val="-6"/>
          <w:kern w:val="22"/>
        </w:rPr>
        <w:t>using</w:t>
      </w:r>
      <w:r w:rsidR="00D226B1" w:rsidRPr="00811EA4">
        <w:rPr>
          <w:spacing w:val="-6"/>
          <w:kern w:val="22"/>
        </w:rPr>
        <w:t xml:space="preserve"> various methods:</w:t>
      </w:r>
    </w:p>
    <w:p w14:paraId="2589BB20" w14:textId="77777777" w:rsidR="00811EA4" w:rsidRPr="00811EA4" w:rsidRDefault="00811EA4" w:rsidP="00B958F3">
      <w:pPr>
        <w:pStyle w:val="BodyTextMain"/>
        <w:rPr>
          <w:sz w:val="18"/>
          <w:szCs w:val="18"/>
        </w:rPr>
      </w:pPr>
    </w:p>
    <w:p w14:paraId="649D0856" w14:textId="15517455" w:rsidR="009B4D44" w:rsidRPr="005A3538" w:rsidRDefault="005B299D" w:rsidP="00F577F7">
      <w:pPr>
        <w:pStyle w:val="BodyTextMain"/>
        <w:numPr>
          <w:ilvl w:val="0"/>
          <w:numId w:val="7"/>
        </w:numPr>
      </w:pPr>
      <w:r w:rsidRPr="00B958F3">
        <w:rPr>
          <w:i/>
        </w:rPr>
        <w:t>A</w:t>
      </w:r>
      <w:r w:rsidR="00D226B1" w:rsidRPr="00B958F3">
        <w:rPr>
          <w:i/>
        </w:rPr>
        <w:t>dvance payment obtained from the buyer</w:t>
      </w:r>
      <w:r w:rsidR="00B60820" w:rsidRPr="005A3538">
        <w:t>—</w:t>
      </w:r>
      <w:proofErr w:type="gramStart"/>
      <w:r w:rsidR="00C600E4">
        <w:t>The</w:t>
      </w:r>
      <w:proofErr w:type="gramEnd"/>
      <w:r w:rsidR="00C600E4">
        <w:t xml:space="preserve"> exporter could ask</w:t>
      </w:r>
      <w:r w:rsidR="00D226B1" w:rsidRPr="005A3538">
        <w:t xml:space="preserve"> the buyer to pay for the goods before they</w:t>
      </w:r>
      <w:r w:rsidR="00B60820" w:rsidRPr="005A3538">
        <w:t xml:space="preserve"> were</w:t>
      </w:r>
      <w:r w:rsidR="00D226B1" w:rsidRPr="005A3538">
        <w:t xml:space="preserve"> shipped. Depending on the situation, </w:t>
      </w:r>
      <w:r w:rsidR="00576860" w:rsidRPr="005A3538">
        <w:t xml:space="preserve">an </w:t>
      </w:r>
      <w:r w:rsidR="00D226B1" w:rsidRPr="005A3538">
        <w:t xml:space="preserve">advance payment could be </w:t>
      </w:r>
      <w:r w:rsidR="009B4D44" w:rsidRPr="005A3538">
        <w:t xml:space="preserve">made for a </w:t>
      </w:r>
      <w:r w:rsidR="00C600E4">
        <w:t>portion</w:t>
      </w:r>
      <w:r w:rsidR="00C600E4" w:rsidRPr="005A3538">
        <w:t xml:space="preserve"> </w:t>
      </w:r>
      <w:r w:rsidR="009B4D44" w:rsidRPr="005A3538">
        <w:t>of the amount or for the full amount.</w:t>
      </w:r>
    </w:p>
    <w:p w14:paraId="36B1892C" w14:textId="70E8A4FD" w:rsidR="00D226B1" w:rsidRPr="005A3538" w:rsidRDefault="00934665" w:rsidP="00F577F7">
      <w:pPr>
        <w:pStyle w:val="BodyTextMain"/>
        <w:numPr>
          <w:ilvl w:val="0"/>
          <w:numId w:val="7"/>
        </w:numPr>
      </w:pPr>
      <w:r w:rsidRPr="00B958F3">
        <w:rPr>
          <w:i/>
        </w:rPr>
        <w:lastRenderedPageBreak/>
        <w:t xml:space="preserve">Credit </w:t>
      </w:r>
      <w:r w:rsidR="00B60820" w:rsidRPr="00B958F3">
        <w:rPr>
          <w:i/>
        </w:rPr>
        <w:t>r</w:t>
      </w:r>
      <w:r w:rsidRPr="00B958F3">
        <w:rPr>
          <w:i/>
        </w:rPr>
        <w:t>eport on the buyer</w:t>
      </w:r>
      <w:r w:rsidR="00576860" w:rsidRPr="00B958F3">
        <w:rPr>
          <w:i/>
        </w:rPr>
        <w:t xml:space="preserve">, </w:t>
      </w:r>
      <w:r w:rsidRPr="00B958F3">
        <w:rPr>
          <w:i/>
        </w:rPr>
        <w:t>which provide</w:t>
      </w:r>
      <w:r w:rsidR="00105BC4" w:rsidRPr="00B958F3">
        <w:rPr>
          <w:i/>
        </w:rPr>
        <w:t>d</w:t>
      </w:r>
      <w:r w:rsidRPr="00B958F3">
        <w:rPr>
          <w:i/>
        </w:rPr>
        <w:t xml:space="preserve"> </w:t>
      </w:r>
      <w:r w:rsidR="00B60820" w:rsidRPr="00B958F3">
        <w:rPr>
          <w:i/>
        </w:rPr>
        <w:t xml:space="preserve">the buyer’s </w:t>
      </w:r>
      <w:r w:rsidRPr="00B958F3">
        <w:rPr>
          <w:i/>
        </w:rPr>
        <w:t>purchase and payment history</w:t>
      </w:r>
      <w:r w:rsidR="00576860" w:rsidRPr="005A3538">
        <w:t>—</w:t>
      </w:r>
      <w:proofErr w:type="gramStart"/>
      <w:r w:rsidRPr="005A3538">
        <w:t>This</w:t>
      </w:r>
      <w:proofErr w:type="gramEnd"/>
      <w:r w:rsidRPr="005A3538">
        <w:t xml:space="preserve"> </w:t>
      </w:r>
      <w:r w:rsidR="00B60820" w:rsidRPr="005A3538">
        <w:t>report was</w:t>
      </w:r>
      <w:r w:rsidRPr="005A3538">
        <w:t xml:space="preserve"> usually obtained from </w:t>
      </w:r>
      <w:r w:rsidR="0039376E" w:rsidRPr="005A3538">
        <w:t xml:space="preserve">the </w:t>
      </w:r>
      <w:r w:rsidRPr="005A3538">
        <w:t xml:space="preserve">buyer’s bank or </w:t>
      </w:r>
      <w:r w:rsidR="00C600E4">
        <w:t xml:space="preserve">from </w:t>
      </w:r>
      <w:r w:rsidRPr="005A3538">
        <w:t xml:space="preserve">market investigation agencies like Dun &amp; Bradstreet. </w:t>
      </w:r>
    </w:p>
    <w:p w14:paraId="3853A0A1" w14:textId="280E7306" w:rsidR="00934665" w:rsidRPr="005A3538" w:rsidRDefault="00934665" w:rsidP="00F577F7">
      <w:pPr>
        <w:pStyle w:val="BodyTextMain"/>
        <w:numPr>
          <w:ilvl w:val="0"/>
          <w:numId w:val="7"/>
        </w:numPr>
        <w:rPr>
          <w:spacing w:val="-4"/>
          <w:kern w:val="22"/>
        </w:rPr>
      </w:pPr>
      <w:r w:rsidRPr="00B958F3">
        <w:rPr>
          <w:i/>
          <w:spacing w:val="-4"/>
          <w:kern w:val="22"/>
        </w:rPr>
        <w:t xml:space="preserve">Documents sent on </w:t>
      </w:r>
      <w:r w:rsidR="00B60820" w:rsidRPr="00B958F3">
        <w:rPr>
          <w:i/>
          <w:spacing w:val="-4"/>
          <w:kern w:val="22"/>
        </w:rPr>
        <w:t xml:space="preserve">a </w:t>
      </w:r>
      <w:r w:rsidRPr="00B958F3">
        <w:rPr>
          <w:i/>
          <w:spacing w:val="-4"/>
          <w:kern w:val="22"/>
        </w:rPr>
        <w:t>collection basis</w:t>
      </w:r>
      <w:r w:rsidR="00BF1BE1" w:rsidRPr="005A3538">
        <w:rPr>
          <w:spacing w:val="-4"/>
          <w:kern w:val="22"/>
        </w:rPr>
        <w:t>—</w:t>
      </w:r>
      <w:proofErr w:type="gramStart"/>
      <w:r w:rsidR="001A2A40" w:rsidRPr="005A3538">
        <w:rPr>
          <w:spacing w:val="-4"/>
          <w:kern w:val="22"/>
        </w:rPr>
        <w:t>T</w:t>
      </w:r>
      <w:r w:rsidRPr="005A3538">
        <w:rPr>
          <w:spacing w:val="-4"/>
          <w:kern w:val="22"/>
        </w:rPr>
        <w:t>he</w:t>
      </w:r>
      <w:proofErr w:type="gramEnd"/>
      <w:r w:rsidRPr="005A3538">
        <w:rPr>
          <w:spacing w:val="-4"/>
          <w:kern w:val="22"/>
        </w:rPr>
        <w:t xml:space="preserve"> documents of title to the goods</w:t>
      </w:r>
      <w:r w:rsidR="00B002F2">
        <w:rPr>
          <w:spacing w:val="-4"/>
          <w:kern w:val="22"/>
        </w:rPr>
        <w:t xml:space="preserve"> (</w:t>
      </w:r>
      <w:r w:rsidRPr="005A3538">
        <w:rPr>
          <w:spacing w:val="-4"/>
          <w:kern w:val="22"/>
        </w:rPr>
        <w:t>transport documents</w:t>
      </w:r>
      <w:r w:rsidR="00B002F2">
        <w:rPr>
          <w:spacing w:val="-4"/>
          <w:kern w:val="22"/>
        </w:rPr>
        <w:t>)</w:t>
      </w:r>
      <w:r w:rsidRPr="005A3538">
        <w:rPr>
          <w:spacing w:val="-4"/>
          <w:kern w:val="22"/>
        </w:rPr>
        <w:t xml:space="preserve"> and other commercial documents </w:t>
      </w:r>
      <w:r w:rsidR="00B60820" w:rsidRPr="005A3538">
        <w:rPr>
          <w:spacing w:val="-4"/>
          <w:kern w:val="22"/>
        </w:rPr>
        <w:t>were</w:t>
      </w:r>
      <w:r w:rsidRPr="005A3538">
        <w:rPr>
          <w:spacing w:val="-4"/>
          <w:kern w:val="22"/>
        </w:rPr>
        <w:t xml:space="preserve"> forwarded through the bank and handed over to the importer only on payment.</w:t>
      </w:r>
    </w:p>
    <w:p w14:paraId="2C23E2E4" w14:textId="6156BCF7" w:rsidR="00E91255" w:rsidRPr="005A3538" w:rsidRDefault="00934665" w:rsidP="00F577F7">
      <w:pPr>
        <w:pStyle w:val="BodyTextMain"/>
        <w:numPr>
          <w:ilvl w:val="0"/>
          <w:numId w:val="7"/>
        </w:numPr>
        <w:rPr>
          <w:spacing w:val="-4"/>
          <w:kern w:val="22"/>
        </w:rPr>
      </w:pPr>
      <w:r w:rsidRPr="00B958F3">
        <w:rPr>
          <w:i/>
          <w:spacing w:val="-4"/>
          <w:kern w:val="22"/>
        </w:rPr>
        <w:t>L</w:t>
      </w:r>
      <w:r w:rsidR="00CA46EE" w:rsidRPr="00B958F3">
        <w:rPr>
          <w:i/>
          <w:spacing w:val="-4"/>
          <w:kern w:val="22"/>
        </w:rPr>
        <w:t>C</w:t>
      </w:r>
      <w:r w:rsidR="00BF1BE1" w:rsidRPr="005A3538">
        <w:rPr>
          <w:spacing w:val="-4"/>
          <w:kern w:val="22"/>
        </w:rPr>
        <w:t>—</w:t>
      </w:r>
      <w:proofErr w:type="gramStart"/>
      <w:r w:rsidR="00576860" w:rsidRPr="005A3538">
        <w:rPr>
          <w:spacing w:val="-4"/>
          <w:kern w:val="22"/>
        </w:rPr>
        <w:t>T</w:t>
      </w:r>
      <w:r w:rsidR="00067888" w:rsidRPr="005A3538">
        <w:rPr>
          <w:spacing w:val="-4"/>
          <w:kern w:val="22"/>
        </w:rPr>
        <w:t>he</w:t>
      </w:r>
      <w:proofErr w:type="gramEnd"/>
      <w:r w:rsidR="00067888" w:rsidRPr="005A3538">
        <w:rPr>
          <w:spacing w:val="-4"/>
          <w:kern w:val="22"/>
        </w:rPr>
        <w:t xml:space="preserve"> buyer establishe</w:t>
      </w:r>
      <w:r w:rsidR="00B60820" w:rsidRPr="005A3538">
        <w:rPr>
          <w:spacing w:val="-4"/>
          <w:kern w:val="22"/>
        </w:rPr>
        <w:t>d</w:t>
      </w:r>
      <w:r w:rsidR="00067888" w:rsidRPr="005A3538">
        <w:rPr>
          <w:spacing w:val="-4"/>
          <w:kern w:val="22"/>
        </w:rPr>
        <w:t xml:space="preserve"> a</w:t>
      </w:r>
      <w:r w:rsidR="00CA46EE" w:rsidRPr="005A3538">
        <w:rPr>
          <w:spacing w:val="-4"/>
          <w:kern w:val="22"/>
        </w:rPr>
        <w:t>n</w:t>
      </w:r>
      <w:r w:rsidR="00067888" w:rsidRPr="005A3538">
        <w:rPr>
          <w:spacing w:val="-4"/>
          <w:kern w:val="22"/>
        </w:rPr>
        <w:t xml:space="preserve"> </w:t>
      </w:r>
      <w:r w:rsidR="00CA46EE" w:rsidRPr="005A3538">
        <w:rPr>
          <w:spacing w:val="-4"/>
          <w:kern w:val="22"/>
        </w:rPr>
        <w:t>LC</w:t>
      </w:r>
      <w:r w:rsidR="00067888" w:rsidRPr="005A3538">
        <w:rPr>
          <w:spacing w:val="-4"/>
          <w:kern w:val="22"/>
        </w:rPr>
        <w:t xml:space="preserve"> issued by </w:t>
      </w:r>
      <w:r w:rsidR="008A6B6D" w:rsidRPr="005A3538">
        <w:rPr>
          <w:spacing w:val="-4"/>
          <w:kern w:val="22"/>
        </w:rPr>
        <w:t xml:space="preserve">the </w:t>
      </w:r>
      <w:r w:rsidR="00067888" w:rsidRPr="005A3538">
        <w:rPr>
          <w:spacing w:val="-4"/>
          <w:kern w:val="22"/>
        </w:rPr>
        <w:t>bank</w:t>
      </w:r>
      <w:r w:rsidR="00E91255" w:rsidRPr="005A3538">
        <w:rPr>
          <w:spacing w:val="-4"/>
          <w:kern w:val="22"/>
        </w:rPr>
        <w:t xml:space="preserve"> in favour of the </w:t>
      </w:r>
      <w:r w:rsidR="00C859E0">
        <w:rPr>
          <w:spacing w:val="-4"/>
          <w:kern w:val="22"/>
        </w:rPr>
        <w:t>supplier</w:t>
      </w:r>
      <w:r w:rsidR="00CA46EE" w:rsidRPr="005A3538">
        <w:rPr>
          <w:spacing w:val="-4"/>
          <w:kern w:val="22"/>
        </w:rPr>
        <w:t>,</w:t>
      </w:r>
      <w:r w:rsidR="00E91255" w:rsidRPr="005A3538">
        <w:rPr>
          <w:spacing w:val="-4"/>
          <w:kern w:val="22"/>
        </w:rPr>
        <w:t xml:space="preserve"> where</w:t>
      </w:r>
      <w:r w:rsidR="00576860" w:rsidRPr="005A3538">
        <w:rPr>
          <w:spacing w:val="-4"/>
          <w:kern w:val="22"/>
        </w:rPr>
        <w:t>by</w:t>
      </w:r>
      <w:r w:rsidR="00E91255" w:rsidRPr="005A3538">
        <w:rPr>
          <w:spacing w:val="-4"/>
          <w:kern w:val="22"/>
        </w:rPr>
        <w:t xml:space="preserve"> the bank undert</w:t>
      </w:r>
      <w:r w:rsidR="008A6B6D" w:rsidRPr="005A3538">
        <w:rPr>
          <w:spacing w:val="-4"/>
          <w:kern w:val="22"/>
        </w:rPr>
        <w:t>ook</w:t>
      </w:r>
      <w:r w:rsidR="00E91255" w:rsidRPr="005A3538">
        <w:rPr>
          <w:spacing w:val="-4"/>
          <w:kern w:val="22"/>
        </w:rPr>
        <w:t xml:space="preserve"> to pay the supplier if documents </w:t>
      </w:r>
      <w:r w:rsidR="008A6B6D" w:rsidRPr="005A3538">
        <w:rPr>
          <w:spacing w:val="-4"/>
          <w:kern w:val="22"/>
        </w:rPr>
        <w:t>were</w:t>
      </w:r>
      <w:r w:rsidR="00E91255" w:rsidRPr="005A3538">
        <w:rPr>
          <w:spacing w:val="-4"/>
          <w:kern w:val="22"/>
        </w:rPr>
        <w:t xml:space="preserve"> in order and conditions of the credit </w:t>
      </w:r>
      <w:r w:rsidR="00C859E0">
        <w:rPr>
          <w:spacing w:val="-4"/>
          <w:kern w:val="22"/>
        </w:rPr>
        <w:t>had been met</w:t>
      </w:r>
      <w:r w:rsidR="00E91255" w:rsidRPr="005A3538">
        <w:rPr>
          <w:spacing w:val="-4"/>
          <w:kern w:val="22"/>
        </w:rPr>
        <w:t>.</w:t>
      </w:r>
    </w:p>
    <w:p w14:paraId="6CDAA064" w14:textId="0EB8A9D7" w:rsidR="00E91255" w:rsidRPr="005A3538" w:rsidRDefault="00E91255" w:rsidP="008A6B6D">
      <w:pPr>
        <w:pStyle w:val="BodyTextMain"/>
        <w:numPr>
          <w:ilvl w:val="0"/>
          <w:numId w:val="7"/>
        </w:numPr>
      </w:pPr>
      <w:r w:rsidRPr="00B958F3">
        <w:rPr>
          <w:i/>
        </w:rPr>
        <w:t xml:space="preserve">Confirmed </w:t>
      </w:r>
      <w:r w:rsidR="00CA46EE" w:rsidRPr="00B958F3">
        <w:rPr>
          <w:i/>
        </w:rPr>
        <w:t>LC</w:t>
      </w:r>
      <w:r w:rsidR="00BF1BE1" w:rsidRPr="005A3538">
        <w:t>—</w:t>
      </w:r>
      <w:proofErr w:type="gramStart"/>
      <w:r w:rsidR="00576860" w:rsidRPr="005A3538">
        <w:t>A</w:t>
      </w:r>
      <w:r w:rsidRPr="005A3538">
        <w:t>nother</w:t>
      </w:r>
      <w:proofErr w:type="gramEnd"/>
      <w:r w:rsidRPr="005A3538">
        <w:t xml:space="preserve"> bank </w:t>
      </w:r>
      <w:r w:rsidR="00BF1BE1" w:rsidRPr="005A3538">
        <w:t>in</w:t>
      </w:r>
      <w:r w:rsidRPr="005A3538">
        <w:t xml:space="preserve"> the exporter’s country confirm</w:t>
      </w:r>
      <w:r w:rsidR="00BF1BE1" w:rsidRPr="005A3538">
        <w:t>ed</w:t>
      </w:r>
      <w:r w:rsidRPr="005A3538">
        <w:t xml:space="preserve"> or guarantee</w:t>
      </w:r>
      <w:r w:rsidR="00BF1BE1" w:rsidRPr="005A3538">
        <w:t>d</w:t>
      </w:r>
      <w:r w:rsidRPr="005A3538">
        <w:t xml:space="preserve"> the credit issued by the importer’s bank</w:t>
      </w:r>
      <w:r w:rsidR="008A6B6D" w:rsidRPr="005A3538">
        <w:t>. As a result,</w:t>
      </w:r>
      <w:r w:rsidRPr="005A3538">
        <w:t xml:space="preserve"> the bank risk </w:t>
      </w:r>
      <w:r w:rsidR="008A6B6D" w:rsidRPr="005A3538">
        <w:t>was</w:t>
      </w:r>
      <w:r w:rsidRPr="005A3538">
        <w:t xml:space="preserve"> shifted from the impo</w:t>
      </w:r>
      <w:r w:rsidR="00BF1BE1" w:rsidRPr="005A3538">
        <w:t>r</w:t>
      </w:r>
      <w:r w:rsidRPr="005A3538">
        <w:t>ter’s country to the exporter’s country</w:t>
      </w:r>
      <w:r w:rsidR="00CA46EE" w:rsidRPr="005A3538">
        <w:t>,</w:t>
      </w:r>
      <w:r w:rsidR="008A6B6D" w:rsidRPr="005A3538">
        <w:t xml:space="preserve"> </w:t>
      </w:r>
      <w:r w:rsidR="006B1E84" w:rsidRPr="005A3538">
        <w:t>helping the exporter locali</w:t>
      </w:r>
      <w:r w:rsidR="00D60E98" w:rsidRPr="005A3538">
        <w:t>z</w:t>
      </w:r>
      <w:r w:rsidRPr="005A3538">
        <w:t>e the risk.</w:t>
      </w:r>
    </w:p>
    <w:p w14:paraId="0FE8BC85" w14:textId="4F266D19" w:rsidR="00E77D90" w:rsidRPr="005A3538" w:rsidRDefault="00E91255" w:rsidP="00F577F7">
      <w:pPr>
        <w:pStyle w:val="BodyTextMain"/>
        <w:numPr>
          <w:ilvl w:val="0"/>
          <w:numId w:val="7"/>
        </w:numPr>
      </w:pPr>
      <w:r w:rsidRPr="00B958F3">
        <w:rPr>
          <w:i/>
        </w:rPr>
        <w:t>Credit risk insurance</w:t>
      </w:r>
      <w:r w:rsidR="00576860" w:rsidRPr="005A3538">
        <w:t>—</w:t>
      </w:r>
      <w:proofErr w:type="gramStart"/>
      <w:r w:rsidR="00576860" w:rsidRPr="005A3538">
        <w:t>The</w:t>
      </w:r>
      <w:proofErr w:type="gramEnd"/>
      <w:r w:rsidR="00576860" w:rsidRPr="005A3538">
        <w:t xml:space="preserve"> exporter obtained</w:t>
      </w:r>
      <w:r w:rsidR="00EC2EDD" w:rsidRPr="005A3538">
        <w:t xml:space="preserve"> </w:t>
      </w:r>
      <w:r w:rsidR="00E77D90" w:rsidRPr="005A3538">
        <w:t>c</w:t>
      </w:r>
      <w:r w:rsidR="00EC2EDD" w:rsidRPr="005A3538">
        <w:t>over for commercial risks</w:t>
      </w:r>
      <w:r w:rsidR="00E77D90" w:rsidRPr="005A3538">
        <w:t xml:space="preserve"> from export credit risk insurance companies </w:t>
      </w:r>
      <w:r w:rsidR="00105BC4" w:rsidRPr="005A3538">
        <w:t xml:space="preserve">such as the </w:t>
      </w:r>
      <w:r w:rsidR="00E77D90" w:rsidRPr="005A3538">
        <w:t>ECGC.</w:t>
      </w:r>
    </w:p>
    <w:p w14:paraId="659AE5A9" w14:textId="77777777" w:rsidR="00553220" w:rsidRPr="005A3538" w:rsidRDefault="00553220" w:rsidP="005A3538">
      <w:pPr>
        <w:pStyle w:val="BodyTextMain"/>
      </w:pPr>
    </w:p>
    <w:p w14:paraId="116D7D27" w14:textId="68FE8751" w:rsidR="00C7149B" w:rsidRPr="005A3538" w:rsidRDefault="00C7149B" w:rsidP="005A3538">
      <w:pPr>
        <w:pStyle w:val="BodyTextMain"/>
      </w:pPr>
    </w:p>
    <w:p w14:paraId="068B730B" w14:textId="36B788FD" w:rsidR="00066136" w:rsidRPr="005A3538" w:rsidRDefault="00066136" w:rsidP="00FF3573">
      <w:pPr>
        <w:pStyle w:val="Casehead1"/>
        <w:outlineLvl w:val="0"/>
        <w:rPr>
          <w:rFonts w:ascii="Times New Roman" w:hAnsi="Times New Roman" w:cs="Times New Roman"/>
          <w:sz w:val="22"/>
          <w:szCs w:val="22"/>
        </w:rPr>
      </w:pPr>
      <w:r w:rsidRPr="005A3538">
        <w:t xml:space="preserve">OTHER </w:t>
      </w:r>
      <w:r w:rsidR="00D7136D" w:rsidRPr="005A3538">
        <w:t xml:space="preserve">seminar </w:t>
      </w:r>
      <w:r w:rsidRPr="005A3538">
        <w:t>TOPICS</w:t>
      </w:r>
    </w:p>
    <w:p w14:paraId="2B962717" w14:textId="77777777" w:rsidR="00D7136D" w:rsidRPr="005A3538" w:rsidRDefault="00D7136D" w:rsidP="005A3538">
      <w:pPr>
        <w:pStyle w:val="BodyTextMain"/>
      </w:pPr>
    </w:p>
    <w:p w14:paraId="2BF35001" w14:textId="579C2B11" w:rsidR="00066136" w:rsidRPr="005A3538" w:rsidRDefault="00066136" w:rsidP="00FF3573">
      <w:pPr>
        <w:pStyle w:val="BodyTextMain"/>
        <w:outlineLvl w:val="0"/>
      </w:pPr>
      <w:r w:rsidRPr="005A3538">
        <w:t xml:space="preserve">The seminar also briefly dealt with the regulatory framework relating to </w:t>
      </w:r>
      <w:r w:rsidR="00404303" w:rsidRPr="005A3538">
        <w:t>DLCs</w:t>
      </w:r>
      <w:r w:rsidR="00B60820" w:rsidRPr="005A3538">
        <w:t>.</w:t>
      </w:r>
    </w:p>
    <w:p w14:paraId="33CAB097" w14:textId="77777777" w:rsidR="00BA1A05" w:rsidRPr="005A3538" w:rsidRDefault="00BA1A05" w:rsidP="00CF0643">
      <w:pPr>
        <w:pStyle w:val="BodyTextMain"/>
      </w:pPr>
    </w:p>
    <w:p w14:paraId="0C6C240D" w14:textId="77777777" w:rsidR="00553220" w:rsidRPr="005A3538" w:rsidRDefault="00553220" w:rsidP="00CF0643">
      <w:pPr>
        <w:pStyle w:val="BodyTextMain"/>
      </w:pPr>
    </w:p>
    <w:p w14:paraId="3F4409A4" w14:textId="77777777" w:rsidR="00EA6770" w:rsidRPr="005A3538" w:rsidRDefault="00066136" w:rsidP="00FF3573">
      <w:pPr>
        <w:pStyle w:val="Casehead2"/>
        <w:outlineLvl w:val="0"/>
      </w:pPr>
      <w:r w:rsidRPr="005A3538">
        <w:t>Regulatory Requi</w:t>
      </w:r>
      <w:r w:rsidR="00EA6770" w:rsidRPr="005A3538">
        <w:t>rements</w:t>
      </w:r>
    </w:p>
    <w:p w14:paraId="241EA29B" w14:textId="77777777" w:rsidR="00EA6770" w:rsidRPr="005A3538" w:rsidRDefault="00EA6770" w:rsidP="005A3538">
      <w:pPr>
        <w:pStyle w:val="BodyTextMain"/>
        <w:rPr>
          <w:sz w:val="18"/>
          <w:szCs w:val="18"/>
        </w:rPr>
      </w:pPr>
    </w:p>
    <w:p w14:paraId="2D2A37A1" w14:textId="1D2D1520" w:rsidR="00066136" w:rsidRPr="005A3538" w:rsidRDefault="004E5578" w:rsidP="00066136">
      <w:pPr>
        <w:pStyle w:val="BodyTextMain"/>
      </w:pPr>
      <w:r w:rsidRPr="005A3538">
        <w:t xml:space="preserve">International trade transactions, both exports and imports, </w:t>
      </w:r>
      <w:r w:rsidR="003E2AAB" w:rsidRPr="005A3538">
        <w:t>were</w:t>
      </w:r>
      <w:r w:rsidRPr="005A3538">
        <w:t xml:space="preserve"> subject to regulatory requirements prescribed by the government. There </w:t>
      </w:r>
      <w:r w:rsidR="003E2AAB" w:rsidRPr="005A3538">
        <w:t>were</w:t>
      </w:r>
      <w:r w:rsidRPr="005A3538">
        <w:t xml:space="preserve"> two dimensions to the regulatory fr</w:t>
      </w:r>
      <w:r w:rsidR="00CF0643" w:rsidRPr="005A3538">
        <w:t>amework for foreign trade</w:t>
      </w:r>
      <w:r w:rsidR="003E2AAB" w:rsidRPr="005A3538">
        <w:t>:</w:t>
      </w:r>
      <w:r w:rsidR="00CF0643" w:rsidRPr="005A3538">
        <w:t xml:space="preserve"> </w:t>
      </w:r>
      <w:r w:rsidRPr="005A3538">
        <w:t>trade control regulations and exchange control regulations. Any domestic or foreign trade transaction c</w:t>
      </w:r>
      <w:r w:rsidR="003E2AAB" w:rsidRPr="005A3538">
        <w:t>ould</w:t>
      </w:r>
      <w:r w:rsidRPr="005A3538">
        <w:t xml:space="preserve"> be broadly </w:t>
      </w:r>
      <w:r w:rsidR="00D7136D" w:rsidRPr="005A3538">
        <w:t>divided</w:t>
      </w:r>
      <w:r w:rsidR="00CF0643" w:rsidRPr="005A3538">
        <w:t xml:space="preserve"> into three activities</w:t>
      </w:r>
      <w:r w:rsidR="003E2AAB" w:rsidRPr="005A3538">
        <w:t>:</w:t>
      </w:r>
      <w:r w:rsidR="00CF0643" w:rsidRPr="005A3538">
        <w:t xml:space="preserve"> (1) movement of goods</w:t>
      </w:r>
      <w:r w:rsidR="00D7136D" w:rsidRPr="005A3538">
        <w:t>,</w:t>
      </w:r>
      <w:r w:rsidRPr="005A3538">
        <w:t xml:space="preserve"> (2) movement of documents</w:t>
      </w:r>
      <w:r w:rsidR="00D7136D" w:rsidRPr="005A3538">
        <w:t>,</w:t>
      </w:r>
      <w:r w:rsidRPr="005A3538">
        <w:t xml:space="preserve"> and (3)</w:t>
      </w:r>
      <w:r w:rsidR="00FF3573">
        <w:t xml:space="preserve"> </w:t>
      </w:r>
      <w:r w:rsidRPr="005A3538">
        <w:t>movement of funds. Entities involved in international business</w:t>
      </w:r>
      <w:r w:rsidR="003E2AAB" w:rsidRPr="005A3538">
        <w:t>,</w:t>
      </w:r>
      <w:r w:rsidRPr="005A3538">
        <w:t xml:space="preserve"> </w:t>
      </w:r>
      <w:r w:rsidR="003568E7" w:rsidRPr="005A3538">
        <w:t xml:space="preserve">including dealing with </w:t>
      </w:r>
      <w:r w:rsidR="003E2AAB" w:rsidRPr="005A3538">
        <w:t xml:space="preserve">an </w:t>
      </w:r>
      <w:r w:rsidR="003568E7" w:rsidRPr="005A3538">
        <w:t>LC</w:t>
      </w:r>
      <w:r w:rsidR="003E2AAB" w:rsidRPr="005A3538">
        <w:t>,</w:t>
      </w:r>
      <w:r w:rsidR="003568E7" w:rsidRPr="005A3538">
        <w:t xml:space="preserve"> </w:t>
      </w:r>
      <w:r w:rsidR="003E2AAB" w:rsidRPr="005A3538">
        <w:t xml:space="preserve">needed to </w:t>
      </w:r>
      <w:r w:rsidRPr="005A3538">
        <w:t>have fair knowledge of these regulations.</w:t>
      </w:r>
    </w:p>
    <w:p w14:paraId="47A4EC1C" w14:textId="77777777" w:rsidR="00066136" w:rsidRPr="005A3538" w:rsidRDefault="00066136" w:rsidP="00066136">
      <w:pPr>
        <w:pStyle w:val="BodyTextMain"/>
      </w:pPr>
    </w:p>
    <w:p w14:paraId="41EDDAC1" w14:textId="77777777" w:rsidR="00CF0643" w:rsidRPr="005A3538" w:rsidRDefault="00CF0643" w:rsidP="00066136">
      <w:pPr>
        <w:pStyle w:val="BodyTextMain"/>
      </w:pPr>
    </w:p>
    <w:p w14:paraId="6509A1A8" w14:textId="20FECADF" w:rsidR="00EA6770" w:rsidRPr="005A3538" w:rsidRDefault="00EA6770" w:rsidP="00FF3573">
      <w:pPr>
        <w:pStyle w:val="Casehead2"/>
        <w:outlineLvl w:val="0"/>
      </w:pPr>
      <w:r w:rsidRPr="005A3538">
        <w:t>Trade Control Requirements</w:t>
      </w:r>
    </w:p>
    <w:p w14:paraId="075EEEDF" w14:textId="77777777" w:rsidR="004E5578" w:rsidRPr="005A3538" w:rsidRDefault="004E5578" w:rsidP="00CF0643">
      <w:pPr>
        <w:pStyle w:val="BodyTextMain"/>
      </w:pPr>
    </w:p>
    <w:p w14:paraId="47EFDB6F" w14:textId="53580D33" w:rsidR="003568E7" w:rsidRPr="005A3538" w:rsidRDefault="003568E7" w:rsidP="00CF0643">
      <w:pPr>
        <w:pStyle w:val="BodyTextMain"/>
        <w:rPr>
          <w:b/>
          <w:spacing w:val="-2"/>
          <w:kern w:val="22"/>
        </w:rPr>
      </w:pPr>
      <w:r w:rsidRPr="005A3538">
        <w:rPr>
          <w:spacing w:val="-2"/>
          <w:kern w:val="22"/>
        </w:rPr>
        <w:t xml:space="preserve">Trade control regulation in India </w:t>
      </w:r>
      <w:r w:rsidR="003E2AAB" w:rsidRPr="005A3538">
        <w:rPr>
          <w:spacing w:val="-2"/>
          <w:kern w:val="22"/>
        </w:rPr>
        <w:t>was</w:t>
      </w:r>
      <w:r w:rsidRPr="005A3538">
        <w:rPr>
          <w:spacing w:val="-2"/>
          <w:kern w:val="22"/>
        </w:rPr>
        <w:t xml:space="preserve"> the responsibility </w:t>
      </w:r>
      <w:r w:rsidR="00580C2D" w:rsidRPr="005A3538">
        <w:rPr>
          <w:spacing w:val="-2"/>
          <w:kern w:val="22"/>
        </w:rPr>
        <w:t xml:space="preserve">of the </w:t>
      </w:r>
      <w:r w:rsidRPr="005A3538">
        <w:rPr>
          <w:spacing w:val="-2"/>
          <w:kern w:val="22"/>
        </w:rPr>
        <w:t>DGFT</w:t>
      </w:r>
      <w:r w:rsidR="00CF0643" w:rsidRPr="005A3538">
        <w:rPr>
          <w:spacing w:val="-2"/>
          <w:kern w:val="22"/>
        </w:rPr>
        <w:t>,</w:t>
      </w:r>
      <w:r w:rsidRPr="005A3538">
        <w:rPr>
          <w:spacing w:val="-2"/>
          <w:kern w:val="22"/>
        </w:rPr>
        <w:t xml:space="preserve"> which </w:t>
      </w:r>
      <w:r w:rsidR="00C859E0">
        <w:rPr>
          <w:spacing w:val="-2"/>
          <w:kern w:val="22"/>
        </w:rPr>
        <w:t>established</w:t>
      </w:r>
      <w:r w:rsidRPr="005A3538">
        <w:rPr>
          <w:spacing w:val="-2"/>
          <w:kern w:val="22"/>
        </w:rPr>
        <w:t xml:space="preserve"> the policies and regulations relating to </w:t>
      </w:r>
      <w:r w:rsidR="00D7136D" w:rsidRPr="005A3538">
        <w:rPr>
          <w:spacing w:val="-2"/>
          <w:kern w:val="22"/>
        </w:rPr>
        <w:t xml:space="preserve">the </w:t>
      </w:r>
      <w:r w:rsidRPr="005A3538">
        <w:rPr>
          <w:spacing w:val="-2"/>
          <w:kern w:val="22"/>
        </w:rPr>
        <w:t xml:space="preserve">physical movement of goods into and out of India. </w:t>
      </w:r>
      <w:r w:rsidR="003E2AAB" w:rsidRPr="005A3538">
        <w:rPr>
          <w:spacing w:val="-2"/>
          <w:kern w:val="22"/>
        </w:rPr>
        <w:t xml:space="preserve">The </w:t>
      </w:r>
      <w:r w:rsidR="00C859E0">
        <w:rPr>
          <w:spacing w:val="-2"/>
          <w:kern w:val="22"/>
        </w:rPr>
        <w:t>G</w:t>
      </w:r>
      <w:r w:rsidRPr="005A3538">
        <w:rPr>
          <w:spacing w:val="-2"/>
          <w:kern w:val="22"/>
        </w:rPr>
        <w:t>overnment of India formulate</w:t>
      </w:r>
      <w:r w:rsidR="003E2AAB" w:rsidRPr="005A3538">
        <w:rPr>
          <w:spacing w:val="-2"/>
          <w:kern w:val="22"/>
        </w:rPr>
        <w:t>d</w:t>
      </w:r>
      <w:r w:rsidRPr="005A3538">
        <w:rPr>
          <w:spacing w:val="-2"/>
          <w:kern w:val="22"/>
        </w:rPr>
        <w:t xml:space="preserve"> foreign trade policy</w:t>
      </w:r>
      <w:r w:rsidR="00832037" w:rsidRPr="005A3538">
        <w:rPr>
          <w:spacing w:val="-2"/>
          <w:kern w:val="22"/>
        </w:rPr>
        <w:t>, also known as export</w:t>
      </w:r>
      <w:r w:rsidR="00C859E0">
        <w:rPr>
          <w:spacing w:val="-2"/>
          <w:kern w:val="22"/>
        </w:rPr>
        <w:t>–</w:t>
      </w:r>
      <w:r w:rsidR="00832037" w:rsidRPr="005A3538">
        <w:rPr>
          <w:spacing w:val="-2"/>
          <w:kern w:val="22"/>
        </w:rPr>
        <w:t>import (EXIM) policy,</w:t>
      </w:r>
      <w:r w:rsidRPr="005A3538">
        <w:rPr>
          <w:spacing w:val="-2"/>
          <w:kern w:val="22"/>
        </w:rPr>
        <w:t xml:space="preserve"> for a five</w:t>
      </w:r>
      <w:r w:rsidR="003E2AAB" w:rsidRPr="005A3538">
        <w:rPr>
          <w:spacing w:val="-2"/>
          <w:kern w:val="22"/>
        </w:rPr>
        <w:t>-</w:t>
      </w:r>
      <w:r w:rsidRPr="005A3538">
        <w:rPr>
          <w:spacing w:val="-2"/>
          <w:kern w:val="22"/>
        </w:rPr>
        <w:t>year period</w:t>
      </w:r>
      <w:r w:rsidR="000B3385" w:rsidRPr="005A3538">
        <w:rPr>
          <w:spacing w:val="-2"/>
          <w:kern w:val="22"/>
        </w:rPr>
        <w:t>. The policy</w:t>
      </w:r>
      <w:r w:rsidRPr="005A3538">
        <w:rPr>
          <w:spacing w:val="-2"/>
          <w:kern w:val="22"/>
        </w:rPr>
        <w:t xml:space="preserve"> indicate</w:t>
      </w:r>
      <w:r w:rsidR="003E2AAB" w:rsidRPr="005A3538">
        <w:rPr>
          <w:spacing w:val="-2"/>
          <w:kern w:val="22"/>
        </w:rPr>
        <w:t>d</w:t>
      </w:r>
      <w:r w:rsidRPr="005A3538">
        <w:rPr>
          <w:spacing w:val="-2"/>
          <w:kern w:val="22"/>
        </w:rPr>
        <w:t xml:space="preserve"> (a) what goods c</w:t>
      </w:r>
      <w:r w:rsidR="003E2AAB" w:rsidRPr="005A3538">
        <w:rPr>
          <w:spacing w:val="-2"/>
          <w:kern w:val="22"/>
        </w:rPr>
        <w:t>ould</w:t>
      </w:r>
      <w:r w:rsidRPr="005A3538">
        <w:rPr>
          <w:spacing w:val="-2"/>
          <w:kern w:val="22"/>
        </w:rPr>
        <w:t xml:space="preserve"> be imported in</w:t>
      </w:r>
      <w:r w:rsidR="00CF0643" w:rsidRPr="005A3538">
        <w:rPr>
          <w:spacing w:val="-2"/>
          <w:kern w:val="22"/>
        </w:rPr>
        <w:t>to or exported from the country</w:t>
      </w:r>
      <w:r w:rsidR="003E2AAB" w:rsidRPr="005A3538">
        <w:rPr>
          <w:spacing w:val="-2"/>
          <w:kern w:val="22"/>
        </w:rPr>
        <w:t>,</w:t>
      </w:r>
      <w:r w:rsidRPr="005A3538">
        <w:rPr>
          <w:spacing w:val="-2"/>
          <w:kern w:val="22"/>
        </w:rPr>
        <w:t xml:space="preserve"> (b)</w:t>
      </w:r>
      <w:r w:rsidR="00FF3573">
        <w:rPr>
          <w:spacing w:val="-2"/>
          <w:kern w:val="22"/>
        </w:rPr>
        <w:t xml:space="preserve"> </w:t>
      </w:r>
      <w:r w:rsidR="00832037" w:rsidRPr="005A3538">
        <w:rPr>
          <w:spacing w:val="-2"/>
          <w:kern w:val="22"/>
        </w:rPr>
        <w:t>the condition</w:t>
      </w:r>
      <w:r w:rsidR="00D7136D" w:rsidRPr="005A3538">
        <w:rPr>
          <w:spacing w:val="-2"/>
          <w:kern w:val="22"/>
        </w:rPr>
        <w:t>s</w:t>
      </w:r>
      <w:r w:rsidR="00832037" w:rsidRPr="005A3538">
        <w:rPr>
          <w:spacing w:val="-2"/>
          <w:kern w:val="22"/>
        </w:rPr>
        <w:t>, if any, attached to such imports or exports</w:t>
      </w:r>
      <w:r w:rsidR="003E2AAB" w:rsidRPr="005A3538">
        <w:rPr>
          <w:spacing w:val="-2"/>
          <w:kern w:val="22"/>
        </w:rPr>
        <w:t>,</w:t>
      </w:r>
      <w:r w:rsidR="00832037" w:rsidRPr="005A3538">
        <w:rPr>
          <w:spacing w:val="-2"/>
          <w:kern w:val="22"/>
        </w:rPr>
        <w:t xml:space="preserve"> and (c) various schemes for export promot</w:t>
      </w:r>
      <w:r w:rsidR="00CF0643" w:rsidRPr="005A3538">
        <w:rPr>
          <w:spacing w:val="-2"/>
          <w:kern w:val="22"/>
        </w:rPr>
        <w:t>ion and import facilitation</w:t>
      </w:r>
      <w:r w:rsidR="00832037" w:rsidRPr="005A3538">
        <w:rPr>
          <w:spacing w:val="-2"/>
          <w:kern w:val="22"/>
        </w:rPr>
        <w:t xml:space="preserve">. Some goods </w:t>
      </w:r>
      <w:r w:rsidR="003E2AAB" w:rsidRPr="005A3538">
        <w:rPr>
          <w:spacing w:val="-2"/>
          <w:kern w:val="22"/>
        </w:rPr>
        <w:t>were</w:t>
      </w:r>
      <w:r w:rsidR="00832037" w:rsidRPr="005A3538">
        <w:rPr>
          <w:spacing w:val="-2"/>
          <w:kern w:val="22"/>
        </w:rPr>
        <w:t xml:space="preserve"> freely importable</w:t>
      </w:r>
      <w:r w:rsidR="00C859E0">
        <w:rPr>
          <w:spacing w:val="-2"/>
          <w:kern w:val="22"/>
        </w:rPr>
        <w:t xml:space="preserve"> or </w:t>
      </w:r>
      <w:r w:rsidR="00832037" w:rsidRPr="005A3538">
        <w:rPr>
          <w:spacing w:val="-2"/>
          <w:kern w:val="22"/>
        </w:rPr>
        <w:t>exportable</w:t>
      </w:r>
      <w:r w:rsidR="00F262BF" w:rsidRPr="005A3538">
        <w:rPr>
          <w:spacing w:val="-2"/>
          <w:kern w:val="22"/>
        </w:rPr>
        <w:t>, while s</w:t>
      </w:r>
      <w:r w:rsidR="00832037" w:rsidRPr="005A3538">
        <w:rPr>
          <w:spacing w:val="-2"/>
          <w:kern w:val="22"/>
        </w:rPr>
        <w:t>ome goods require</w:t>
      </w:r>
      <w:r w:rsidR="003E2AAB" w:rsidRPr="005A3538">
        <w:rPr>
          <w:spacing w:val="-2"/>
          <w:kern w:val="22"/>
        </w:rPr>
        <w:t>d</w:t>
      </w:r>
      <w:r w:rsidR="00832037" w:rsidRPr="005A3538">
        <w:rPr>
          <w:spacing w:val="-2"/>
          <w:kern w:val="22"/>
        </w:rPr>
        <w:t xml:space="preserve"> </w:t>
      </w:r>
      <w:r w:rsidR="003E2AAB" w:rsidRPr="005A3538">
        <w:rPr>
          <w:spacing w:val="-2"/>
          <w:kern w:val="22"/>
        </w:rPr>
        <w:t xml:space="preserve">a </w:t>
      </w:r>
      <w:r w:rsidR="00832037" w:rsidRPr="005A3538">
        <w:rPr>
          <w:spacing w:val="-2"/>
          <w:kern w:val="22"/>
        </w:rPr>
        <w:t>licence for import</w:t>
      </w:r>
      <w:r w:rsidR="003E2AAB" w:rsidRPr="005A3538">
        <w:rPr>
          <w:spacing w:val="-2"/>
          <w:kern w:val="22"/>
        </w:rPr>
        <w:t xml:space="preserve"> and </w:t>
      </w:r>
      <w:r w:rsidR="00832037" w:rsidRPr="005A3538">
        <w:rPr>
          <w:spacing w:val="-2"/>
          <w:kern w:val="22"/>
        </w:rPr>
        <w:t>export</w:t>
      </w:r>
      <w:r w:rsidR="00F262BF" w:rsidRPr="005A3538">
        <w:rPr>
          <w:spacing w:val="-2"/>
          <w:kern w:val="22"/>
        </w:rPr>
        <w:t>. A</w:t>
      </w:r>
      <w:r w:rsidR="00832037" w:rsidRPr="005A3538">
        <w:rPr>
          <w:spacing w:val="-2"/>
          <w:kern w:val="22"/>
        </w:rPr>
        <w:t xml:space="preserve"> few items </w:t>
      </w:r>
      <w:r w:rsidR="003E2AAB" w:rsidRPr="005A3538">
        <w:rPr>
          <w:spacing w:val="-2"/>
          <w:kern w:val="22"/>
        </w:rPr>
        <w:t>were</w:t>
      </w:r>
      <w:r w:rsidR="00832037" w:rsidRPr="005A3538">
        <w:rPr>
          <w:spacing w:val="-2"/>
          <w:kern w:val="22"/>
        </w:rPr>
        <w:t xml:space="preserve"> totally banned from imports</w:t>
      </w:r>
      <w:r w:rsidR="003E2AAB" w:rsidRPr="005A3538">
        <w:rPr>
          <w:spacing w:val="-2"/>
          <w:kern w:val="22"/>
        </w:rPr>
        <w:t xml:space="preserve"> and </w:t>
      </w:r>
      <w:r w:rsidR="00832037" w:rsidRPr="005A3538">
        <w:rPr>
          <w:spacing w:val="-2"/>
          <w:kern w:val="22"/>
        </w:rPr>
        <w:t xml:space="preserve">exports. </w:t>
      </w:r>
      <w:r w:rsidR="003E2AAB" w:rsidRPr="005A3538">
        <w:rPr>
          <w:spacing w:val="-2"/>
          <w:kern w:val="22"/>
        </w:rPr>
        <w:t xml:space="preserve">The </w:t>
      </w:r>
      <w:r w:rsidR="00832037" w:rsidRPr="005A3538">
        <w:rPr>
          <w:spacing w:val="-2"/>
          <w:kern w:val="22"/>
        </w:rPr>
        <w:t xml:space="preserve">DGFT </w:t>
      </w:r>
      <w:r w:rsidR="003E2AAB" w:rsidRPr="005A3538">
        <w:rPr>
          <w:spacing w:val="-2"/>
          <w:kern w:val="22"/>
        </w:rPr>
        <w:t>was</w:t>
      </w:r>
      <w:r w:rsidR="00832037" w:rsidRPr="005A3538">
        <w:rPr>
          <w:spacing w:val="-2"/>
          <w:kern w:val="22"/>
        </w:rPr>
        <w:t xml:space="preserve"> the implementing agency for the foreign trade policy. </w:t>
      </w:r>
      <w:r w:rsidR="003E2AAB" w:rsidRPr="005A3538">
        <w:rPr>
          <w:spacing w:val="-2"/>
          <w:kern w:val="22"/>
        </w:rPr>
        <w:t xml:space="preserve">Therefore, </w:t>
      </w:r>
      <w:r w:rsidR="00832037" w:rsidRPr="005A3538">
        <w:rPr>
          <w:spacing w:val="-2"/>
          <w:kern w:val="22"/>
        </w:rPr>
        <w:t xml:space="preserve">while opening an import LC, it </w:t>
      </w:r>
      <w:r w:rsidR="003E2AAB" w:rsidRPr="005A3538">
        <w:rPr>
          <w:spacing w:val="-2"/>
          <w:kern w:val="22"/>
        </w:rPr>
        <w:t>was</w:t>
      </w:r>
      <w:r w:rsidR="00832037" w:rsidRPr="005A3538">
        <w:rPr>
          <w:spacing w:val="-2"/>
          <w:kern w:val="22"/>
        </w:rPr>
        <w:t xml:space="preserve"> obligatory for both the importer/LC applicant and the </w:t>
      </w:r>
      <w:r w:rsidR="002B739B" w:rsidRPr="005A3538">
        <w:rPr>
          <w:spacing w:val="-2"/>
          <w:kern w:val="22"/>
        </w:rPr>
        <w:t>LC</w:t>
      </w:r>
      <w:r w:rsidR="003E2AAB" w:rsidRPr="005A3538">
        <w:rPr>
          <w:spacing w:val="-2"/>
          <w:kern w:val="22"/>
        </w:rPr>
        <w:t>-</w:t>
      </w:r>
      <w:r w:rsidR="002B739B" w:rsidRPr="005A3538">
        <w:rPr>
          <w:spacing w:val="-2"/>
          <w:kern w:val="22"/>
        </w:rPr>
        <w:t>issuing bank to ensure compliance with the current EXIM policy</w:t>
      </w:r>
      <w:r w:rsidR="003E2AAB" w:rsidRPr="005A3538">
        <w:rPr>
          <w:spacing w:val="-2"/>
          <w:kern w:val="22"/>
        </w:rPr>
        <w:t>,</w:t>
      </w:r>
      <w:r w:rsidR="002B739B" w:rsidRPr="005A3538">
        <w:rPr>
          <w:spacing w:val="-2"/>
          <w:kern w:val="22"/>
        </w:rPr>
        <w:t xml:space="preserve"> and </w:t>
      </w:r>
      <w:r w:rsidR="00C859E0">
        <w:rPr>
          <w:spacing w:val="-2"/>
          <w:kern w:val="22"/>
        </w:rPr>
        <w:t xml:space="preserve">to ensure </w:t>
      </w:r>
      <w:r w:rsidR="002B739B" w:rsidRPr="005A3538">
        <w:rPr>
          <w:spacing w:val="-2"/>
          <w:kern w:val="22"/>
        </w:rPr>
        <w:t xml:space="preserve">that the goods being imported </w:t>
      </w:r>
      <w:r w:rsidR="003E2AAB" w:rsidRPr="005A3538">
        <w:rPr>
          <w:spacing w:val="-2"/>
          <w:kern w:val="22"/>
        </w:rPr>
        <w:t>were</w:t>
      </w:r>
      <w:r w:rsidR="002B739B" w:rsidRPr="005A3538">
        <w:rPr>
          <w:spacing w:val="-2"/>
          <w:kern w:val="22"/>
        </w:rPr>
        <w:t xml:space="preserve"> either freely importable or</w:t>
      </w:r>
      <w:r w:rsidR="00D6309A" w:rsidRPr="005A3538">
        <w:rPr>
          <w:spacing w:val="-2"/>
          <w:kern w:val="22"/>
        </w:rPr>
        <w:t xml:space="preserve"> c</w:t>
      </w:r>
      <w:r w:rsidR="003E2AAB" w:rsidRPr="005A3538">
        <w:rPr>
          <w:spacing w:val="-2"/>
          <w:kern w:val="22"/>
        </w:rPr>
        <w:t>ould</w:t>
      </w:r>
      <w:r w:rsidR="00D6309A" w:rsidRPr="005A3538">
        <w:rPr>
          <w:spacing w:val="-2"/>
          <w:kern w:val="22"/>
        </w:rPr>
        <w:t xml:space="preserve"> be imported</w:t>
      </w:r>
      <w:r w:rsidR="002B739B" w:rsidRPr="005A3538">
        <w:rPr>
          <w:spacing w:val="-2"/>
          <w:kern w:val="22"/>
        </w:rPr>
        <w:t xml:space="preserve"> </w:t>
      </w:r>
      <w:r w:rsidR="00D6309A" w:rsidRPr="005A3538">
        <w:rPr>
          <w:spacing w:val="-2"/>
          <w:kern w:val="22"/>
        </w:rPr>
        <w:t xml:space="preserve">with </w:t>
      </w:r>
      <w:r w:rsidR="002B739B" w:rsidRPr="005A3538">
        <w:rPr>
          <w:spacing w:val="-2"/>
          <w:kern w:val="22"/>
        </w:rPr>
        <w:t>a valid import licence.</w:t>
      </w:r>
      <w:r w:rsidR="00C82D70" w:rsidRPr="000430B4">
        <w:rPr>
          <w:rStyle w:val="FootnoteReference"/>
        </w:rPr>
        <w:footnoteReference w:id="24"/>
      </w:r>
      <w:r w:rsidR="00832037" w:rsidRPr="005A3538">
        <w:rPr>
          <w:spacing w:val="-2"/>
          <w:kern w:val="22"/>
        </w:rPr>
        <w:t xml:space="preserve"> </w:t>
      </w:r>
    </w:p>
    <w:p w14:paraId="6E1BB8AF" w14:textId="77777777" w:rsidR="00EA6770" w:rsidRPr="005A3538" w:rsidRDefault="00EA6770" w:rsidP="00CF0643">
      <w:pPr>
        <w:pStyle w:val="BodyTextMain"/>
      </w:pPr>
    </w:p>
    <w:p w14:paraId="60DA7693" w14:textId="77777777" w:rsidR="00CF0643" w:rsidRPr="005A3538" w:rsidRDefault="00CF0643" w:rsidP="00CF0643">
      <w:pPr>
        <w:pStyle w:val="BodyTextMain"/>
      </w:pPr>
    </w:p>
    <w:p w14:paraId="304A4172" w14:textId="508083A2" w:rsidR="00EA6770" w:rsidRPr="005A3538" w:rsidRDefault="00EA6770" w:rsidP="00FF3573">
      <w:pPr>
        <w:pStyle w:val="Casehead2"/>
        <w:outlineLvl w:val="0"/>
      </w:pPr>
      <w:r w:rsidRPr="005A3538">
        <w:t>Exchange Control Re</w:t>
      </w:r>
      <w:r w:rsidR="00D7136D" w:rsidRPr="005A3538">
        <w:t>gulations</w:t>
      </w:r>
    </w:p>
    <w:p w14:paraId="229FA9CA" w14:textId="77777777" w:rsidR="003329B1" w:rsidRPr="005A3538" w:rsidRDefault="003329B1" w:rsidP="00CF0643">
      <w:pPr>
        <w:pStyle w:val="BodyTextMain"/>
      </w:pPr>
    </w:p>
    <w:p w14:paraId="2AA11D4D" w14:textId="73FF4A78" w:rsidR="00066136" w:rsidRPr="00811EA4" w:rsidRDefault="003329B1" w:rsidP="00CF0643">
      <w:pPr>
        <w:pStyle w:val="BodyTextMain"/>
        <w:rPr>
          <w:spacing w:val="-4"/>
          <w:kern w:val="22"/>
        </w:rPr>
      </w:pPr>
      <w:r w:rsidRPr="00811EA4">
        <w:rPr>
          <w:spacing w:val="-4"/>
          <w:kern w:val="22"/>
        </w:rPr>
        <w:t>Exchange control regulations deal</w:t>
      </w:r>
      <w:r w:rsidR="003E2AAB" w:rsidRPr="00811EA4">
        <w:rPr>
          <w:spacing w:val="-4"/>
          <w:kern w:val="22"/>
        </w:rPr>
        <w:t>t</w:t>
      </w:r>
      <w:r w:rsidRPr="00811EA4">
        <w:rPr>
          <w:spacing w:val="-4"/>
          <w:kern w:val="22"/>
        </w:rPr>
        <w:t xml:space="preserve"> with </w:t>
      </w:r>
      <w:r w:rsidR="003E2AAB" w:rsidRPr="00811EA4">
        <w:rPr>
          <w:spacing w:val="-4"/>
          <w:kern w:val="22"/>
        </w:rPr>
        <w:t xml:space="preserve">the </w:t>
      </w:r>
      <w:r w:rsidRPr="00811EA4">
        <w:rPr>
          <w:spacing w:val="-4"/>
          <w:kern w:val="22"/>
        </w:rPr>
        <w:t xml:space="preserve">movement of funds </w:t>
      </w:r>
      <w:r w:rsidR="003E2AAB" w:rsidRPr="00811EA4">
        <w:rPr>
          <w:spacing w:val="-4"/>
          <w:kern w:val="22"/>
        </w:rPr>
        <w:t xml:space="preserve">and documents </w:t>
      </w:r>
      <w:r w:rsidRPr="00811EA4">
        <w:rPr>
          <w:spacing w:val="-4"/>
          <w:kern w:val="22"/>
        </w:rPr>
        <w:t xml:space="preserve">into and out of India. </w:t>
      </w:r>
      <w:r w:rsidR="003E2AAB" w:rsidRPr="00811EA4">
        <w:rPr>
          <w:spacing w:val="-4"/>
          <w:kern w:val="22"/>
        </w:rPr>
        <w:t xml:space="preserve">The </w:t>
      </w:r>
      <w:r w:rsidRPr="00811EA4">
        <w:rPr>
          <w:spacing w:val="-4"/>
          <w:kern w:val="22"/>
        </w:rPr>
        <w:t xml:space="preserve">Reserve Bank of India </w:t>
      </w:r>
      <w:r w:rsidR="003E2AAB" w:rsidRPr="00811EA4">
        <w:rPr>
          <w:spacing w:val="-4"/>
          <w:kern w:val="22"/>
        </w:rPr>
        <w:t>was</w:t>
      </w:r>
      <w:r w:rsidRPr="00811EA4">
        <w:rPr>
          <w:spacing w:val="-4"/>
          <w:kern w:val="22"/>
        </w:rPr>
        <w:t xml:space="preserve"> the exchange control authority in India. Traditionally, banks play</w:t>
      </w:r>
      <w:r w:rsidR="003E2AAB" w:rsidRPr="00811EA4">
        <w:rPr>
          <w:spacing w:val="-4"/>
          <w:kern w:val="22"/>
        </w:rPr>
        <w:t>ed</w:t>
      </w:r>
      <w:r w:rsidRPr="00811EA4">
        <w:rPr>
          <w:spacing w:val="-4"/>
          <w:kern w:val="22"/>
        </w:rPr>
        <w:t xml:space="preserve"> their roles in the movement of funds and documents. Banks in India open</w:t>
      </w:r>
      <w:r w:rsidR="003E2AAB" w:rsidRPr="00811EA4">
        <w:rPr>
          <w:spacing w:val="-4"/>
          <w:kern w:val="22"/>
        </w:rPr>
        <w:t>ed</w:t>
      </w:r>
      <w:r w:rsidRPr="00811EA4">
        <w:rPr>
          <w:spacing w:val="-4"/>
          <w:kern w:val="22"/>
        </w:rPr>
        <w:t xml:space="preserve"> LCs for their import customers for import</w:t>
      </w:r>
      <w:r w:rsidR="003E2AAB" w:rsidRPr="00811EA4">
        <w:rPr>
          <w:spacing w:val="-4"/>
          <w:kern w:val="22"/>
        </w:rPr>
        <w:t>ing</w:t>
      </w:r>
      <w:r w:rsidRPr="00811EA4">
        <w:rPr>
          <w:spacing w:val="-4"/>
          <w:kern w:val="22"/>
        </w:rPr>
        <w:t xml:space="preserve"> goods</w:t>
      </w:r>
      <w:r w:rsidR="003E2AAB" w:rsidRPr="00811EA4">
        <w:rPr>
          <w:spacing w:val="-4"/>
          <w:kern w:val="22"/>
        </w:rPr>
        <w:t xml:space="preserve"> </w:t>
      </w:r>
      <w:r w:rsidR="003E2AAB" w:rsidRPr="00811EA4">
        <w:rPr>
          <w:spacing w:val="-4"/>
          <w:kern w:val="22"/>
        </w:rPr>
        <w:lastRenderedPageBreak/>
        <w:t xml:space="preserve">and </w:t>
      </w:r>
      <w:r w:rsidRPr="00811EA4">
        <w:rPr>
          <w:spacing w:val="-4"/>
          <w:kern w:val="22"/>
        </w:rPr>
        <w:t xml:space="preserve">services into India. </w:t>
      </w:r>
      <w:r w:rsidR="00D7136D" w:rsidRPr="00811EA4">
        <w:rPr>
          <w:spacing w:val="-4"/>
          <w:kern w:val="22"/>
        </w:rPr>
        <w:t>They</w:t>
      </w:r>
      <w:r w:rsidRPr="00811EA4">
        <w:rPr>
          <w:spacing w:val="-4"/>
          <w:kern w:val="22"/>
        </w:rPr>
        <w:t xml:space="preserve"> also deal</w:t>
      </w:r>
      <w:r w:rsidR="003E2AAB" w:rsidRPr="00811EA4">
        <w:rPr>
          <w:spacing w:val="-4"/>
          <w:kern w:val="22"/>
        </w:rPr>
        <w:t>t</w:t>
      </w:r>
      <w:r w:rsidRPr="00811EA4">
        <w:rPr>
          <w:spacing w:val="-4"/>
          <w:kern w:val="22"/>
        </w:rPr>
        <w:t xml:space="preserve"> with ex</w:t>
      </w:r>
      <w:r w:rsidR="003672D8" w:rsidRPr="00811EA4">
        <w:rPr>
          <w:spacing w:val="-4"/>
          <w:kern w:val="22"/>
        </w:rPr>
        <w:t>port LCs in many capacitie</w:t>
      </w:r>
      <w:r w:rsidR="003E2AAB" w:rsidRPr="00811EA4">
        <w:rPr>
          <w:spacing w:val="-4"/>
          <w:kern w:val="22"/>
        </w:rPr>
        <w:t>s</w:t>
      </w:r>
      <w:r w:rsidR="00FB6FBA" w:rsidRPr="00811EA4">
        <w:rPr>
          <w:spacing w:val="-4"/>
          <w:kern w:val="22"/>
        </w:rPr>
        <w:t xml:space="preserve">, </w:t>
      </w:r>
      <w:r w:rsidR="003672D8" w:rsidRPr="00811EA4">
        <w:rPr>
          <w:spacing w:val="-4"/>
          <w:kern w:val="22"/>
        </w:rPr>
        <w:t>as advising bank, confirming bank, reimbursing bank</w:t>
      </w:r>
      <w:r w:rsidR="003E2AAB" w:rsidRPr="00811EA4">
        <w:rPr>
          <w:spacing w:val="-4"/>
          <w:kern w:val="22"/>
        </w:rPr>
        <w:t>, and so on</w:t>
      </w:r>
      <w:r w:rsidR="00333F93" w:rsidRPr="00811EA4">
        <w:rPr>
          <w:spacing w:val="-4"/>
          <w:kern w:val="22"/>
        </w:rPr>
        <w:t xml:space="preserve">, with </w:t>
      </w:r>
      <w:r w:rsidR="003672D8" w:rsidRPr="00811EA4">
        <w:rPr>
          <w:spacing w:val="-4"/>
          <w:kern w:val="22"/>
        </w:rPr>
        <w:t xml:space="preserve">respect </w:t>
      </w:r>
      <w:r w:rsidR="00333F93" w:rsidRPr="00811EA4">
        <w:rPr>
          <w:spacing w:val="-4"/>
          <w:kern w:val="22"/>
        </w:rPr>
        <w:t xml:space="preserve">to </w:t>
      </w:r>
      <w:r w:rsidR="003672D8" w:rsidRPr="00811EA4">
        <w:rPr>
          <w:spacing w:val="-4"/>
          <w:kern w:val="22"/>
        </w:rPr>
        <w:t>LCs opened in favour of Indian exporters by overseas buyers.</w:t>
      </w:r>
      <w:r w:rsidR="00C82D70" w:rsidRPr="00811EA4">
        <w:rPr>
          <w:rStyle w:val="FootnoteReference"/>
          <w:spacing w:val="-4"/>
          <w:kern w:val="22"/>
        </w:rPr>
        <w:footnoteReference w:id="25"/>
      </w:r>
    </w:p>
    <w:p w14:paraId="01EDE9E5" w14:textId="77777777" w:rsidR="00066136" w:rsidRPr="005A3538" w:rsidRDefault="00066136" w:rsidP="00CF0643">
      <w:pPr>
        <w:pStyle w:val="BodyTextMain"/>
      </w:pPr>
    </w:p>
    <w:p w14:paraId="3A594510" w14:textId="77777777" w:rsidR="0049502E" w:rsidRPr="005A3538" w:rsidRDefault="0049502E" w:rsidP="00B958F3">
      <w:pPr>
        <w:pStyle w:val="BodyTextMain"/>
      </w:pPr>
    </w:p>
    <w:p w14:paraId="7F39664D" w14:textId="5DA03C88" w:rsidR="00EA6770" w:rsidRPr="005A3538" w:rsidRDefault="00333F93" w:rsidP="00FF3573">
      <w:pPr>
        <w:pStyle w:val="Casehead2"/>
        <w:keepNext/>
        <w:outlineLvl w:val="0"/>
      </w:pPr>
      <w:r w:rsidRPr="005A3538">
        <w:t>Uniform Customs and Pr</w:t>
      </w:r>
      <w:r w:rsidR="00B662F2" w:rsidRPr="005A3538">
        <w:t>actice for Documentary Credits</w:t>
      </w:r>
    </w:p>
    <w:p w14:paraId="7388A2BC" w14:textId="77777777" w:rsidR="00EA6770" w:rsidRPr="005A3538" w:rsidRDefault="00EA6770" w:rsidP="00AC67AE">
      <w:pPr>
        <w:pStyle w:val="BodyTextMain"/>
        <w:keepNext/>
      </w:pPr>
    </w:p>
    <w:p w14:paraId="1F329E48" w14:textId="3675A73A" w:rsidR="00066136" w:rsidRPr="005A3538" w:rsidRDefault="003A1A5F" w:rsidP="00066136">
      <w:pPr>
        <w:pStyle w:val="BodyTextMain"/>
      </w:pPr>
      <w:r w:rsidRPr="005A3538">
        <w:t xml:space="preserve">The </w:t>
      </w:r>
      <w:r w:rsidR="003672D8" w:rsidRPr="005A3538">
        <w:t>L</w:t>
      </w:r>
      <w:r w:rsidRPr="005A3538">
        <w:t>C</w:t>
      </w:r>
      <w:r w:rsidR="00B24EF5" w:rsidRPr="005A3538">
        <w:t xml:space="preserve"> </w:t>
      </w:r>
      <w:r w:rsidRPr="005A3538">
        <w:t>was</w:t>
      </w:r>
      <w:r w:rsidR="003672D8" w:rsidRPr="005A3538">
        <w:t xml:space="preserve"> recogni</w:t>
      </w:r>
      <w:r w:rsidR="00D60E98" w:rsidRPr="005A3538">
        <w:t>z</w:t>
      </w:r>
      <w:r w:rsidR="003672D8" w:rsidRPr="005A3538">
        <w:t>ed as the best payment mechanism for int</w:t>
      </w:r>
      <w:r w:rsidR="00CF0643" w:rsidRPr="005A3538">
        <w:t xml:space="preserve">ernational trade transactions. </w:t>
      </w:r>
      <w:r w:rsidRPr="005A3538">
        <w:t>It d</w:t>
      </w:r>
      <w:r w:rsidR="003672D8" w:rsidRPr="005A3538">
        <w:t>eal</w:t>
      </w:r>
      <w:r w:rsidR="00333F93" w:rsidRPr="005A3538">
        <w:t>t</w:t>
      </w:r>
      <w:r w:rsidR="003672D8" w:rsidRPr="005A3538">
        <w:t xml:space="preserve"> with </w:t>
      </w:r>
      <w:r w:rsidR="00333F93" w:rsidRPr="005A3538">
        <w:t xml:space="preserve">the </w:t>
      </w:r>
      <w:r w:rsidR="003672D8" w:rsidRPr="005A3538">
        <w:t xml:space="preserve">presentation of credit compliant documents by the beneficiary and </w:t>
      </w:r>
      <w:r w:rsidR="00333F93" w:rsidRPr="005A3538">
        <w:t xml:space="preserve">the </w:t>
      </w:r>
      <w:r w:rsidR="003672D8" w:rsidRPr="005A3538">
        <w:t>scrutiny of documents by the banks for compliance</w:t>
      </w:r>
      <w:r w:rsidR="001B738C" w:rsidRPr="005A3538">
        <w:t xml:space="preserve"> with the terms and conditions of credit. Every bank and every party m</w:t>
      </w:r>
      <w:r w:rsidR="00333F93" w:rsidRPr="005A3538">
        <w:t>ight</w:t>
      </w:r>
      <w:r w:rsidR="001B738C" w:rsidRPr="005A3538">
        <w:t xml:space="preserve"> have different interpretations with respect to </w:t>
      </w:r>
      <w:r w:rsidR="00333F93" w:rsidRPr="005A3538">
        <w:t xml:space="preserve">the </w:t>
      </w:r>
      <w:r w:rsidR="001B738C" w:rsidRPr="005A3538">
        <w:t xml:space="preserve">application of </w:t>
      </w:r>
      <w:r w:rsidR="00333F93" w:rsidRPr="005A3538">
        <w:t xml:space="preserve">an </w:t>
      </w:r>
      <w:r w:rsidR="001B738C" w:rsidRPr="005A3538">
        <w:t>LC and its terms and conditions</w:t>
      </w:r>
      <w:r w:rsidR="00106D51" w:rsidRPr="005A3538">
        <w:t>. These differences could</w:t>
      </w:r>
      <w:r w:rsidR="001B738C" w:rsidRPr="005A3538">
        <w:t xml:space="preserve"> result in discrepancies in documents and eventually delay or deny payment to the beneficiary. Hence, in order to achieve a</w:t>
      </w:r>
      <w:r w:rsidR="00B662F2" w:rsidRPr="005A3538">
        <w:t xml:space="preserve"> </w:t>
      </w:r>
      <w:r w:rsidR="001B738C" w:rsidRPr="005A3538">
        <w:t xml:space="preserve">uniform and common interpretation and application of </w:t>
      </w:r>
      <w:r w:rsidR="00404303" w:rsidRPr="005A3538">
        <w:t>DCs</w:t>
      </w:r>
      <w:r w:rsidR="001B738C" w:rsidRPr="005A3538">
        <w:t xml:space="preserve">, the International Chamber of Commerce developed and published a standard set of rules known as Uniform Customs and Practice for Documentary Credits (UCPDC). </w:t>
      </w:r>
      <w:r w:rsidR="00066136" w:rsidRPr="005A3538">
        <w:t xml:space="preserve">The current edition </w:t>
      </w:r>
      <w:r w:rsidR="00B662F2" w:rsidRPr="005A3538">
        <w:t>was</w:t>
      </w:r>
      <w:r w:rsidR="00066136" w:rsidRPr="005A3538">
        <w:t xml:space="preserve"> UCP 600 </w:t>
      </w:r>
      <w:r w:rsidR="00B662F2" w:rsidRPr="005A3538">
        <w:t>(</w:t>
      </w:r>
      <w:r w:rsidR="00066136" w:rsidRPr="005A3538">
        <w:t>2007 revision</w:t>
      </w:r>
      <w:r w:rsidR="00B662F2" w:rsidRPr="005A3538">
        <w:t>),</w:t>
      </w:r>
      <w:r w:rsidR="00CF0643" w:rsidRPr="005A3538">
        <w:t xml:space="preserve"> which came into force </w:t>
      </w:r>
      <w:r w:rsidR="00FB6FBA">
        <w:t xml:space="preserve">on </w:t>
      </w:r>
      <w:r w:rsidR="00BA1A05" w:rsidRPr="005A3538">
        <w:t>July</w:t>
      </w:r>
      <w:r w:rsidR="00CF0643" w:rsidRPr="005A3538">
        <w:t xml:space="preserve"> 1</w:t>
      </w:r>
      <w:r w:rsidR="00BA1A05" w:rsidRPr="005A3538">
        <w:t>, 2007</w:t>
      </w:r>
      <w:r w:rsidR="00066136" w:rsidRPr="005A3538">
        <w:t xml:space="preserve">. </w:t>
      </w:r>
      <w:r w:rsidR="00404303" w:rsidRPr="005A3538">
        <w:t xml:space="preserve">It </w:t>
      </w:r>
      <w:r w:rsidR="00066136" w:rsidRPr="005A3538">
        <w:t>deal</w:t>
      </w:r>
      <w:r w:rsidR="00B662F2" w:rsidRPr="005A3538">
        <w:t>t</w:t>
      </w:r>
      <w:r w:rsidR="00066136" w:rsidRPr="005A3538">
        <w:t xml:space="preserve"> only with documentary </w:t>
      </w:r>
      <w:r w:rsidR="00B662F2" w:rsidRPr="005A3538">
        <w:t xml:space="preserve">credit; </w:t>
      </w:r>
      <w:r w:rsidR="00066136" w:rsidRPr="005A3538">
        <w:t>hence</w:t>
      </w:r>
      <w:r w:rsidR="00B662F2" w:rsidRPr="005A3538">
        <w:t xml:space="preserve">, the </w:t>
      </w:r>
      <w:r w:rsidR="00106D51" w:rsidRPr="005A3538">
        <w:t>LC</w:t>
      </w:r>
      <w:r w:rsidR="00066136" w:rsidRPr="005A3538">
        <w:t xml:space="preserve"> </w:t>
      </w:r>
      <w:r w:rsidR="00B662F2" w:rsidRPr="005A3538">
        <w:t xml:space="preserve">was </w:t>
      </w:r>
      <w:r w:rsidR="00066136" w:rsidRPr="005A3538">
        <w:t>popularly known as</w:t>
      </w:r>
      <w:r w:rsidR="00404303" w:rsidRPr="005A3538">
        <w:t xml:space="preserve"> a</w:t>
      </w:r>
      <w:r w:rsidR="00066136" w:rsidRPr="005A3538">
        <w:t xml:space="preserve"> </w:t>
      </w:r>
      <w:r w:rsidR="00B662F2" w:rsidRPr="005A3538">
        <w:t>d</w:t>
      </w:r>
      <w:r w:rsidR="00066136" w:rsidRPr="005A3538">
        <w:t xml:space="preserve">ocumentary </w:t>
      </w:r>
      <w:r w:rsidR="00B662F2" w:rsidRPr="005A3538">
        <w:t>l</w:t>
      </w:r>
      <w:r w:rsidR="00066136" w:rsidRPr="005A3538">
        <w:t xml:space="preserve">etter of </w:t>
      </w:r>
      <w:r w:rsidR="00B662F2" w:rsidRPr="005A3538">
        <w:t>c</w:t>
      </w:r>
      <w:r w:rsidR="00066136" w:rsidRPr="005A3538">
        <w:t>redit</w:t>
      </w:r>
      <w:r w:rsidR="00B662F2" w:rsidRPr="005A3538">
        <w:t xml:space="preserve"> </w:t>
      </w:r>
      <w:r w:rsidR="00066136" w:rsidRPr="005A3538">
        <w:t xml:space="preserve">or </w:t>
      </w:r>
      <w:r w:rsidR="00B662F2" w:rsidRPr="005A3538">
        <w:t>d</w:t>
      </w:r>
      <w:r w:rsidR="00066136" w:rsidRPr="005A3538">
        <w:t xml:space="preserve">ocumentary </w:t>
      </w:r>
      <w:r w:rsidR="00B662F2" w:rsidRPr="005A3538">
        <w:t>c</w:t>
      </w:r>
      <w:r w:rsidR="00066136" w:rsidRPr="005A3538">
        <w:t>redit.</w:t>
      </w:r>
      <w:r w:rsidR="006A2CDB" w:rsidRPr="000430B4">
        <w:rPr>
          <w:rStyle w:val="FootnoteReference"/>
        </w:rPr>
        <w:footnoteReference w:id="26"/>
      </w:r>
    </w:p>
    <w:p w14:paraId="73EEEA73" w14:textId="77777777" w:rsidR="00066136" w:rsidRPr="005A3538" w:rsidRDefault="00066136" w:rsidP="00066136">
      <w:pPr>
        <w:pStyle w:val="BodyTextMain"/>
      </w:pPr>
    </w:p>
    <w:p w14:paraId="5FBFAC92" w14:textId="08A9FEF6" w:rsidR="00106D51" w:rsidRPr="005A3538" w:rsidRDefault="00066136" w:rsidP="007F643A">
      <w:pPr>
        <w:pStyle w:val="BodyTextMain"/>
      </w:pPr>
      <w:r w:rsidRPr="005A3538">
        <w:t xml:space="preserve">The objective of the UCPDC </w:t>
      </w:r>
      <w:r w:rsidR="00B662F2" w:rsidRPr="005A3538">
        <w:t>was</w:t>
      </w:r>
      <w:r w:rsidRPr="005A3538">
        <w:t xml:space="preserve"> to standardi</w:t>
      </w:r>
      <w:r w:rsidR="00D60E98" w:rsidRPr="005A3538">
        <w:t>z</w:t>
      </w:r>
      <w:r w:rsidRPr="005A3538">
        <w:t>e the rules governing the operation of the</w:t>
      </w:r>
      <w:r w:rsidR="000B3385" w:rsidRPr="005A3538">
        <w:t xml:space="preserve"> DLC</w:t>
      </w:r>
      <w:r w:rsidRPr="005A3538">
        <w:t>.</w:t>
      </w:r>
      <w:r w:rsidR="00106D51" w:rsidRPr="005A3538">
        <w:t xml:space="preserve"> </w:t>
      </w:r>
      <w:r w:rsidR="00B662F2" w:rsidRPr="005A3538">
        <w:t>T</w:t>
      </w:r>
      <w:r w:rsidR="00BA1A05" w:rsidRPr="005A3538">
        <w:t>he</w:t>
      </w:r>
      <w:r w:rsidR="001520DD" w:rsidRPr="005A3538">
        <w:t xml:space="preserve">re </w:t>
      </w:r>
      <w:r w:rsidR="00B662F2" w:rsidRPr="005A3538">
        <w:t>were</w:t>
      </w:r>
      <w:r w:rsidR="006A2CDB" w:rsidRPr="005A3538">
        <w:t xml:space="preserve"> two</w:t>
      </w:r>
      <w:r w:rsidR="00BA1A05" w:rsidRPr="005A3538">
        <w:t xml:space="preserve"> cardinal principle</w:t>
      </w:r>
      <w:r w:rsidR="006A2CDB" w:rsidRPr="005A3538">
        <w:t>s</w:t>
      </w:r>
      <w:r w:rsidR="00BA1A05" w:rsidRPr="005A3538">
        <w:t xml:space="preserve"> </w:t>
      </w:r>
      <w:r w:rsidR="00B662F2" w:rsidRPr="005A3538">
        <w:t xml:space="preserve">for </w:t>
      </w:r>
      <w:r w:rsidR="00B32AA2" w:rsidRPr="005A3538">
        <w:t>working or operat</w:t>
      </w:r>
      <w:r w:rsidR="00B662F2" w:rsidRPr="005A3538">
        <w:t>ing with an LC</w:t>
      </w:r>
      <w:r w:rsidR="00CF0643" w:rsidRPr="005A3538">
        <w:t xml:space="preserve">. </w:t>
      </w:r>
      <w:r w:rsidR="001520DD" w:rsidRPr="005A3538">
        <w:t xml:space="preserve">The first </w:t>
      </w:r>
      <w:r w:rsidR="00B662F2" w:rsidRPr="005A3538">
        <w:t>was</w:t>
      </w:r>
      <w:r w:rsidR="001520DD" w:rsidRPr="005A3538">
        <w:t xml:space="preserve"> t</w:t>
      </w:r>
      <w:r w:rsidR="00B32AA2" w:rsidRPr="005A3538">
        <w:t>he principle of indep</w:t>
      </w:r>
      <w:r w:rsidR="00CF0643" w:rsidRPr="005A3538">
        <w:t xml:space="preserve">endence of the </w:t>
      </w:r>
      <w:r w:rsidR="00B662F2" w:rsidRPr="005A3538">
        <w:t>LC</w:t>
      </w:r>
      <w:r w:rsidR="00CF0643" w:rsidRPr="005A3538">
        <w:t>,</w:t>
      </w:r>
      <w:r w:rsidR="00B32AA2" w:rsidRPr="005A3538">
        <w:t xml:space="preserve"> </w:t>
      </w:r>
      <w:r w:rsidR="009A019F" w:rsidRPr="005A3538">
        <w:t>which mea</w:t>
      </w:r>
      <w:r w:rsidR="00B662F2" w:rsidRPr="005A3538">
        <w:t xml:space="preserve">nt </w:t>
      </w:r>
      <w:r w:rsidR="009A019F" w:rsidRPr="005A3538">
        <w:t xml:space="preserve">that the </w:t>
      </w:r>
      <w:r w:rsidR="001520DD" w:rsidRPr="005A3538">
        <w:t xml:space="preserve">payment </w:t>
      </w:r>
      <w:r w:rsidR="009A019F" w:rsidRPr="005A3538">
        <w:t xml:space="preserve">undertaking of the </w:t>
      </w:r>
      <w:r w:rsidR="001520DD" w:rsidRPr="005A3538">
        <w:t>LC</w:t>
      </w:r>
      <w:r w:rsidR="00B662F2" w:rsidRPr="005A3538">
        <w:t>-</w:t>
      </w:r>
      <w:r w:rsidR="001520DD" w:rsidRPr="005A3538">
        <w:t xml:space="preserve">issuing </w:t>
      </w:r>
      <w:r w:rsidR="009A019F" w:rsidRPr="005A3538">
        <w:t xml:space="preserve">bank </w:t>
      </w:r>
      <w:r w:rsidR="00B662F2" w:rsidRPr="005A3538">
        <w:t>was</w:t>
      </w:r>
      <w:r w:rsidR="009A019F" w:rsidRPr="005A3538">
        <w:t xml:space="preserve"> independent of the rights and the liabilities of the</w:t>
      </w:r>
      <w:r w:rsidR="001520DD" w:rsidRPr="005A3538">
        <w:t xml:space="preserve"> trading parties </w:t>
      </w:r>
      <w:r w:rsidR="00CF0643" w:rsidRPr="005A3538">
        <w:t>(</w:t>
      </w:r>
      <w:r w:rsidR="00B662F2" w:rsidRPr="005A3538">
        <w:t xml:space="preserve">that is, </w:t>
      </w:r>
      <w:r w:rsidR="001520DD" w:rsidRPr="005A3538">
        <w:t>the</w:t>
      </w:r>
      <w:r w:rsidR="009A019F" w:rsidRPr="005A3538">
        <w:t xml:space="preserve"> importer </w:t>
      </w:r>
      <w:r w:rsidR="00B32AA2" w:rsidRPr="005A3538">
        <w:t>and</w:t>
      </w:r>
      <w:r w:rsidR="009A019F" w:rsidRPr="005A3538">
        <w:t xml:space="preserve"> the exporter under the underlying contract of sale</w:t>
      </w:r>
      <w:r w:rsidR="00CF0643" w:rsidRPr="005A3538">
        <w:t>)</w:t>
      </w:r>
      <w:r w:rsidR="009A019F" w:rsidRPr="005A3538">
        <w:t xml:space="preserve">. The </w:t>
      </w:r>
      <w:r w:rsidR="001520DD" w:rsidRPr="005A3538">
        <w:t>LC</w:t>
      </w:r>
      <w:r w:rsidR="00B662F2" w:rsidRPr="005A3538">
        <w:t>-</w:t>
      </w:r>
      <w:r w:rsidR="001520DD" w:rsidRPr="005A3538">
        <w:t xml:space="preserve">issuing </w:t>
      </w:r>
      <w:r w:rsidR="009A019F" w:rsidRPr="005A3538">
        <w:t>bank</w:t>
      </w:r>
      <w:r w:rsidR="001520DD" w:rsidRPr="005A3538">
        <w:t xml:space="preserve"> or the negotiating bank</w:t>
      </w:r>
      <w:r w:rsidR="009A019F" w:rsidRPr="005A3538">
        <w:t xml:space="preserve"> </w:t>
      </w:r>
      <w:r w:rsidR="00106D51" w:rsidRPr="005A3538">
        <w:t>was</w:t>
      </w:r>
      <w:r w:rsidR="00B662F2" w:rsidRPr="005A3538">
        <w:t xml:space="preserve"> required </w:t>
      </w:r>
      <w:r w:rsidR="00106D51" w:rsidRPr="005A3538">
        <w:t>t</w:t>
      </w:r>
      <w:r w:rsidR="00B662F2" w:rsidRPr="005A3538">
        <w:t xml:space="preserve">o </w:t>
      </w:r>
      <w:r w:rsidR="009A019F" w:rsidRPr="005A3538">
        <w:t>pay against credit</w:t>
      </w:r>
      <w:r w:rsidR="00B662F2" w:rsidRPr="005A3538">
        <w:t>-</w:t>
      </w:r>
      <w:r w:rsidR="009A019F" w:rsidRPr="005A3538">
        <w:t xml:space="preserve">complying documents </w:t>
      </w:r>
      <w:r w:rsidR="001520DD" w:rsidRPr="005A3538">
        <w:t>submitted by the exporter (the beneficiary of the credit)</w:t>
      </w:r>
      <w:r w:rsidR="00A2562E" w:rsidRPr="005A3538">
        <w:t>,</w:t>
      </w:r>
      <w:r w:rsidR="001520DD" w:rsidRPr="005A3538">
        <w:t xml:space="preserve"> </w:t>
      </w:r>
      <w:r w:rsidR="009A019F" w:rsidRPr="005A3538">
        <w:t>even though the importer allege</w:t>
      </w:r>
      <w:r w:rsidR="00B662F2" w:rsidRPr="005A3538">
        <w:t>d</w:t>
      </w:r>
      <w:r w:rsidR="009A019F" w:rsidRPr="005A3538">
        <w:t xml:space="preserve"> that the exporter committed a breach of the contract of sale.</w:t>
      </w:r>
      <w:r w:rsidR="00CF0643" w:rsidRPr="005A3538">
        <w:t xml:space="preserve"> </w:t>
      </w:r>
    </w:p>
    <w:p w14:paraId="3E097B06" w14:textId="77777777" w:rsidR="00106D51" w:rsidRPr="005A3538" w:rsidRDefault="00106D51" w:rsidP="007F643A">
      <w:pPr>
        <w:pStyle w:val="BodyTextMain"/>
      </w:pPr>
    </w:p>
    <w:p w14:paraId="52940154" w14:textId="23D8E1D8" w:rsidR="00BA1A05" w:rsidRPr="00811EA4" w:rsidRDefault="009A019F" w:rsidP="007F643A">
      <w:pPr>
        <w:pStyle w:val="BodyTextMain"/>
        <w:rPr>
          <w:spacing w:val="-2"/>
          <w:kern w:val="22"/>
        </w:rPr>
      </w:pPr>
      <w:r w:rsidRPr="00811EA4">
        <w:rPr>
          <w:spacing w:val="-2"/>
          <w:kern w:val="22"/>
        </w:rPr>
        <w:t>T</w:t>
      </w:r>
      <w:r w:rsidR="00B32AA2" w:rsidRPr="00811EA4">
        <w:rPr>
          <w:spacing w:val="-2"/>
          <w:kern w:val="22"/>
        </w:rPr>
        <w:t xml:space="preserve">he </w:t>
      </w:r>
      <w:r w:rsidR="001520DD" w:rsidRPr="00811EA4">
        <w:rPr>
          <w:spacing w:val="-2"/>
          <w:kern w:val="22"/>
        </w:rPr>
        <w:t xml:space="preserve">second </w:t>
      </w:r>
      <w:r w:rsidR="00B32AA2" w:rsidRPr="00811EA4">
        <w:rPr>
          <w:spacing w:val="-2"/>
          <w:kern w:val="22"/>
        </w:rPr>
        <w:t xml:space="preserve">principle </w:t>
      </w:r>
      <w:r w:rsidR="00106D51" w:rsidRPr="00811EA4">
        <w:rPr>
          <w:spacing w:val="-2"/>
          <w:kern w:val="22"/>
        </w:rPr>
        <w:t>was</w:t>
      </w:r>
      <w:r w:rsidR="001520DD" w:rsidRPr="00811EA4">
        <w:rPr>
          <w:spacing w:val="-2"/>
          <w:kern w:val="22"/>
        </w:rPr>
        <w:t xml:space="preserve"> </w:t>
      </w:r>
      <w:r w:rsidR="00B32AA2" w:rsidRPr="00811EA4">
        <w:rPr>
          <w:spacing w:val="-2"/>
          <w:kern w:val="22"/>
        </w:rPr>
        <w:t xml:space="preserve">that </w:t>
      </w:r>
      <w:r w:rsidR="00BA1A05" w:rsidRPr="00811EA4">
        <w:rPr>
          <w:spacing w:val="-2"/>
          <w:kern w:val="22"/>
        </w:rPr>
        <w:t>banks deal</w:t>
      </w:r>
      <w:r w:rsidR="00106D51" w:rsidRPr="00811EA4">
        <w:rPr>
          <w:spacing w:val="-2"/>
          <w:kern w:val="22"/>
        </w:rPr>
        <w:t>t</w:t>
      </w:r>
      <w:r w:rsidR="00BA1A05" w:rsidRPr="00811EA4">
        <w:rPr>
          <w:spacing w:val="-2"/>
          <w:kern w:val="22"/>
        </w:rPr>
        <w:t xml:space="preserve"> </w:t>
      </w:r>
      <w:r w:rsidR="006A2CDB" w:rsidRPr="00811EA4">
        <w:rPr>
          <w:spacing w:val="-2"/>
          <w:kern w:val="22"/>
        </w:rPr>
        <w:t>in</w:t>
      </w:r>
      <w:r w:rsidR="00BA1A05" w:rsidRPr="00811EA4">
        <w:rPr>
          <w:spacing w:val="-2"/>
          <w:kern w:val="22"/>
        </w:rPr>
        <w:t xml:space="preserve"> documents</w:t>
      </w:r>
      <w:r w:rsidR="00A2562E" w:rsidRPr="00811EA4">
        <w:rPr>
          <w:spacing w:val="-2"/>
          <w:kern w:val="22"/>
        </w:rPr>
        <w:t xml:space="preserve">, </w:t>
      </w:r>
      <w:r w:rsidR="00BA1A05" w:rsidRPr="00811EA4">
        <w:rPr>
          <w:spacing w:val="-2"/>
          <w:kern w:val="22"/>
        </w:rPr>
        <w:t>not with goods</w:t>
      </w:r>
      <w:r w:rsidRPr="00811EA4">
        <w:rPr>
          <w:spacing w:val="-2"/>
          <w:kern w:val="22"/>
        </w:rPr>
        <w:t xml:space="preserve"> to which the documents re</w:t>
      </w:r>
      <w:r w:rsidR="001520DD" w:rsidRPr="00811EA4">
        <w:rPr>
          <w:spacing w:val="-2"/>
          <w:kern w:val="22"/>
        </w:rPr>
        <w:t>late</w:t>
      </w:r>
      <w:r w:rsidR="00106D51" w:rsidRPr="00811EA4">
        <w:rPr>
          <w:spacing w:val="-2"/>
          <w:kern w:val="22"/>
        </w:rPr>
        <w:t>d</w:t>
      </w:r>
      <w:r w:rsidR="00BA1A05" w:rsidRPr="00811EA4">
        <w:rPr>
          <w:spacing w:val="-2"/>
          <w:kern w:val="22"/>
        </w:rPr>
        <w:t>.</w:t>
      </w:r>
      <w:r w:rsidRPr="00811EA4">
        <w:rPr>
          <w:spacing w:val="-2"/>
          <w:kern w:val="22"/>
        </w:rPr>
        <w:t xml:space="preserve"> </w:t>
      </w:r>
      <w:r w:rsidR="001520DD" w:rsidRPr="00811EA4">
        <w:rPr>
          <w:spacing w:val="-2"/>
          <w:kern w:val="22"/>
        </w:rPr>
        <w:t>Hence</w:t>
      </w:r>
      <w:r w:rsidR="00B662F2" w:rsidRPr="00811EA4">
        <w:rPr>
          <w:spacing w:val="-2"/>
          <w:kern w:val="22"/>
        </w:rPr>
        <w:t>,</w:t>
      </w:r>
      <w:r w:rsidRPr="00811EA4">
        <w:rPr>
          <w:spacing w:val="-2"/>
          <w:kern w:val="22"/>
        </w:rPr>
        <w:t xml:space="preserve"> if the documents </w:t>
      </w:r>
      <w:r w:rsidR="001520DD" w:rsidRPr="00811EA4">
        <w:rPr>
          <w:spacing w:val="-2"/>
          <w:kern w:val="22"/>
        </w:rPr>
        <w:t xml:space="preserve">submitted by the exporter/beneficiary </w:t>
      </w:r>
      <w:r w:rsidRPr="00811EA4">
        <w:rPr>
          <w:spacing w:val="-2"/>
          <w:kern w:val="22"/>
        </w:rPr>
        <w:t>compl</w:t>
      </w:r>
      <w:r w:rsidR="00106D51" w:rsidRPr="00811EA4">
        <w:rPr>
          <w:spacing w:val="-2"/>
          <w:kern w:val="22"/>
        </w:rPr>
        <w:t>i</w:t>
      </w:r>
      <w:r w:rsidR="00B662F2" w:rsidRPr="00811EA4">
        <w:rPr>
          <w:spacing w:val="-2"/>
          <w:kern w:val="22"/>
        </w:rPr>
        <w:t>ed</w:t>
      </w:r>
      <w:r w:rsidRPr="00811EA4">
        <w:rPr>
          <w:spacing w:val="-2"/>
          <w:kern w:val="22"/>
        </w:rPr>
        <w:t xml:space="preserve"> with the requirements of the credit</w:t>
      </w:r>
      <w:r w:rsidR="001520DD" w:rsidRPr="00811EA4">
        <w:rPr>
          <w:spacing w:val="-2"/>
          <w:kern w:val="22"/>
        </w:rPr>
        <w:t xml:space="preserve">, </w:t>
      </w:r>
      <w:r w:rsidRPr="00811EA4">
        <w:rPr>
          <w:spacing w:val="-2"/>
          <w:kern w:val="22"/>
        </w:rPr>
        <w:t>the</w:t>
      </w:r>
      <w:r w:rsidR="001520DD" w:rsidRPr="00811EA4">
        <w:rPr>
          <w:spacing w:val="-2"/>
          <w:kern w:val="22"/>
        </w:rPr>
        <w:t xml:space="preserve"> LC</w:t>
      </w:r>
      <w:r w:rsidR="00B662F2" w:rsidRPr="00811EA4">
        <w:rPr>
          <w:spacing w:val="-2"/>
          <w:kern w:val="22"/>
        </w:rPr>
        <w:t>-</w:t>
      </w:r>
      <w:r w:rsidR="001520DD" w:rsidRPr="00811EA4">
        <w:rPr>
          <w:spacing w:val="-2"/>
          <w:kern w:val="22"/>
        </w:rPr>
        <w:t>issuing</w:t>
      </w:r>
      <w:r w:rsidRPr="00811EA4">
        <w:rPr>
          <w:spacing w:val="-2"/>
          <w:kern w:val="22"/>
        </w:rPr>
        <w:t xml:space="preserve"> bank </w:t>
      </w:r>
      <w:r w:rsidR="00E40E23" w:rsidRPr="00811EA4">
        <w:rPr>
          <w:spacing w:val="-2"/>
          <w:kern w:val="22"/>
        </w:rPr>
        <w:t xml:space="preserve">or negotiating bank </w:t>
      </w:r>
      <w:r w:rsidR="00B662F2" w:rsidRPr="00811EA4">
        <w:rPr>
          <w:spacing w:val="-2"/>
          <w:kern w:val="22"/>
        </w:rPr>
        <w:t>was</w:t>
      </w:r>
      <w:r w:rsidRPr="00811EA4">
        <w:rPr>
          <w:spacing w:val="-2"/>
          <w:kern w:val="22"/>
        </w:rPr>
        <w:t xml:space="preserve"> </w:t>
      </w:r>
      <w:r w:rsidR="001520DD" w:rsidRPr="00811EA4">
        <w:rPr>
          <w:spacing w:val="-2"/>
          <w:kern w:val="22"/>
        </w:rPr>
        <w:t>obligated</w:t>
      </w:r>
      <w:r w:rsidRPr="00811EA4">
        <w:rPr>
          <w:spacing w:val="-2"/>
          <w:kern w:val="22"/>
        </w:rPr>
        <w:t xml:space="preserve"> to</w:t>
      </w:r>
      <w:r w:rsidR="001520DD" w:rsidRPr="00811EA4">
        <w:rPr>
          <w:spacing w:val="-2"/>
          <w:kern w:val="22"/>
        </w:rPr>
        <w:t xml:space="preserve"> make</w:t>
      </w:r>
      <w:r w:rsidRPr="00811EA4">
        <w:rPr>
          <w:spacing w:val="-2"/>
          <w:kern w:val="22"/>
        </w:rPr>
        <w:t xml:space="preserve"> pay</w:t>
      </w:r>
      <w:r w:rsidR="001520DD" w:rsidRPr="00811EA4">
        <w:rPr>
          <w:spacing w:val="-2"/>
          <w:kern w:val="22"/>
        </w:rPr>
        <w:t>ment</w:t>
      </w:r>
      <w:r w:rsidR="00B662F2" w:rsidRPr="00811EA4">
        <w:rPr>
          <w:spacing w:val="-2"/>
          <w:kern w:val="22"/>
        </w:rPr>
        <w:t>,</w:t>
      </w:r>
      <w:r w:rsidRPr="00811EA4">
        <w:rPr>
          <w:spacing w:val="-2"/>
          <w:kern w:val="22"/>
        </w:rPr>
        <w:t xml:space="preserve"> even though the buyer complain</w:t>
      </w:r>
      <w:r w:rsidR="00B662F2" w:rsidRPr="00811EA4">
        <w:rPr>
          <w:spacing w:val="-2"/>
          <w:kern w:val="22"/>
        </w:rPr>
        <w:t xml:space="preserve">ed </w:t>
      </w:r>
      <w:r w:rsidRPr="00811EA4">
        <w:rPr>
          <w:spacing w:val="-2"/>
          <w:kern w:val="22"/>
        </w:rPr>
        <w:t xml:space="preserve">that the goods </w:t>
      </w:r>
      <w:r w:rsidR="00B662F2" w:rsidRPr="00811EA4">
        <w:rPr>
          <w:spacing w:val="-2"/>
          <w:kern w:val="22"/>
        </w:rPr>
        <w:t>were</w:t>
      </w:r>
      <w:r w:rsidRPr="00811EA4">
        <w:rPr>
          <w:spacing w:val="-2"/>
          <w:kern w:val="22"/>
        </w:rPr>
        <w:t xml:space="preserve"> not up to the </w:t>
      </w:r>
      <w:r w:rsidR="00E40E23" w:rsidRPr="00811EA4">
        <w:rPr>
          <w:spacing w:val="-2"/>
          <w:kern w:val="22"/>
        </w:rPr>
        <w:t>specified</w:t>
      </w:r>
      <w:r w:rsidRPr="00811EA4">
        <w:rPr>
          <w:spacing w:val="-2"/>
          <w:kern w:val="22"/>
        </w:rPr>
        <w:t xml:space="preserve"> quality</w:t>
      </w:r>
      <w:r w:rsidR="00A2562E" w:rsidRPr="00811EA4">
        <w:rPr>
          <w:spacing w:val="-2"/>
          <w:kern w:val="22"/>
        </w:rPr>
        <w:t xml:space="preserve">, </w:t>
      </w:r>
      <w:r w:rsidR="00E40E23" w:rsidRPr="00811EA4">
        <w:rPr>
          <w:spacing w:val="-2"/>
          <w:kern w:val="22"/>
        </w:rPr>
        <w:t>standards</w:t>
      </w:r>
      <w:r w:rsidR="00A2562E" w:rsidRPr="00811EA4">
        <w:rPr>
          <w:spacing w:val="-2"/>
          <w:kern w:val="22"/>
        </w:rPr>
        <w:t xml:space="preserve">, or </w:t>
      </w:r>
      <w:r w:rsidR="00E40E23" w:rsidRPr="00811EA4">
        <w:rPr>
          <w:spacing w:val="-2"/>
          <w:kern w:val="22"/>
        </w:rPr>
        <w:t xml:space="preserve">quantity </w:t>
      </w:r>
      <w:r w:rsidR="00106D51" w:rsidRPr="00811EA4">
        <w:rPr>
          <w:spacing w:val="-2"/>
          <w:kern w:val="22"/>
        </w:rPr>
        <w:t>of</w:t>
      </w:r>
      <w:r w:rsidR="00E40E23" w:rsidRPr="00811EA4">
        <w:rPr>
          <w:spacing w:val="-2"/>
          <w:kern w:val="22"/>
        </w:rPr>
        <w:t xml:space="preserve"> the sale contract</w:t>
      </w:r>
      <w:r w:rsidRPr="00811EA4">
        <w:rPr>
          <w:spacing w:val="-2"/>
          <w:kern w:val="22"/>
        </w:rPr>
        <w:t>.</w:t>
      </w:r>
      <w:r w:rsidR="00E40E23" w:rsidRPr="00811EA4">
        <w:rPr>
          <w:spacing w:val="-2"/>
          <w:kern w:val="22"/>
        </w:rPr>
        <w:t xml:space="preserve"> By virtue of the independent nature of the bank’s commitment</w:t>
      </w:r>
      <w:r w:rsidR="00A2562E" w:rsidRPr="00811EA4">
        <w:rPr>
          <w:spacing w:val="-2"/>
          <w:kern w:val="22"/>
        </w:rPr>
        <w:t xml:space="preserve"> and </w:t>
      </w:r>
      <w:r w:rsidR="00E40E23" w:rsidRPr="00811EA4">
        <w:rPr>
          <w:spacing w:val="-2"/>
          <w:kern w:val="22"/>
        </w:rPr>
        <w:t>obligation to pay</w:t>
      </w:r>
      <w:r w:rsidR="00B662F2" w:rsidRPr="00811EA4">
        <w:rPr>
          <w:spacing w:val="-2"/>
          <w:kern w:val="22"/>
        </w:rPr>
        <w:t>,</w:t>
      </w:r>
      <w:r w:rsidR="00E40E23" w:rsidRPr="00811EA4">
        <w:rPr>
          <w:spacing w:val="-2"/>
          <w:kern w:val="22"/>
        </w:rPr>
        <w:t xml:space="preserve"> the exporter </w:t>
      </w:r>
      <w:r w:rsidR="00B662F2" w:rsidRPr="00811EA4">
        <w:rPr>
          <w:spacing w:val="-2"/>
          <w:kern w:val="22"/>
        </w:rPr>
        <w:t>was</w:t>
      </w:r>
      <w:r w:rsidR="00E40E23" w:rsidRPr="00811EA4">
        <w:rPr>
          <w:spacing w:val="-2"/>
          <w:kern w:val="22"/>
        </w:rPr>
        <w:t xml:space="preserve"> assured of payment.</w:t>
      </w:r>
    </w:p>
    <w:p w14:paraId="65F5553D" w14:textId="77777777" w:rsidR="00BA1A05" w:rsidRPr="005A3538" w:rsidRDefault="00BA1A05" w:rsidP="007F643A">
      <w:pPr>
        <w:pStyle w:val="BodyTextMain"/>
      </w:pPr>
    </w:p>
    <w:p w14:paraId="761B58D6" w14:textId="77777777" w:rsidR="00066136" w:rsidRPr="005A3538" w:rsidRDefault="00066136" w:rsidP="00B958F3">
      <w:pPr>
        <w:pStyle w:val="BodyTextMain"/>
      </w:pPr>
    </w:p>
    <w:p w14:paraId="586F7786" w14:textId="77777777" w:rsidR="009F2FF5" w:rsidRPr="005A3538" w:rsidRDefault="009F2FF5" w:rsidP="00FF3573">
      <w:pPr>
        <w:pStyle w:val="Casehead1"/>
        <w:outlineLvl w:val="0"/>
      </w:pPr>
      <w:r w:rsidRPr="005A3538">
        <w:t>FINAL CONSIDERATIONS</w:t>
      </w:r>
    </w:p>
    <w:p w14:paraId="474935E2" w14:textId="77777777" w:rsidR="009F2FF5" w:rsidRPr="005A3538" w:rsidRDefault="009F2FF5" w:rsidP="009F2FF5">
      <w:pPr>
        <w:pStyle w:val="BodyTextMain"/>
      </w:pPr>
    </w:p>
    <w:p w14:paraId="017582D7" w14:textId="2FDC82EF" w:rsidR="00453FAF" w:rsidRPr="00734BF5" w:rsidRDefault="009F2FF5" w:rsidP="00811EA4">
      <w:pPr>
        <w:pStyle w:val="BodyTextMain"/>
      </w:pPr>
      <w:r w:rsidRPr="005A3538">
        <w:t xml:space="preserve">After attending the seminar, </w:t>
      </w:r>
      <w:proofErr w:type="spellStart"/>
      <w:r w:rsidRPr="005A3538">
        <w:t>Mohanty</w:t>
      </w:r>
      <w:proofErr w:type="spellEnd"/>
      <w:r w:rsidRPr="005A3538">
        <w:t xml:space="preserve"> was feeling reasonably confident </w:t>
      </w:r>
      <w:r w:rsidR="005B4A9F" w:rsidRPr="005A3538">
        <w:t>in</w:t>
      </w:r>
      <w:r w:rsidRPr="005A3538">
        <w:t xml:space="preserve"> solv</w:t>
      </w:r>
      <w:r w:rsidR="005B4A9F" w:rsidRPr="005A3538">
        <w:t>ing</w:t>
      </w:r>
      <w:r w:rsidRPr="005A3538">
        <w:t xml:space="preserve"> </w:t>
      </w:r>
      <w:r w:rsidR="005B4A9F" w:rsidRPr="005A3538">
        <w:t xml:space="preserve">her </w:t>
      </w:r>
      <w:r w:rsidRPr="005A3538">
        <w:t>immed</w:t>
      </w:r>
      <w:r w:rsidR="0043461E" w:rsidRPr="005A3538">
        <w:t>iate business problems</w:t>
      </w:r>
      <w:r w:rsidRPr="005A3538">
        <w:t xml:space="preserve">. </w:t>
      </w:r>
      <w:r w:rsidR="0043461E" w:rsidRPr="005A3538">
        <w:t>Sh</w:t>
      </w:r>
      <w:r w:rsidRPr="005A3538">
        <w:t xml:space="preserve">e </w:t>
      </w:r>
      <w:r w:rsidR="005B4A9F" w:rsidRPr="005A3538">
        <w:t>needed</w:t>
      </w:r>
      <w:r w:rsidRPr="005A3538">
        <w:t xml:space="preserve"> to balance h</w:t>
      </w:r>
      <w:r w:rsidR="0043461E" w:rsidRPr="005A3538">
        <w:t>er</w:t>
      </w:r>
      <w:r w:rsidRPr="005A3538">
        <w:t xml:space="preserve"> goal</w:t>
      </w:r>
      <w:r w:rsidR="007869B7" w:rsidRPr="005A3538">
        <w:t>s</w:t>
      </w:r>
      <w:r w:rsidRPr="005A3538">
        <w:t xml:space="preserve"> of </w:t>
      </w:r>
      <w:r w:rsidR="007869B7" w:rsidRPr="005A3538">
        <w:t xml:space="preserve">developing </w:t>
      </w:r>
      <w:r w:rsidRPr="005A3538">
        <w:t>business</w:t>
      </w:r>
      <w:r w:rsidR="0011447C" w:rsidRPr="005A3538">
        <w:t xml:space="preserve">, </w:t>
      </w:r>
      <w:r w:rsidRPr="005A3538">
        <w:t>minimi</w:t>
      </w:r>
      <w:r w:rsidR="0011447C" w:rsidRPr="005A3538">
        <w:t>zing</w:t>
      </w:r>
      <w:r w:rsidRPr="005A3538">
        <w:t xml:space="preserve"> commercial risk</w:t>
      </w:r>
      <w:r w:rsidR="0011447C" w:rsidRPr="005A3538">
        <w:t>, an</w:t>
      </w:r>
      <w:r w:rsidR="007869B7" w:rsidRPr="005A3538">
        <w:t>d improving profitability</w:t>
      </w:r>
      <w:r w:rsidR="0011447C" w:rsidRPr="005A3538">
        <w:t xml:space="preserve">. </w:t>
      </w:r>
      <w:r w:rsidR="005B4A9F" w:rsidRPr="005A3538">
        <w:t xml:space="preserve">She </w:t>
      </w:r>
      <w:r w:rsidRPr="005A3538">
        <w:t>reali</w:t>
      </w:r>
      <w:r w:rsidR="005B4A9F" w:rsidRPr="005A3538">
        <w:t>z</w:t>
      </w:r>
      <w:r w:rsidRPr="005A3538">
        <w:t xml:space="preserve">ed that if </w:t>
      </w:r>
      <w:r w:rsidR="0043461E" w:rsidRPr="005A3538">
        <w:t>s</w:t>
      </w:r>
      <w:r w:rsidR="00CF0643" w:rsidRPr="005A3538">
        <w:t>he insisted on 100 per cent</w:t>
      </w:r>
      <w:r w:rsidRPr="005A3538">
        <w:t xml:space="preserve"> advance payment from h</w:t>
      </w:r>
      <w:r w:rsidR="0043461E" w:rsidRPr="005A3538">
        <w:t>er</w:t>
      </w:r>
      <w:r w:rsidRPr="005A3538">
        <w:t xml:space="preserve"> new buyers</w:t>
      </w:r>
      <w:r w:rsidR="005B4A9F" w:rsidRPr="005A3538">
        <w:t xml:space="preserve"> and </w:t>
      </w:r>
      <w:r w:rsidRPr="005A3538">
        <w:t xml:space="preserve">customers, </w:t>
      </w:r>
      <w:r w:rsidR="0043461E" w:rsidRPr="005A3538">
        <w:t>s</w:t>
      </w:r>
      <w:r w:rsidRPr="005A3538">
        <w:t>he might not firm up the contracts</w:t>
      </w:r>
      <w:r w:rsidR="00453FAF" w:rsidRPr="005A3538">
        <w:t xml:space="preserve"> and</w:t>
      </w:r>
      <w:r w:rsidR="005B4A9F" w:rsidRPr="005A3538">
        <w:t>,</w:t>
      </w:r>
      <w:r w:rsidR="00453FAF" w:rsidRPr="005A3538">
        <w:t xml:space="preserve"> i</w:t>
      </w:r>
      <w:r w:rsidRPr="005A3538">
        <w:t xml:space="preserve">n </w:t>
      </w:r>
      <w:r w:rsidR="0049502E" w:rsidRPr="005A3538">
        <w:t>the current</w:t>
      </w:r>
      <w:r w:rsidRPr="005A3538">
        <w:t xml:space="preserve"> competitive business environment</w:t>
      </w:r>
      <w:r w:rsidR="00453FAF" w:rsidRPr="005A3538">
        <w:t>,</w:t>
      </w:r>
      <w:r w:rsidRPr="005A3538">
        <w:t xml:space="preserve"> would lose h</w:t>
      </w:r>
      <w:r w:rsidR="0043461E" w:rsidRPr="005A3538">
        <w:t>er</w:t>
      </w:r>
      <w:r w:rsidRPr="005A3538">
        <w:t xml:space="preserve"> business to h</w:t>
      </w:r>
      <w:r w:rsidR="0043461E" w:rsidRPr="005A3538">
        <w:t>er</w:t>
      </w:r>
      <w:r w:rsidRPr="005A3538">
        <w:t xml:space="preserve"> competitors. The seminar came at an opportune time and expanded h</w:t>
      </w:r>
      <w:r w:rsidR="0043461E" w:rsidRPr="005A3538">
        <w:t>er</w:t>
      </w:r>
      <w:r w:rsidRPr="005A3538">
        <w:t xml:space="preserve"> vision. </w:t>
      </w:r>
      <w:r w:rsidR="0043461E" w:rsidRPr="005A3538">
        <w:t>Sh</w:t>
      </w:r>
      <w:r w:rsidRPr="005A3538">
        <w:t>e believed that the “moment of truth” had come fo</w:t>
      </w:r>
      <w:r w:rsidR="005B4A9F" w:rsidRPr="005A3538">
        <w:t>r</w:t>
      </w:r>
      <w:r w:rsidRPr="005A3538">
        <w:t xml:space="preserve"> h</w:t>
      </w:r>
      <w:r w:rsidR="0043461E" w:rsidRPr="005A3538">
        <w:t>er</w:t>
      </w:r>
      <w:r w:rsidR="005B4A9F" w:rsidRPr="005A3538">
        <w:t>: it was time to</w:t>
      </w:r>
      <w:r w:rsidRPr="005A3538">
        <w:t xml:space="preserve"> weigh the various modes of payment in international trade open to h</w:t>
      </w:r>
      <w:r w:rsidR="0043461E" w:rsidRPr="005A3538">
        <w:t>er</w:t>
      </w:r>
      <w:r w:rsidRPr="005A3538">
        <w:t xml:space="preserve"> and </w:t>
      </w:r>
      <w:r w:rsidR="007869B7" w:rsidRPr="005A3538">
        <w:t>make</w:t>
      </w:r>
      <w:r w:rsidRPr="005A3538">
        <w:t xml:space="preserve"> the optimal choice.</w:t>
      </w:r>
    </w:p>
    <w:sectPr w:rsidR="00453FAF" w:rsidRPr="00734BF5" w:rsidSect="00751E0B">
      <w:headerReference w:type="default" r:id="rId12"/>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BB8816" w16cid:durableId="1EB95DCA"/>
  <w16cid:commentId w16cid:paraId="576EA741" w16cid:durableId="1EBA791A"/>
  <w16cid:commentId w16cid:paraId="032F3235" w16cid:durableId="1EBA7DB6"/>
  <w16cid:commentId w16cid:paraId="7B3D3F3E" w16cid:durableId="1EBA7E44"/>
  <w16cid:commentId w16cid:paraId="4F72CF48" w16cid:durableId="1EBA8065"/>
  <w16cid:commentId w16cid:paraId="1C3BEAB3" w16cid:durableId="1EBA833D"/>
  <w16cid:commentId w16cid:paraId="3D9839FD" w16cid:durableId="1EBA83DB"/>
  <w16cid:commentId w16cid:paraId="4619682A" w16cid:durableId="1EBA889A"/>
  <w16cid:commentId w16cid:paraId="39AEA645" w16cid:durableId="1EBA89B9"/>
  <w16cid:commentId w16cid:paraId="085F415F" w16cid:durableId="1EBA941B"/>
  <w16cid:commentId w16cid:paraId="2968CAA3" w16cid:durableId="1EBA94B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21797E" w14:textId="77777777" w:rsidR="004C1826" w:rsidRDefault="004C1826" w:rsidP="00D75295">
      <w:r>
        <w:separator/>
      </w:r>
    </w:p>
  </w:endnote>
  <w:endnote w:type="continuationSeparator" w:id="0">
    <w:p w14:paraId="4AF96081" w14:textId="77777777" w:rsidR="004C1826" w:rsidRDefault="004C1826"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B0ED84" w14:textId="77777777" w:rsidR="004C1826" w:rsidRDefault="004C1826" w:rsidP="00D75295">
      <w:r>
        <w:separator/>
      </w:r>
    </w:p>
  </w:footnote>
  <w:footnote w:type="continuationSeparator" w:id="0">
    <w:p w14:paraId="69427848" w14:textId="77777777" w:rsidR="004C1826" w:rsidRDefault="004C1826" w:rsidP="00D75295">
      <w:r>
        <w:continuationSeparator/>
      </w:r>
    </w:p>
  </w:footnote>
  <w:footnote w:id="1">
    <w:p w14:paraId="7CE9BA21" w14:textId="7AF12BEE" w:rsidR="00A13D57" w:rsidRDefault="00A13D57" w:rsidP="0038333E">
      <w:pPr>
        <w:pStyle w:val="Footnote"/>
      </w:pPr>
      <w:r w:rsidRPr="000430B4">
        <w:rPr>
          <w:rStyle w:val="FootnoteReference"/>
        </w:rPr>
        <w:footnoteRef/>
      </w:r>
      <w:r>
        <w:t xml:space="preserve"> </w:t>
      </w:r>
      <w:r w:rsidRPr="0038333E">
        <w:t>₹</w:t>
      </w:r>
      <w:r>
        <w:t xml:space="preserve"> = INR = Indian rupee; </w:t>
      </w:r>
      <w:r w:rsidRPr="0038333E">
        <w:t>₹</w:t>
      </w:r>
      <w:r>
        <w:t xml:space="preserve">1 = US$0.02 on March 31, 2018; all currency amounts are in </w:t>
      </w:r>
      <w:r w:rsidRPr="0038333E">
        <w:t>₹</w:t>
      </w:r>
      <w:r>
        <w:t xml:space="preserve"> unless otherwise specified.</w:t>
      </w:r>
    </w:p>
  </w:footnote>
  <w:footnote w:id="2">
    <w:p w14:paraId="78CC7689" w14:textId="15B66C93" w:rsidR="00A13D57" w:rsidRPr="00260E0B" w:rsidRDefault="00A13D57" w:rsidP="007F643A">
      <w:pPr>
        <w:pStyle w:val="Footnote"/>
      </w:pPr>
      <w:r w:rsidRPr="000430B4">
        <w:rPr>
          <w:rStyle w:val="FootnoteReference"/>
        </w:rPr>
        <w:footnoteRef/>
      </w:r>
      <w:r>
        <w:t xml:space="preserve"> </w:t>
      </w:r>
      <w:proofErr w:type="spellStart"/>
      <w:r>
        <w:t>Rupnarayan</w:t>
      </w:r>
      <w:proofErr w:type="spellEnd"/>
      <w:r>
        <w:t xml:space="preserve"> Bose, </w:t>
      </w:r>
      <w:r>
        <w:rPr>
          <w:i/>
        </w:rPr>
        <w:t xml:space="preserve">A Complete Guide to Letters of Credit and the UCP </w:t>
      </w:r>
      <w:r>
        <w:t>(New Delhi: Trinity Press, 2015), 10.</w:t>
      </w:r>
    </w:p>
  </w:footnote>
  <w:footnote w:id="3">
    <w:p w14:paraId="6D264B87" w14:textId="5B5EED7A" w:rsidR="00A13D57" w:rsidRPr="007F643A" w:rsidRDefault="00A13D57" w:rsidP="007F643A">
      <w:pPr>
        <w:pStyle w:val="Footnote"/>
        <w:rPr>
          <w:i/>
        </w:rPr>
      </w:pPr>
      <w:r w:rsidRPr="000430B4">
        <w:rPr>
          <w:rStyle w:val="FootnoteReference"/>
        </w:rPr>
        <w:footnoteRef/>
      </w:r>
      <w:r>
        <w:t xml:space="preserve"> C. </w:t>
      </w:r>
      <w:proofErr w:type="spellStart"/>
      <w:r>
        <w:t>Jeevanandam</w:t>
      </w:r>
      <w:proofErr w:type="spellEnd"/>
      <w:r>
        <w:t xml:space="preserve">, </w:t>
      </w:r>
      <w:r>
        <w:rPr>
          <w:i/>
        </w:rPr>
        <w:t>Foreign Exchange: Practice, Concepts &amp; Control</w:t>
      </w:r>
      <w:r>
        <w:t xml:space="preserve"> (New Delhi: Sultan Chand &amp; Sons, 2016), 18.12.</w:t>
      </w:r>
      <w:r>
        <w:rPr>
          <w:i/>
        </w:rPr>
        <w:t xml:space="preserve"> </w:t>
      </w:r>
    </w:p>
  </w:footnote>
  <w:footnote w:id="4">
    <w:p w14:paraId="109248BE" w14:textId="63C9498B" w:rsidR="00A13D57" w:rsidRPr="007F643A" w:rsidRDefault="00A13D57" w:rsidP="007F643A">
      <w:pPr>
        <w:pStyle w:val="Footnote"/>
        <w:rPr>
          <w:i/>
        </w:rPr>
      </w:pPr>
      <w:r w:rsidRPr="000430B4">
        <w:rPr>
          <w:rStyle w:val="FootnoteReference"/>
        </w:rPr>
        <w:footnoteRef/>
      </w:r>
      <w:r>
        <w:t xml:space="preserve"> Ibid.</w:t>
      </w:r>
      <w:r>
        <w:rPr>
          <w:i/>
        </w:rPr>
        <w:t xml:space="preserve"> </w:t>
      </w:r>
    </w:p>
  </w:footnote>
  <w:footnote w:id="5">
    <w:p w14:paraId="57ADC5F3" w14:textId="64E7B012" w:rsidR="00A13D57" w:rsidRDefault="00A13D57" w:rsidP="007F643A">
      <w:pPr>
        <w:pStyle w:val="Footnote"/>
      </w:pPr>
      <w:r w:rsidRPr="000430B4">
        <w:rPr>
          <w:rStyle w:val="FootnoteReference"/>
        </w:rPr>
        <w:footnoteRef/>
      </w:r>
      <w:r>
        <w:t xml:space="preserve"> Indian Institute of Banking and Finance, </w:t>
      </w:r>
      <w:r>
        <w:rPr>
          <w:i/>
        </w:rPr>
        <w:t>International Trade Finance</w:t>
      </w:r>
      <w:r>
        <w:t xml:space="preserve"> (Mumbai: </w:t>
      </w:r>
      <w:proofErr w:type="spellStart"/>
      <w:r>
        <w:t>Taxmann</w:t>
      </w:r>
      <w:proofErr w:type="spellEnd"/>
      <w:r>
        <w:t xml:space="preserve"> Publications </w:t>
      </w:r>
      <w:proofErr w:type="spellStart"/>
      <w:r>
        <w:t>Pte.</w:t>
      </w:r>
      <w:proofErr w:type="spellEnd"/>
      <w:r>
        <w:t xml:space="preserve"> Ltd., 2017), 33.</w:t>
      </w:r>
    </w:p>
  </w:footnote>
  <w:footnote w:id="6">
    <w:p w14:paraId="0CA8DC58" w14:textId="13F56015" w:rsidR="00A13D57" w:rsidRPr="007F643A" w:rsidRDefault="00A13D57" w:rsidP="007F643A">
      <w:pPr>
        <w:pStyle w:val="Footnote"/>
      </w:pPr>
      <w:r w:rsidRPr="000430B4">
        <w:rPr>
          <w:rStyle w:val="FootnoteReference"/>
        </w:rPr>
        <w:footnoteRef/>
      </w:r>
      <w:r w:rsidRPr="007F643A">
        <w:t xml:space="preserve"> </w:t>
      </w:r>
      <w:proofErr w:type="spellStart"/>
      <w:r w:rsidRPr="007F643A">
        <w:t>Jeevanandam</w:t>
      </w:r>
      <w:proofErr w:type="spellEnd"/>
      <w:r w:rsidRPr="007F643A">
        <w:t>,</w:t>
      </w:r>
      <w:r>
        <w:t xml:space="preserve"> op. cit.,</w:t>
      </w:r>
      <w:r w:rsidRPr="007F643A">
        <w:t xml:space="preserve"> 18.13. </w:t>
      </w:r>
    </w:p>
  </w:footnote>
  <w:footnote w:id="7">
    <w:p w14:paraId="5D2A03D4" w14:textId="4BE6B0A7" w:rsidR="00A13D57" w:rsidRPr="007F643A" w:rsidRDefault="00A13D57" w:rsidP="007F643A">
      <w:pPr>
        <w:pStyle w:val="Footnote"/>
      </w:pPr>
      <w:r w:rsidRPr="000430B4">
        <w:rPr>
          <w:rStyle w:val="FootnoteReference"/>
        </w:rPr>
        <w:footnoteRef/>
      </w:r>
      <w:r w:rsidRPr="007F643A">
        <w:t xml:space="preserve"> Ibid.</w:t>
      </w:r>
    </w:p>
  </w:footnote>
  <w:footnote w:id="8">
    <w:p w14:paraId="7EB9AB5A" w14:textId="4773CA43" w:rsidR="00A13D57" w:rsidRPr="007F643A" w:rsidRDefault="00A13D57" w:rsidP="007F643A">
      <w:pPr>
        <w:pStyle w:val="Footnote"/>
        <w:rPr>
          <w:i/>
        </w:rPr>
      </w:pPr>
      <w:r w:rsidRPr="000430B4">
        <w:rPr>
          <w:rStyle w:val="FootnoteReference"/>
        </w:rPr>
        <w:footnoteRef/>
      </w:r>
      <w:r>
        <w:t xml:space="preserve"> Ibid.</w:t>
      </w:r>
      <w:r>
        <w:rPr>
          <w:i/>
        </w:rPr>
        <w:t xml:space="preserve"> </w:t>
      </w:r>
    </w:p>
  </w:footnote>
  <w:footnote w:id="9">
    <w:p w14:paraId="3C44BE03" w14:textId="4F0D7E94" w:rsidR="00A13D57" w:rsidRPr="007F643A" w:rsidRDefault="00A13D57" w:rsidP="007F643A">
      <w:pPr>
        <w:pStyle w:val="Footnote"/>
        <w:rPr>
          <w:i/>
        </w:rPr>
      </w:pPr>
      <w:r w:rsidRPr="000430B4">
        <w:rPr>
          <w:rStyle w:val="FootnoteReference"/>
        </w:rPr>
        <w:footnoteRef/>
      </w:r>
      <w:r>
        <w:t xml:space="preserve"> Ibid.</w:t>
      </w:r>
    </w:p>
  </w:footnote>
  <w:footnote w:id="10">
    <w:p w14:paraId="7D996C44" w14:textId="751CEF40" w:rsidR="00A13D57" w:rsidRDefault="00A13D57" w:rsidP="007F643A">
      <w:pPr>
        <w:pStyle w:val="Footnote"/>
      </w:pPr>
      <w:r w:rsidRPr="000430B4">
        <w:rPr>
          <w:rStyle w:val="FootnoteReference"/>
        </w:rPr>
        <w:footnoteRef/>
      </w:r>
      <w:r>
        <w:t xml:space="preserve"> Indian Institute of Banking and Finance, op. cit., 34.</w:t>
      </w:r>
    </w:p>
  </w:footnote>
  <w:footnote w:id="11">
    <w:p w14:paraId="61875B62" w14:textId="031E5B76" w:rsidR="00A13D57" w:rsidRDefault="00A13D57" w:rsidP="007F643A">
      <w:pPr>
        <w:pStyle w:val="Footnote"/>
      </w:pPr>
      <w:r w:rsidRPr="000430B4">
        <w:rPr>
          <w:rStyle w:val="FootnoteReference"/>
        </w:rPr>
        <w:footnoteRef/>
      </w:r>
      <w:r>
        <w:t xml:space="preserve"> </w:t>
      </w:r>
      <w:proofErr w:type="spellStart"/>
      <w:r>
        <w:t>Jeevanandam</w:t>
      </w:r>
      <w:proofErr w:type="spellEnd"/>
      <w:r>
        <w:t xml:space="preserve">, op. cit., 18.14. </w:t>
      </w:r>
    </w:p>
  </w:footnote>
  <w:footnote w:id="12">
    <w:p w14:paraId="179CCF88" w14:textId="3EA7608F" w:rsidR="00A13D57" w:rsidRPr="007F643A" w:rsidRDefault="00A13D57" w:rsidP="007F643A">
      <w:pPr>
        <w:pStyle w:val="Footnote"/>
        <w:rPr>
          <w:i/>
        </w:rPr>
      </w:pPr>
      <w:r w:rsidRPr="000430B4">
        <w:rPr>
          <w:rStyle w:val="FootnoteReference"/>
        </w:rPr>
        <w:footnoteRef/>
      </w:r>
      <w:r>
        <w:t xml:space="preserve"> Ibid.</w:t>
      </w:r>
      <w:r>
        <w:rPr>
          <w:i/>
        </w:rPr>
        <w:t xml:space="preserve"> </w:t>
      </w:r>
    </w:p>
  </w:footnote>
  <w:footnote w:id="13">
    <w:p w14:paraId="7970C959" w14:textId="0C337D33" w:rsidR="00A13D57" w:rsidRDefault="00A13D57" w:rsidP="007F643A">
      <w:pPr>
        <w:pStyle w:val="Footnote"/>
      </w:pPr>
      <w:r w:rsidRPr="000430B4">
        <w:rPr>
          <w:rStyle w:val="FootnoteReference"/>
        </w:rPr>
        <w:footnoteRef/>
      </w:r>
      <w:r>
        <w:t xml:space="preserve"> Indian Institute of Banking and Finance, op. cit., 34.</w:t>
      </w:r>
    </w:p>
  </w:footnote>
  <w:footnote w:id="14">
    <w:p w14:paraId="285B8EAB" w14:textId="15D4A474" w:rsidR="00A13D57" w:rsidRDefault="00A13D57" w:rsidP="007F643A">
      <w:pPr>
        <w:pStyle w:val="Footnote"/>
      </w:pPr>
      <w:r w:rsidRPr="000430B4">
        <w:rPr>
          <w:rStyle w:val="FootnoteReference"/>
        </w:rPr>
        <w:footnoteRef/>
      </w:r>
      <w:r>
        <w:t xml:space="preserve"> Indian Institute of Banking and Finance, op. cit., 35.</w:t>
      </w:r>
    </w:p>
  </w:footnote>
  <w:footnote w:id="15">
    <w:p w14:paraId="61A4942E" w14:textId="3ABFE68C" w:rsidR="00A13D57" w:rsidRDefault="00A13D57" w:rsidP="007F643A">
      <w:pPr>
        <w:pStyle w:val="Footnote"/>
      </w:pPr>
      <w:r w:rsidRPr="000430B4">
        <w:rPr>
          <w:rStyle w:val="FootnoteReference"/>
        </w:rPr>
        <w:footnoteRef/>
      </w:r>
      <w:r>
        <w:t xml:space="preserve"> Indian Institute of Banking and Finance, op. cit., 58.</w:t>
      </w:r>
    </w:p>
  </w:footnote>
  <w:footnote w:id="16">
    <w:p w14:paraId="2D8CA8F8" w14:textId="338BC6E4" w:rsidR="00A13D57" w:rsidRDefault="00A13D57" w:rsidP="007F643A">
      <w:pPr>
        <w:pStyle w:val="Footnote"/>
      </w:pPr>
      <w:r w:rsidRPr="000430B4">
        <w:rPr>
          <w:rStyle w:val="FootnoteReference"/>
        </w:rPr>
        <w:footnoteRef/>
      </w:r>
      <w:r>
        <w:t xml:space="preserve"> </w:t>
      </w:r>
      <w:proofErr w:type="spellStart"/>
      <w:r>
        <w:t>Jeevanandam</w:t>
      </w:r>
      <w:proofErr w:type="spellEnd"/>
      <w:r>
        <w:t>, op. cit., 19.15.</w:t>
      </w:r>
    </w:p>
  </w:footnote>
  <w:footnote w:id="17">
    <w:p w14:paraId="33CF2783" w14:textId="2F945421" w:rsidR="00A13D57" w:rsidRDefault="00A13D57" w:rsidP="007F643A">
      <w:pPr>
        <w:pStyle w:val="Footnote"/>
      </w:pPr>
      <w:r w:rsidRPr="000430B4">
        <w:rPr>
          <w:rStyle w:val="FootnoteReference"/>
        </w:rPr>
        <w:footnoteRef/>
      </w:r>
      <w:r>
        <w:t xml:space="preserve"> Indian Institute of Banking &amp; Finance, op. cit., 58.</w:t>
      </w:r>
    </w:p>
  </w:footnote>
  <w:footnote w:id="18">
    <w:p w14:paraId="5FFD673A" w14:textId="299D48A6" w:rsidR="00A13D57" w:rsidRDefault="00A13D57" w:rsidP="007F643A">
      <w:pPr>
        <w:pStyle w:val="Footnote"/>
      </w:pPr>
      <w:r w:rsidRPr="000430B4">
        <w:rPr>
          <w:rStyle w:val="FootnoteReference"/>
        </w:rPr>
        <w:footnoteRef/>
      </w:r>
      <w:r>
        <w:t xml:space="preserve"> Indian Institute of Banking &amp; Finance, op. cit., 57.</w:t>
      </w:r>
    </w:p>
  </w:footnote>
  <w:footnote w:id="19">
    <w:p w14:paraId="327F6EEF" w14:textId="4D9FB7B6" w:rsidR="00A13D57" w:rsidRDefault="00A13D57" w:rsidP="005A3538">
      <w:pPr>
        <w:pStyle w:val="Footnote"/>
      </w:pPr>
      <w:r w:rsidRPr="000430B4">
        <w:rPr>
          <w:rStyle w:val="FootnoteReference"/>
        </w:rPr>
        <w:footnoteRef/>
      </w:r>
      <w:r>
        <w:t xml:space="preserve"> “I</w:t>
      </w:r>
      <w:r w:rsidRPr="004134AE">
        <w:t>nland</w:t>
      </w:r>
      <w:r>
        <w:t>” is domestic. Back-to-back LC wa</w:t>
      </w:r>
      <w:r w:rsidRPr="004134AE">
        <w:t xml:space="preserve">s an inland </w:t>
      </w:r>
      <w:r>
        <w:t>(</w:t>
      </w:r>
      <w:r w:rsidRPr="004134AE">
        <w:t>or domestic</w:t>
      </w:r>
      <w:r>
        <w:t>)</w:t>
      </w:r>
      <w:r w:rsidRPr="004134AE">
        <w:t xml:space="preserve"> LC as opposed to a foreign LC which may </w:t>
      </w:r>
      <w:r>
        <w:t xml:space="preserve">have </w:t>
      </w:r>
      <w:r w:rsidRPr="004134AE">
        <w:t>be</w:t>
      </w:r>
      <w:r>
        <w:t>en</w:t>
      </w:r>
      <w:r w:rsidRPr="004134AE">
        <w:t xml:space="preserve"> opened and/or operated outside the domestic territory of a country.</w:t>
      </w:r>
    </w:p>
  </w:footnote>
  <w:footnote w:id="20">
    <w:p w14:paraId="5C00EFD6" w14:textId="03570B0C" w:rsidR="00A13D57" w:rsidRDefault="00A13D57" w:rsidP="007F643A">
      <w:pPr>
        <w:pStyle w:val="Footnote"/>
      </w:pPr>
      <w:r w:rsidRPr="000430B4">
        <w:rPr>
          <w:rStyle w:val="FootnoteReference"/>
        </w:rPr>
        <w:footnoteRef/>
      </w:r>
      <w:r>
        <w:t xml:space="preserve"> </w:t>
      </w:r>
      <w:proofErr w:type="spellStart"/>
      <w:r>
        <w:t>Jeevanandam</w:t>
      </w:r>
      <w:proofErr w:type="spellEnd"/>
      <w:r>
        <w:t>, op. cit., 19.17.</w:t>
      </w:r>
      <w:r>
        <w:rPr>
          <w:i/>
        </w:rPr>
        <w:t xml:space="preserve"> </w:t>
      </w:r>
    </w:p>
  </w:footnote>
  <w:footnote w:id="21">
    <w:p w14:paraId="0A202392" w14:textId="45190506" w:rsidR="00A13D57" w:rsidRPr="007F643A" w:rsidRDefault="00A13D57" w:rsidP="007F643A">
      <w:pPr>
        <w:pStyle w:val="Footnote"/>
        <w:rPr>
          <w:i/>
        </w:rPr>
      </w:pPr>
      <w:r w:rsidRPr="000430B4">
        <w:rPr>
          <w:rStyle w:val="FootnoteReference"/>
        </w:rPr>
        <w:footnoteRef/>
      </w:r>
      <w:r>
        <w:t xml:space="preserve"> </w:t>
      </w:r>
      <w:proofErr w:type="spellStart"/>
      <w:r>
        <w:t>Jeevanandam</w:t>
      </w:r>
      <w:proofErr w:type="spellEnd"/>
      <w:r>
        <w:t>, op. cit., 19.18.</w:t>
      </w:r>
      <w:r>
        <w:rPr>
          <w:i/>
        </w:rPr>
        <w:t xml:space="preserve"> </w:t>
      </w:r>
    </w:p>
  </w:footnote>
  <w:footnote w:id="22">
    <w:p w14:paraId="517B38A7" w14:textId="66D3CCF9" w:rsidR="00A13D57" w:rsidRDefault="00A13D57" w:rsidP="007F643A">
      <w:pPr>
        <w:pStyle w:val="Footnote"/>
      </w:pPr>
      <w:r w:rsidRPr="000430B4">
        <w:rPr>
          <w:rStyle w:val="FootnoteReference"/>
        </w:rPr>
        <w:footnoteRef/>
      </w:r>
      <w:r>
        <w:t xml:space="preserve"> Indian Institute of Banking and Finance, op. </w:t>
      </w:r>
      <w:proofErr w:type="spellStart"/>
      <w:r>
        <w:t>cit</w:t>
      </w:r>
      <w:proofErr w:type="spellEnd"/>
      <w:r>
        <w:t>, 58.</w:t>
      </w:r>
    </w:p>
  </w:footnote>
  <w:footnote w:id="23">
    <w:p w14:paraId="510DB304" w14:textId="69FEFC27" w:rsidR="00A13D57" w:rsidRPr="005A3538" w:rsidRDefault="00A13D57" w:rsidP="005A3538">
      <w:pPr>
        <w:pStyle w:val="Footnote"/>
      </w:pPr>
      <w:r w:rsidRPr="000430B4">
        <w:rPr>
          <w:rStyle w:val="FootnoteReference"/>
        </w:rPr>
        <w:footnoteRef/>
      </w:r>
      <w:r w:rsidRPr="005A3538">
        <w:t xml:space="preserve"> The Incoterms or International Commercial Terms were a series of pre-defined commercial terms published by the </w:t>
      </w:r>
      <w:hyperlink r:id="rId1" w:tooltip="International Chamber of Commerce" w:history="1">
        <w:r w:rsidRPr="005A3538">
          <w:rPr>
            <w:rStyle w:val="Hyperlink"/>
            <w:color w:val="auto"/>
            <w:u w:val="none"/>
          </w:rPr>
          <w:t>International Chamber of Commerce</w:t>
        </w:r>
      </w:hyperlink>
      <w:r w:rsidRPr="005A3538">
        <w:t xml:space="preserve"> (ICC) interpreting the costs, risks</w:t>
      </w:r>
      <w:r w:rsidR="00C55FBD">
        <w:t>,</w:t>
      </w:r>
      <w:r w:rsidRPr="005A3538">
        <w:t xml:space="preserve"> and responsibilities of buyers and sellers in </w:t>
      </w:r>
      <w:hyperlink r:id="rId2" w:tooltip="International commercial law" w:history="1">
        <w:r w:rsidRPr="005A3538">
          <w:rPr>
            <w:rStyle w:val="Hyperlink"/>
            <w:color w:val="auto"/>
            <w:u w:val="none"/>
          </w:rPr>
          <w:t xml:space="preserve">international </w:t>
        </w:r>
      </w:hyperlink>
      <w:r w:rsidRPr="005A3538">
        <w:t>trade. The eighth version</w:t>
      </w:r>
      <w:r w:rsidR="00C55FBD">
        <w:t>—</w:t>
      </w:r>
      <w:r w:rsidRPr="005A3538">
        <w:t>“Incoterms 2010,” released in January 2011</w:t>
      </w:r>
      <w:r w:rsidR="00C55FBD">
        <w:t>—</w:t>
      </w:r>
      <w:r w:rsidRPr="005A3538">
        <w:t>listed 11 terms classified into two categories. The second group of four terms that applied to sea and inland waterway transport only were Free Alongside Ship; Free on Board; Cost and Freight; and Cost, Insurance, and Freight</w:t>
      </w:r>
      <w:r w:rsidR="00C55FBD">
        <w:t>. (</w:t>
      </w:r>
      <w:r w:rsidRPr="005A3538">
        <w:t xml:space="preserve">Indian Institute of Banking &amp; Finance, </w:t>
      </w:r>
      <w:r w:rsidR="00C55FBD">
        <w:t>op. cit.,</w:t>
      </w:r>
      <w:r w:rsidRPr="005A3538">
        <w:t xml:space="preserve"> 24</w:t>
      </w:r>
      <w:r w:rsidR="00C55FBD">
        <w:t>–</w:t>
      </w:r>
      <w:r w:rsidRPr="005A3538">
        <w:t>29</w:t>
      </w:r>
      <w:r w:rsidR="00C55FBD">
        <w:t>)</w:t>
      </w:r>
      <w:r w:rsidRPr="005A3538">
        <w:t>.</w:t>
      </w:r>
    </w:p>
  </w:footnote>
  <w:footnote w:id="24">
    <w:p w14:paraId="0F2C4E6F" w14:textId="45D98196" w:rsidR="00A13D57" w:rsidRDefault="00A13D57" w:rsidP="007F643A">
      <w:pPr>
        <w:pStyle w:val="Footnote"/>
      </w:pPr>
      <w:r w:rsidRPr="000430B4">
        <w:rPr>
          <w:rStyle w:val="FootnoteReference"/>
        </w:rPr>
        <w:footnoteRef/>
      </w:r>
      <w:r>
        <w:t xml:space="preserve"> Indian Institute of Banking and Finance, op. cit., 64.</w:t>
      </w:r>
    </w:p>
  </w:footnote>
  <w:footnote w:id="25">
    <w:p w14:paraId="4C93C91F" w14:textId="5B99532D" w:rsidR="00A13D57" w:rsidRDefault="00A13D57" w:rsidP="007F643A">
      <w:pPr>
        <w:pStyle w:val="Footnote"/>
      </w:pPr>
      <w:r w:rsidRPr="000430B4">
        <w:rPr>
          <w:rStyle w:val="FootnoteReference"/>
        </w:rPr>
        <w:footnoteRef/>
      </w:r>
      <w:r>
        <w:t xml:space="preserve"> Indian Institute of Banking and Finance, op. cit., 65.</w:t>
      </w:r>
    </w:p>
  </w:footnote>
  <w:footnote w:id="26">
    <w:p w14:paraId="14368727" w14:textId="77216360" w:rsidR="00A13D57" w:rsidRPr="007F643A" w:rsidRDefault="00A13D57" w:rsidP="007F643A">
      <w:pPr>
        <w:pStyle w:val="Footnote"/>
        <w:rPr>
          <w:i/>
        </w:rPr>
      </w:pPr>
      <w:r w:rsidRPr="000430B4">
        <w:rPr>
          <w:rStyle w:val="FootnoteReference"/>
        </w:rPr>
        <w:footnoteRef/>
      </w:r>
      <w:r>
        <w:t xml:space="preserve"> </w:t>
      </w:r>
      <w:proofErr w:type="spellStart"/>
      <w:r>
        <w:t>Jeevanandam</w:t>
      </w:r>
      <w:proofErr w:type="spellEnd"/>
      <w:r>
        <w:t>, op. cit., 19.1.</w:t>
      </w:r>
      <w:r>
        <w:rPr>
          <w:i/>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0B2A5" w14:textId="306FBC0C" w:rsidR="00A13D57" w:rsidRPr="00C92CC4" w:rsidRDefault="00A13D5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F00970">
      <w:rPr>
        <w:rFonts w:ascii="Arial" w:hAnsi="Arial"/>
        <w:b/>
        <w:noProof/>
      </w:rPr>
      <w:t>11</w:t>
    </w:r>
    <w:r>
      <w:rPr>
        <w:rFonts w:ascii="Arial" w:hAnsi="Arial"/>
        <w:b/>
      </w:rPr>
      <w:fldChar w:fldCharType="end"/>
    </w:r>
    <w:r w:rsidR="00A02B76">
      <w:rPr>
        <w:rFonts w:ascii="Arial" w:hAnsi="Arial"/>
        <w:b/>
      </w:rPr>
      <w:tab/>
      <w:t>9B18N010</w:t>
    </w:r>
  </w:p>
  <w:p w14:paraId="22B22D26" w14:textId="77777777" w:rsidR="00A13D57" w:rsidRDefault="00A13D57" w:rsidP="00D13667">
    <w:pPr>
      <w:pStyle w:val="Header"/>
      <w:tabs>
        <w:tab w:val="clear" w:pos="4680"/>
      </w:tabs>
      <w:rPr>
        <w:sz w:val="18"/>
        <w:szCs w:val="18"/>
      </w:rPr>
    </w:pPr>
  </w:p>
  <w:p w14:paraId="287AD00A" w14:textId="77777777" w:rsidR="00A13D57" w:rsidRPr="00C92CC4" w:rsidRDefault="00A13D57"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8A6C9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FB2542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F447E0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3C4F2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862A04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9A2223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8CC3EA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B34886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AEA22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92B1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43A97"/>
    <w:multiLevelType w:val="hybridMultilevel"/>
    <w:tmpl w:val="03FAD7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7B13597"/>
    <w:multiLevelType w:val="hybridMultilevel"/>
    <w:tmpl w:val="1A580A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7BC3091"/>
    <w:multiLevelType w:val="hybridMultilevel"/>
    <w:tmpl w:val="E444C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49A5AE6"/>
    <w:multiLevelType w:val="hybridMultilevel"/>
    <w:tmpl w:val="D6643E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55F3564"/>
    <w:multiLevelType w:val="hybridMultilevel"/>
    <w:tmpl w:val="07C6B4C0"/>
    <w:lvl w:ilvl="0" w:tplc="0409000F">
      <w:start w:val="1"/>
      <w:numFmt w:val="decimal"/>
      <w:lvlText w:val="%1."/>
      <w:lvlJc w:val="left"/>
      <w:pPr>
        <w:ind w:left="885" w:hanging="360"/>
      </w:p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5" w15:restartNumberingAfterBreak="0">
    <w:nsid w:val="50D3700F"/>
    <w:multiLevelType w:val="hybridMultilevel"/>
    <w:tmpl w:val="955A2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E63A27"/>
    <w:multiLevelType w:val="hybridMultilevel"/>
    <w:tmpl w:val="75107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9643155"/>
    <w:multiLevelType w:val="hybridMultilevel"/>
    <w:tmpl w:val="AEA0AD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17"/>
  </w:num>
  <w:num w:numId="3">
    <w:abstractNumId w:val="13"/>
  </w:num>
  <w:num w:numId="4">
    <w:abstractNumId w:val="15"/>
  </w:num>
  <w:num w:numId="5">
    <w:abstractNumId w:val="16"/>
  </w:num>
  <w:num w:numId="6">
    <w:abstractNumId w:val="11"/>
  </w:num>
  <w:num w:numId="7">
    <w:abstractNumId w:val="12"/>
  </w:num>
  <w:num w:numId="8">
    <w:abstractNumId w:val="0"/>
  </w:num>
  <w:num w:numId="9">
    <w:abstractNumId w:val="1"/>
  </w:num>
  <w:num w:numId="10">
    <w:abstractNumId w:val="2"/>
  </w:num>
  <w:num w:numId="11">
    <w:abstractNumId w:val="3"/>
  </w:num>
  <w:num w:numId="12">
    <w:abstractNumId w:val="8"/>
  </w:num>
  <w:num w:numId="13">
    <w:abstractNumId w:val="4"/>
  </w:num>
  <w:num w:numId="14">
    <w:abstractNumId w:val="5"/>
  </w:num>
  <w:num w:numId="15">
    <w:abstractNumId w:val="6"/>
  </w:num>
  <w:num w:numId="16">
    <w:abstractNumId w:val="7"/>
  </w:num>
  <w:num w:numId="17">
    <w:abstractNumId w:val="9"/>
  </w:num>
  <w:num w:numId="18">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5452"/>
    <w:rsid w:val="00016759"/>
    <w:rsid w:val="000216CE"/>
    <w:rsid w:val="00024ED4"/>
    <w:rsid w:val="00025DC7"/>
    <w:rsid w:val="00027DFE"/>
    <w:rsid w:val="000322EB"/>
    <w:rsid w:val="00035F09"/>
    <w:rsid w:val="000430B4"/>
    <w:rsid w:val="00044ECC"/>
    <w:rsid w:val="000531D3"/>
    <w:rsid w:val="0005646B"/>
    <w:rsid w:val="00060C86"/>
    <w:rsid w:val="000613AF"/>
    <w:rsid w:val="00066136"/>
    <w:rsid w:val="00066660"/>
    <w:rsid w:val="00067888"/>
    <w:rsid w:val="000747FE"/>
    <w:rsid w:val="0007510D"/>
    <w:rsid w:val="00077B5B"/>
    <w:rsid w:val="0008102D"/>
    <w:rsid w:val="00082058"/>
    <w:rsid w:val="00091439"/>
    <w:rsid w:val="00094C0E"/>
    <w:rsid w:val="00095D7C"/>
    <w:rsid w:val="000B2455"/>
    <w:rsid w:val="000B3385"/>
    <w:rsid w:val="000B4A29"/>
    <w:rsid w:val="000B700D"/>
    <w:rsid w:val="000C6CED"/>
    <w:rsid w:val="000C79E8"/>
    <w:rsid w:val="000D3813"/>
    <w:rsid w:val="000D6DFA"/>
    <w:rsid w:val="000D7091"/>
    <w:rsid w:val="000E6FD9"/>
    <w:rsid w:val="000F0C22"/>
    <w:rsid w:val="000F2B85"/>
    <w:rsid w:val="000F6B09"/>
    <w:rsid w:val="000F6FDC"/>
    <w:rsid w:val="00104567"/>
    <w:rsid w:val="00104916"/>
    <w:rsid w:val="00104AA7"/>
    <w:rsid w:val="00105BC4"/>
    <w:rsid w:val="00106D51"/>
    <w:rsid w:val="0011447C"/>
    <w:rsid w:val="0012732D"/>
    <w:rsid w:val="0013196E"/>
    <w:rsid w:val="00132BE3"/>
    <w:rsid w:val="001337A8"/>
    <w:rsid w:val="00141246"/>
    <w:rsid w:val="00142A24"/>
    <w:rsid w:val="00143F25"/>
    <w:rsid w:val="00146801"/>
    <w:rsid w:val="00146D0B"/>
    <w:rsid w:val="001503D5"/>
    <w:rsid w:val="001520DD"/>
    <w:rsid w:val="00152682"/>
    <w:rsid w:val="00154223"/>
    <w:rsid w:val="00154FC9"/>
    <w:rsid w:val="00157332"/>
    <w:rsid w:val="00173BE4"/>
    <w:rsid w:val="0017653E"/>
    <w:rsid w:val="00177F33"/>
    <w:rsid w:val="0019241A"/>
    <w:rsid w:val="001976C1"/>
    <w:rsid w:val="001A22D1"/>
    <w:rsid w:val="001A2A40"/>
    <w:rsid w:val="001A752D"/>
    <w:rsid w:val="001A757E"/>
    <w:rsid w:val="001B5032"/>
    <w:rsid w:val="001B738C"/>
    <w:rsid w:val="001C222E"/>
    <w:rsid w:val="001C3120"/>
    <w:rsid w:val="001C49BF"/>
    <w:rsid w:val="001C7777"/>
    <w:rsid w:val="001D74A6"/>
    <w:rsid w:val="001E038A"/>
    <w:rsid w:val="001E2E99"/>
    <w:rsid w:val="001E364F"/>
    <w:rsid w:val="001E7C10"/>
    <w:rsid w:val="001F4222"/>
    <w:rsid w:val="001F4690"/>
    <w:rsid w:val="001F5FE7"/>
    <w:rsid w:val="001F68EF"/>
    <w:rsid w:val="00203AA1"/>
    <w:rsid w:val="002051CA"/>
    <w:rsid w:val="00213E98"/>
    <w:rsid w:val="0021775B"/>
    <w:rsid w:val="00221A5D"/>
    <w:rsid w:val="0023081A"/>
    <w:rsid w:val="00232081"/>
    <w:rsid w:val="00235E73"/>
    <w:rsid w:val="002373D5"/>
    <w:rsid w:val="00245AAE"/>
    <w:rsid w:val="00246539"/>
    <w:rsid w:val="00256E1A"/>
    <w:rsid w:val="00260234"/>
    <w:rsid w:val="00260E0B"/>
    <w:rsid w:val="0026499E"/>
    <w:rsid w:val="002673C3"/>
    <w:rsid w:val="002767B5"/>
    <w:rsid w:val="002A03E0"/>
    <w:rsid w:val="002B1E54"/>
    <w:rsid w:val="002B59D6"/>
    <w:rsid w:val="002B739B"/>
    <w:rsid w:val="002C57CA"/>
    <w:rsid w:val="002D115D"/>
    <w:rsid w:val="002E4DD9"/>
    <w:rsid w:val="002E7D0B"/>
    <w:rsid w:val="002F1C4B"/>
    <w:rsid w:val="002F460C"/>
    <w:rsid w:val="002F48D6"/>
    <w:rsid w:val="002F65FA"/>
    <w:rsid w:val="0030030F"/>
    <w:rsid w:val="00315252"/>
    <w:rsid w:val="003162B7"/>
    <w:rsid w:val="00317391"/>
    <w:rsid w:val="00324270"/>
    <w:rsid w:val="00326216"/>
    <w:rsid w:val="0032760A"/>
    <w:rsid w:val="00331B57"/>
    <w:rsid w:val="003329B1"/>
    <w:rsid w:val="00333F93"/>
    <w:rsid w:val="00336580"/>
    <w:rsid w:val="003467D9"/>
    <w:rsid w:val="00354899"/>
    <w:rsid w:val="00355FD6"/>
    <w:rsid w:val="00356267"/>
    <w:rsid w:val="003568E7"/>
    <w:rsid w:val="003622AE"/>
    <w:rsid w:val="00362A74"/>
    <w:rsid w:val="00364A5C"/>
    <w:rsid w:val="003672D8"/>
    <w:rsid w:val="0037031E"/>
    <w:rsid w:val="00373FB1"/>
    <w:rsid w:val="00376E43"/>
    <w:rsid w:val="0038333E"/>
    <w:rsid w:val="00383CEA"/>
    <w:rsid w:val="0039376E"/>
    <w:rsid w:val="003947A8"/>
    <w:rsid w:val="00396C76"/>
    <w:rsid w:val="003A1A5F"/>
    <w:rsid w:val="003A71FB"/>
    <w:rsid w:val="003B30D8"/>
    <w:rsid w:val="003B6698"/>
    <w:rsid w:val="003B7EF2"/>
    <w:rsid w:val="003C0CEB"/>
    <w:rsid w:val="003C3FA4"/>
    <w:rsid w:val="003D0BA1"/>
    <w:rsid w:val="003E026A"/>
    <w:rsid w:val="003E1B36"/>
    <w:rsid w:val="003E2AAB"/>
    <w:rsid w:val="003F2B0C"/>
    <w:rsid w:val="003F76FF"/>
    <w:rsid w:val="00404303"/>
    <w:rsid w:val="004105B2"/>
    <w:rsid w:val="004122DE"/>
    <w:rsid w:val="00412900"/>
    <w:rsid w:val="004134AE"/>
    <w:rsid w:val="00420601"/>
    <w:rsid w:val="0042138B"/>
    <w:rsid w:val="004221E4"/>
    <w:rsid w:val="004273F8"/>
    <w:rsid w:val="00431303"/>
    <w:rsid w:val="0043461E"/>
    <w:rsid w:val="004355A3"/>
    <w:rsid w:val="00445C03"/>
    <w:rsid w:val="00446546"/>
    <w:rsid w:val="00450006"/>
    <w:rsid w:val="00452769"/>
    <w:rsid w:val="0045283A"/>
    <w:rsid w:val="00453FAF"/>
    <w:rsid w:val="00456E31"/>
    <w:rsid w:val="004608CA"/>
    <w:rsid w:val="00462B32"/>
    <w:rsid w:val="0046515E"/>
    <w:rsid w:val="00465348"/>
    <w:rsid w:val="0047546A"/>
    <w:rsid w:val="004836EF"/>
    <w:rsid w:val="00493EF9"/>
    <w:rsid w:val="0049502E"/>
    <w:rsid w:val="004B1706"/>
    <w:rsid w:val="004B1CCB"/>
    <w:rsid w:val="004B31C5"/>
    <w:rsid w:val="004B632F"/>
    <w:rsid w:val="004C1826"/>
    <w:rsid w:val="004C1D7B"/>
    <w:rsid w:val="004C6CEE"/>
    <w:rsid w:val="004D0905"/>
    <w:rsid w:val="004D3FB1"/>
    <w:rsid w:val="004D40DB"/>
    <w:rsid w:val="004D4494"/>
    <w:rsid w:val="004D6F21"/>
    <w:rsid w:val="004D73A5"/>
    <w:rsid w:val="004E322E"/>
    <w:rsid w:val="004E5578"/>
    <w:rsid w:val="004E7A65"/>
    <w:rsid w:val="00513819"/>
    <w:rsid w:val="0051443A"/>
    <w:rsid w:val="00515D30"/>
    <w:rsid w:val="005160F1"/>
    <w:rsid w:val="00520BEC"/>
    <w:rsid w:val="00520C0D"/>
    <w:rsid w:val="00524F2F"/>
    <w:rsid w:val="00527E5C"/>
    <w:rsid w:val="00530301"/>
    <w:rsid w:val="005323E1"/>
    <w:rsid w:val="00532CF5"/>
    <w:rsid w:val="005528CB"/>
    <w:rsid w:val="00553220"/>
    <w:rsid w:val="005578DE"/>
    <w:rsid w:val="00566771"/>
    <w:rsid w:val="00575309"/>
    <w:rsid w:val="00576860"/>
    <w:rsid w:val="00577874"/>
    <w:rsid w:val="00580B5B"/>
    <w:rsid w:val="00580C2D"/>
    <w:rsid w:val="00581E2E"/>
    <w:rsid w:val="00584F15"/>
    <w:rsid w:val="0059276D"/>
    <w:rsid w:val="0059514B"/>
    <w:rsid w:val="005A1B0F"/>
    <w:rsid w:val="005A3538"/>
    <w:rsid w:val="005A45C7"/>
    <w:rsid w:val="005A49AA"/>
    <w:rsid w:val="005B299D"/>
    <w:rsid w:val="005B444F"/>
    <w:rsid w:val="005B4A9F"/>
    <w:rsid w:val="005D23EC"/>
    <w:rsid w:val="005D7777"/>
    <w:rsid w:val="005D7E67"/>
    <w:rsid w:val="005E7B9D"/>
    <w:rsid w:val="0061088B"/>
    <w:rsid w:val="006163F7"/>
    <w:rsid w:val="00622206"/>
    <w:rsid w:val="00627C63"/>
    <w:rsid w:val="00630A6D"/>
    <w:rsid w:val="0063350B"/>
    <w:rsid w:val="00645982"/>
    <w:rsid w:val="00652606"/>
    <w:rsid w:val="00653491"/>
    <w:rsid w:val="0065589B"/>
    <w:rsid w:val="00684068"/>
    <w:rsid w:val="0068678F"/>
    <w:rsid w:val="00692D5D"/>
    <w:rsid w:val="006946EE"/>
    <w:rsid w:val="00697879"/>
    <w:rsid w:val="006A025A"/>
    <w:rsid w:val="006A2CDB"/>
    <w:rsid w:val="006A562B"/>
    <w:rsid w:val="006A58A9"/>
    <w:rsid w:val="006A606D"/>
    <w:rsid w:val="006B1E84"/>
    <w:rsid w:val="006C0371"/>
    <w:rsid w:val="006C08B6"/>
    <w:rsid w:val="006C0B1A"/>
    <w:rsid w:val="006C6065"/>
    <w:rsid w:val="006C7F9F"/>
    <w:rsid w:val="006D5E1A"/>
    <w:rsid w:val="006E23C0"/>
    <w:rsid w:val="006E2F6D"/>
    <w:rsid w:val="006E4201"/>
    <w:rsid w:val="006E5342"/>
    <w:rsid w:val="006E58F6"/>
    <w:rsid w:val="006E774A"/>
    <w:rsid w:val="006E77E1"/>
    <w:rsid w:val="006F131D"/>
    <w:rsid w:val="006F6A69"/>
    <w:rsid w:val="00701B5D"/>
    <w:rsid w:val="00704267"/>
    <w:rsid w:val="00705CD3"/>
    <w:rsid w:val="00711642"/>
    <w:rsid w:val="007132FD"/>
    <w:rsid w:val="00714A9A"/>
    <w:rsid w:val="00716298"/>
    <w:rsid w:val="00717774"/>
    <w:rsid w:val="007200D3"/>
    <w:rsid w:val="00720E1D"/>
    <w:rsid w:val="0072232A"/>
    <w:rsid w:val="00723DD3"/>
    <w:rsid w:val="007246D1"/>
    <w:rsid w:val="00724E10"/>
    <w:rsid w:val="00730EF5"/>
    <w:rsid w:val="00734BF5"/>
    <w:rsid w:val="00735889"/>
    <w:rsid w:val="007449D7"/>
    <w:rsid w:val="00745C0E"/>
    <w:rsid w:val="00746E68"/>
    <w:rsid w:val="007507C6"/>
    <w:rsid w:val="00751E0B"/>
    <w:rsid w:val="00752BCD"/>
    <w:rsid w:val="007536D5"/>
    <w:rsid w:val="00755B87"/>
    <w:rsid w:val="00766842"/>
    <w:rsid w:val="00766DA1"/>
    <w:rsid w:val="007702D9"/>
    <w:rsid w:val="007771FE"/>
    <w:rsid w:val="00780D94"/>
    <w:rsid w:val="007860AC"/>
    <w:rsid w:val="007866A6"/>
    <w:rsid w:val="007869B7"/>
    <w:rsid w:val="007905B8"/>
    <w:rsid w:val="0079634C"/>
    <w:rsid w:val="007A130D"/>
    <w:rsid w:val="007A19B3"/>
    <w:rsid w:val="007A53B6"/>
    <w:rsid w:val="007A5E9F"/>
    <w:rsid w:val="007A723E"/>
    <w:rsid w:val="007B4A24"/>
    <w:rsid w:val="007C5081"/>
    <w:rsid w:val="007D1A2D"/>
    <w:rsid w:val="007D3620"/>
    <w:rsid w:val="007D4102"/>
    <w:rsid w:val="007E5132"/>
    <w:rsid w:val="007F43B7"/>
    <w:rsid w:val="007F643A"/>
    <w:rsid w:val="008055D6"/>
    <w:rsid w:val="008067B7"/>
    <w:rsid w:val="00810904"/>
    <w:rsid w:val="00811EA4"/>
    <w:rsid w:val="00811F50"/>
    <w:rsid w:val="00817B23"/>
    <w:rsid w:val="00821FFC"/>
    <w:rsid w:val="008271CA"/>
    <w:rsid w:val="008274A8"/>
    <w:rsid w:val="00832037"/>
    <w:rsid w:val="00832571"/>
    <w:rsid w:val="0083309F"/>
    <w:rsid w:val="00833C97"/>
    <w:rsid w:val="00835B84"/>
    <w:rsid w:val="008467D5"/>
    <w:rsid w:val="00857C76"/>
    <w:rsid w:val="008645CE"/>
    <w:rsid w:val="0087044D"/>
    <w:rsid w:val="008A1768"/>
    <w:rsid w:val="008A4339"/>
    <w:rsid w:val="008A4DC4"/>
    <w:rsid w:val="008A6B6D"/>
    <w:rsid w:val="008B438C"/>
    <w:rsid w:val="008C453A"/>
    <w:rsid w:val="008D06CA"/>
    <w:rsid w:val="008D3A46"/>
    <w:rsid w:val="008E273F"/>
    <w:rsid w:val="008F2DE0"/>
    <w:rsid w:val="008F5B95"/>
    <w:rsid w:val="008F68FB"/>
    <w:rsid w:val="00904185"/>
    <w:rsid w:val="009067A4"/>
    <w:rsid w:val="00907602"/>
    <w:rsid w:val="00907A57"/>
    <w:rsid w:val="0091106F"/>
    <w:rsid w:val="009302E5"/>
    <w:rsid w:val="00930885"/>
    <w:rsid w:val="00933D68"/>
    <w:rsid w:val="009340DB"/>
    <w:rsid w:val="00934665"/>
    <w:rsid w:val="00941520"/>
    <w:rsid w:val="0094158B"/>
    <w:rsid w:val="0094618C"/>
    <w:rsid w:val="00950C94"/>
    <w:rsid w:val="00953D4A"/>
    <w:rsid w:val="0095684B"/>
    <w:rsid w:val="00957489"/>
    <w:rsid w:val="00960B08"/>
    <w:rsid w:val="00962286"/>
    <w:rsid w:val="00971C47"/>
    <w:rsid w:val="00972498"/>
    <w:rsid w:val="0097481F"/>
    <w:rsid w:val="00974CC6"/>
    <w:rsid w:val="009753B6"/>
    <w:rsid w:val="00976AD4"/>
    <w:rsid w:val="00995547"/>
    <w:rsid w:val="009A019F"/>
    <w:rsid w:val="009A247E"/>
    <w:rsid w:val="009A312F"/>
    <w:rsid w:val="009A5348"/>
    <w:rsid w:val="009A74EE"/>
    <w:rsid w:val="009B0AB7"/>
    <w:rsid w:val="009B4D44"/>
    <w:rsid w:val="009C0392"/>
    <w:rsid w:val="009C2C3E"/>
    <w:rsid w:val="009C6624"/>
    <w:rsid w:val="009C76D5"/>
    <w:rsid w:val="009D500A"/>
    <w:rsid w:val="009F2FF5"/>
    <w:rsid w:val="009F5E35"/>
    <w:rsid w:val="009F7AA4"/>
    <w:rsid w:val="00A01583"/>
    <w:rsid w:val="00A02B76"/>
    <w:rsid w:val="00A03A94"/>
    <w:rsid w:val="00A10AD7"/>
    <w:rsid w:val="00A12EB3"/>
    <w:rsid w:val="00A13D57"/>
    <w:rsid w:val="00A2562E"/>
    <w:rsid w:val="00A31DC1"/>
    <w:rsid w:val="00A377FA"/>
    <w:rsid w:val="00A37864"/>
    <w:rsid w:val="00A456ED"/>
    <w:rsid w:val="00A559DB"/>
    <w:rsid w:val="00A569EA"/>
    <w:rsid w:val="00A879EE"/>
    <w:rsid w:val="00A91AED"/>
    <w:rsid w:val="00A967FE"/>
    <w:rsid w:val="00AA2B44"/>
    <w:rsid w:val="00AA4F44"/>
    <w:rsid w:val="00AB26BC"/>
    <w:rsid w:val="00AC1A50"/>
    <w:rsid w:val="00AC310D"/>
    <w:rsid w:val="00AC67AE"/>
    <w:rsid w:val="00AD281F"/>
    <w:rsid w:val="00AF1125"/>
    <w:rsid w:val="00AF12DA"/>
    <w:rsid w:val="00AF35FC"/>
    <w:rsid w:val="00AF5556"/>
    <w:rsid w:val="00B002F2"/>
    <w:rsid w:val="00B028E3"/>
    <w:rsid w:val="00B03639"/>
    <w:rsid w:val="00B0652A"/>
    <w:rsid w:val="00B13E5B"/>
    <w:rsid w:val="00B224B1"/>
    <w:rsid w:val="00B24EF5"/>
    <w:rsid w:val="00B252A0"/>
    <w:rsid w:val="00B27C52"/>
    <w:rsid w:val="00B31841"/>
    <w:rsid w:val="00B32AA2"/>
    <w:rsid w:val="00B40937"/>
    <w:rsid w:val="00B423EF"/>
    <w:rsid w:val="00B453DE"/>
    <w:rsid w:val="00B45472"/>
    <w:rsid w:val="00B509CC"/>
    <w:rsid w:val="00B51388"/>
    <w:rsid w:val="00B51990"/>
    <w:rsid w:val="00B5356B"/>
    <w:rsid w:val="00B600E0"/>
    <w:rsid w:val="00B60820"/>
    <w:rsid w:val="00B66137"/>
    <w:rsid w:val="00B662F2"/>
    <w:rsid w:val="00B70D09"/>
    <w:rsid w:val="00B72597"/>
    <w:rsid w:val="00B774B2"/>
    <w:rsid w:val="00B848A7"/>
    <w:rsid w:val="00B85C96"/>
    <w:rsid w:val="00B901F9"/>
    <w:rsid w:val="00B958F3"/>
    <w:rsid w:val="00BA0AE8"/>
    <w:rsid w:val="00BA1A05"/>
    <w:rsid w:val="00BA43E5"/>
    <w:rsid w:val="00BD273B"/>
    <w:rsid w:val="00BD6055"/>
    <w:rsid w:val="00BD6EFB"/>
    <w:rsid w:val="00BD79B2"/>
    <w:rsid w:val="00BE019A"/>
    <w:rsid w:val="00BE1296"/>
    <w:rsid w:val="00BF1BE1"/>
    <w:rsid w:val="00C0076A"/>
    <w:rsid w:val="00C1584D"/>
    <w:rsid w:val="00C15BE2"/>
    <w:rsid w:val="00C3190E"/>
    <w:rsid w:val="00C33D90"/>
    <w:rsid w:val="00C3447F"/>
    <w:rsid w:val="00C37D7F"/>
    <w:rsid w:val="00C446AA"/>
    <w:rsid w:val="00C5279D"/>
    <w:rsid w:val="00C55FBD"/>
    <w:rsid w:val="00C600E4"/>
    <w:rsid w:val="00C67102"/>
    <w:rsid w:val="00C71106"/>
    <w:rsid w:val="00C7149B"/>
    <w:rsid w:val="00C81491"/>
    <w:rsid w:val="00C81676"/>
    <w:rsid w:val="00C82D70"/>
    <w:rsid w:val="00C859E0"/>
    <w:rsid w:val="00C85C5D"/>
    <w:rsid w:val="00C92CC4"/>
    <w:rsid w:val="00CA0AFB"/>
    <w:rsid w:val="00CA2CE1"/>
    <w:rsid w:val="00CA3976"/>
    <w:rsid w:val="00CA46EE"/>
    <w:rsid w:val="00CA50E3"/>
    <w:rsid w:val="00CA5A8A"/>
    <w:rsid w:val="00CA757B"/>
    <w:rsid w:val="00CB7CC0"/>
    <w:rsid w:val="00CC1484"/>
    <w:rsid w:val="00CC1787"/>
    <w:rsid w:val="00CC182C"/>
    <w:rsid w:val="00CD0824"/>
    <w:rsid w:val="00CD2908"/>
    <w:rsid w:val="00CD67B6"/>
    <w:rsid w:val="00CD6F14"/>
    <w:rsid w:val="00CF0558"/>
    <w:rsid w:val="00CF0643"/>
    <w:rsid w:val="00CF63C2"/>
    <w:rsid w:val="00D00307"/>
    <w:rsid w:val="00D03A82"/>
    <w:rsid w:val="00D04AFE"/>
    <w:rsid w:val="00D057B9"/>
    <w:rsid w:val="00D10611"/>
    <w:rsid w:val="00D13667"/>
    <w:rsid w:val="00D15344"/>
    <w:rsid w:val="00D221B9"/>
    <w:rsid w:val="00D226B1"/>
    <w:rsid w:val="00D233CF"/>
    <w:rsid w:val="00D23F57"/>
    <w:rsid w:val="00D31BEC"/>
    <w:rsid w:val="00D4012C"/>
    <w:rsid w:val="00D44353"/>
    <w:rsid w:val="00D46452"/>
    <w:rsid w:val="00D5004E"/>
    <w:rsid w:val="00D519FB"/>
    <w:rsid w:val="00D52921"/>
    <w:rsid w:val="00D60E98"/>
    <w:rsid w:val="00D6309A"/>
    <w:rsid w:val="00D63150"/>
    <w:rsid w:val="00D636BA"/>
    <w:rsid w:val="00D64A32"/>
    <w:rsid w:val="00D64EFC"/>
    <w:rsid w:val="00D7136D"/>
    <w:rsid w:val="00D7202E"/>
    <w:rsid w:val="00D75295"/>
    <w:rsid w:val="00D767F0"/>
    <w:rsid w:val="00D76CE9"/>
    <w:rsid w:val="00D800BB"/>
    <w:rsid w:val="00D82AF1"/>
    <w:rsid w:val="00D85593"/>
    <w:rsid w:val="00D90DAB"/>
    <w:rsid w:val="00D950FA"/>
    <w:rsid w:val="00D962B2"/>
    <w:rsid w:val="00D97F12"/>
    <w:rsid w:val="00DA1AB5"/>
    <w:rsid w:val="00DA6095"/>
    <w:rsid w:val="00DA6D23"/>
    <w:rsid w:val="00DB04A9"/>
    <w:rsid w:val="00DB420C"/>
    <w:rsid w:val="00DB42E7"/>
    <w:rsid w:val="00DC061C"/>
    <w:rsid w:val="00DC46DE"/>
    <w:rsid w:val="00DE01A6"/>
    <w:rsid w:val="00DE2691"/>
    <w:rsid w:val="00DE40B0"/>
    <w:rsid w:val="00DE6B36"/>
    <w:rsid w:val="00DE7A98"/>
    <w:rsid w:val="00DF32C2"/>
    <w:rsid w:val="00E00D7C"/>
    <w:rsid w:val="00E14A58"/>
    <w:rsid w:val="00E26181"/>
    <w:rsid w:val="00E315A3"/>
    <w:rsid w:val="00E3167D"/>
    <w:rsid w:val="00E40E23"/>
    <w:rsid w:val="00E471A7"/>
    <w:rsid w:val="00E56A7B"/>
    <w:rsid w:val="00E60EF1"/>
    <w:rsid w:val="00E635CF"/>
    <w:rsid w:val="00E65223"/>
    <w:rsid w:val="00E66D7D"/>
    <w:rsid w:val="00E75165"/>
    <w:rsid w:val="00E75B8B"/>
    <w:rsid w:val="00E77D90"/>
    <w:rsid w:val="00E84050"/>
    <w:rsid w:val="00E87B2E"/>
    <w:rsid w:val="00E90DB5"/>
    <w:rsid w:val="00E91255"/>
    <w:rsid w:val="00EA5D65"/>
    <w:rsid w:val="00EA6770"/>
    <w:rsid w:val="00EB0211"/>
    <w:rsid w:val="00EC05B3"/>
    <w:rsid w:val="00EC2EDD"/>
    <w:rsid w:val="00EC6E0A"/>
    <w:rsid w:val="00ED14CF"/>
    <w:rsid w:val="00ED305E"/>
    <w:rsid w:val="00ED4E18"/>
    <w:rsid w:val="00EE1F37"/>
    <w:rsid w:val="00EE2018"/>
    <w:rsid w:val="00EE3E18"/>
    <w:rsid w:val="00EF7BBB"/>
    <w:rsid w:val="00F004BE"/>
    <w:rsid w:val="00F00970"/>
    <w:rsid w:val="00F0159C"/>
    <w:rsid w:val="00F044BB"/>
    <w:rsid w:val="00F06523"/>
    <w:rsid w:val="00F066C7"/>
    <w:rsid w:val="00F077BA"/>
    <w:rsid w:val="00F105B7"/>
    <w:rsid w:val="00F1113A"/>
    <w:rsid w:val="00F13220"/>
    <w:rsid w:val="00F17A21"/>
    <w:rsid w:val="00F21FF9"/>
    <w:rsid w:val="00F262BF"/>
    <w:rsid w:val="00F353C3"/>
    <w:rsid w:val="00F37B27"/>
    <w:rsid w:val="00F42794"/>
    <w:rsid w:val="00F46556"/>
    <w:rsid w:val="00F50E91"/>
    <w:rsid w:val="00F540BD"/>
    <w:rsid w:val="00F577F7"/>
    <w:rsid w:val="00F57D29"/>
    <w:rsid w:val="00F64176"/>
    <w:rsid w:val="00F71801"/>
    <w:rsid w:val="00F72EAB"/>
    <w:rsid w:val="00F74D09"/>
    <w:rsid w:val="00F766A7"/>
    <w:rsid w:val="00F80303"/>
    <w:rsid w:val="00F96201"/>
    <w:rsid w:val="00FA302D"/>
    <w:rsid w:val="00FB064B"/>
    <w:rsid w:val="00FB2862"/>
    <w:rsid w:val="00FB6FBA"/>
    <w:rsid w:val="00FC4A3A"/>
    <w:rsid w:val="00FD0B18"/>
    <w:rsid w:val="00FD2FAD"/>
    <w:rsid w:val="00FE1B58"/>
    <w:rsid w:val="00FE714F"/>
    <w:rsid w:val="00FF0EAF"/>
    <w:rsid w:val="00FF3573"/>
    <w:rsid w:val="00FF3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80801E3"/>
  <w15:docId w15:val="{B332D785-A780-4C6D-A38E-8967D0C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lsdException w:name="heading 6" w:semiHidden="1" w:uiPriority="9" w:unhideWhenUsed="1" w:qFormat="1"/>
    <w:lsdException w:name="heading 7" w:semiHidden="1" w:uiPriority="0" w:unhideWhenUsed="1"/>
    <w:lsdException w:name="heading 8" w:semiHidden="1" w:uiPriority="0" w:unhideWhenUsed="1" w:qFormat="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E4201"/>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rsid w:val="004273F8"/>
    <w:pPr>
      <w:keepNext/>
      <w:outlineLvl w:val="6"/>
    </w:pPr>
    <w:rPr>
      <w:b/>
      <w:bCs/>
      <w:sz w:val="24"/>
      <w:szCs w:val="24"/>
      <w:lang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94158B"/>
    <w:rPr>
      <w:b w:val="0"/>
      <w:color w:val="auto"/>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0" Type="http://schemas.openxmlformats.org/officeDocument/2006/relationships/hyperlink" Target="mailto:cases@ivey.ca" TargetMode="External"/><Relationship Id="rId4" Type="http://schemas.openxmlformats.org/officeDocument/2006/relationships/settings" Target="settings.xml"/><Relationship Id="rId9" Type="http://schemas.openxmlformats.org/officeDocument/2006/relationships/hyperlink" Target="https://iveypubs.my.salesforce.com/003A000001CqYMf"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International_commercial_law" TargetMode="External"/><Relationship Id="rId1" Type="http://schemas.openxmlformats.org/officeDocument/2006/relationships/hyperlink" Target="https://en.wikipedia.org/wiki/International_Chamber_of_Comme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A67A9A-16C0-433B-BB2E-5DDE3592D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11</Pages>
  <Words>5175</Words>
  <Characters>29503</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34609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Martinali, Sara</cp:lastModifiedBy>
  <cp:revision>3</cp:revision>
  <cp:lastPrinted>2018-04-30T19:17:00Z</cp:lastPrinted>
  <dcterms:created xsi:type="dcterms:W3CDTF">2018-06-05T18:54:00Z</dcterms:created>
  <dcterms:modified xsi:type="dcterms:W3CDTF">2018-06-08T12:10:00Z</dcterms:modified>
</cp:coreProperties>
</file>