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8EC" w:rsidRPr="00C81DA7" w:rsidRDefault="003828EC" w:rsidP="003828EC">
      <w:pPr>
        <w:tabs>
          <w:tab w:val="left" w:pos="-1440"/>
          <w:tab w:val="left" w:pos="-720"/>
          <w:tab w:val="left" w:pos="1"/>
          <w:tab w:val="right" w:pos="9360"/>
        </w:tabs>
        <w:jc w:val="both"/>
        <w:rPr>
          <w:rFonts w:ascii="Arial" w:hAnsi="Arial"/>
          <w:sz w:val="24"/>
        </w:rPr>
      </w:pPr>
      <w:r w:rsidRPr="00974A0C">
        <w:rPr>
          <w:rFonts w:ascii="Arial" w:hAnsi="Arial"/>
          <w:b/>
          <w:noProof/>
          <w:sz w:val="24"/>
          <w:lang w:val="en-US"/>
        </w:rPr>
        <w:drawing>
          <wp:inline distT="0" distB="0" distL="0" distR="0" wp14:anchorId="5B500EA4" wp14:editId="294E86CA">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3828EC" w:rsidRPr="00974A0C" w:rsidRDefault="003828EC" w:rsidP="003828EC">
      <w:pPr>
        <w:pBdr>
          <w:bottom w:val="single" w:sz="18" w:space="1" w:color="auto"/>
        </w:pBdr>
        <w:tabs>
          <w:tab w:val="left" w:pos="-1440"/>
          <w:tab w:val="left" w:pos="-720"/>
          <w:tab w:val="left" w:pos="1"/>
        </w:tabs>
        <w:jc w:val="both"/>
        <w:rPr>
          <w:rFonts w:ascii="Arial" w:hAnsi="Arial"/>
          <w:b/>
          <w:sz w:val="2"/>
          <w:szCs w:val="2"/>
        </w:rPr>
      </w:pPr>
    </w:p>
    <w:p w:rsidR="003828EC" w:rsidRPr="00C81DA7" w:rsidRDefault="003828EC" w:rsidP="003828EC">
      <w:pPr>
        <w:pStyle w:val="ProductNumber"/>
        <w:outlineLvl w:val="0"/>
      </w:pPr>
      <w:r>
        <w:t>9B18N012</w:t>
      </w:r>
    </w:p>
    <w:p w:rsidR="003828EC" w:rsidRPr="00C81DA7" w:rsidRDefault="003828EC" w:rsidP="003828EC">
      <w:pPr>
        <w:jc w:val="right"/>
        <w:rPr>
          <w:rFonts w:ascii="Arial" w:hAnsi="Arial"/>
          <w:b/>
          <w:sz w:val="28"/>
          <w:szCs w:val="28"/>
        </w:rPr>
      </w:pPr>
    </w:p>
    <w:p w:rsidR="003828EC" w:rsidRPr="00C81DA7" w:rsidRDefault="003828EC" w:rsidP="003828EC">
      <w:pPr>
        <w:jc w:val="right"/>
        <w:rPr>
          <w:rFonts w:ascii="Arial" w:hAnsi="Arial"/>
          <w:b/>
          <w:sz w:val="28"/>
          <w:szCs w:val="28"/>
        </w:rPr>
      </w:pPr>
    </w:p>
    <w:p w:rsidR="003828EC" w:rsidRPr="00C81DA7" w:rsidRDefault="003828EC" w:rsidP="003828EC">
      <w:pPr>
        <w:pStyle w:val="CaseTitle"/>
        <w:spacing w:after="0" w:line="240" w:lineRule="auto"/>
        <w:outlineLvl w:val="0"/>
      </w:pPr>
      <w:r w:rsidRPr="00C81DA7">
        <w:t>transaero: Turbulent times</w:t>
      </w:r>
      <w:r w:rsidRPr="00447F33">
        <w:rPr>
          <w:rStyle w:val="FootnoteReference"/>
        </w:rPr>
        <w:footnoteReference w:id="1"/>
      </w:r>
    </w:p>
    <w:p w:rsidR="003828EC" w:rsidRPr="00C81DA7" w:rsidRDefault="003828EC" w:rsidP="003828EC">
      <w:pPr>
        <w:pStyle w:val="CaseTitle"/>
        <w:spacing w:after="0" w:line="240" w:lineRule="auto"/>
        <w:rPr>
          <w:sz w:val="20"/>
          <w:szCs w:val="20"/>
        </w:rPr>
      </w:pPr>
    </w:p>
    <w:p w:rsidR="003828EC" w:rsidRPr="00C81DA7" w:rsidRDefault="003828EC" w:rsidP="003828EC">
      <w:pPr>
        <w:pStyle w:val="CaseTitle"/>
        <w:spacing w:after="0" w:line="240" w:lineRule="auto"/>
        <w:rPr>
          <w:sz w:val="20"/>
          <w:szCs w:val="20"/>
        </w:rPr>
      </w:pPr>
    </w:p>
    <w:p w:rsidR="003828EC" w:rsidRPr="00C81DA7" w:rsidRDefault="003828EC" w:rsidP="003828EC">
      <w:pPr>
        <w:pStyle w:val="StyleCopyrightStatementAfter0ptBottomSinglesolidline1"/>
      </w:pPr>
      <w:r w:rsidRPr="00C81DA7">
        <w:t>Elena Senatorova, Grigori Erenburg, and Ruth Ann Strickland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rsidR="003828EC" w:rsidRPr="00C81DA7" w:rsidRDefault="003828EC" w:rsidP="003828EC">
      <w:pPr>
        <w:pStyle w:val="StyleCopyrightStatementAfter0ptBottomSinglesolidline1"/>
      </w:pPr>
    </w:p>
    <w:p w:rsidR="003828EC" w:rsidRPr="00E23AB7" w:rsidRDefault="003828EC" w:rsidP="003828EC">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8"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9" w:history="1">
        <w:r w:rsidRPr="00E23AB7">
          <w:rPr>
            <w:rFonts w:ascii="Arial" w:hAnsi="Arial"/>
            <w:i/>
            <w:iCs/>
            <w:color w:val="000000"/>
            <w:sz w:val="16"/>
          </w:rPr>
          <w:t>www.iveycases.com</w:t>
        </w:r>
      </w:hyperlink>
      <w:r w:rsidRPr="00E23AB7">
        <w:rPr>
          <w:rFonts w:ascii="Arial" w:hAnsi="Arial"/>
          <w:i/>
          <w:iCs/>
          <w:color w:val="000000"/>
          <w:sz w:val="16"/>
        </w:rPr>
        <w:t>.</w:t>
      </w:r>
    </w:p>
    <w:p w:rsidR="003828EC" w:rsidRPr="00C81DA7" w:rsidRDefault="003828EC" w:rsidP="003828EC">
      <w:pPr>
        <w:pStyle w:val="StyleStyleCopyrightStatementAfter0ptBottomSinglesolid"/>
      </w:pPr>
    </w:p>
    <w:p w:rsidR="003828EC" w:rsidRPr="00C81DA7" w:rsidRDefault="003828EC" w:rsidP="003828EC">
      <w:pPr>
        <w:pStyle w:val="StyleStyleCopyrightStatementAfter0ptBottomSinglesolid"/>
      </w:pPr>
      <w:r w:rsidRPr="00974A0C">
        <w:t xml:space="preserve">Copyright © 2018, </w:t>
      </w:r>
      <w:r w:rsidRPr="00974A0C">
        <w:rPr>
          <w:lang w:val="en-CA"/>
        </w:rPr>
        <w:t>Ivey Business School Foundation</w:t>
      </w:r>
      <w:r w:rsidRPr="00C81DA7">
        <w:tab/>
        <w:t>Version: 2018-</w:t>
      </w:r>
      <w:r>
        <w:t>07</w:t>
      </w:r>
      <w:r w:rsidRPr="00C81DA7">
        <w:t>-</w:t>
      </w:r>
      <w:r>
        <w:t>20</w:t>
      </w:r>
    </w:p>
    <w:p w:rsidR="003828EC" w:rsidRPr="00C81DA7" w:rsidRDefault="003828EC" w:rsidP="003828EC">
      <w:pPr>
        <w:pStyle w:val="StyleCopyrightStatementAfter0ptBottomSinglesolidline1"/>
        <w:rPr>
          <w:rFonts w:ascii="Times New Roman" w:hAnsi="Times New Roman"/>
          <w:sz w:val="20"/>
        </w:rPr>
      </w:pPr>
    </w:p>
    <w:p w:rsidR="003828EC" w:rsidRPr="00C81DA7" w:rsidRDefault="003828EC" w:rsidP="003828EC">
      <w:pPr>
        <w:pStyle w:val="StyleCopyrightStatementAfter0ptBottomSinglesolidline1"/>
        <w:rPr>
          <w:rFonts w:ascii="Times New Roman" w:hAnsi="Times New Roman"/>
          <w:sz w:val="20"/>
        </w:rPr>
      </w:pPr>
    </w:p>
    <w:p w:rsidR="003828EC" w:rsidRPr="00DA00F7" w:rsidRDefault="003828EC" w:rsidP="003828EC">
      <w:pPr>
        <w:pStyle w:val="BodyTextMain"/>
        <w:rPr>
          <w:rFonts w:eastAsia="Calibri"/>
        </w:rPr>
      </w:pPr>
      <w:r w:rsidRPr="00DA00F7">
        <w:rPr>
          <w:rFonts w:eastAsia="Calibri"/>
        </w:rPr>
        <w:t xml:space="preserve">Max Feldman, a 39-year-old professor at Moscow State University, was looking forward to an upcoming trip to Canada. Feldman was going to visit Western University in London, Ontario, for four months to work on a collaborative research project in financial analysis. He had never been to Canada, and he had many plans and research ideas. The whole trip was planned with a departure in October 2015. Feldman had already purchased his tickets for a convenient non-stop flight from Moscow to Toronto with OJSC Transaero Airlines (Transaero). </w:t>
      </w:r>
    </w:p>
    <w:p w:rsidR="003828EC" w:rsidRPr="00DA00F7" w:rsidRDefault="003828EC" w:rsidP="003828EC">
      <w:pPr>
        <w:pStyle w:val="BodyTextMain"/>
        <w:rPr>
          <w:rFonts w:eastAsia="Calibri"/>
        </w:rPr>
      </w:pPr>
    </w:p>
    <w:p w:rsidR="003828EC" w:rsidRPr="00DA00F7" w:rsidRDefault="003828EC" w:rsidP="003828EC">
      <w:pPr>
        <w:pStyle w:val="BodyTextMain"/>
        <w:rPr>
          <w:rFonts w:eastAsia="Calibri"/>
          <w:spacing w:val="-2"/>
          <w:kern w:val="22"/>
        </w:rPr>
      </w:pPr>
      <w:r w:rsidRPr="00DA00F7">
        <w:rPr>
          <w:rFonts w:eastAsia="Calibri"/>
          <w:spacing w:val="-2"/>
          <w:kern w:val="22"/>
        </w:rPr>
        <w:t>In September 2015, news broke about the possible bankruptcy of Transaero, the safest and second-largest airline company in Russia, catching most people by surprise. In light of the news, with his flight already booked, Feldman needed to decide whether or not to cancel the tickets he had booked and fly with a different airline. He wondered what had gone wrong with the airline. How did this large, sustainable, and reliable company</w:t>
      </w:r>
      <w:r w:rsidRPr="00DA00F7">
        <w:rPr>
          <w:spacing w:val="-2"/>
          <w:kern w:val="22"/>
        </w:rPr>
        <w:t>—one</w:t>
      </w:r>
      <w:r w:rsidRPr="00DA00F7">
        <w:rPr>
          <w:rFonts w:eastAsia="Calibri"/>
          <w:spacing w:val="-2"/>
          <w:kern w:val="22"/>
        </w:rPr>
        <w:t xml:space="preserve"> with a good reputation</w:t>
      </w:r>
      <w:r w:rsidRPr="00DA00F7">
        <w:rPr>
          <w:spacing w:val="-2"/>
          <w:kern w:val="22"/>
        </w:rPr>
        <w:t>—</w:t>
      </w:r>
      <w:r w:rsidRPr="00DA00F7">
        <w:rPr>
          <w:rFonts w:eastAsia="Calibri"/>
          <w:spacing w:val="-2"/>
          <w:kern w:val="22"/>
        </w:rPr>
        <w:t>get into such financial trouble? Could it have been foreseen and prevented? What would happen with Transaero in the near future? Feldman began to analyze Transaero’s financial data to gain a deeper understanding of the issues and to find possible solutions.</w:t>
      </w:r>
    </w:p>
    <w:p w:rsidR="003828EC" w:rsidRPr="00C81DA7" w:rsidRDefault="003828EC" w:rsidP="003828EC">
      <w:pPr>
        <w:pStyle w:val="BodyTextMain"/>
        <w:rPr>
          <w:rFonts w:eastAsia="Calibri"/>
        </w:rPr>
      </w:pPr>
    </w:p>
    <w:p w:rsidR="003828EC" w:rsidRPr="00C81DA7" w:rsidRDefault="003828EC" w:rsidP="003828EC">
      <w:pPr>
        <w:pStyle w:val="BodyTextMain"/>
        <w:rPr>
          <w:rFonts w:eastAsia="Calibri"/>
        </w:rPr>
      </w:pPr>
    </w:p>
    <w:p w:rsidR="003828EC" w:rsidRPr="00C81DA7" w:rsidRDefault="003828EC" w:rsidP="003828EC">
      <w:pPr>
        <w:pStyle w:val="Casehead1"/>
        <w:outlineLvl w:val="0"/>
        <w:rPr>
          <w:rFonts w:eastAsia="Calibri"/>
        </w:rPr>
      </w:pPr>
      <w:r w:rsidRPr="00C81DA7">
        <w:rPr>
          <w:rFonts w:eastAsia="Calibri"/>
        </w:rPr>
        <w:t>COMPANY BACKGROUND</w:t>
      </w:r>
    </w:p>
    <w:p w:rsidR="003828EC" w:rsidRPr="00C81DA7" w:rsidRDefault="003828EC" w:rsidP="003828EC">
      <w:pPr>
        <w:pStyle w:val="BodyTextMain"/>
        <w:rPr>
          <w:rFonts w:eastAsia="Calibri"/>
        </w:rPr>
      </w:pPr>
    </w:p>
    <w:p w:rsidR="003828EC" w:rsidRPr="00C81DA7" w:rsidRDefault="003828EC" w:rsidP="003828EC">
      <w:pPr>
        <w:pStyle w:val="BodyTextMain"/>
        <w:rPr>
          <w:rFonts w:eastAsia="Calibri"/>
        </w:rPr>
      </w:pPr>
      <w:r w:rsidRPr="00C81DA7">
        <w:rPr>
          <w:rFonts w:eastAsia="Calibri"/>
        </w:rPr>
        <w:t>Transaero, one of Russia’s largest private companies, was established in 1990 by Aleksandr Pleshakov and his mother, Tatiana Anodina. Anodina had been the head of the Interstate Aviation Committee, the supervisory body overseeing aviation in</w:t>
      </w:r>
      <w:r w:rsidRPr="00C81DA7">
        <w:rPr>
          <w:rFonts w:ascii="Calibri" w:eastAsia="Calibri" w:hAnsi="Calibri"/>
        </w:rPr>
        <w:t xml:space="preserve"> </w:t>
      </w:r>
      <w:r w:rsidRPr="00C81DA7">
        <w:rPr>
          <w:rFonts w:eastAsia="Calibri"/>
        </w:rPr>
        <w:t>the Commonwealth of Independent States (CIS).</w:t>
      </w:r>
      <w:r w:rsidRPr="00427BFF">
        <w:rPr>
          <w:rStyle w:val="FootnoteReference"/>
          <w:rFonts w:eastAsia="Calibri"/>
        </w:rPr>
        <w:footnoteReference w:id="2"/>
      </w:r>
      <w:r w:rsidRPr="00C81DA7">
        <w:rPr>
          <w:rFonts w:eastAsia="Calibri"/>
        </w:rPr>
        <w:t xml:space="preserve"> </w:t>
      </w:r>
      <w:r>
        <w:rPr>
          <w:rFonts w:eastAsia="Calibri"/>
        </w:rPr>
        <w:t>Aleksandr’s</w:t>
      </w:r>
      <w:r w:rsidRPr="00C81DA7">
        <w:rPr>
          <w:rFonts w:eastAsia="Calibri"/>
        </w:rPr>
        <w:t xml:space="preserve"> father, Peter Pleshakov, was the Soviet Union’s minister of radio industry from 1974 until 1987. </w:t>
      </w:r>
      <w:r>
        <w:rPr>
          <w:rFonts w:eastAsia="Calibri"/>
        </w:rPr>
        <w:t xml:space="preserve">Aleksandr’s </w:t>
      </w:r>
      <w:r w:rsidRPr="00C81DA7">
        <w:rPr>
          <w:rFonts w:eastAsia="Calibri"/>
        </w:rPr>
        <w:t>wife, Olga Pleshakova, was the chief executive officer (CEO) of Transaero</w:t>
      </w:r>
      <w:r w:rsidRPr="00C81DA7">
        <w:rPr>
          <w:rFonts w:ascii="Calibri" w:eastAsia="Calibri" w:hAnsi="Calibri"/>
        </w:rPr>
        <w:t xml:space="preserve"> </w:t>
      </w:r>
      <w:r w:rsidRPr="00C81DA7">
        <w:rPr>
          <w:rFonts w:eastAsia="Calibri"/>
        </w:rPr>
        <w:t>from 2001 to 2015. Transaero’s official date of inception was November 5, 1991, the date of its first charter service.</w:t>
      </w:r>
      <w:r>
        <w:rPr>
          <w:rStyle w:val="FootnoteReference"/>
          <w:rFonts w:eastAsia="Calibri"/>
        </w:rPr>
        <w:footnoteReference w:id="3"/>
      </w:r>
    </w:p>
    <w:p w:rsidR="003828EC" w:rsidRPr="00C81DA7" w:rsidRDefault="003828EC" w:rsidP="003828EC">
      <w:pPr>
        <w:pStyle w:val="BodyTextMain"/>
        <w:rPr>
          <w:rFonts w:eastAsia="Calibri"/>
        </w:rPr>
      </w:pPr>
    </w:p>
    <w:p w:rsidR="003828EC" w:rsidRPr="00C81DA7" w:rsidRDefault="003828EC" w:rsidP="003828EC">
      <w:pPr>
        <w:pStyle w:val="BodyTextMain"/>
        <w:rPr>
          <w:rFonts w:eastAsia="Calibri"/>
        </w:rPr>
      </w:pPr>
      <w:r w:rsidRPr="00C81DA7">
        <w:rPr>
          <w:rFonts w:eastAsia="Calibri"/>
        </w:rPr>
        <w:lastRenderedPageBreak/>
        <w:t xml:space="preserve">Over time, Transaero had strengthened its position in different markets, especially in domestic and international flights, including routes with strategic importance such as from Moscow to Beijing, New York, and Toronto. Transaero </w:t>
      </w:r>
      <w:r w:rsidRPr="00770634">
        <w:rPr>
          <w:rFonts w:eastAsia="Calibri"/>
        </w:rPr>
        <w:t>focused on fleet renewal and increase of its efficiency</w:t>
      </w:r>
      <w:r>
        <w:rPr>
          <w:rFonts w:eastAsia="Calibri"/>
        </w:rPr>
        <w:t>. “</w:t>
      </w:r>
      <w:r w:rsidRPr="00770634">
        <w:rPr>
          <w:rFonts w:eastAsia="Calibri"/>
        </w:rPr>
        <w:t>During the period from 2010 to mid-2013 Transaero was expanding its fleet – the number of operated aircraft increased from 47 ones (01.01.2010) to 100 ones (01.01.2014)</w:t>
      </w:r>
      <w:r>
        <w:rPr>
          <w:rFonts w:eastAsia="Calibri"/>
        </w:rPr>
        <w:t>”</w:t>
      </w:r>
      <w:r w:rsidRPr="00770634">
        <w:rPr>
          <w:rFonts w:eastAsia="Calibri"/>
        </w:rPr>
        <w:t>.</w:t>
      </w:r>
      <w:r>
        <w:rPr>
          <w:rStyle w:val="FootnoteReference"/>
          <w:rFonts w:eastAsia="Calibri"/>
        </w:rPr>
        <w:footnoteReference w:id="4"/>
      </w:r>
      <w:r w:rsidRPr="00C81DA7">
        <w:rPr>
          <w:rFonts w:eastAsia="Calibri"/>
        </w:rPr>
        <w:t xml:space="preserve"> </w:t>
      </w:r>
    </w:p>
    <w:p w:rsidR="003828EC" w:rsidRPr="00C81DA7" w:rsidRDefault="003828EC" w:rsidP="003828EC">
      <w:pPr>
        <w:pStyle w:val="BodyTextMain"/>
        <w:rPr>
          <w:rFonts w:eastAsia="Calibri"/>
        </w:rPr>
      </w:pPr>
    </w:p>
    <w:p w:rsidR="003828EC" w:rsidRPr="00974A0C" w:rsidRDefault="003828EC" w:rsidP="003828EC">
      <w:pPr>
        <w:pStyle w:val="BodyTextMain"/>
        <w:rPr>
          <w:rFonts w:eastAsia="Calibri"/>
          <w:spacing w:val="-2"/>
          <w:kern w:val="22"/>
        </w:rPr>
      </w:pPr>
      <w:r w:rsidRPr="00974A0C">
        <w:rPr>
          <w:rFonts w:eastAsia="Calibri"/>
          <w:spacing w:val="-2"/>
          <w:kern w:val="22"/>
        </w:rPr>
        <w:t xml:space="preserve">As Feldman studied Transaero’s 2013 annual report, he noticed that Transaero had more than 200 routes (44 per cent were in Europe; 28 per cent were in Russia and CIS). That year, </w:t>
      </w:r>
      <w:r>
        <w:rPr>
          <w:rFonts w:eastAsia="Calibri"/>
          <w:spacing w:val="-2"/>
          <w:kern w:val="22"/>
        </w:rPr>
        <w:t xml:space="preserve">the airline and airport review website </w:t>
      </w:r>
      <w:r w:rsidRPr="00974A0C">
        <w:rPr>
          <w:rFonts w:eastAsia="Calibri"/>
          <w:spacing w:val="-2"/>
          <w:kern w:val="22"/>
        </w:rPr>
        <w:t>Skytrax had named Transaero among the World</w:t>
      </w:r>
      <w:r>
        <w:rPr>
          <w:rFonts w:eastAsia="Calibri"/>
          <w:spacing w:val="-2"/>
          <w:kern w:val="22"/>
        </w:rPr>
        <w:t>’</w:t>
      </w:r>
      <w:r w:rsidRPr="00974A0C">
        <w:rPr>
          <w:rFonts w:eastAsia="Calibri"/>
          <w:spacing w:val="-2"/>
          <w:kern w:val="22"/>
        </w:rPr>
        <w:t>s Top 100 Airlines</w:t>
      </w:r>
      <w:r>
        <w:rPr>
          <w:rFonts w:eastAsia="Calibri"/>
          <w:spacing w:val="-2"/>
          <w:kern w:val="22"/>
        </w:rPr>
        <w:t>.</w:t>
      </w:r>
      <w:r w:rsidRPr="00447F33">
        <w:rPr>
          <w:rStyle w:val="FootnoteReference"/>
          <w:rFonts w:eastAsia="Calibri"/>
        </w:rPr>
        <w:footnoteReference w:id="5"/>
      </w:r>
      <w:r w:rsidRPr="00974A0C">
        <w:rPr>
          <w:rFonts w:eastAsia="Calibri"/>
          <w:spacing w:val="-2"/>
          <w:kern w:val="22"/>
        </w:rPr>
        <w:t xml:space="preserve"> The number of passengers it had carried in 2013 totalled 12.5 million, an increase of 21.04 per cent from the total number of passengers in 2012, earning the airline a spot among the top 30 airlines in the world for flight volume. This was despite a crisis in the Egyptian travel market, which accounted for about 12 per cent of Transaero’s flights. Transaero’s total revenue in 2013 had increased by 14.81 per cent</w:t>
      </w:r>
      <w:r w:rsidRPr="00974A0C">
        <w:rPr>
          <w:rFonts w:ascii="Calibri" w:eastAsia="Calibri" w:hAnsi="Calibri"/>
          <w:spacing w:val="-2"/>
          <w:kern w:val="22"/>
        </w:rPr>
        <w:t xml:space="preserve"> </w:t>
      </w:r>
      <w:r w:rsidRPr="00974A0C">
        <w:rPr>
          <w:rFonts w:eastAsia="Calibri"/>
          <w:spacing w:val="-2"/>
          <w:kern w:val="22"/>
        </w:rPr>
        <w:t xml:space="preserve">from its revenue in 2012 (see Exhibit 1). </w:t>
      </w:r>
      <w:r>
        <w:rPr>
          <w:rFonts w:eastAsia="Calibri"/>
          <w:spacing w:val="-2"/>
          <w:kern w:val="22"/>
        </w:rPr>
        <w:t>Aleksandr</w:t>
      </w:r>
      <w:r w:rsidRPr="00974A0C">
        <w:rPr>
          <w:rFonts w:eastAsia="Calibri"/>
          <w:spacing w:val="-2"/>
          <w:kern w:val="22"/>
        </w:rPr>
        <w:t xml:space="preserve">, </w:t>
      </w:r>
      <w:r>
        <w:rPr>
          <w:rFonts w:eastAsia="Calibri"/>
          <w:spacing w:val="-2"/>
          <w:kern w:val="22"/>
        </w:rPr>
        <w:t xml:space="preserve">who was </w:t>
      </w:r>
      <w:r w:rsidRPr="00974A0C">
        <w:rPr>
          <w:rFonts w:eastAsia="Calibri"/>
          <w:spacing w:val="-2"/>
          <w:kern w:val="22"/>
        </w:rPr>
        <w:t>the chairman of the board of directors, noted, “[F]rom 2003 to 2013, Transaero’s passenger turnover grew by 47 times</w:t>
      </w:r>
      <w:r w:rsidRPr="00537006">
        <w:rPr>
          <w:rFonts w:eastAsia="Calibri"/>
          <w:spacing w:val="-2"/>
          <w:kern w:val="22"/>
          <w:lang w:val="en-US"/>
        </w:rPr>
        <w:t>..</w:t>
      </w:r>
      <w:r w:rsidRPr="00974A0C">
        <w:rPr>
          <w:rFonts w:eastAsia="Calibri"/>
          <w:spacing w:val="-2"/>
          <w:kern w:val="22"/>
        </w:rPr>
        <w:t>. Air freight transportation went up by 25 times. T</w:t>
      </w:r>
      <w:r>
        <w:rPr>
          <w:rFonts w:eastAsia="Calibri"/>
          <w:spacing w:val="-2"/>
          <w:kern w:val="22"/>
          <w:lang w:val="en-US"/>
        </w:rPr>
        <w:t>he Company’s</w:t>
      </w:r>
      <w:r w:rsidRPr="00974A0C">
        <w:rPr>
          <w:rFonts w:eastAsia="Calibri"/>
          <w:spacing w:val="-2"/>
          <w:kern w:val="22"/>
        </w:rPr>
        <w:t xml:space="preserve"> fleet expanded by 16 times</w:t>
      </w:r>
      <w:r>
        <w:rPr>
          <w:rFonts w:eastAsia="Calibri"/>
          <w:spacing w:val="-2"/>
          <w:kern w:val="22"/>
        </w:rPr>
        <w:t>…</w:t>
      </w:r>
      <w:r w:rsidRPr="00974A0C">
        <w:rPr>
          <w:rFonts w:eastAsia="Calibri"/>
          <w:spacing w:val="-2"/>
          <w:kern w:val="22"/>
        </w:rPr>
        <w:t xml:space="preserve"> New partnerships with international airlines such as Virgin America, WestJet, JetBlue [Airways], and China Airlines were established.”</w:t>
      </w:r>
      <w:r>
        <w:rPr>
          <w:rStyle w:val="FootnoteReference"/>
          <w:rFonts w:eastAsia="Calibri"/>
          <w:spacing w:val="-2"/>
          <w:kern w:val="22"/>
        </w:rPr>
        <w:footnoteReference w:id="6"/>
      </w:r>
    </w:p>
    <w:p w:rsidR="003828EC" w:rsidRPr="00C81DA7" w:rsidRDefault="003828EC" w:rsidP="003828EC">
      <w:pPr>
        <w:pStyle w:val="BodyTextMain"/>
        <w:rPr>
          <w:rFonts w:eastAsia="Calibri"/>
        </w:rPr>
      </w:pPr>
    </w:p>
    <w:p w:rsidR="003828EC" w:rsidRPr="00C81DA7" w:rsidRDefault="003828EC" w:rsidP="003828EC">
      <w:pPr>
        <w:pStyle w:val="BodyTextMain"/>
        <w:rPr>
          <w:rFonts w:eastAsia="Calibri"/>
        </w:rPr>
      </w:pPr>
      <w:r>
        <w:rPr>
          <w:rFonts w:eastAsia="Calibri"/>
        </w:rPr>
        <w:t xml:space="preserve">Olga, </w:t>
      </w:r>
      <w:r w:rsidRPr="00C81DA7">
        <w:rPr>
          <w:rFonts w:eastAsia="Calibri"/>
        </w:rPr>
        <w:t>Transaero</w:t>
      </w:r>
      <w:r>
        <w:rPr>
          <w:rFonts w:eastAsia="Calibri"/>
        </w:rPr>
        <w:t>’s</w:t>
      </w:r>
      <w:r w:rsidRPr="00C81DA7">
        <w:rPr>
          <w:rFonts w:eastAsia="Calibri"/>
        </w:rPr>
        <w:t xml:space="preserve"> CEO</w:t>
      </w:r>
      <w:r>
        <w:rPr>
          <w:rFonts w:eastAsia="Calibri"/>
        </w:rPr>
        <w:t>,</w:t>
      </w:r>
      <w:r w:rsidRPr="00C81DA7">
        <w:rPr>
          <w:rFonts w:eastAsia="Calibri"/>
        </w:rPr>
        <w:t xml:space="preserve"> said: </w:t>
      </w:r>
    </w:p>
    <w:p w:rsidR="003828EC" w:rsidRPr="00C81DA7" w:rsidRDefault="003828EC" w:rsidP="003828EC">
      <w:pPr>
        <w:pStyle w:val="BodyTextMain"/>
        <w:rPr>
          <w:rFonts w:eastAsia="Calibri"/>
        </w:rPr>
      </w:pPr>
    </w:p>
    <w:p w:rsidR="003828EC" w:rsidRPr="00DA00F7" w:rsidRDefault="003828EC" w:rsidP="003828EC">
      <w:pPr>
        <w:pStyle w:val="BodyTextMain"/>
        <w:ind w:left="900"/>
        <w:rPr>
          <w:rFonts w:eastAsia="Calibri"/>
          <w:spacing w:val="-2"/>
          <w:kern w:val="22"/>
        </w:rPr>
      </w:pPr>
      <w:r w:rsidRPr="00DA00F7">
        <w:rPr>
          <w:rFonts w:eastAsia="Calibri"/>
          <w:spacing w:val="-2"/>
          <w:kern w:val="22"/>
        </w:rPr>
        <w:t>Our company results under IFRS [International Financial Reporting Standards] and RAS [Russian accounting standards] prove the solid financial state of the airline and the sustainability of its development. In 2013, we continued to improve product quality by operating a broad route network, undertaking fleet modernization, and implementing new unique technologies. Our new approach to the airline’s business development strategy is in line with our mission statement “Rational growth, efficiency and strategic focus,” and aims to further increase financial efficiency. This strategy will continue to remain [a] priority for the airline.</w:t>
      </w:r>
      <w:r w:rsidRPr="00DA00F7">
        <w:rPr>
          <w:rStyle w:val="FootnoteReference"/>
          <w:rFonts w:eastAsia="Calibri"/>
          <w:spacing w:val="-2"/>
          <w:kern w:val="22"/>
        </w:rPr>
        <w:footnoteReference w:id="7"/>
      </w:r>
    </w:p>
    <w:p w:rsidR="003828EC" w:rsidRPr="00C81DA7" w:rsidRDefault="003828EC" w:rsidP="003828EC">
      <w:pPr>
        <w:pStyle w:val="BodyTextMain"/>
        <w:rPr>
          <w:rFonts w:eastAsia="Calibri"/>
          <w:sz w:val="18"/>
          <w:szCs w:val="18"/>
        </w:rPr>
      </w:pPr>
    </w:p>
    <w:p w:rsidR="003828EC" w:rsidRPr="00C81DA7" w:rsidRDefault="003828EC" w:rsidP="003828EC">
      <w:pPr>
        <w:pStyle w:val="BodyTextMain"/>
        <w:rPr>
          <w:rFonts w:eastAsia="Calibri"/>
          <w:sz w:val="18"/>
          <w:szCs w:val="18"/>
        </w:rPr>
      </w:pPr>
    </w:p>
    <w:p w:rsidR="003828EC" w:rsidRPr="00C81DA7" w:rsidRDefault="003828EC" w:rsidP="003828EC">
      <w:pPr>
        <w:pStyle w:val="Casehead1"/>
        <w:outlineLvl w:val="0"/>
        <w:rPr>
          <w:rFonts w:eastAsia="Calibri"/>
        </w:rPr>
      </w:pPr>
      <w:r w:rsidRPr="00C81DA7">
        <w:rPr>
          <w:rFonts w:eastAsia="Calibri"/>
        </w:rPr>
        <w:t>SUSTAINABLE DEVELOPMENT</w:t>
      </w:r>
    </w:p>
    <w:p w:rsidR="003828EC" w:rsidRPr="00C81DA7" w:rsidRDefault="003828EC" w:rsidP="003828EC">
      <w:pPr>
        <w:pStyle w:val="BodyTextMain"/>
        <w:rPr>
          <w:rFonts w:eastAsia="Calibri"/>
        </w:rPr>
      </w:pPr>
    </w:p>
    <w:p w:rsidR="003828EC" w:rsidRPr="00DA00F7" w:rsidRDefault="003828EC" w:rsidP="003828EC">
      <w:pPr>
        <w:pStyle w:val="BodyTextMain"/>
        <w:rPr>
          <w:rFonts w:eastAsia="Calibri"/>
          <w:spacing w:val="-4"/>
          <w:kern w:val="22"/>
        </w:rPr>
      </w:pPr>
      <w:r w:rsidRPr="00DA00F7">
        <w:rPr>
          <w:rFonts w:eastAsia="Calibri"/>
          <w:spacing w:val="-4"/>
          <w:kern w:val="22"/>
        </w:rPr>
        <w:t>Transaero as a company, and its employees as individuals, believed in using the airline’s success to give back to society. According to the company’s 2013 annual report, Transaero was the only Russian airline company to achieve a Triple A (or “AAA”) rating</w:t>
      </w:r>
      <w:r w:rsidRPr="00DA00F7">
        <w:rPr>
          <w:rStyle w:val="FootnoteReference"/>
          <w:rFonts w:eastAsia="Calibri"/>
          <w:spacing w:val="-4"/>
          <w:kern w:val="22"/>
        </w:rPr>
        <w:footnoteReference w:id="8"/>
      </w:r>
      <w:r w:rsidRPr="00DA00F7">
        <w:rPr>
          <w:rFonts w:eastAsia="Calibri"/>
          <w:spacing w:val="-4"/>
          <w:kern w:val="22"/>
        </w:rPr>
        <w:t xml:space="preserve"> for corporate social responsibility. The company’s charitable programs included social air transportation, children’s health care, and assistance for persons with disabilities. Three fundamental principles—consistency, partnership, and transparency—guided the company’s charitable programs. Company employees hosted over 30 charitable events in 2014 (see Exhibit 2).</w:t>
      </w:r>
      <w:r w:rsidRPr="00DA00F7">
        <w:rPr>
          <w:rStyle w:val="FootnoteReference"/>
          <w:rFonts w:eastAsia="Calibri"/>
          <w:spacing w:val="-4"/>
          <w:kern w:val="22"/>
        </w:rPr>
        <w:footnoteReference w:id="9"/>
      </w:r>
    </w:p>
    <w:p w:rsidR="003828EC" w:rsidRPr="00C81DA7" w:rsidRDefault="003828EC" w:rsidP="003828EC">
      <w:pPr>
        <w:pStyle w:val="BodyTextMain"/>
        <w:rPr>
          <w:rFonts w:eastAsia="Calibri"/>
        </w:rPr>
      </w:pPr>
    </w:p>
    <w:p w:rsidR="003828EC" w:rsidRPr="00C81DA7" w:rsidRDefault="003828EC" w:rsidP="003828EC">
      <w:pPr>
        <w:pStyle w:val="BodyTextMain"/>
        <w:rPr>
          <w:rFonts w:eastAsia="Calibri"/>
        </w:rPr>
      </w:pPr>
    </w:p>
    <w:p w:rsidR="003828EC" w:rsidRPr="00C81DA7" w:rsidRDefault="003828EC" w:rsidP="003828EC">
      <w:pPr>
        <w:pStyle w:val="Casehead1"/>
        <w:keepNext/>
        <w:outlineLvl w:val="0"/>
        <w:rPr>
          <w:rFonts w:eastAsia="Calibri"/>
        </w:rPr>
      </w:pPr>
      <w:r w:rsidRPr="00C81DA7">
        <w:rPr>
          <w:rFonts w:eastAsia="Calibri"/>
        </w:rPr>
        <w:lastRenderedPageBreak/>
        <w:t>THE SITUATION IN 2014 AND 2015</w:t>
      </w:r>
    </w:p>
    <w:p w:rsidR="003828EC" w:rsidRPr="00C81DA7" w:rsidRDefault="003828EC" w:rsidP="003828EC">
      <w:pPr>
        <w:pStyle w:val="BodyTextMain"/>
        <w:keepNext/>
        <w:rPr>
          <w:rFonts w:eastAsia="Calibri"/>
        </w:rPr>
      </w:pPr>
    </w:p>
    <w:p w:rsidR="003828EC" w:rsidRPr="00974A0C" w:rsidRDefault="003828EC" w:rsidP="003828EC">
      <w:pPr>
        <w:pStyle w:val="BodyTextMain"/>
        <w:rPr>
          <w:rFonts w:eastAsia="Calibri"/>
          <w:spacing w:val="-4"/>
          <w:kern w:val="22"/>
        </w:rPr>
      </w:pPr>
      <w:r w:rsidRPr="00974A0C">
        <w:rPr>
          <w:rFonts w:eastAsia="Calibri"/>
          <w:spacing w:val="-4"/>
          <w:kern w:val="22"/>
        </w:rPr>
        <w:t>Transaero</w:t>
      </w:r>
      <w:r>
        <w:rPr>
          <w:rFonts w:eastAsia="Calibri"/>
          <w:spacing w:val="-4"/>
          <w:kern w:val="22"/>
        </w:rPr>
        <w:t xml:space="preserve"> started 2014 in a strong position</w:t>
      </w:r>
      <w:r w:rsidRPr="00974A0C">
        <w:rPr>
          <w:rFonts w:eastAsia="Calibri"/>
          <w:spacing w:val="-4"/>
          <w:kern w:val="22"/>
        </w:rPr>
        <w:t>, with key positive events in the first half of the year including the following:</w:t>
      </w:r>
      <w:r w:rsidRPr="00447F33">
        <w:rPr>
          <w:rStyle w:val="FootnoteReference"/>
          <w:rFonts w:eastAsia="Calibri"/>
        </w:rPr>
        <w:footnoteReference w:id="10"/>
      </w:r>
    </w:p>
    <w:p w:rsidR="003828EC" w:rsidRPr="00C81DA7" w:rsidRDefault="003828EC" w:rsidP="003828EC">
      <w:pPr>
        <w:pStyle w:val="BodyTextMain"/>
        <w:rPr>
          <w:rFonts w:eastAsia="Calibri"/>
        </w:rPr>
      </w:pPr>
    </w:p>
    <w:p w:rsidR="003828EC" w:rsidRPr="00C81DA7" w:rsidRDefault="003828EC" w:rsidP="003828EC">
      <w:pPr>
        <w:pStyle w:val="BodyTextMain"/>
        <w:numPr>
          <w:ilvl w:val="0"/>
          <w:numId w:val="30"/>
        </w:numPr>
        <w:rPr>
          <w:rFonts w:eastAsia="Calibri"/>
        </w:rPr>
      </w:pPr>
      <w:r w:rsidRPr="00C81DA7">
        <w:rPr>
          <w:rFonts w:eastAsia="Calibri"/>
          <w:i/>
        </w:rPr>
        <w:t>Air Transport World</w:t>
      </w:r>
      <w:r w:rsidRPr="00C81DA7">
        <w:rPr>
          <w:rFonts w:eastAsia="Calibri"/>
        </w:rPr>
        <w:t xml:space="preserve"> ranked Transaero’s passenger traffic 27th in the world, placing it among Europe’s 10 largest airlines.</w:t>
      </w:r>
    </w:p>
    <w:p w:rsidR="003828EC" w:rsidRPr="00C81DA7" w:rsidRDefault="003828EC" w:rsidP="003828EC">
      <w:pPr>
        <w:pStyle w:val="BodyTextMain"/>
        <w:numPr>
          <w:ilvl w:val="0"/>
          <w:numId w:val="30"/>
        </w:numPr>
        <w:rPr>
          <w:rFonts w:eastAsia="Calibri"/>
        </w:rPr>
      </w:pPr>
      <w:r w:rsidRPr="00C81DA7">
        <w:rPr>
          <w:rFonts w:eastAsia="Calibri"/>
        </w:rPr>
        <w:t>The airline’s superior service for the 2014 Winter Olympics and 11th Paralympic Winter Games in Sochi earned it a Certificate of Merit from the Federal Air Transport Agency.</w:t>
      </w:r>
    </w:p>
    <w:p w:rsidR="003828EC" w:rsidRPr="00C81DA7" w:rsidRDefault="003828EC" w:rsidP="003828EC">
      <w:pPr>
        <w:pStyle w:val="BodyTextMain"/>
        <w:numPr>
          <w:ilvl w:val="0"/>
          <w:numId w:val="30"/>
        </w:numPr>
        <w:rPr>
          <w:rFonts w:eastAsia="Calibri"/>
        </w:rPr>
      </w:pPr>
      <w:r w:rsidRPr="00C81DA7">
        <w:rPr>
          <w:rFonts w:eastAsia="Calibri"/>
        </w:rPr>
        <w:t>Transaero’s policy of encouraging employees to become blood donors led to its receiving the Russian Souchastiye award for corporate involvement.</w:t>
      </w:r>
    </w:p>
    <w:p w:rsidR="003828EC" w:rsidRPr="00C81DA7" w:rsidRDefault="003828EC" w:rsidP="003828EC">
      <w:pPr>
        <w:pStyle w:val="BodyTextMain"/>
        <w:numPr>
          <w:ilvl w:val="0"/>
          <w:numId w:val="30"/>
        </w:numPr>
        <w:rPr>
          <w:rFonts w:eastAsia="Calibri"/>
        </w:rPr>
      </w:pPr>
      <w:r w:rsidRPr="00C81DA7">
        <w:rPr>
          <w:rFonts w:eastAsia="Calibri"/>
        </w:rPr>
        <w:t>A Flightfox</w:t>
      </w:r>
      <w:r w:rsidRPr="00447F33">
        <w:rPr>
          <w:rStyle w:val="FootnoteReference"/>
          <w:rFonts w:eastAsia="Calibri"/>
        </w:rPr>
        <w:footnoteReference w:id="11"/>
      </w:r>
      <w:r w:rsidRPr="00C81DA7">
        <w:rPr>
          <w:rFonts w:eastAsia="Calibri"/>
        </w:rPr>
        <w:t xml:space="preserve"> survey determined that Transaero’s Imperial </w:t>
      </w:r>
      <w:r>
        <w:rPr>
          <w:rFonts w:eastAsia="Calibri"/>
        </w:rPr>
        <w:t>C</w:t>
      </w:r>
      <w:r w:rsidRPr="00C81DA7">
        <w:rPr>
          <w:rFonts w:eastAsia="Calibri"/>
        </w:rPr>
        <w:t>lass was among the world’s top 20 first-class cabins.</w:t>
      </w:r>
    </w:p>
    <w:p w:rsidR="003828EC" w:rsidRPr="00C81DA7" w:rsidRDefault="003828EC" w:rsidP="003828EC">
      <w:pPr>
        <w:pStyle w:val="BodyTextMain"/>
        <w:rPr>
          <w:rFonts w:eastAsia="Calibri"/>
        </w:rPr>
      </w:pPr>
    </w:p>
    <w:p w:rsidR="003828EC" w:rsidRPr="004F25F7" w:rsidRDefault="003828EC" w:rsidP="003828EC">
      <w:pPr>
        <w:pStyle w:val="BodyTextMain"/>
        <w:rPr>
          <w:rFonts w:eastAsia="Calibri"/>
          <w:spacing w:val="-4"/>
          <w:kern w:val="22"/>
        </w:rPr>
      </w:pPr>
      <w:r w:rsidRPr="004F25F7">
        <w:rPr>
          <w:rFonts w:eastAsia="Calibri"/>
          <w:spacing w:val="-4"/>
          <w:kern w:val="22"/>
        </w:rPr>
        <w:t>The situation changed for Transaero in the second half of 2014, making it a very difficult year for Transaero. In the company’s 2014 annual report, Aleksandr stated, “When adopting a new five-year strategy called ‘Balanced Growth, Focus and Efficiency’ in October 2013, the Board of Directors predicted a worsening in the operating environment, especially in market, financial, and economic conditions. However, the reality, which can be accurately described by the well-known term ‘a perfect storm,’ turned out to be much more difficult.”</w:t>
      </w:r>
      <w:r w:rsidRPr="004F25F7">
        <w:rPr>
          <w:rStyle w:val="FootnoteReference"/>
          <w:rFonts w:eastAsia="Calibri"/>
          <w:spacing w:val="-4"/>
          <w:kern w:val="22"/>
        </w:rPr>
        <w:footnoteReference w:id="12"/>
      </w:r>
    </w:p>
    <w:p w:rsidR="003828EC" w:rsidRPr="004F25F7" w:rsidRDefault="003828EC" w:rsidP="003828EC">
      <w:pPr>
        <w:pStyle w:val="BodyTextMain"/>
        <w:rPr>
          <w:rFonts w:eastAsia="Calibri"/>
          <w:sz w:val="18"/>
          <w:szCs w:val="18"/>
        </w:rPr>
      </w:pPr>
    </w:p>
    <w:p w:rsidR="003828EC" w:rsidRPr="004F25F7" w:rsidRDefault="003828EC" w:rsidP="003828EC">
      <w:pPr>
        <w:pStyle w:val="BodyTextMain"/>
        <w:rPr>
          <w:rFonts w:eastAsia="Calibri"/>
          <w:spacing w:val="-4"/>
          <w:kern w:val="22"/>
        </w:rPr>
      </w:pPr>
      <w:r w:rsidRPr="004F25F7">
        <w:rPr>
          <w:rFonts w:eastAsia="Calibri"/>
          <w:spacing w:val="-4"/>
          <w:kern w:val="22"/>
        </w:rPr>
        <w:t>Transaero’s 2014 financial statement data (see Exhibit 1), under</w:t>
      </w:r>
      <w:r w:rsidRPr="004F25F7">
        <w:rPr>
          <w:rFonts w:ascii="Calibri" w:eastAsia="Calibri" w:hAnsi="Calibri"/>
          <w:spacing w:val="-4"/>
          <w:kern w:val="22"/>
        </w:rPr>
        <w:t xml:space="preserve"> </w:t>
      </w:r>
      <w:r w:rsidRPr="004F25F7">
        <w:rPr>
          <w:rFonts w:eastAsia="Calibri"/>
          <w:spacing w:val="-4"/>
          <w:kern w:val="22"/>
        </w:rPr>
        <w:t>IFRS, was influenced by three negative economic factors: (1) the acceleration in Transaero’s debt repayments at the time (when interest rates were rising), and banks responding to international sanctions by limiting their lending; (2) a decline in international travel due to a sharp decline in the value of the Russian ruble and aggravated by an increase in oil prices</w:t>
      </w:r>
      <w:r>
        <w:rPr>
          <w:rFonts w:eastAsia="Calibri"/>
          <w:spacing w:val="-4"/>
          <w:kern w:val="22"/>
        </w:rPr>
        <w:t>, prompted</w:t>
      </w:r>
      <w:r w:rsidRPr="004F25F7">
        <w:rPr>
          <w:rFonts w:eastAsia="Calibri"/>
          <w:spacing w:val="-4"/>
          <w:kern w:val="22"/>
        </w:rPr>
        <w:t xml:space="preserve"> the need for the company to reduce prices and lower capacity expectations; and (3) restrictions imposed against flying over Ukraine, leading to a significant increase in the company’s operating expenses</w:t>
      </w:r>
      <w:r>
        <w:rPr>
          <w:rFonts w:eastAsia="Calibri"/>
          <w:spacing w:val="-4"/>
          <w:kern w:val="22"/>
        </w:rPr>
        <w:t>.</w:t>
      </w:r>
      <w:r>
        <w:rPr>
          <w:rStyle w:val="FootnoteReference"/>
          <w:rFonts w:eastAsia="Calibri"/>
          <w:spacing w:val="-4"/>
          <w:kern w:val="22"/>
        </w:rPr>
        <w:footnoteReference w:id="13"/>
      </w:r>
      <w:r w:rsidRPr="004F25F7" w:rsidDel="00DA00F7">
        <w:rPr>
          <w:rFonts w:eastAsia="Calibri"/>
          <w:spacing w:val="-4"/>
          <w:kern w:val="22"/>
        </w:rPr>
        <w:t xml:space="preserve"> </w:t>
      </w:r>
    </w:p>
    <w:p w:rsidR="003828EC" w:rsidRPr="004F25F7" w:rsidRDefault="003828EC" w:rsidP="003828EC">
      <w:pPr>
        <w:pStyle w:val="BodyTextMain"/>
        <w:rPr>
          <w:rFonts w:eastAsia="Calibri"/>
          <w:sz w:val="18"/>
          <w:szCs w:val="18"/>
        </w:rPr>
      </w:pPr>
    </w:p>
    <w:p w:rsidR="003828EC" w:rsidRPr="00DA00F7" w:rsidRDefault="003828EC" w:rsidP="003828EC">
      <w:pPr>
        <w:pStyle w:val="BodyTextMain"/>
        <w:rPr>
          <w:rFonts w:eastAsia="Calibri"/>
          <w:spacing w:val="-2"/>
          <w:kern w:val="22"/>
        </w:rPr>
      </w:pPr>
      <w:r w:rsidRPr="00DA00F7">
        <w:rPr>
          <w:rFonts w:eastAsia="Calibri"/>
          <w:spacing w:val="-2"/>
          <w:kern w:val="22"/>
        </w:rPr>
        <w:t>Between July and December 2014, Transaero repaid RUB9 billion.</w:t>
      </w:r>
      <w:r w:rsidRPr="00DA00F7">
        <w:rPr>
          <w:rStyle w:val="FootnoteReference"/>
          <w:rFonts w:eastAsia="Calibri"/>
          <w:spacing w:val="-2"/>
          <w:kern w:val="22"/>
        </w:rPr>
        <w:footnoteReference w:id="14"/>
      </w:r>
      <w:r w:rsidRPr="00DA00F7">
        <w:rPr>
          <w:rFonts w:eastAsia="Calibri"/>
          <w:spacing w:val="-2"/>
          <w:kern w:val="22"/>
        </w:rPr>
        <w:t xml:space="preserve"> Then, banks began restricting lending, and the company was unable to obtain normal refinancing of its commercial loans. It applied for, and was granted, a state guarantee from the government of the Russian Federation for a RUB9 billion credit facility from VTB Bank, a global provider of financial services. This guarantee helped Transaero retain some financial stability despite the collapse of the ruble and the high volatility of domestic sales in Russia.</w:t>
      </w:r>
      <w:r w:rsidRPr="00DA00F7">
        <w:rPr>
          <w:rStyle w:val="FootnoteReference"/>
          <w:rFonts w:eastAsia="Calibri"/>
          <w:spacing w:val="-2"/>
          <w:kern w:val="22"/>
        </w:rPr>
        <w:footnoteReference w:id="15"/>
      </w:r>
    </w:p>
    <w:p w:rsidR="003828EC" w:rsidRPr="004F25F7" w:rsidRDefault="003828EC" w:rsidP="003828EC">
      <w:pPr>
        <w:pStyle w:val="BodyTextMain"/>
        <w:rPr>
          <w:rFonts w:eastAsia="Calibri"/>
          <w:sz w:val="18"/>
          <w:szCs w:val="18"/>
        </w:rPr>
      </w:pPr>
    </w:p>
    <w:p w:rsidR="003828EC" w:rsidRPr="00C81DA7" w:rsidRDefault="003828EC" w:rsidP="003828EC">
      <w:pPr>
        <w:pStyle w:val="BodyTextMain"/>
        <w:rPr>
          <w:rFonts w:eastAsia="Calibri"/>
        </w:rPr>
      </w:pPr>
      <w:r w:rsidRPr="00C81DA7">
        <w:rPr>
          <w:rFonts w:eastAsia="Calibri"/>
        </w:rPr>
        <w:t>The company continued with its established focus on social air transportation, children’s health care programs, and corporate volunteering. The new credit guarantee allowed Transaero to add two additional social responsibilities: avoiding employee job loss and maintaining affordable domestic flights by freezing fares within Russia. Competitors viewed the latter action as “dumping.”</w:t>
      </w:r>
      <w:r>
        <w:rPr>
          <w:rStyle w:val="FootnoteReference"/>
          <w:rFonts w:eastAsia="Calibri"/>
        </w:rPr>
        <w:footnoteReference w:id="16"/>
      </w:r>
      <w:r w:rsidRPr="00C81DA7">
        <w:rPr>
          <w:rFonts w:eastAsia="Calibri"/>
        </w:rPr>
        <w:t xml:space="preserve"> </w:t>
      </w:r>
    </w:p>
    <w:p w:rsidR="003828EC" w:rsidRPr="004F25F7" w:rsidRDefault="003828EC" w:rsidP="003828EC">
      <w:pPr>
        <w:pStyle w:val="BodyTextMain"/>
        <w:rPr>
          <w:rFonts w:eastAsia="Calibri"/>
          <w:sz w:val="18"/>
          <w:szCs w:val="18"/>
        </w:rPr>
      </w:pPr>
    </w:p>
    <w:p w:rsidR="003828EC" w:rsidRPr="00C81DA7" w:rsidRDefault="003828EC" w:rsidP="003828EC">
      <w:pPr>
        <w:pStyle w:val="BodyTextMain"/>
        <w:rPr>
          <w:rFonts w:eastAsia="Calibri"/>
        </w:rPr>
      </w:pPr>
      <w:r w:rsidRPr="00C81DA7">
        <w:rPr>
          <w:rFonts w:eastAsia="Calibri"/>
        </w:rPr>
        <w:lastRenderedPageBreak/>
        <w:t>In 2015, customers began to purchase more tickets in advance, which resulted in an increase in unearned revenue.</w:t>
      </w:r>
      <w:r>
        <w:rPr>
          <w:rStyle w:val="FootnoteReference"/>
          <w:rFonts w:eastAsia="Calibri"/>
        </w:rPr>
        <w:footnoteReference w:id="17"/>
      </w:r>
      <w:r w:rsidRPr="00C81DA7">
        <w:rPr>
          <w:rFonts w:eastAsia="Calibri"/>
        </w:rPr>
        <w:t xml:space="preserve"> Feldman saw the unearned revenue from payments for future flights as a positive sign for Transaero. Also in 2015, Transaero was ranked among the top 20 safest airlines in the world according to JACDEC’s</w:t>
      </w:r>
      <w:r w:rsidRPr="00447F33">
        <w:rPr>
          <w:rStyle w:val="FootnoteReference"/>
          <w:rFonts w:eastAsia="Calibri"/>
        </w:rPr>
        <w:footnoteReference w:id="18"/>
      </w:r>
      <w:r w:rsidRPr="00C81DA7">
        <w:rPr>
          <w:rFonts w:eastAsia="Calibri"/>
        </w:rPr>
        <w:t xml:space="preserve"> </w:t>
      </w:r>
      <w:r>
        <w:rPr>
          <w:rFonts w:eastAsia="Calibri"/>
        </w:rPr>
        <w:t>a</w:t>
      </w:r>
      <w:r w:rsidRPr="00C81DA7">
        <w:rPr>
          <w:rFonts w:eastAsia="Calibri"/>
        </w:rPr>
        <w:t xml:space="preserve">irline </w:t>
      </w:r>
      <w:r>
        <w:rPr>
          <w:rFonts w:eastAsia="Calibri"/>
        </w:rPr>
        <w:t>s</w:t>
      </w:r>
      <w:r w:rsidRPr="00C81DA7">
        <w:rPr>
          <w:rFonts w:eastAsia="Calibri"/>
        </w:rPr>
        <w:t xml:space="preserve">afety </w:t>
      </w:r>
      <w:r>
        <w:rPr>
          <w:rFonts w:eastAsia="Calibri"/>
        </w:rPr>
        <w:t>r</w:t>
      </w:r>
      <w:r w:rsidRPr="00C81DA7">
        <w:rPr>
          <w:rFonts w:eastAsia="Calibri"/>
        </w:rPr>
        <w:t>anking for that year.</w:t>
      </w:r>
      <w:r w:rsidRPr="00447F33">
        <w:rPr>
          <w:rStyle w:val="FootnoteReference"/>
          <w:rFonts w:eastAsia="Calibri"/>
        </w:rPr>
        <w:footnoteReference w:id="19"/>
      </w:r>
    </w:p>
    <w:p w:rsidR="003828EC" w:rsidRPr="00DA00F7" w:rsidRDefault="003828EC" w:rsidP="003828EC">
      <w:pPr>
        <w:pStyle w:val="BodyTextMain"/>
        <w:rPr>
          <w:rFonts w:eastAsia="Calibri"/>
          <w:sz w:val="18"/>
          <w:szCs w:val="18"/>
        </w:rPr>
      </w:pPr>
    </w:p>
    <w:p w:rsidR="003828EC" w:rsidRDefault="003828EC" w:rsidP="003828EC">
      <w:pPr>
        <w:pStyle w:val="BodyTextMain"/>
        <w:rPr>
          <w:rFonts w:eastAsia="Calibri"/>
        </w:rPr>
      </w:pPr>
      <w:r w:rsidRPr="00C81DA7">
        <w:rPr>
          <w:rFonts w:eastAsia="Calibri"/>
        </w:rPr>
        <w:t>However, the weakening ruble at that time caused a significant increase in financing costs related to foreign currency loans</w:t>
      </w:r>
      <w:r>
        <w:rPr>
          <w:rFonts w:eastAsia="Calibri"/>
        </w:rPr>
        <w:t xml:space="preserve"> </w:t>
      </w:r>
      <w:r w:rsidRPr="00C81DA7">
        <w:rPr>
          <w:rFonts w:eastAsia="Calibri"/>
        </w:rPr>
        <w:t>(see Exhibit 3). Sanctions led to Russian bank losses and limited banks’ access to international capital markets. Transaero saw a significant shortening of the average loan maturity period, along with increased borrowing costs.</w:t>
      </w:r>
      <w:r>
        <w:rPr>
          <w:rStyle w:val="FootnoteReference"/>
          <w:rFonts w:eastAsia="Calibri"/>
        </w:rPr>
        <w:footnoteReference w:id="20"/>
      </w:r>
    </w:p>
    <w:p w:rsidR="003828EC" w:rsidRPr="00DA00F7" w:rsidRDefault="003828EC" w:rsidP="003828EC">
      <w:pPr>
        <w:pStyle w:val="BodyTextMain"/>
        <w:rPr>
          <w:rFonts w:eastAsia="Calibri"/>
          <w:sz w:val="18"/>
          <w:szCs w:val="18"/>
        </w:rPr>
      </w:pPr>
    </w:p>
    <w:p w:rsidR="003828EC" w:rsidRPr="00C81DA7" w:rsidRDefault="003828EC" w:rsidP="003828EC">
      <w:pPr>
        <w:pStyle w:val="BodyTextMain"/>
        <w:rPr>
          <w:rFonts w:eastAsia="Calibri"/>
        </w:rPr>
      </w:pPr>
      <w:r w:rsidRPr="00C81DA7">
        <w:rPr>
          <w:rFonts w:eastAsia="Calibri"/>
        </w:rPr>
        <w:t>In response to these challenges, Transaero maintained its focus on reducing general operating expenses and costs related to fleet repairs and modifications. Attempts were made to optimize flight schedules. The company achieved a 4</w:t>
      </w:r>
      <w:r>
        <w:rPr>
          <w:rFonts w:eastAsia="Calibri"/>
        </w:rPr>
        <w:t xml:space="preserve"> </w:t>
      </w:r>
      <w:r w:rsidRPr="00C81DA7">
        <w:rPr>
          <w:rFonts w:eastAsia="Calibri"/>
        </w:rPr>
        <w:t>per</w:t>
      </w:r>
      <w:r>
        <w:rPr>
          <w:rFonts w:eastAsia="Calibri"/>
        </w:rPr>
        <w:t xml:space="preserve"> </w:t>
      </w:r>
      <w:r w:rsidRPr="00C81DA7">
        <w:rPr>
          <w:rFonts w:eastAsia="Calibri"/>
        </w:rPr>
        <w:t xml:space="preserve">cent increase in customer volume in its unique Imperial </w:t>
      </w:r>
      <w:r>
        <w:rPr>
          <w:rFonts w:eastAsia="Calibri"/>
        </w:rPr>
        <w:t>C</w:t>
      </w:r>
      <w:r w:rsidRPr="00C81DA7">
        <w:rPr>
          <w:rFonts w:eastAsia="Calibri"/>
        </w:rPr>
        <w:t>lass and its business class. It completed modifications to its Boeing 747s, and a program to increase the seating capacity of its Boeing 767s was extended into 2015 to complete the last three planes. The company made significant improvements to its customer relationship management system and to its website to increase web sales. Global management consultants McKinsey &amp; Company CIS assisted with the development and adoption of “Better and Cheaper” as a business improvement program for 2015. Transaero was also making preparations for the delivery of Airbus A321 aircraft, while delivery schedules were postponed for new Airbus A380 and Boeing 747-8 aircraft.</w:t>
      </w:r>
      <w:r>
        <w:rPr>
          <w:rStyle w:val="FootnoteReference"/>
          <w:rFonts w:eastAsia="Calibri"/>
        </w:rPr>
        <w:footnoteReference w:id="21"/>
      </w:r>
    </w:p>
    <w:p w:rsidR="003828EC" w:rsidRPr="00DA00F7" w:rsidRDefault="003828EC" w:rsidP="003828EC">
      <w:pPr>
        <w:pStyle w:val="BodyTextMain"/>
        <w:rPr>
          <w:rFonts w:eastAsia="Calibri"/>
          <w:b/>
          <w:sz w:val="18"/>
          <w:szCs w:val="18"/>
        </w:rPr>
      </w:pPr>
    </w:p>
    <w:p w:rsidR="003828EC" w:rsidRPr="00C81DA7" w:rsidRDefault="003828EC" w:rsidP="003828EC">
      <w:pPr>
        <w:pStyle w:val="BodyTextMain"/>
        <w:rPr>
          <w:rFonts w:eastAsia="Calibri"/>
        </w:rPr>
      </w:pPr>
      <w:r w:rsidRPr="00C81DA7">
        <w:rPr>
          <w:rFonts w:eastAsia="Calibri"/>
        </w:rPr>
        <w:t>As Feldman conducted his analysis, he realized that despite the losses and challenges, Transaero had tried to survive. In 2014, the company achieved an increase both in number of passengers carried and in revenue, while total operating costs per flight decreased by 10.3 per cent. During 2011–2013, while the fleet was increasing every year and new routes were opening, Transaero’s seat occupancy rate was above 82 per cent, which was higher than PJSC Aeroflot Russian Airlines’ (Aeroflot’s) (77–79 per cent) and the rate for the industry as a whole (78–80 per cent). In 2014, load management at Transaero was equally efficient, with the load factor remaining at 84</w:t>
      </w:r>
      <w:r>
        <w:rPr>
          <w:rFonts w:eastAsia="Calibri"/>
        </w:rPr>
        <w:t xml:space="preserve"> </w:t>
      </w:r>
      <w:r w:rsidRPr="00C81DA7">
        <w:rPr>
          <w:rFonts w:eastAsia="Calibri"/>
        </w:rPr>
        <w:t>per</w:t>
      </w:r>
      <w:r>
        <w:rPr>
          <w:rFonts w:eastAsia="Calibri"/>
        </w:rPr>
        <w:t xml:space="preserve"> </w:t>
      </w:r>
      <w:r w:rsidRPr="00C81DA7">
        <w:rPr>
          <w:rFonts w:eastAsia="Calibri"/>
        </w:rPr>
        <w:t>cent.</w:t>
      </w:r>
      <w:r w:rsidRPr="00447F33">
        <w:rPr>
          <w:rStyle w:val="FootnoteReference"/>
          <w:rFonts w:eastAsia="Calibri"/>
        </w:rPr>
        <w:footnoteReference w:id="22"/>
      </w:r>
    </w:p>
    <w:p w:rsidR="003828EC" w:rsidRPr="00DA00F7" w:rsidRDefault="003828EC" w:rsidP="003828EC">
      <w:pPr>
        <w:pStyle w:val="BodyTextMain"/>
        <w:rPr>
          <w:rFonts w:eastAsia="Calibri"/>
          <w:sz w:val="18"/>
          <w:szCs w:val="18"/>
        </w:rPr>
      </w:pPr>
    </w:p>
    <w:p w:rsidR="003828EC" w:rsidRPr="00DA00F7" w:rsidRDefault="003828EC" w:rsidP="003828EC">
      <w:pPr>
        <w:pStyle w:val="BodyTextMain"/>
        <w:rPr>
          <w:rFonts w:eastAsia="Calibri"/>
          <w:b/>
          <w:spacing w:val="-2"/>
          <w:kern w:val="22"/>
        </w:rPr>
      </w:pPr>
      <w:r w:rsidRPr="00DA00F7">
        <w:rPr>
          <w:rFonts w:eastAsia="Calibri"/>
          <w:spacing w:val="-2"/>
          <w:kern w:val="22"/>
        </w:rPr>
        <w:t>A serious problem emerged from Feldman’s analysis of Transaero’s statements: incorrect financial reporting data according to RAS. Also, the largest part of intangible assets—Transaero’s brand—was recognized in the financial statements under IFRS.  However, the auditors noted in the auditor’s report in 2014 that they did not receive enough audit evidence that the 2014 financial report information complied with the requirements of International Accounting Standard 38, Intangible Assets.</w:t>
      </w:r>
      <w:r w:rsidRPr="00DA00F7">
        <w:rPr>
          <w:rStyle w:val="FootnoteReference"/>
          <w:rFonts w:eastAsia="Calibri"/>
          <w:spacing w:val="-2"/>
          <w:kern w:val="22"/>
        </w:rPr>
        <w:footnoteReference w:id="23"/>
      </w:r>
      <w:r w:rsidRPr="00DA00F7">
        <w:rPr>
          <w:rFonts w:eastAsia="Calibri"/>
          <w:spacing w:val="-2"/>
          <w:kern w:val="22"/>
        </w:rPr>
        <w:t xml:space="preserve"> Transaero fixed this error only in its half-year financial report of 2015.</w:t>
      </w:r>
      <w:r w:rsidRPr="00DA00F7" w:rsidDel="00C52530">
        <w:rPr>
          <w:rStyle w:val="FootnoteReference"/>
          <w:rFonts w:eastAsia="Calibri"/>
          <w:spacing w:val="-2"/>
          <w:kern w:val="22"/>
        </w:rPr>
        <w:t xml:space="preserve"> </w:t>
      </w:r>
      <w:r w:rsidRPr="00DA00F7">
        <w:rPr>
          <w:rFonts w:eastAsia="Calibri"/>
          <w:spacing w:val="-2"/>
          <w:kern w:val="22"/>
        </w:rPr>
        <w:t xml:space="preserve"> The error created a very large but short-term bump in 2014 for the intangibles account. It also affected the dynamics of the deferred tax account on the balance sheet, causing a deferred tax liability in 2014 and a deferred tax asset in 2015.</w:t>
      </w:r>
      <w:r w:rsidRPr="00DA00F7">
        <w:rPr>
          <w:rStyle w:val="FootnoteReference"/>
          <w:rFonts w:eastAsia="Calibri"/>
          <w:spacing w:val="-2"/>
          <w:kern w:val="22"/>
        </w:rPr>
        <w:footnoteReference w:id="24"/>
      </w:r>
      <w:r w:rsidRPr="00DA00F7">
        <w:rPr>
          <w:rFonts w:eastAsia="Calibri"/>
          <w:spacing w:val="-2"/>
          <w:kern w:val="22"/>
        </w:rPr>
        <w:t xml:space="preserve"> Feldman wondered if Transaero had deliberately manipulated its earlier financial reporting data to obtain loans and state guarantees.</w:t>
      </w:r>
    </w:p>
    <w:p w:rsidR="003828EC" w:rsidRPr="00DA00F7" w:rsidRDefault="003828EC" w:rsidP="003828EC">
      <w:pPr>
        <w:pStyle w:val="BodyTextMain"/>
      </w:pPr>
      <w:r w:rsidRPr="00C81DA7">
        <w:rPr>
          <w:bCs/>
          <w:color w:val="000000"/>
          <w:lang w:eastAsia="en-CA"/>
        </w:rPr>
        <w:lastRenderedPageBreak/>
        <w:t xml:space="preserve">Feldman examined the Russian airline industry’s data provided in Transaero’s </w:t>
      </w:r>
      <w:r>
        <w:rPr>
          <w:bCs/>
          <w:color w:val="000000"/>
          <w:lang w:eastAsia="en-CA"/>
        </w:rPr>
        <w:t>2014 a</w:t>
      </w:r>
      <w:r w:rsidRPr="00427BFF">
        <w:rPr>
          <w:bCs/>
          <w:color w:val="000000"/>
          <w:lang w:eastAsia="en-CA"/>
        </w:rPr>
        <w:t xml:space="preserve">nnual </w:t>
      </w:r>
      <w:r>
        <w:rPr>
          <w:bCs/>
          <w:color w:val="000000"/>
          <w:lang w:eastAsia="en-CA"/>
        </w:rPr>
        <w:t>r</w:t>
      </w:r>
      <w:r w:rsidRPr="00427BFF">
        <w:rPr>
          <w:bCs/>
          <w:color w:val="000000"/>
          <w:lang w:eastAsia="en-CA"/>
        </w:rPr>
        <w:t>eport</w:t>
      </w:r>
      <w:r w:rsidRPr="00C81DA7">
        <w:rPr>
          <w:bCs/>
          <w:color w:val="000000"/>
          <w:lang w:eastAsia="en-CA"/>
        </w:rPr>
        <w:t>. Russia’s largest airlines, including Transaero, Aeroflot, OJSC S7 Airlines, and JSC UTair Aviation, accounted for 65 per cent of total passenger traffic, an increase from 53 per cent in 2010. Aeroflot (25 per cent in 2014) was Transaero’s most important competitor (14 per cent in 2014).</w:t>
      </w:r>
      <w:r>
        <w:rPr>
          <w:rStyle w:val="FootnoteReference"/>
          <w:bCs/>
          <w:lang w:eastAsia="en-CA"/>
        </w:rPr>
        <w:footnoteReference w:id="25"/>
      </w:r>
      <w:r w:rsidRPr="00C81DA7">
        <w:rPr>
          <w:bCs/>
          <w:color w:val="000000"/>
          <w:lang w:eastAsia="en-CA"/>
        </w:rPr>
        <w:t xml:space="preserve"> Aeroflot was founded in 1923 and was one of the oldest airlines in the world.</w:t>
      </w:r>
      <w:r>
        <w:rPr>
          <w:rStyle w:val="FootnoteReference"/>
          <w:bCs/>
          <w:lang w:eastAsia="en-CA"/>
        </w:rPr>
        <w:footnoteReference w:id="26"/>
      </w:r>
      <w:r w:rsidRPr="00C81DA7">
        <w:rPr>
          <w:bCs/>
          <w:color w:val="000000"/>
          <w:lang w:eastAsia="en-CA"/>
        </w:rPr>
        <w:t xml:space="preserve"> For many years, it was the only airline company in the Soviet Union. After the fall of the Soviet Union, Aeroflot became a public company, with the Russian government owning 51 per cent.</w:t>
      </w:r>
      <w:r>
        <w:rPr>
          <w:rStyle w:val="FootnoteReference"/>
          <w:bCs/>
          <w:lang w:eastAsia="en-CA"/>
        </w:rPr>
        <w:footnoteReference w:id="27"/>
      </w:r>
      <w:r w:rsidRPr="00C81DA7">
        <w:rPr>
          <w:bCs/>
          <w:color w:val="000000"/>
          <w:lang w:eastAsia="en-CA"/>
        </w:rPr>
        <w:t xml:space="preserve"> Feldman compared data from Transaero’s financial reports with Aeroflot’s information, and noticed that Aeroflot’s financial position and financial results were much stronger than Transaero’s were. Part of Aeroflot’s revenue included royalties that foreign airlines had paid for flying through Russian airspace. Feldman was surprised to see these royalties in Aeroflot’s financial reports because they were supposed to be paid to the Russian government. He discovered that Aeroflot had historically received royalty payments from the Soviet Union.</w:t>
      </w:r>
      <w:r>
        <w:rPr>
          <w:rStyle w:val="FootnoteReference"/>
          <w:bCs/>
          <w:lang w:eastAsia="en-CA"/>
        </w:rPr>
        <w:footnoteReference w:id="28"/>
      </w:r>
      <w:r w:rsidRPr="00C81DA7">
        <w:rPr>
          <w:bCs/>
          <w:color w:val="000000"/>
          <w:lang w:eastAsia="en-CA"/>
        </w:rPr>
        <w:t xml:space="preserve"> In the </w:t>
      </w:r>
      <w:r w:rsidRPr="00DA00F7">
        <w:t xml:space="preserve">Soviet Union, Aeroflot had been a monopolist; it had been the only Russian carrier before becoming a public company. Feldman asked himself, were Aeroflot’s royalties the main reason for its stronger financial results? He wondered if Aeroflot could have played a role in Transaero’s problems. </w:t>
      </w:r>
    </w:p>
    <w:p w:rsidR="003828EC" w:rsidRPr="004F25F7" w:rsidRDefault="003828EC" w:rsidP="003828EC">
      <w:pPr>
        <w:pStyle w:val="BodyTextMain"/>
        <w:rPr>
          <w:bCs/>
          <w:color w:val="000000"/>
          <w:sz w:val="18"/>
          <w:szCs w:val="18"/>
          <w:lang w:eastAsia="en-CA"/>
        </w:rPr>
      </w:pPr>
    </w:p>
    <w:p w:rsidR="003828EC" w:rsidRPr="00C81DA7" w:rsidRDefault="003828EC" w:rsidP="003828EC">
      <w:pPr>
        <w:pStyle w:val="BodyTextMain"/>
        <w:rPr>
          <w:rFonts w:eastAsia="Calibri"/>
        </w:rPr>
      </w:pPr>
      <w:r w:rsidRPr="00C81DA7">
        <w:rPr>
          <w:rFonts w:eastAsia="Calibri"/>
        </w:rPr>
        <w:t>The second half of 2015 brought some new and interesting events</w:t>
      </w:r>
      <w:r>
        <w:rPr>
          <w:rFonts w:eastAsia="Calibri"/>
        </w:rPr>
        <w:t xml:space="preserve"> to Transaero</w:t>
      </w:r>
      <w:r w:rsidRPr="00C81DA7">
        <w:rPr>
          <w:rFonts w:eastAsia="Calibri"/>
        </w:rPr>
        <w:t xml:space="preserve">: on August 31, </w:t>
      </w:r>
      <w:r>
        <w:rPr>
          <w:rFonts w:eastAsia="Calibri"/>
        </w:rPr>
        <w:t>Aleksandr</w:t>
      </w:r>
      <w:r w:rsidRPr="00C81DA7">
        <w:rPr>
          <w:rFonts w:eastAsia="Calibri"/>
        </w:rPr>
        <w:t xml:space="preserve">, </w:t>
      </w:r>
      <w:r>
        <w:rPr>
          <w:rFonts w:eastAsia="Calibri"/>
        </w:rPr>
        <w:t>Olga</w:t>
      </w:r>
      <w:r w:rsidRPr="00C81DA7">
        <w:rPr>
          <w:rFonts w:eastAsia="Calibri"/>
        </w:rPr>
        <w:t>, and Anodina all resigned.</w:t>
      </w:r>
      <w:r>
        <w:rPr>
          <w:rStyle w:val="FootnoteReference"/>
          <w:rFonts w:eastAsia="Calibri"/>
        </w:rPr>
        <w:footnoteReference w:id="29"/>
      </w:r>
      <w:r w:rsidRPr="00C81DA7">
        <w:rPr>
          <w:rFonts w:eastAsia="Calibri"/>
        </w:rPr>
        <w:t xml:space="preserve"> On September 1, Aeroflot attempted to acquire a controlling stake in Transaero for the symbolic price of RUB1.</w:t>
      </w:r>
      <w:r w:rsidRPr="00447F33">
        <w:rPr>
          <w:rStyle w:val="FootnoteReference"/>
          <w:rFonts w:eastAsia="Calibri"/>
        </w:rPr>
        <w:footnoteReference w:id="30"/>
      </w:r>
      <w:r w:rsidRPr="00C81DA7">
        <w:rPr>
          <w:rFonts w:eastAsia="Calibri"/>
        </w:rPr>
        <w:t xml:space="preserve"> And on September 7, Aeroflot’s executive director, Dmitry Saprykin, was appointed CEO of Transaero.</w:t>
      </w:r>
      <w:r>
        <w:rPr>
          <w:rStyle w:val="FootnoteReference"/>
          <w:rFonts w:eastAsia="Calibri"/>
        </w:rPr>
        <w:footnoteReference w:id="31"/>
      </w:r>
    </w:p>
    <w:p w:rsidR="003828EC" w:rsidRPr="004F25F7" w:rsidRDefault="003828EC" w:rsidP="003828EC">
      <w:pPr>
        <w:pStyle w:val="BodyTextMain"/>
        <w:rPr>
          <w:rFonts w:eastAsia="Calibri"/>
          <w:sz w:val="18"/>
          <w:szCs w:val="18"/>
        </w:rPr>
      </w:pPr>
    </w:p>
    <w:p w:rsidR="003828EC" w:rsidRPr="00C81DA7" w:rsidRDefault="003828EC" w:rsidP="003828EC">
      <w:pPr>
        <w:pStyle w:val="BodyTextMain"/>
        <w:rPr>
          <w:rFonts w:eastAsia="Calibri"/>
        </w:rPr>
      </w:pPr>
      <w:r w:rsidRPr="00C81DA7">
        <w:rPr>
          <w:rFonts w:eastAsia="Calibri"/>
        </w:rPr>
        <w:t>Feldman looked through relevant online data and saw that Transaero’s most important debtholder was planning to ask the commercial court to initiate bankruptcy proceedings against the company. Moreover, top management of the third-largest Russian airline company, PJSC S7 Airlines, was interested in purchasing 51 per cent of Transaero’s shares.</w:t>
      </w:r>
      <w:r>
        <w:rPr>
          <w:rStyle w:val="FootnoteReference"/>
          <w:rFonts w:eastAsia="Calibri"/>
        </w:rPr>
        <w:footnoteReference w:id="32"/>
      </w:r>
    </w:p>
    <w:p w:rsidR="003828EC" w:rsidRPr="004F25F7" w:rsidRDefault="003828EC" w:rsidP="003828EC">
      <w:pPr>
        <w:pStyle w:val="BodyTextMain"/>
        <w:rPr>
          <w:rFonts w:eastAsia="Calibri"/>
          <w:sz w:val="18"/>
          <w:szCs w:val="18"/>
        </w:rPr>
      </w:pPr>
    </w:p>
    <w:p w:rsidR="003828EC" w:rsidRPr="004F25F7" w:rsidRDefault="003828EC" w:rsidP="003828EC">
      <w:pPr>
        <w:pStyle w:val="BodyTextMain"/>
        <w:rPr>
          <w:rFonts w:eastAsia="Calibri"/>
          <w:sz w:val="18"/>
          <w:szCs w:val="18"/>
        </w:rPr>
      </w:pPr>
    </w:p>
    <w:p w:rsidR="003828EC" w:rsidRPr="00C81DA7" w:rsidRDefault="003828EC" w:rsidP="003828EC">
      <w:pPr>
        <w:pStyle w:val="Casehead1"/>
        <w:outlineLvl w:val="0"/>
        <w:rPr>
          <w:lang w:eastAsia="ru-RU"/>
        </w:rPr>
      </w:pPr>
      <w:r w:rsidRPr="00C81DA7">
        <w:rPr>
          <w:lang w:eastAsia="ru-RU"/>
        </w:rPr>
        <w:t>OTHER AIRLINEs IN TROUBLE</w:t>
      </w:r>
    </w:p>
    <w:p w:rsidR="003828EC" w:rsidRPr="004F25F7" w:rsidRDefault="003828EC" w:rsidP="003828EC">
      <w:pPr>
        <w:pStyle w:val="BodyTextMain"/>
        <w:rPr>
          <w:sz w:val="18"/>
          <w:szCs w:val="18"/>
          <w:lang w:eastAsia="ru-RU"/>
        </w:rPr>
      </w:pPr>
    </w:p>
    <w:p w:rsidR="003828EC" w:rsidRPr="00C81DA7" w:rsidRDefault="003828EC" w:rsidP="003828EC">
      <w:pPr>
        <w:pStyle w:val="Casehead2"/>
        <w:outlineLvl w:val="0"/>
        <w:rPr>
          <w:rFonts w:eastAsia="Calibri"/>
        </w:rPr>
      </w:pPr>
      <w:r w:rsidRPr="00C81DA7">
        <w:rPr>
          <w:rFonts w:eastAsia="Calibri"/>
        </w:rPr>
        <w:t>The Demise of Pan Am</w:t>
      </w:r>
      <w:r w:rsidRPr="00447F33">
        <w:rPr>
          <w:rStyle w:val="FootnoteReference"/>
          <w:rFonts w:eastAsia="Calibri"/>
        </w:rPr>
        <w:footnoteReference w:id="33"/>
      </w:r>
    </w:p>
    <w:p w:rsidR="003828EC" w:rsidRPr="00974A0C" w:rsidRDefault="003828EC" w:rsidP="003828EC">
      <w:pPr>
        <w:pStyle w:val="BodyTextMain"/>
        <w:rPr>
          <w:rFonts w:eastAsia="Calibri"/>
          <w:sz w:val="18"/>
          <w:szCs w:val="18"/>
        </w:rPr>
      </w:pPr>
    </w:p>
    <w:p w:rsidR="003828EC" w:rsidRPr="00C81DA7" w:rsidRDefault="003828EC" w:rsidP="003828EC">
      <w:pPr>
        <w:pStyle w:val="BodyTextMain"/>
        <w:rPr>
          <w:rFonts w:eastAsia="Calibri"/>
        </w:rPr>
      </w:pPr>
      <w:r w:rsidRPr="00C81DA7">
        <w:rPr>
          <w:rFonts w:eastAsia="Calibri"/>
        </w:rPr>
        <w:t xml:space="preserve">Feldman analyzed the experience of other airline companies that had been in trouble. He examined the tragic experience of Pan American World Airways (Pan Am), which had once been the largest U.S. airline. Pan Am was the first airline to carry passenger flights across the ocean (to the United Kingdom), and the first airline to purchase wide-bodied aircraft. In 1948, Pan Am launched the first ever economy-class flight. </w:t>
      </w:r>
      <w:r w:rsidRPr="00C81DA7">
        <w:rPr>
          <w:rFonts w:eastAsia="Calibri"/>
        </w:rPr>
        <w:lastRenderedPageBreak/>
        <w:t>The legendary round terminal at John F. Kennedy International Airport in New York belonged to the airline and continued to carry its name.</w:t>
      </w:r>
    </w:p>
    <w:p w:rsidR="003828EC" w:rsidRPr="00974A0C" w:rsidRDefault="003828EC" w:rsidP="003828EC">
      <w:pPr>
        <w:pStyle w:val="BodyTextMain"/>
        <w:rPr>
          <w:rFonts w:eastAsia="Calibri"/>
          <w:sz w:val="18"/>
          <w:szCs w:val="18"/>
        </w:rPr>
      </w:pPr>
    </w:p>
    <w:p w:rsidR="003828EC" w:rsidRPr="00DA00F7" w:rsidRDefault="003828EC" w:rsidP="003828EC">
      <w:pPr>
        <w:pStyle w:val="BodyTextMain"/>
        <w:rPr>
          <w:rFonts w:eastAsia="Calibri"/>
          <w:spacing w:val="-2"/>
          <w:kern w:val="22"/>
        </w:rPr>
      </w:pPr>
      <w:r w:rsidRPr="00DA00F7">
        <w:rPr>
          <w:rFonts w:eastAsia="Calibri"/>
          <w:spacing w:val="-2"/>
          <w:kern w:val="22"/>
        </w:rPr>
        <w:t xml:space="preserve">The first step leading to the collapse of Pan Am was in 1969, when the company received a large shipment of Boeing 747s that had been commissioned three years earlier. In that year, the economy experienced a downturn, which reduced demand for passenger flights and made carrying a large number of aircraft commercially unviable. The 1973 oil crisis brought another challenge for the “most experienced airline in the world,” as Pan Am’s slogan of those years proclaimed. Soaring fuel prices, along with sharply reduced demand for air travel delivered a significant blow to the air giant. The company’s losses for the years 1969–1976 amounted to US$364 million, and its debt grew to a billion dollars. </w:t>
      </w:r>
    </w:p>
    <w:p w:rsidR="003828EC" w:rsidRPr="00974A0C" w:rsidRDefault="003828EC" w:rsidP="003828EC">
      <w:pPr>
        <w:pStyle w:val="BodyTextMain"/>
        <w:rPr>
          <w:rFonts w:eastAsia="Calibri"/>
          <w:sz w:val="18"/>
          <w:szCs w:val="18"/>
        </w:rPr>
      </w:pPr>
    </w:p>
    <w:p w:rsidR="003828EC" w:rsidRPr="00C81DA7" w:rsidRDefault="003828EC" w:rsidP="003828EC">
      <w:pPr>
        <w:pStyle w:val="BodyTextMain"/>
        <w:rPr>
          <w:rFonts w:eastAsia="Calibri"/>
        </w:rPr>
      </w:pPr>
      <w:r w:rsidRPr="00C81DA7">
        <w:rPr>
          <w:rFonts w:eastAsia="Calibri"/>
        </w:rPr>
        <w:t>In 1985, Pan Am’s main competitor, United Airlines, acquired all of Pan Am’s routes to the Asia-Pacific region. After two terrorist attacks on board Pan Am flights in 1986 and 1988, fewer people were choosing the company’s flights. The carrier’s insurance company for a long time refused to reimburse the hundreds of millions of dollars that Pan Am owed to the relatives of terrorist attack victims. The fuel crisis that ensued from the Gulf War in 1990–1991 brought the final blow to the company, and in December 1991, the legendary Pan Am declared bankruptcy and ceased to exist. The carrier’s debt at that time amounted to US$9 billion. Delta Air Lines Inc. (Delta) acquired the remaining profitable assets. Subsequent attempts to revive the brand ended in failure.</w:t>
      </w:r>
    </w:p>
    <w:p w:rsidR="003828EC" w:rsidRPr="00974A0C" w:rsidRDefault="003828EC" w:rsidP="003828EC">
      <w:pPr>
        <w:pStyle w:val="BodyTextMain"/>
        <w:rPr>
          <w:rFonts w:eastAsia="Calibri"/>
          <w:sz w:val="18"/>
          <w:szCs w:val="18"/>
        </w:rPr>
      </w:pPr>
    </w:p>
    <w:p w:rsidR="003828EC" w:rsidRPr="00974A0C" w:rsidRDefault="003828EC" w:rsidP="003828EC">
      <w:pPr>
        <w:pStyle w:val="BodyTextMain"/>
        <w:rPr>
          <w:rFonts w:eastAsia="Calibri"/>
          <w:sz w:val="18"/>
          <w:szCs w:val="18"/>
        </w:rPr>
      </w:pPr>
    </w:p>
    <w:p w:rsidR="003828EC" w:rsidRPr="00C81DA7" w:rsidRDefault="003828EC" w:rsidP="003828EC">
      <w:pPr>
        <w:pStyle w:val="Casehead2"/>
        <w:outlineLvl w:val="0"/>
        <w:rPr>
          <w:rFonts w:eastAsia="Calibri"/>
        </w:rPr>
      </w:pPr>
      <w:r w:rsidRPr="00C81DA7">
        <w:rPr>
          <w:rFonts w:eastAsia="Calibri"/>
        </w:rPr>
        <w:t>The Bankruptcy of Delta</w:t>
      </w:r>
      <w:r w:rsidRPr="00447F33">
        <w:rPr>
          <w:rStyle w:val="FootnoteReference"/>
          <w:rFonts w:eastAsia="Calibri"/>
        </w:rPr>
        <w:footnoteReference w:id="34"/>
      </w:r>
    </w:p>
    <w:p w:rsidR="003828EC" w:rsidRPr="00C81DA7" w:rsidRDefault="003828EC" w:rsidP="003828EC">
      <w:pPr>
        <w:pStyle w:val="BodyTextMain"/>
        <w:rPr>
          <w:rFonts w:eastAsia="Calibri"/>
          <w:sz w:val="18"/>
          <w:szCs w:val="18"/>
        </w:rPr>
      </w:pPr>
    </w:p>
    <w:p w:rsidR="003828EC" w:rsidRDefault="003828EC" w:rsidP="003828EC">
      <w:pPr>
        <w:pStyle w:val="BodyTextMain"/>
        <w:rPr>
          <w:rFonts w:eastAsia="Calibri"/>
        </w:rPr>
      </w:pPr>
      <w:r w:rsidRPr="00C81DA7">
        <w:rPr>
          <w:rFonts w:eastAsia="Calibri"/>
        </w:rPr>
        <w:t xml:space="preserve">Feldman learned that the rights to fly the European routes, the largest trans-Atlantic destinations, inherited from Pan Am by Delta brought the latter to a leadership position in terms of the number of passengers and the number of flights carried across the Atlantic. It did not, however, save Delta from the crisis that began in the airline industry following the attacks of September 11, 2001. </w:t>
      </w:r>
    </w:p>
    <w:p w:rsidR="003828EC" w:rsidRDefault="003828EC" w:rsidP="003828EC">
      <w:pPr>
        <w:pStyle w:val="BodyTextMain"/>
        <w:rPr>
          <w:rFonts w:eastAsia="Calibri"/>
        </w:rPr>
      </w:pPr>
    </w:p>
    <w:p w:rsidR="003828EC" w:rsidRPr="004F25F7" w:rsidRDefault="003828EC" w:rsidP="003828EC">
      <w:pPr>
        <w:pStyle w:val="BodyTextMain"/>
        <w:rPr>
          <w:rFonts w:eastAsia="Calibri"/>
          <w:spacing w:val="-2"/>
          <w:kern w:val="22"/>
        </w:rPr>
      </w:pPr>
      <w:r w:rsidRPr="004F25F7">
        <w:rPr>
          <w:rFonts w:eastAsia="Calibri"/>
          <w:spacing w:val="-2"/>
          <w:kern w:val="22"/>
        </w:rPr>
        <w:t xml:space="preserve">The drop in demand, a further increase in oil prices, and the emergence of low-cost competitors caused Delta to lose US$10 billion over 2001–2005. In 2004, the company attempted to evade bankruptcy by conducting mass layoffs and reducing the salaries of the remaining employees. The airline’s pilots agreed to work for approximately 70 per cent of their initial rate. At the same time, the airline introduced new flights. </w:t>
      </w:r>
    </w:p>
    <w:p w:rsidR="003828EC" w:rsidRDefault="003828EC" w:rsidP="003828EC">
      <w:pPr>
        <w:pStyle w:val="BodyTextMain"/>
        <w:rPr>
          <w:rFonts w:eastAsia="Calibri"/>
        </w:rPr>
      </w:pPr>
    </w:p>
    <w:p w:rsidR="003828EC" w:rsidRPr="00DA00F7" w:rsidRDefault="003828EC" w:rsidP="003828EC">
      <w:pPr>
        <w:pStyle w:val="BodyTextMain"/>
        <w:rPr>
          <w:rFonts w:eastAsia="Calibri"/>
        </w:rPr>
      </w:pPr>
      <w:r w:rsidRPr="00DA00F7">
        <w:rPr>
          <w:rFonts w:eastAsia="Calibri"/>
        </w:rPr>
        <w:t>The measures did not work: on September 14, 2005, the company was forced to declare bankruptcy. At that time, this third-largest U.S. carrier had US$20.5 billion in debt. Fortunately, two years later, the company managed to overcome the crisis. On April 25, 2007, the court approved the carrier’s plan to exit bankruptcy. Old shares of Delta were cancelled, and new ones began trading on the New York Stock Exchange at US$20 per share.</w:t>
      </w:r>
    </w:p>
    <w:p w:rsidR="003828EC" w:rsidRPr="00C81DA7" w:rsidRDefault="003828EC" w:rsidP="003828EC">
      <w:pPr>
        <w:pStyle w:val="BodyTextMain"/>
        <w:rPr>
          <w:rFonts w:ascii="Arial" w:eastAsia="Calibri" w:hAnsi="Arial" w:cs="Arial"/>
          <w:b/>
          <w:sz w:val="18"/>
          <w:szCs w:val="18"/>
        </w:rPr>
      </w:pPr>
    </w:p>
    <w:p w:rsidR="003828EC" w:rsidRPr="00C81DA7" w:rsidRDefault="003828EC" w:rsidP="003828EC">
      <w:pPr>
        <w:pStyle w:val="BodyTextMain"/>
        <w:rPr>
          <w:rFonts w:ascii="Arial" w:eastAsia="Calibri" w:hAnsi="Arial" w:cs="Arial"/>
          <w:b/>
          <w:sz w:val="18"/>
          <w:szCs w:val="18"/>
        </w:rPr>
      </w:pPr>
    </w:p>
    <w:p w:rsidR="003828EC" w:rsidRPr="00C81DA7" w:rsidRDefault="003828EC" w:rsidP="003828EC">
      <w:pPr>
        <w:pStyle w:val="BodyTextMain"/>
        <w:outlineLvl w:val="0"/>
        <w:rPr>
          <w:rFonts w:ascii="Arial" w:eastAsia="Calibri" w:hAnsi="Arial" w:cs="Arial"/>
          <w:b/>
          <w:sz w:val="20"/>
        </w:rPr>
      </w:pPr>
      <w:r w:rsidRPr="00C81DA7">
        <w:rPr>
          <w:rFonts w:ascii="Arial" w:eastAsia="Calibri" w:hAnsi="Arial" w:cs="Arial"/>
          <w:b/>
          <w:sz w:val="20"/>
        </w:rPr>
        <w:t>European Experience: Swissair</w:t>
      </w:r>
      <w:r>
        <w:rPr>
          <w:rStyle w:val="FootnoteReference"/>
          <w:rFonts w:ascii="Arial" w:eastAsia="Calibri" w:hAnsi="Arial" w:cs="Arial"/>
          <w:b/>
          <w:sz w:val="20"/>
        </w:rPr>
        <w:footnoteReference w:id="35"/>
      </w:r>
    </w:p>
    <w:p w:rsidR="003828EC" w:rsidRPr="00C81DA7" w:rsidRDefault="003828EC" w:rsidP="003828EC">
      <w:pPr>
        <w:pStyle w:val="BodyTextMain"/>
        <w:rPr>
          <w:rFonts w:eastAsia="Calibri"/>
          <w:sz w:val="18"/>
          <w:szCs w:val="18"/>
        </w:rPr>
      </w:pPr>
    </w:p>
    <w:p w:rsidR="003828EC" w:rsidRDefault="003828EC" w:rsidP="003828EC">
      <w:pPr>
        <w:pStyle w:val="BodyTextMain"/>
        <w:rPr>
          <w:rFonts w:eastAsia="Calibri"/>
          <w:spacing w:val="-2"/>
          <w:kern w:val="22"/>
        </w:rPr>
      </w:pPr>
      <w:r w:rsidRPr="00C81DA7">
        <w:rPr>
          <w:rFonts w:eastAsia="Calibri"/>
          <w:spacing w:val="-2"/>
          <w:kern w:val="22"/>
        </w:rPr>
        <w:t xml:space="preserve">As part of his analysis, Feldman looked at the history of airline business collapses in Europe. In 2001, the main Swiss airline, Swissair, declared itself bankrupt after 70 years in business. </w:t>
      </w:r>
    </w:p>
    <w:p w:rsidR="003828EC" w:rsidRDefault="003828EC" w:rsidP="003828EC">
      <w:pPr>
        <w:pStyle w:val="BodyTextMain"/>
        <w:rPr>
          <w:rFonts w:eastAsia="Calibri"/>
          <w:spacing w:val="-2"/>
          <w:kern w:val="22"/>
        </w:rPr>
      </w:pPr>
    </w:p>
    <w:p w:rsidR="003828EC" w:rsidRDefault="003828EC" w:rsidP="003828EC">
      <w:pPr>
        <w:pStyle w:val="BodyTextMain"/>
        <w:rPr>
          <w:rFonts w:eastAsia="Calibri"/>
          <w:spacing w:val="-2"/>
          <w:kern w:val="22"/>
        </w:rPr>
      </w:pPr>
      <w:r w:rsidRPr="00C81DA7">
        <w:rPr>
          <w:rFonts w:eastAsia="Calibri"/>
          <w:spacing w:val="-2"/>
          <w:kern w:val="22"/>
        </w:rPr>
        <w:lastRenderedPageBreak/>
        <w:t xml:space="preserve">Many analysts believed that the “beginning of the end” for Swissair had been the airline’s decision to create a new air alliance. The first step in doing so had been the purchase of a controlling stake in Crossair, followed by the acquisition of Belgian airline Sabena. The main idea was to secure the shares of small and not-well-known European carriers. Only the upper management of the carrier seemed to understand why this was necessary for Swissair. </w:t>
      </w:r>
    </w:p>
    <w:p w:rsidR="003828EC" w:rsidRDefault="003828EC" w:rsidP="003828EC">
      <w:pPr>
        <w:pStyle w:val="BodyTextMain"/>
        <w:rPr>
          <w:rFonts w:eastAsia="Calibri"/>
          <w:spacing w:val="-2"/>
          <w:kern w:val="22"/>
        </w:rPr>
      </w:pPr>
    </w:p>
    <w:p w:rsidR="003828EC" w:rsidRPr="00DA00F7" w:rsidRDefault="003828EC" w:rsidP="003828EC">
      <w:pPr>
        <w:pStyle w:val="BodyTextMain"/>
        <w:rPr>
          <w:rFonts w:eastAsia="Calibri"/>
          <w:spacing w:val="-4"/>
          <w:kern w:val="22"/>
        </w:rPr>
      </w:pPr>
      <w:r w:rsidRPr="00DA00F7">
        <w:rPr>
          <w:rFonts w:eastAsia="Calibri"/>
          <w:spacing w:val="-4"/>
          <w:kern w:val="22"/>
        </w:rPr>
        <w:t>In 1998, the airline extended the “Qualiflyer” alliance, bringing together more than 20 airlines, most of which were experiencing financial difficulties. However, constant subsidizing of the less-fortunate partners depleted Swissair’s resources, and the crisis in the aviation world following the September 11 attacks in the United States ultimately finished the company. The carrier’s debt at the time of bankruptcy exceeded CHF38 billion.</w:t>
      </w:r>
      <w:r w:rsidRPr="00DA00F7">
        <w:rPr>
          <w:rStyle w:val="FootnoteReference"/>
          <w:rFonts w:eastAsia="Calibri"/>
          <w:spacing w:val="-4"/>
          <w:kern w:val="22"/>
        </w:rPr>
        <w:footnoteReference w:id="36"/>
      </w:r>
      <w:r w:rsidRPr="00DA00F7">
        <w:rPr>
          <w:rFonts w:eastAsia="Calibri"/>
          <w:spacing w:val="-4"/>
          <w:kern w:val="22"/>
        </w:rPr>
        <w:t xml:space="preserve"> </w:t>
      </w:r>
    </w:p>
    <w:p w:rsidR="003828EC" w:rsidRDefault="003828EC" w:rsidP="003828EC">
      <w:pPr>
        <w:pStyle w:val="BodyTextMain"/>
        <w:rPr>
          <w:rFonts w:eastAsia="Calibri"/>
          <w:spacing w:val="-2"/>
          <w:kern w:val="22"/>
        </w:rPr>
      </w:pPr>
    </w:p>
    <w:p w:rsidR="003828EC" w:rsidRDefault="003828EC" w:rsidP="003828EC">
      <w:pPr>
        <w:pStyle w:val="BodyTextMain"/>
        <w:rPr>
          <w:rFonts w:eastAsia="Calibri"/>
          <w:spacing w:val="-2"/>
          <w:kern w:val="22"/>
        </w:rPr>
      </w:pPr>
      <w:r w:rsidRPr="00C81DA7">
        <w:rPr>
          <w:rFonts w:eastAsia="Calibri"/>
          <w:spacing w:val="-2"/>
          <w:kern w:val="22"/>
        </w:rPr>
        <w:t xml:space="preserve">According to the conclusions of the auditors, it was “management errors, dubious methods of accounting, and lack of control” that contributed to the bankruptcy of Swissair. A few months after the collapse, the airline arranged for the sale of its property; among the lot were the ski suits of the top managers, silver trays and ice buckets, and plush toy planes with the Swiss flag. According to experts, the sale brought in about CHF10 million, which was only a drop in the ocean of Swissair’s debt. </w:t>
      </w:r>
    </w:p>
    <w:p w:rsidR="003828EC" w:rsidRDefault="003828EC" w:rsidP="003828EC">
      <w:pPr>
        <w:pStyle w:val="BodyTextMain"/>
        <w:rPr>
          <w:rFonts w:eastAsia="Calibri"/>
          <w:spacing w:val="-2"/>
          <w:kern w:val="22"/>
        </w:rPr>
      </w:pPr>
    </w:p>
    <w:p w:rsidR="003828EC" w:rsidRPr="004F25F7" w:rsidRDefault="003828EC" w:rsidP="003828EC">
      <w:pPr>
        <w:pStyle w:val="BodyTextMain"/>
        <w:rPr>
          <w:rFonts w:eastAsia="Calibri"/>
        </w:rPr>
      </w:pPr>
      <w:r w:rsidRPr="004F25F7">
        <w:rPr>
          <w:rFonts w:eastAsia="Calibri"/>
        </w:rPr>
        <w:t>Officially, the company ceased to exist on March 31, 2002, and a new carrier, Swiss International Air Lines (Swiss), was created in its place. In June of the same year, the Zurich prosecutor’s office launched an investigation into the cause of the bankruptcy and initiated lawsuits against the three top managers of the company.</w:t>
      </w:r>
    </w:p>
    <w:p w:rsidR="003828EC" w:rsidRPr="00C81DA7" w:rsidRDefault="003828EC" w:rsidP="003828EC">
      <w:pPr>
        <w:pStyle w:val="BodyTextMain"/>
        <w:rPr>
          <w:rFonts w:eastAsia="Calibri"/>
          <w:sz w:val="18"/>
          <w:szCs w:val="18"/>
        </w:rPr>
      </w:pPr>
    </w:p>
    <w:p w:rsidR="003828EC" w:rsidRPr="00C81DA7" w:rsidRDefault="003828EC" w:rsidP="003828EC">
      <w:pPr>
        <w:pStyle w:val="BodyTextMain"/>
        <w:rPr>
          <w:rFonts w:eastAsia="Calibri"/>
          <w:sz w:val="18"/>
          <w:szCs w:val="18"/>
        </w:rPr>
      </w:pPr>
    </w:p>
    <w:p w:rsidR="003828EC" w:rsidRPr="00C81DA7" w:rsidRDefault="003828EC" w:rsidP="003828EC">
      <w:pPr>
        <w:pStyle w:val="Casehead2"/>
        <w:outlineLvl w:val="0"/>
        <w:rPr>
          <w:rFonts w:eastAsia="Calibri"/>
        </w:rPr>
      </w:pPr>
      <w:r w:rsidRPr="00C81DA7">
        <w:rPr>
          <w:rFonts w:eastAsia="Calibri"/>
        </w:rPr>
        <w:t>Another European Experience: Great Expectations</w:t>
      </w:r>
      <w:r w:rsidRPr="00C81DA7">
        <w:rPr>
          <w:rFonts w:eastAsia="Calibri"/>
          <w:i/>
        </w:rPr>
        <w:t xml:space="preserve"> </w:t>
      </w:r>
      <w:r w:rsidRPr="00C81DA7">
        <w:rPr>
          <w:rFonts w:eastAsia="Calibri"/>
        </w:rPr>
        <w:t>of Alitalia in 2017</w:t>
      </w:r>
      <w:r w:rsidRPr="00447F33">
        <w:rPr>
          <w:rStyle w:val="FootnoteReference"/>
          <w:rFonts w:eastAsia="Calibri"/>
        </w:rPr>
        <w:footnoteReference w:id="37"/>
      </w:r>
    </w:p>
    <w:p w:rsidR="003828EC" w:rsidRPr="00C81DA7" w:rsidRDefault="003828EC" w:rsidP="003828EC">
      <w:pPr>
        <w:pStyle w:val="BodyTextMain"/>
        <w:rPr>
          <w:rFonts w:eastAsia="Calibri"/>
          <w:sz w:val="18"/>
          <w:szCs w:val="18"/>
        </w:rPr>
      </w:pPr>
    </w:p>
    <w:p w:rsidR="003828EC" w:rsidRDefault="003828EC" w:rsidP="003828EC">
      <w:pPr>
        <w:pStyle w:val="BodyTextMain"/>
        <w:rPr>
          <w:rFonts w:eastAsia="Calibri"/>
        </w:rPr>
      </w:pPr>
      <w:r w:rsidRPr="00C81DA7">
        <w:rPr>
          <w:rFonts w:eastAsia="Calibri"/>
        </w:rPr>
        <w:t>Italy’s national carrier, Alitalia, declared bankruptcy in 2008. In the same year, the authorities agreed to sell it to French airline Air France, Dutch airline KLM Royal Dutch Airlines, and German airline Lufthansa. However, upon being elected prime minister, Silvio Berlusconi interrupted the deal, arguing that the company must remain national. Under Berlusconi’s leadership, the Italian Parliament adopted a law on the bankruptcy of state companies that cost the country €5–6 billion.</w:t>
      </w:r>
      <w:r w:rsidRPr="00447F33">
        <w:rPr>
          <w:rStyle w:val="FootnoteReference"/>
          <w:rFonts w:eastAsia="Calibri"/>
        </w:rPr>
        <w:footnoteReference w:id="38"/>
      </w:r>
      <w:r w:rsidRPr="00C81DA7">
        <w:rPr>
          <w:rFonts w:eastAsia="Calibri"/>
        </w:rPr>
        <w:t xml:space="preserve"> </w:t>
      </w:r>
    </w:p>
    <w:p w:rsidR="003828EC" w:rsidRDefault="003828EC" w:rsidP="003828EC">
      <w:pPr>
        <w:pStyle w:val="BodyTextMain"/>
        <w:rPr>
          <w:rFonts w:eastAsia="Calibri"/>
        </w:rPr>
      </w:pPr>
    </w:p>
    <w:p w:rsidR="003828EC" w:rsidRDefault="003828EC" w:rsidP="003828EC">
      <w:pPr>
        <w:pStyle w:val="BodyTextMain"/>
        <w:rPr>
          <w:rFonts w:eastAsia="Calibri"/>
        </w:rPr>
      </w:pPr>
      <w:r w:rsidRPr="00C81DA7">
        <w:rPr>
          <w:rFonts w:eastAsia="Calibri"/>
        </w:rPr>
        <w:t xml:space="preserve">Alitalia’s losses were written off. But these measures did not help. In 2013, Alitalia was on the threshold of a new bankruptcy, with debt of approximately €1 billion. The company was hoping for a partnership with the Franco–Dutch group Air France–KLM, which owned a 25-per-cent stake in Alitalia, but the alliance refused to participate in the further capital increase. Help came from the United Arab Emirates: Etihad Airways acquired a 49.9-per-cent stake in the Italian carrier for €1.75 billion. </w:t>
      </w:r>
    </w:p>
    <w:p w:rsidR="003828EC" w:rsidRDefault="003828EC" w:rsidP="003828EC">
      <w:pPr>
        <w:pStyle w:val="BodyTextMain"/>
        <w:rPr>
          <w:rFonts w:eastAsia="Calibri"/>
        </w:rPr>
      </w:pPr>
    </w:p>
    <w:p w:rsidR="003828EC" w:rsidRPr="00974A0C" w:rsidRDefault="003828EC" w:rsidP="003828EC">
      <w:pPr>
        <w:pStyle w:val="BodyTextMain"/>
        <w:rPr>
          <w:rFonts w:eastAsia="Calibri"/>
        </w:rPr>
      </w:pPr>
    </w:p>
    <w:p w:rsidR="003828EC" w:rsidRPr="00C81DA7" w:rsidRDefault="003828EC" w:rsidP="003828EC">
      <w:pPr>
        <w:pStyle w:val="Casehead1"/>
        <w:outlineLvl w:val="0"/>
        <w:rPr>
          <w:rFonts w:eastAsia="Calibri"/>
        </w:rPr>
      </w:pPr>
      <w:r w:rsidRPr="00C81DA7">
        <w:rPr>
          <w:rFonts w:eastAsia="Calibri"/>
        </w:rPr>
        <w:t>CONCLUSION</w:t>
      </w:r>
    </w:p>
    <w:p w:rsidR="003828EC" w:rsidRPr="00C81DA7" w:rsidRDefault="003828EC" w:rsidP="003828EC">
      <w:pPr>
        <w:pStyle w:val="BodyTextMain"/>
        <w:rPr>
          <w:rFonts w:eastAsia="Calibri"/>
        </w:rPr>
      </w:pPr>
    </w:p>
    <w:p w:rsidR="003828EC" w:rsidRDefault="003828EC" w:rsidP="003828EC">
      <w:pPr>
        <w:pStyle w:val="BodyTextMain"/>
        <w:rPr>
          <w:rFonts w:eastAsia="Calibri"/>
        </w:rPr>
      </w:pPr>
      <w:r w:rsidRPr="00C81DA7">
        <w:rPr>
          <w:rFonts w:eastAsia="Calibri"/>
        </w:rPr>
        <w:t xml:space="preserve">From his academic and practical experience, Feldman knew that it was common for airline companies to have high financial leverage. Most aircraft </w:t>
      </w:r>
      <w:r>
        <w:rPr>
          <w:rFonts w:eastAsia="Calibri"/>
        </w:rPr>
        <w:t>were</w:t>
      </w:r>
      <w:r w:rsidRPr="00C81DA7">
        <w:rPr>
          <w:rFonts w:eastAsia="Calibri"/>
        </w:rPr>
        <w:t xml:space="preserve"> financed through financial leasing. The airline industry typically had high operating leverage, with a lot of fixed costs. The combination of high financial and high operating leverage created enormous risks, especially during macroeconomic crises. </w:t>
      </w:r>
    </w:p>
    <w:p w:rsidR="003828EC" w:rsidRDefault="003828EC" w:rsidP="003828EC">
      <w:pPr>
        <w:pStyle w:val="BodyTextMain"/>
        <w:rPr>
          <w:rFonts w:eastAsia="Calibri"/>
        </w:rPr>
      </w:pPr>
    </w:p>
    <w:p w:rsidR="003828EC" w:rsidRPr="00C81DA7" w:rsidRDefault="003828EC" w:rsidP="003828EC">
      <w:pPr>
        <w:pStyle w:val="BodyTextMain"/>
        <w:rPr>
          <w:rFonts w:eastAsia="Calibri"/>
        </w:rPr>
      </w:pPr>
      <w:r w:rsidRPr="00C81DA7">
        <w:rPr>
          <w:rFonts w:eastAsia="Calibri"/>
        </w:rPr>
        <w:lastRenderedPageBreak/>
        <w:t xml:space="preserve">Feldman tried to identify an acceptable level for financial leverage and other ratios in the airline industry (see Exhibit 4). Information that Feldman obtained on European emerging markets included the financial data of Transaero, Aeroflot, JSC UTair Aviation, and Croatia Airlines Ltd. Feldman tried to answer the question of whether it was possible for Transaero to avoid problems in 2015 without support from the Russian government. </w:t>
      </w:r>
    </w:p>
    <w:p w:rsidR="003828EC" w:rsidRPr="00974A0C" w:rsidRDefault="003828EC" w:rsidP="003828EC">
      <w:pPr>
        <w:pStyle w:val="BodyTextMain"/>
        <w:rPr>
          <w:rFonts w:eastAsia="Calibri"/>
          <w:sz w:val="18"/>
          <w:szCs w:val="18"/>
        </w:rPr>
      </w:pPr>
    </w:p>
    <w:p w:rsidR="003828EC" w:rsidRPr="00C81DA7" w:rsidRDefault="003828EC" w:rsidP="003828EC">
      <w:pPr>
        <w:pStyle w:val="BodyTextMain"/>
        <w:rPr>
          <w:rFonts w:eastAsia="Calibri"/>
          <w:b/>
        </w:rPr>
      </w:pPr>
      <w:r w:rsidRPr="00C81DA7">
        <w:rPr>
          <w:rFonts w:eastAsia="Calibri"/>
        </w:rPr>
        <w:t>Feldman knew that, according to IFRS, leases were classified into capital leases and operating leases. He suspected that Transaero carried considerable operating leases. While economically a part of a company’s liability, operating leases were not reflected on the balance sheet. Unfortunately, there was no information available</w:t>
      </w:r>
      <w:r w:rsidRPr="00C81DA7">
        <w:rPr>
          <w:rFonts w:eastAsia="Calibri"/>
          <w:b/>
        </w:rPr>
        <w:t xml:space="preserve"> </w:t>
      </w:r>
      <w:r w:rsidRPr="00C81DA7">
        <w:rPr>
          <w:rFonts w:eastAsia="Calibri"/>
        </w:rPr>
        <w:t>in Transaero’s reports</w:t>
      </w:r>
      <w:r w:rsidRPr="00C81DA7">
        <w:rPr>
          <w:rFonts w:eastAsia="Calibri"/>
          <w:b/>
        </w:rPr>
        <w:t xml:space="preserve"> </w:t>
      </w:r>
      <w:r w:rsidRPr="00C81DA7">
        <w:rPr>
          <w:rFonts w:eastAsia="Calibri"/>
        </w:rPr>
        <w:t xml:space="preserve">about operating leases. To get an idea </w:t>
      </w:r>
      <w:r>
        <w:rPr>
          <w:rFonts w:eastAsia="Calibri"/>
        </w:rPr>
        <w:t>of</w:t>
      </w:r>
      <w:r w:rsidRPr="00C81DA7">
        <w:rPr>
          <w:rFonts w:eastAsia="Calibri"/>
        </w:rPr>
        <w:t xml:space="preserve"> the size of operating leases, Feldman looked at data on the number of aircraft the airline had in 2013–2014 (see</w:t>
      </w:r>
      <w:r w:rsidRPr="00C81DA7">
        <w:rPr>
          <w:rFonts w:eastAsia="Calibri"/>
          <w:b/>
        </w:rPr>
        <w:t xml:space="preserve"> </w:t>
      </w:r>
      <w:r w:rsidRPr="00C81DA7">
        <w:rPr>
          <w:rFonts w:eastAsia="Calibri"/>
        </w:rPr>
        <w:t>Exhibit 5).</w:t>
      </w:r>
    </w:p>
    <w:p w:rsidR="003828EC" w:rsidRPr="00974A0C" w:rsidRDefault="003828EC" w:rsidP="003828EC">
      <w:pPr>
        <w:pStyle w:val="BodyTextMain"/>
        <w:rPr>
          <w:rFonts w:eastAsia="Calibri"/>
          <w:sz w:val="18"/>
          <w:szCs w:val="18"/>
        </w:rPr>
      </w:pPr>
    </w:p>
    <w:p w:rsidR="003828EC" w:rsidRPr="00C81DA7" w:rsidRDefault="003828EC" w:rsidP="003828EC">
      <w:pPr>
        <w:pStyle w:val="BodyTextMain"/>
        <w:rPr>
          <w:rFonts w:eastAsia="Calibri"/>
        </w:rPr>
      </w:pPr>
      <w:r w:rsidRPr="00C81DA7">
        <w:rPr>
          <w:rFonts w:eastAsia="Calibri"/>
        </w:rPr>
        <w:t xml:space="preserve">Feldman tried to analyze the decisions made by top management, including the extremely high financial leverage, alleged dumping, and alleged manipulation of financial reports. He was impressed by the role of </w:t>
      </w:r>
      <w:r>
        <w:rPr>
          <w:rFonts w:eastAsia="Calibri"/>
        </w:rPr>
        <w:t>Olga</w:t>
      </w:r>
      <w:r w:rsidRPr="00C81DA7">
        <w:rPr>
          <w:rFonts w:eastAsia="Calibri"/>
        </w:rPr>
        <w:t xml:space="preserve"> in the development of the company; she was the first woman to assume the position of head of a Russian airline company. She was also the only Russian among the 50 “Most Powerful Women in Business” according to </w:t>
      </w:r>
      <w:r w:rsidRPr="00C81DA7">
        <w:rPr>
          <w:rFonts w:eastAsia="Calibri"/>
          <w:i/>
        </w:rPr>
        <w:t>Fortune’s</w:t>
      </w:r>
      <w:r w:rsidRPr="00C81DA7">
        <w:rPr>
          <w:rFonts w:eastAsia="Calibri"/>
        </w:rPr>
        <w:t xml:space="preserve"> annual ranking in 2012 and 2013.</w:t>
      </w:r>
    </w:p>
    <w:p w:rsidR="003828EC" w:rsidRPr="00974A0C" w:rsidRDefault="003828EC" w:rsidP="003828EC">
      <w:pPr>
        <w:pStyle w:val="BodyTextMain"/>
        <w:rPr>
          <w:rFonts w:eastAsia="Calibri"/>
          <w:sz w:val="18"/>
          <w:szCs w:val="18"/>
        </w:rPr>
      </w:pPr>
    </w:p>
    <w:p w:rsidR="003828EC" w:rsidRPr="00DA00F7" w:rsidRDefault="003828EC" w:rsidP="003828EC">
      <w:pPr>
        <w:pStyle w:val="BodyTextMain"/>
        <w:rPr>
          <w:rFonts w:eastAsia="Calibri"/>
        </w:rPr>
      </w:pPr>
      <w:r w:rsidRPr="00DA00F7">
        <w:rPr>
          <w:rFonts w:eastAsia="Calibri"/>
        </w:rPr>
        <w:t xml:space="preserve">Feldman identified the most important events that influenced Transaero’s problems: an increase in oil prices, the introduction of international sanctions, and the decline in the exchange rate of the ruble against the U.S. dollar. </w:t>
      </w:r>
    </w:p>
    <w:p w:rsidR="003828EC" w:rsidRPr="00974A0C" w:rsidRDefault="003828EC" w:rsidP="003828EC">
      <w:pPr>
        <w:pStyle w:val="BodyTextMain"/>
        <w:rPr>
          <w:rFonts w:eastAsia="Calibri"/>
          <w:sz w:val="18"/>
          <w:szCs w:val="18"/>
        </w:rPr>
      </w:pPr>
    </w:p>
    <w:p w:rsidR="003828EC" w:rsidRPr="00C81DA7" w:rsidRDefault="003828EC" w:rsidP="003828EC">
      <w:pPr>
        <w:pStyle w:val="BodyTextMain"/>
        <w:rPr>
          <w:rFonts w:eastAsia="Calibri"/>
        </w:rPr>
      </w:pPr>
      <w:r w:rsidRPr="00C81DA7">
        <w:rPr>
          <w:rFonts w:eastAsia="Calibri"/>
        </w:rPr>
        <w:t>Transaero’s auditor was the well-known RSM RUS</w:t>
      </w:r>
      <w:r>
        <w:rPr>
          <w:rFonts w:eastAsia="Calibri"/>
        </w:rPr>
        <w:t>.</w:t>
      </w:r>
      <w:r>
        <w:rPr>
          <w:rStyle w:val="FootnoteReference"/>
          <w:rFonts w:eastAsia="Calibri"/>
        </w:rPr>
        <w:footnoteReference w:id="39"/>
      </w:r>
      <w:r w:rsidRPr="00C81DA7">
        <w:rPr>
          <w:rFonts w:eastAsia="Calibri"/>
        </w:rPr>
        <w:t xml:space="preserve"> Feldman carefully read the auditor’s reports, considering it strange that the auditors had not considered the errors in the 2012–2014 financial statements as significant. Next, Feldman went through online articles about Transaero. He tried to gain a broader picture by assessing how Transaero’s possible bankruptcy could affect the entire Russian airline industry and its main stakeholders.</w:t>
      </w:r>
    </w:p>
    <w:p w:rsidR="003828EC" w:rsidRPr="00974A0C" w:rsidRDefault="003828EC" w:rsidP="003828EC">
      <w:pPr>
        <w:pStyle w:val="BodyTextMain"/>
        <w:rPr>
          <w:rFonts w:eastAsia="Calibri"/>
          <w:sz w:val="18"/>
          <w:szCs w:val="18"/>
        </w:rPr>
      </w:pPr>
    </w:p>
    <w:p w:rsidR="003828EC" w:rsidRPr="00DA00F7" w:rsidRDefault="003828EC" w:rsidP="003828EC">
      <w:pPr>
        <w:pStyle w:val="BodyTextMain"/>
        <w:rPr>
          <w:rFonts w:eastAsia="Calibri"/>
        </w:rPr>
      </w:pPr>
      <w:r w:rsidRPr="00DA00F7">
        <w:rPr>
          <w:rFonts w:eastAsia="Calibri"/>
        </w:rPr>
        <w:t xml:space="preserve">Feldman knew that the Russian government could support Transaero to avoid cutting jobs and prevent problems for large tour companies. Many of Russia’s largest tour operators had already booked tickets through Transaero. Feldman understood that such cases should motivate regulators to change legislation. He wondered if, according to international practice, a new company would eventually arise from the debris of Transaero. </w:t>
      </w:r>
    </w:p>
    <w:p w:rsidR="003828EC" w:rsidRPr="00974A0C" w:rsidRDefault="003828EC" w:rsidP="003828EC">
      <w:pPr>
        <w:pStyle w:val="BodyTextMain"/>
        <w:rPr>
          <w:rFonts w:eastAsia="Calibri"/>
          <w:sz w:val="18"/>
          <w:szCs w:val="18"/>
        </w:rPr>
      </w:pPr>
    </w:p>
    <w:p w:rsidR="003828EC" w:rsidRPr="00DA00F7" w:rsidRDefault="003828EC" w:rsidP="003828EC">
      <w:pPr>
        <w:pStyle w:val="BodyTextMain"/>
        <w:rPr>
          <w:rFonts w:eastAsia="Calibri"/>
        </w:rPr>
      </w:pPr>
      <w:r w:rsidRPr="00DA00F7">
        <w:rPr>
          <w:rFonts w:eastAsia="Calibri"/>
        </w:rPr>
        <w:t>Feldman knew that customers were rarely protected against bankruptcies in Russia. It would be impossible to refund tickets that had already been sold to customers if the company was dissolved. Feldman needed to quickly decide whether to cancel his flights and re-book with another airline. He would not be able to get the convenient direct flights that Transaero had offered, but if he waited he might lose both his flight and his money.</w:t>
      </w:r>
    </w:p>
    <w:p w:rsidR="003828EC" w:rsidRPr="00C81DA7" w:rsidRDefault="003828EC" w:rsidP="003828EC">
      <w:pPr>
        <w:pStyle w:val="BodyTextMain"/>
        <w:rPr>
          <w:rFonts w:eastAsia="Calibri"/>
        </w:rPr>
      </w:pPr>
    </w:p>
    <w:p w:rsidR="003828EC" w:rsidRPr="00974A0C" w:rsidRDefault="003828EC" w:rsidP="003828EC">
      <w:pPr>
        <w:pStyle w:val="BodyTextMain"/>
        <w:rPr>
          <w:rFonts w:eastAsia="Calibri"/>
        </w:rPr>
      </w:pPr>
      <w:r w:rsidRPr="00974A0C">
        <w:rPr>
          <w:rFonts w:eastAsia="Calibri"/>
        </w:rPr>
        <w:t xml:space="preserve">Feldman looked through Transaero’s reports and online data again. Was it possible for Transaero to avoid bankruptcy or, </w:t>
      </w:r>
      <w:r>
        <w:rPr>
          <w:rFonts w:eastAsia="Calibri"/>
        </w:rPr>
        <w:t>if</w:t>
      </w:r>
      <w:r w:rsidRPr="00974A0C">
        <w:rPr>
          <w:rFonts w:eastAsia="Calibri"/>
        </w:rPr>
        <w:t xml:space="preserve"> it could not, to recover from it? What lessons must be learned by the main stakeholders? </w:t>
      </w:r>
    </w:p>
    <w:p w:rsidR="003828EC" w:rsidRPr="00C81DA7" w:rsidRDefault="003828EC" w:rsidP="003828EC">
      <w:pPr>
        <w:spacing w:after="200" w:line="276" w:lineRule="auto"/>
        <w:rPr>
          <w:rFonts w:eastAsia="Calibri"/>
          <w:sz w:val="22"/>
          <w:szCs w:val="22"/>
        </w:rPr>
      </w:pPr>
      <w:r w:rsidRPr="00C81DA7">
        <w:rPr>
          <w:rFonts w:eastAsia="Calibri"/>
        </w:rPr>
        <w:br w:type="page"/>
      </w:r>
    </w:p>
    <w:p w:rsidR="003828EC" w:rsidRDefault="003828EC" w:rsidP="003828EC">
      <w:pPr>
        <w:pStyle w:val="ExhibitHeading"/>
        <w:outlineLvl w:val="0"/>
        <w:rPr>
          <w:rFonts w:eastAsia="Calibri"/>
        </w:rPr>
      </w:pPr>
      <w:r w:rsidRPr="00C81DA7">
        <w:rPr>
          <w:rFonts w:eastAsia="Calibri"/>
        </w:rPr>
        <w:lastRenderedPageBreak/>
        <w:t xml:space="preserve">Exhibit 1: TRANSAERO </w:t>
      </w:r>
      <w:r>
        <w:rPr>
          <w:rFonts w:eastAsia="Calibri"/>
        </w:rPr>
        <w:t>Financial Statements</w:t>
      </w:r>
    </w:p>
    <w:p w:rsidR="003828EC" w:rsidRPr="004F25F7" w:rsidRDefault="003828EC" w:rsidP="003828EC">
      <w:pPr>
        <w:pStyle w:val="ExhibitText"/>
        <w:rPr>
          <w:rFonts w:eastAsia="Calibri"/>
          <w:sz w:val="14"/>
          <w:szCs w:val="14"/>
        </w:rPr>
      </w:pPr>
    </w:p>
    <w:p w:rsidR="003828EC" w:rsidRPr="00C81DA7" w:rsidRDefault="003828EC" w:rsidP="003828EC">
      <w:pPr>
        <w:pStyle w:val="Casehead2"/>
        <w:jc w:val="center"/>
        <w:rPr>
          <w:rFonts w:eastAsia="Calibri"/>
        </w:rPr>
      </w:pPr>
      <w:r>
        <w:rPr>
          <w:rFonts w:eastAsia="Calibri"/>
        </w:rPr>
        <w:t>(A) Transaero Income</w:t>
      </w:r>
      <w:r w:rsidRPr="00C81DA7">
        <w:rPr>
          <w:rFonts w:eastAsia="Calibri"/>
        </w:rPr>
        <w:t xml:space="preserve"> Statement</w:t>
      </w:r>
      <w:r>
        <w:rPr>
          <w:rFonts w:eastAsia="Calibri"/>
        </w:rPr>
        <w:t xml:space="preserve"> (in RUB millions)</w:t>
      </w:r>
    </w:p>
    <w:p w:rsidR="003828EC" w:rsidRPr="004F25F7" w:rsidRDefault="003828EC" w:rsidP="003828EC">
      <w:pPr>
        <w:pStyle w:val="ExhibitText"/>
        <w:rPr>
          <w:rFonts w:eastAsia="Calibri"/>
          <w:sz w:val="14"/>
          <w:szCs w:val="14"/>
        </w:rPr>
      </w:pPr>
    </w:p>
    <w:tbl>
      <w:tblPr>
        <w:tblStyle w:val="TableGrid"/>
        <w:tblW w:w="4861" w:type="pct"/>
        <w:jc w:val="center"/>
        <w:tblLook w:val="04A0" w:firstRow="1" w:lastRow="0" w:firstColumn="1" w:lastColumn="0" w:noHBand="0" w:noVBand="1"/>
      </w:tblPr>
      <w:tblGrid>
        <w:gridCol w:w="3510"/>
        <w:gridCol w:w="1080"/>
        <w:gridCol w:w="1080"/>
        <w:gridCol w:w="1080"/>
        <w:gridCol w:w="1170"/>
        <w:gridCol w:w="1170"/>
      </w:tblGrid>
      <w:tr w:rsidR="003828EC" w:rsidRPr="00D963D8" w:rsidTr="00813EBC">
        <w:trPr>
          <w:trHeight w:val="360"/>
          <w:jc w:val="center"/>
        </w:trPr>
        <w:tc>
          <w:tcPr>
            <w:tcW w:w="3510" w:type="dxa"/>
            <w:tcMar>
              <w:left w:w="86" w:type="dxa"/>
              <w:right w:w="86" w:type="dxa"/>
            </w:tcMar>
            <w:vAlign w:val="center"/>
            <w:hideMark/>
          </w:tcPr>
          <w:p w:rsidR="003828EC" w:rsidRPr="00427BFF" w:rsidRDefault="003828EC" w:rsidP="00813EBC">
            <w:pPr>
              <w:pStyle w:val="BodyTextMain"/>
              <w:jc w:val="center"/>
              <w:rPr>
                <w:rFonts w:ascii="Arial" w:eastAsia="Calibri" w:hAnsi="Arial" w:cs="Arial"/>
                <w:b/>
                <w:bCs/>
                <w:sz w:val="18"/>
                <w:szCs w:val="18"/>
              </w:rPr>
            </w:pPr>
            <w:r w:rsidRPr="00427BFF">
              <w:rPr>
                <w:rFonts w:ascii="Arial" w:eastAsia="Calibri" w:hAnsi="Arial" w:cs="Arial"/>
                <w:b/>
                <w:bCs/>
                <w:sz w:val="18"/>
                <w:szCs w:val="18"/>
              </w:rPr>
              <w:t>For the Fiscal Period Ending</w:t>
            </w:r>
          </w:p>
        </w:tc>
        <w:tc>
          <w:tcPr>
            <w:tcW w:w="1080" w:type="dxa"/>
            <w:tcMar>
              <w:left w:w="86" w:type="dxa"/>
              <w:right w:w="86" w:type="dxa"/>
            </w:tcMar>
            <w:vAlign w:val="center"/>
            <w:hideMark/>
          </w:tcPr>
          <w:p w:rsidR="003828EC" w:rsidRPr="00427BFF" w:rsidRDefault="003828EC" w:rsidP="00813EBC">
            <w:pPr>
              <w:pStyle w:val="BodyTextMain"/>
              <w:jc w:val="center"/>
              <w:rPr>
                <w:rFonts w:ascii="Arial" w:eastAsia="Calibri" w:hAnsi="Arial" w:cs="Arial"/>
                <w:b/>
                <w:bCs/>
                <w:sz w:val="18"/>
                <w:szCs w:val="18"/>
              </w:rPr>
            </w:pPr>
            <w:r w:rsidRPr="00427BFF">
              <w:rPr>
                <w:rFonts w:ascii="Arial" w:eastAsia="Calibri" w:hAnsi="Arial" w:cs="Arial"/>
                <w:b/>
                <w:bCs/>
                <w:sz w:val="18"/>
                <w:szCs w:val="18"/>
              </w:rPr>
              <w:t>12 months</w:t>
            </w:r>
            <w:r w:rsidRPr="00427BFF">
              <w:rPr>
                <w:rFonts w:ascii="Arial" w:eastAsia="Calibri" w:hAnsi="Arial" w:cs="Arial"/>
                <w:b/>
                <w:bCs/>
                <w:sz w:val="18"/>
                <w:szCs w:val="18"/>
              </w:rPr>
              <w:br/>
              <w:t>Dec. 31, 2011</w:t>
            </w:r>
          </w:p>
        </w:tc>
        <w:tc>
          <w:tcPr>
            <w:tcW w:w="1080" w:type="dxa"/>
            <w:tcMar>
              <w:left w:w="86" w:type="dxa"/>
              <w:right w:w="86" w:type="dxa"/>
            </w:tcMar>
            <w:vAlign w:val="center"/>
            <w:hideMark/>
          </w:tcPr>
          <w:p w:rsidR="003828EC" w:rsidRPr="00427BFF" w:rsidRDefault="003828EC" w:rsidP="00813EBC">
            <w:pPr>
              <w:pStyle w:val="BodyTextMain"/>
              <w:jc w:val="center"/>
              <w:rPr>
                <w:rFonts w:ascii="Arial" w:eastAsia="Calibri" w:hAnsi="Arial" w:cs="Arial"/>
                <w:b/>
                <w:bCs/>
                <w:sz w:val="18"/>
                <w:szCs w:val="18"/>
              </w:rPr>
            </w:pPr>
            <w:r w:rsidRPr="00427BFF">
              <w:rPr>
                <w:rFonts w:ascii="Arial" w:eastAsia="Calibri" w:hAnsi="Arial" w:cs="Arial"/>
                <w:b/>
                <w:bCs/>
                <w:sz w:val="18"/>
                <w:szCs w:val="18"/>
              </w:rPr>
              <w:t>12 months</w:t>
            </w:r>
            <w:r w:rsidRPr="00427BFF">
              <w:rPr>
                <w:rFonts w:ascii="Arial" w:eastAsia="Calibri" w:hAnsi="Arial" w:cs="Arial"/>
                <w:b/>
                <w:bCs/>
                <w:sz w:val="18"/>
                <w:szCs w:val="18"/>
              </w:rPr>
              <w:br/>
              <w:t>Dec. 31, 2012</w:t>
            </w:r>
          </w:p>
        </w:tc>
        <w:tc>
          <w:tcPr>
            <w:tcW w:w="1080" w:type="dxa"/>
            <w:tcMar>
              <w:left w:w="86" w:type="dxa"/>
              <w:right w:w="86" w:type="dxa"/>
            </w:tcMar>
            <w:vAlign w:val="center"/>
            <w:hideMark/>
          </w:tcPr>
          <w:p w:rsidR="003828EC" w:rsidRPr="00427BFF" w:rsidRDefault="003828EC" w:rsidP="00813EBC">
            <w:pPr>
              <w:pStyle w:val="BodyTextMain"/>
              <w:jc w:val="center"/>
              <w:rPr>
                <w:rFonts w:ascii="Arial" w:eastAsia="Calibri" w:hAnsi="Arial" w:cs="Arial"/>
                <w:b/>
                <w:bCs/>
                <w:sz w:val="18"/>
                <w:szCs w:val="18"/>
              </w:rPr>
            </w:pPr>
            <w:r w:rsidRPr="00427BFF">
              <w:rPr>
                <w:rFonts w:ascii="Arial" w:eastAsia="Calibri" w:hAnsi="Arial" w:cs="Arial"/>
                <w:b/>
                <w:bCs/>
                <w:sz w:val="18"/>
                <w:szCs w:val="18"/>
              </w:rPr>
              <w:t>12 months</w:t>
            </w:r>
            <w:r w:rsidRPr="00427BFF">
              <w:rPr>
                <w:rFonts w:ascii="Arial" w:eastAsia="Calibri" w:hAnsi="Arial" w:cs="Arial"/>
                <w:b/>
                <w:bCs/>
                <w:sz w:val="18"/>
                <w:szCs w:val="18"/>
              </w:rPr>
              <w:br/>
              <w:t>Dec. 31, 2013</w:t>
            </w:r>
          </w:p>
        </w:tc>
        <w:tc>
          <w:tcPr>
            <w:tcW w:w="1170" w:type="dxa"/>
            <w:tcMar>
              <w:left w:w="86" w:type="dxa"/>
              <w:right w:w="86" w:type="dxa"/>
            </w:tcMar>
            <w:vAlign w:val="center"/>
            <w:hideMark/>
          </w:tcPr>
          <w:p w:rsidR="003828EC" w:rsidRPr="00427BFF" w:rsidRDefault="003828EC" w:rsidP="00813EBC">
            <w:pPr>
              <w:pStyle w:val="BodyTextMain"/>
              <w:jc w:val="center"/>
              <w:rPr>
                <w:rFonts w:ascii="Arial" w:eastAsia="Calibri" w:hAnsi="Arial" w:cs="Arial"/>
                <w:b/>
                <w:bCs/>
                <w:sz w:val="18"/>
                <w:szCs w:val="18"/>
              </w:rPr>
            </w:pPr>
            <w:r w:rsidRPr="00427BFF">
              <w:rPr>
                <w:rFonts w:ascii="Arial" w:eastAsia="Calibri" w:hAnsi="Arial" w:cs="Arial"/>
                <w:b/>
                <w:bCs/>
                <w:sz w:val="18"/>
                <w:szCs w:val="18"/>
              </w:rPr>
              <w:t>12 months</w:t>
            </w:r>
            <w:r w:rsidRPr="00427BFF">
              <w:rPr>
                <w:rFonts w:ascii="Arial" w:eastAsia="Calibri" w:hAnsi="Arial" w:cs="Arial"/>
                <w:b/>
                <w:bCs/>
                <w:sz w:val="18"/>
                <w:szCs w:val="18"/>
              </w:rPr>
              <w:br/>
              <w:t>Dec. 31, 2014</w:t>
            </w:r>
          </w:p>
        </w:tc>
        <w:tc>
          <w:tcPr>
            <w:tcW w:w="1170" w:type="dxa"/>
            <w:tcMar>
              <w:left w:w="86" w:type="dxa"/>
              <w:right w:w="86" w:type="dxa"/>
            </w:tcMar>
            <w:vAlign w:val="center"/>
            <w:hideMark/>
          </w:tcPr>
          <w:p w:rsidR="003828EC" w:rsidRPr="00427BFF" w:rsidRDefault="003828EC" w:rsidP="00813EBC">
            <w:pPr>
              <w:pStyle w:val="BodyTextMain"/>
              <w:ind w:right="-99" w:hanging="91"/>
              <w:jc w:val="center"/>
              <w:rPr>
                <w:rFonts w:ascii="Arial" w:eastAsia="Calibri" w:hAnsi="Arial" w:cs="Arial"/>
                <w:b/>
                <w:bCs/>
                <w:sz w:val="18"/>
                <w:szCs w:val="18"/>
              </w:rPr>
            </w:pPr>
            <w:r w:rsidRPr="00427BFF">
              <w:rPr>
                <w:rFonts w:ascii="Arial" w:eastAsia="Calibri" w:hAnsi="Arial" w:cs="Arial"/>
                <w:b/>
                <w:bCs/>
                <w:sz w:val="18"/>
                <w:szCs w:val="18"/>
              </w:rPr>
              <w:t>12 months</w:t>
            </w:r>
            <w:r w:rsidRPr="00427BFF">
              <w:rPr>
                <w:rFonts w:ascii="Arial" w:eastAsia="Calibri" w:hAnsi="Arial" w:cs="Arial"/>
                <w:b/>
                <w:bCs/>
                <w:sz w:val="18"/>
                <w:szCs w:val="18"/>
              </w:rPr>
              <w:br/>
              <w:t>Jun. 30, 2015</w:t>
            </w:r>
            <w:r>
              <w:rPr>
                <w:rFonts w:ascii="Arial" w:eastAsia="Calibri" w:hAnsi="Arial" w:cs="Arial"/>
                <w:b/>
                <w:bCs/>
                <w:sz w:val="18"/>
                <w:szCs w:val="18"/>
              </w:rPr>
              <w:t>*</w:t>
            </w:r>
          </w:p>
        </w:tc>
      </w:tr>
      <w:tr w:rsidR="003828EC" w:rsidRPr="00D963D8" w:rsidTr="00813EBC">
        <w:trPr>
          <w:trHeight w:val="296"/>
          <w:jc w:val="center"/>
        </w:trPr>
        <w:tc>
          <w:tcPr>
            <w:tcW w:w="3510" w:type="dxa"/>
            <w:noWrap/>
            <w:tcMar>
              <w:left w:w="86" w:type="dxa"/>
              <w:right w:w="86" w:type="dxa"/>
            </w:tcMar>
            <w:vAlign w:val="center"/>
            <w:hideMark/>
          </w:tcPr>
          <w:p w:rsidR="003828EC" w:rsidRPr="00427BFF" w:rsidRDefault="003828EC" w:rsidP="00813EBC">
            <w:pPr>
              <w:pStyle w:val="BodyTextMain"/>
              <w:jc w:val="left"/>
              <w:rPr>
                <w:rFonts w:ascii="Arial" w:eastAsia="Calibri" w:hAnsi="Arial" w:cs="Arial"/>
                <w:sz w:val="18"/>
                <w:szCs w:val="18"/>
              </w:rPr>
            </w:pPr>
            <w:r w:rsidRPr="00427BFF">
              <w:rPr>
                <w:rFonts w:ascii="Arial" w:eastAsia="Calibri" w:hAnsi="Arial" w:cs="Arial"/>
                <w:sz w:val="18"/>
                <w:szCs w:val="18"/>
              </w:rPr>
              <w:t>Revenue</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68,226.0</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91,843.5</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105,449.3</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113,761.5</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116,258.9</w:t>
            </w:r>
          </w:p>
        </w:tc>
      </w:tr>
      <w:tr w:rsidR="003828EC" w:rsidRPr="00D963D8" w:rsidTr="00813EBC">
        <w:trPr>
          <w:trHeight w:val="269"/>
          <w:jc w:val="center"/>
        </w:trPr>
        <w:tc>
          <w:tcPr>
            <w:tcW w:w="3510" w:type="dxa"/>
            <w:noWrap/>
            <w:tcMar>
              <w:left w:w="86" w:type="dxa"/>
              <w:right w:w="86" w:type="dxa"/>
            </w:tcMar>
            <w:vAlign w:val="center"/>
            <w:hideMark/>
          </w:tcPr>
          <w:p w:rsidR="003828EC" w:rsidRPr="00427BFF" w:rsidRDefault="003828EC" w:rsidP="00813EBC">
            <w:pPr>
              <w:pStyle w:val="BodyTextMain"/>
              <w:jc w:val="left"/>
              <w:rPr>
                <w:rFonts w:ascii="Arial" w:eastAsia="Calibri" w:hAnsi="Arial" w:cs="Arial"/>
                <w:sz w:val="18"/>
                <w:szCs w:val="18"/>
              </w:rPr>
            </w:pPr>
            <w:r w:rsidRPr="00427BFF">
              <w:rPr>
                <w:rFonts w:ascii="Arial" w:eastAsia="Calibri" w:hAnsi="Arial" w:cs="Arial"/>
                <w:sz w:val="18"/>
                <w:szCs w:val="18"/>
              </w:rPr>
              <w:t>Cost of Goods Sold</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62,244.9</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75,918.6</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104,963.7</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102,629.4</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100,063.5</w:t>
            </w:r>
          </w:p>
        </w:tc>
      </w:tr>
      <w:tr w:rsidR="003828EC" w:rsidRPr="00D963D8" w:rsidTr="00813EBC">
        <w:trPr>
          <w:trHeight w:val="251"/>
          <w:jc w:val="center"/>
        </w:trPr>
        <w:tc>
          <w:tcPr>
            <w:tcW w:w="3510" w:type="dxa"/>
            <w:noWrap/>
            <w:tcMar>
              <w:left w:w="86" w:type="dxa"/>
              <w:right w:w="86" w:type="dxa"/>
            </w:tcMar>
            <w:vAlign w:val="center"/>
            <w:hideMark/>
          </w:tcPr>
          <w:p w:rsidR="003828EC" w:rsidRPr="00427BFF" w:rsidRDefault="003828EC" w:rsidP="00813EBC">
            <w:pPr>
              <w:pStyle w:val="BodyTextMain"/>
              <w:jc w:val="left"/>
              <w:rPr>
                <w:rFonts w:ascii="Arial" w:eastAsia="Calibri" w:hAnsi="Arial" w:cs="Arial"/>
                <w:b/>
                <w:bCs/>
                <w:sz w:val="18"/>
                <w:szCs w:val="18"/>
              </w:rPr>
            </w:pPr>
            <w:r w:rsidRPr="00427BFF">
              <w:rPr>
                <w:rFonts w:ascii="Arial" w:eastAsia="Calibri" w:hAnsi="Arial" w:cs="Arial"/>
                <w:b/>
                <w:bCs/>
                <w:sz w:val="18"/>
                <w:szCs w:val="18"/>
              </w:rPr>
              <w:t>Gross Profit</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5,981.1</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15,925.0</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485.7</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11,132.0</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16,195.4</w:t>
            </w:r>
          </w:p>
        </w:tc>
      </w:tr>
      <w:tr w:rsidR="003828EC" w:rsidRPr="00D963D8" w:rsidTr="00813EBC">
        <w:trPr>
          <w:trHeight w:val="269"/>
          <w:jc w:val="center"/>
        </w:trPr>
        <w:tc>
          <w:tcPr>
            <w:tcW w:w="3510" w:type="dxa"/>
            <w:noWrap/>
            <w:tcMar>
              <w:left w:w="86" w:type="dxa"/>
              <w:right w:w="86" w:type="dxa"/>
            </w:tcMar>
            <w:vAlign w:val="center"/>
            <w:hideMark/>
          </w:tcPr>
          <w:p w:rsidR="003828EC" w:rsidRPr="00427BFF" w:rsidRDefault="003828EC" w:rsidP="00813EBC">
            <w:pPr>
              <w:pStyle w:val="BodyTextMain"/>
              <w:jc w:val="left"/>
              <w:rPr>
                <w:rFonts w:ascii="Arial" w:eastAsia="Calibri" w:hAnsi="Arial" w:cs="Arial"/>
                <w:sz w:val="18"/>
                <w:szCs w:val="18"/>
              </w:rPr>
            </w:pPr>
            <w:r w:rsidRPr="00427BFF">
              <w:rPr>
                <w:rFonts w:ascii="Arial" w:eastAsia="Calibri" w:hAnsi="Arial" w:cs="Arial"/>
                <w:sz w:val="18"/>
                <w:szCs w:val="18"/>
              </w:rPr>
              <w:t>Selling, General, &amp; Admin Expenses</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3,605.5</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5,095.5</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3,655.4</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3,773.4</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4,421.5</w:t>
            </w:r>
          </w:p>
        </w:tc>
      </w:tr>
      <w:tr w:rsidR="003828EC" w:rsidRPr="00D963D8" w:rsidTr="00813EBC">
        <w:trPr>
          <w:trHeight w:val="260"/>
          <w:jc w:val="center"/>
        </w:trPr>
        <w:tc>
          <w:tcPr>
            <w:tcW w:w="3510" w:type="dxa"/>
            <w:noWrap/>
            <w:tcMar>
              <w:left w:w="86" w:type="dxa"/>
              <w:right w:w="86" w:type="dxa"/>
            </w:tcMar>
            <w:vAlign w:val="center"/>
            <w:hideMark/>
          </w:tcPr>
          <w:p w:rsidR="003828EC" w:rsidRPr="00427BFF" w:rsidRDefault="003828EC" w:rsidP="00813EBC">
            <w:pPr>
              <w:pStyle w:val="BodyTextMain"/>
              <w:jc w:val="left"/>
              <w:rPr>
                <w:rFonts w:ascii="Arial" w:eastAsia="Calibri" w:hAnsi="Arial" w:cs="Arial"/>
                <w:sz w:val="18"/>
                <w:szCs w:val="18"/>
              </w:rPr>
            </w:pPr>
            <w:r w:rsidRPr="00427BFF">
              <w:rPr>
                <w:rFonts w:ascii="Arial" w:eastAsia="Calibri" w:hAnsi="Arial" w:cs="Arial"/>
                <w:sz w:val="18"/>
                <w:szCs w:val="18"/>
              </w:rPr>
              <w:t>Depreciation &amp; Amortization</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1,632.3</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2,637.1</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3,289.4</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2,819.7</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3,088.4</w:t>
            </w:r>
          </w:p>
        </w:tc>
      </w:tr>
      <w:tr w:rsidR="003828EC" w:rsidRPr="00D963D8" w:rsidTr="00813EBC">
        <w:trPr>
          <w:trHeight w:val="251"/>
          <w:jc w:val="center"/>
        </w:trPr>
        <w:tc>
          <w:tcPr>
            <w:tcW w:w="3510" w:type="dxa"/>
            <w:noWrap/>
            <w:tcMar>
              <w:left w:w="86" w:type="dxa"/>
              <w:right w:w="86" w:type="dxa"/>
            </w:tcMar>
            <w:vAlign w:val="center"/>
            <w:hideMark/>
          </w:tcPr>
          <w:p w:rsidR="003828EC" w:rsidRPr="00427BFF" w:rsidRDefault="003828EC" w:rsidP="00813EBC">
            <w:pPr>
              <w:pStyle w:val="BodyTextMain"/>
              <w:jc w:val="left"/>
              <w:rPr>
                <w:rFonts w:ascii="Arial" w:eastAsia="Calibri" w:hAnsi="Arial" w:cs="Arial"/>
                <w:sz w:val="18"/>
                <w:szCs w:val="18"/>
              </w:rPr>
            </w:pPr>
            <w:r w:rsidRPr="00427BFF">
              <w:rPr>
                <w:rFonts w:ascii="Arial" w:eastAsia="Calibri" w:hAnsi="Arial" w:cs="Arial"/>
                <w:sz w:val="18"/>
                <w:szCs w:val="18"/>
              </w:rPr>
              <w:t>Other Operating Expenses/(Income)</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159.8</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139.0</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(25.1)</w:t>
            </w:r>
          </w:p>
        </w:tc>
      </w:tr>
      <w:tr w:rsidR="003828EC" w:rsidRPr="00D963D8" w:rsidTr="00813EBC">
        <w:trPr>
          <w:trHeight w:val="260"/>
          <w:jc w:val="center"/>
        </w:trPr>
        <w:tc>
          <w:tcPr>
            <w:tcW w:w="3510" w:type="dxa"/>
            <w:noWrap/>
            <w:tcMar>
              <w:left w:w="86" w:type="dxa"/>
              <w:right w:w="86" w:type="dxa"/>
            </w:tcMar>
            <w:vAlign w:val="center"/>
            <w:hideMark/>
          </w:tcPr>
          <w:p w:rsidR="003828EC" w:rsidRPr="00427BFF" w:rsidRDefault="003828EC" w:rsidP="00813EBC">
            <w:pPr>
              <w:pStyle w:val="BodyTextMain"/>
              <w:jc w:val="left"/>
              <w:rPr>
                <w:rFonts w:ascii="Arial" w:eastAsia="Calibri" w:hAnsi="Arial" w:cs="Arial"/>
                <w:bCs/>
                <w:sz w:val="18"/>
                <w:szCs w:val="18"/>
              </w:rPr>
            </w:pPr>
            <w:r w:rsidRPr="00427BFF">
              <w:rPr>
                <w:rFonts w:ascii="Arial" w:eastAsia="Calibri" w:hAnsi="Arial" w:cs="Arial"/>
                <w:bCs/>
                <w:sz w:val="18"/>
                <w:szCs w:val="18"/>
              </w:rPr>
              <w:t>Operating Expenses, Total</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5,397.6</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7,871.5</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6,944.7</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6,593.1</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7,484.8</w:t>
            </w:r>
          </w:p>
        </w:tc>
      </w:tr>
      <w:tr w:rsidR="003828EC" w:rsidRPr="00D963D8" w:rsidTr="00813EBC">
        <w:trPr>
          <w:trHeight w:val="260"/>
          <w:jc w:val="center"/>
        </w:trPr>
        <w:tc>
          <w:tcPr>
            <w:tcW w:w="3510" w:type="dxa"/>
            <w:noWrap/>
            <w:tcMar>
              <w:left w:w="86" w:type="dxa"/>
              <w:right w:w="86" w:type="dxa"/>
            </w:tcMar>
            <w:vAlign w:val="center"/>
            <w:hideMark/>
          </w:tcPr>
          <w:p w:rsidR="003828EC" w:rsidRPr="00427BFF" w:rsidRDefault="003828EC" w:rsidP="00813EBC">
            <w:pPr>
              <w:pStyle w:val="BodyTextMain"/>
              <w:jc w:val="left"/>
              <w:rPr>
                <w:rFonts w:ascii="Arial" w:eastAsia="Calibri" w:hAnsi="Arial" w:cs="Arial"/>
                <w:b/>
                <w:bCs/>
                <w:sz w:val="18"/>
                <w:szCs w:val="18"/>
              </w:rPr>
            </w:pPr>
            <w:r w:rsidRPr="00427BFF">
              <w:rPr>
                <w:rFonts w:ascii="Arial" w:eastAsia="Calibri" w:hAnsi="Arial" w:cs="Arial"/>
                <w:b/>
                <w:bCs/>
                <w:sz w:val="18"/>
                <w:szCs w:val="18"/>
              </w:rPr>
              <w:t>Operating Income</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583.5</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8,053.4</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(6,459.0)</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4,539.0</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8,710.7</w:t>
            </w:r>
          </w:p>
        </w:tc>
      </w:tr>
      <w:tr w:rsidR="003828EC" w:rsidRPr="00D963D8" w:rsidTr="00813EBC">
        <w:trPr>
          <w:trHeight w:val="269"/>
          <w:jc w:val="center"/>
        </w:trPr>
        <w:tc>
          <w:tcPr>
            <w:tcW w:w="3510" w:type="dxa"/>
            <w:noWrap/>
            <w:tcMar>
              <w:left w:w="86" w:type="dxa"/>
              <w:right w:w="86" w:type="dxa"/>
            </w:tcMar>
            <w:vAlign w:val="center"/>
            <w:hideMark/>
          </w:tcPr>
          <w:p w:rsidR="003828EC" w:rsidRPr="00427BFF" w:rsidRDefault="003828EC" w:rsidP="00813EBC">
            <w:pPr>
              <w:pStyle w:val="BodyTextMain"/>
              <w:jc w:val="left"/>
              <w:rPr>
                <w:rFonts w:ascii="Arial" w:eastAsia="Calibri" w:hAnsi="Arial" w:cs="Arial"/>
                <w:sz w:val="18"/>
                <w:szCs w:val="18"/>
              </w:rPr>
            </w:pPr>
            <w:r w:rsidRPr="00427BFF">
              <w:rPr>
                <w:rFonts w:ascii="Arial" w:eastAsia="Calibri" w:hAnsi="Arial" w:cs="Arial"/>
                <w:sz w:val="18"/>
                <w:szCs w:val="18"/>
              </w:rPr>
              <w:t>Interest Expense</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(6,215.3)</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(8,509.3)</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(10,627.5)</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(13,762.3)</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(18,844.0)</w:t>
            </w:r>
          </w:p>
        </w:tc>
      </w:tr>
      <w:tr w:rsidR="003828EC" w:rsidRPr="00D963D8" w:rsidTr="00813EBC">
        <w:trPr>
          <w:trHeight w:val="251"/>
          <w:jc w:val="center"/>
        </w:trPr>
        <w:tc>
          <w:tcPr>
            <w:tcW w:w="3510" w:type="dxa"/>
            <w:noWrap/>
            <w:tcMar>
              <w:left w:w="86" w:type="dxa"/>
              <w:right w:w="86" w:type="dxa"/>
            </w:tcMar>
            <w:vAlign w:val="center"/>
            <w:hideMark/>
          </w:tcPr>
          <w:p w:rsidR="003828EC" w:rsidRPr="00427BFF" w:rsidRDefault="003828EC" w:rsidP="00813EBC">
            <w:pPr>
              <w:pStyle w:val="BodyTextMain"/>
              <w:jc w:val="left"/>
              <w:rPr>
                <w:rFonts w:ascii="Arial" w:eastAsia="Calibri" w:hAnsi="Arial" w:cs="Arial"/>
                <w:sz w:val="18"/>
                <w:szCs w:val="18"/>
              </w:rPr>
            </w:pPr>
            <w:r w:rsidRPr="00427BFF">
              <w:rPr>
                <w:rFonts w:ascii="Arial" w:eastAsia="Calibri" w:hAnsi="Arial" w:cs="Arial"/>
                <w:sz w:val="18"/>
                <w:szCs w:val="18"/>
              </w:rPr>
              <w:t>Currency Exchange Gains (Loss)</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(283.2)</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(1,025.5)</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(984.5)</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(9,484.0)</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(4,226.1)</w:t>
            </w:r>
          </w:p>
        </w:tc>
      </w:tr>
      <w:tr w:rsidR="003828EC" w:rsidRPr="00D963D8" w:rsidTr="00813EBC">
        <w:trPr>
          <w:trHeight w:val="269"/>
          <w:jc w:val="center"/>
        </w:trPr>
        <w:tc>
          <w:tcPr>
            <w:tcW w:w="3510" w:type="dxa"/>
            <w:noWrap/>
            <w:tcMar>
              <w:left w:w="86" w:type="dxa"/>
              <w:right w:w="86" w:type="dxa"/>
            </w:tcMar>
            <w:vAlign w:val="center"/>
            <w:hideMark/>
          </w:tcPr>
          <w:p w:rsidR="003828EC" w:rsidRPr="00427BFF" w:rsidRDefault="003828EC" w:rsidP="00813EBC">
            <w:pPr>
              <w:pStyle w:val="BodyTextMain"/>
              <w:jc w:val="left"/>
              <w:rPr>
                <w:rFonts w:ascii="Arial" w:eastAsia="Calibri" w:hAnsi="Arial" w:cs="Arial"/>
                <w:sz w:val="18"/>
                <w:szCs w:val="18"/>
              </w:rPr>
            </w:pPr>
            <w:r w:rsidRPr="00427BFF">
              <w:rPr>
                <w:rFonts w:ascii="Arial" w:eastAsia="Calibri" w:hAnsi="Arial" w:cs="Arial"/>
                <w:sz w:val="18"/>
                <w:szCs w:val="18"/>
              </w:rPr>
              <w:t>Other Non-Operating Income (Expenses)</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3,728.3</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1,137.8</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1,693.0</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334.1</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5,104.4</w:t>
            </w:r>
          </w:p>
        </w:tc>
      </w:tr>
      <w:tr w:rsidR="003828EC" w:rsidRPr="00D963D8" w:rsidTr="00813EBC">
        <w:trPr>
          <w:trHeight w:val="260"/>
          <w:jc w:val="center"/>
        </w:trPr>
        <w:tc>
          <w:tcPr>
            <w:tcW w:w="3510" w:type="dxa"/>
            <w:noWrap/>
            <w:tcMar>
              <w:left w:w="86" w:type="dxa"/>
              <w:right w:w="86" w:type="dxa"/>
            </w:tcMar>
            <w:vAlign w:val="center"/>
            <w:hideMark/>
          </w:tcPr>
          <w:p w:rsidR="003828EC" w:rsidRPr="00427BFF" w:rsidRDefault="003828EC" w:rsidP="00813EBC">
            <w:pPr>
              <w:pStyle w:val="BodyTextMain"/>
              <w:jc w:val="left"/>
              <w:rPr>
                <w:rFonts w:ascii="Arial" w:eastAsia="Calibri" w:hAnsi="Arial" w:cs="Arial"/>
                <w:sz w:val="18"/>
                <w:szCs w:val="18"/>
              </w:rPr>
            </w:pPr>
            <w:r w:rsidRPr="00427BFF">
              <w:rPr>
                <w:rFonts w:ascii="Arial" w:eastAsia="Calibri" w:hAnsi="Arial" w:cs="Arial"/>
                <w:sz w:val="18"/>
                <w:szCs w:val="18"/>
              </w:rPr>
              <w:t>Gain (Loss) on Sale of Investments</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(355.5)</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w:t>
            </w:r>
          </w:p>
        </w:tc>
      </w:tr>
      <w:tr w:rsidR="003828EC" w:rsidRPr="00D963D8" w:rsidTr="00813EBC">
        <w:trPr>
          <w:trHeight w:val="251"/>
          <w:jc w:val="center"/>
        </w:trPr>
        <w:tc>
          <w:tcPr>
            <w:tcW w:w="3510" w:type="dxa"/>
            <w:noWrap/>
            <w:tcMar>
              <w:left w:w="86" w:type="dxa"/>
              <w:right w:w="86" w:type="dxa"/>
            </w:tcMar>
            <w:vAlign w:val="center"/>
            <w:hideMark/>
          </w:tcPr>
          <w:p w:rsidR="003828EC" w:rsidRPr="00427BFF" w:rsidRDefault="003828EC" w:rsidP="00813EBC">
            <w:pPr>
              <w:pStyle w:val="BodyTextMain"/>
              <w:jc w:val="left"/>
              <w:rPr>
                <w:rFonts w:ascii="Arial" w:eastAsia="Calibri" w:hAnsi="Arial" w:cs="Arial"/>
                <w:sz w:val="18"/>
                <w:szCs w:val="18"/>
              </w:rPr>
            </w:pPr>
            <w:r w:rsidRPr="00427BFF">
              <w:rPr>
                <w:rFonts w:ascii="Arial" w:eastAsia="Calibri" w:hAnsi="Arial" w:cs="Arial"/>
                <w:sz w:val="18"/>
                <w:szCs w:val="18"/>
              </w:rPr>
              <w:t>Gain (Loss) on Sale of Assets</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4,379.1</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975.2</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402.5</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51.4</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419.8</w:t>
            </w:r>
          </w:p>
        </w:tc>
      </w:tr>
      <w:tr w:rsidR="003828EC" w:rsidRPr="00D963D8" w:rsidTr="00813EBC">
        <w:trPr>
          <w:trHeight w:val="260"/>
          <w:jc w:val="center"/>
        </w:trPr>
        <w:tc>
          <w:tcPr>
            <w:tcW w:w="3510" w:type="dxa"/>
            <w:noWrap/>
            <w:tcMar>
              <w:left w:w="86" w:type="dxa"/>
              <w:right w:w="86" w:type="dxa"/>
            </w:tcMar>
            <w:vAlign w:val="center"/>
            <w:hideMark/>
          </w:tcPr>
          <w:p w:rsidR="003828EC" w:rsidRPr="00427BFF" w:rsidRDefault="003828EC" w:rsidP="00813EBC">
            <w:pPr>
              <w:pStyle w:val="BodyTextMain"/>
              <w:jc w:val="left"/>
              <w:rPr>
                <w:rFonts w:ascii="Arial" w:eastAsia="Calibri" w:hAnsi="Arial" w:cs="Arial"/>
                <w:b/>
                <w:bCs/>
                <w:sz w:val="18"/>
                <w:szCs w:val="18"/>
              </w:rPr>
            </w:pPr>
            <w:r w:rsidRPr="00427BFF">
              <w:rPr>
                <w:rFonts w:ascii="Arial" w:eastAsia="Calibri" w:hAnsi="Arial" w:cs="Arial"/>
                <w:b/>
                <w:bCs/>
                <w:sz w:val="18"/>
                <w:szCs w:val="18"/>
              </w:rPr>
              <w:t xml:space="preserve">Earnings Before Tax </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2,192.4</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276.1</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(15,975.6)</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(18,321.8)</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(8,835.2)</w:t>
            </w:r>
          </w:p>
        </w:tc>
      </w:tr>
      <w:tr w:rsidR="003828EC" w:rsidRPr="00D963D8" w:rsidTr="00813EBC">
        <w:trPr>
          <w:trHeight w:val="260"/>
          <w:jc w:val="center"/>
        </w:trPr>
        <w:tc>
          <w:tcPr>
            <w:tcW w:w="3510" w:type="dxa"/>
            <w:noWrap/>
            <w:tcMar>
              <w:left w:w="86" w:type="dxa"/>
              <w:right w:w="86" w:type="dxa"/>
            </w:tcMar>
            <w:vAlign w:val="center"/>
            <w:hideMark/>
          </w:tcPr>
          <w:p w:rsidR="003828EC" w:rsidRPr="00427BFF" w:rsidRDefault="003828EC" w:rsidP="00813EBC">
            <w:pPr>
              <w:pStyle w:val="BodyTextMain"/>
              <w:jc w:val="left"/>
              <w:rPr>
                <w:rFonts w:ascii="Arial" w:eastAsia="Calibri" w:hAnsi="Arial" w:cs="Arial"/>
                <w:sz w:val="18"/>
                <w:szCs w:val="18"/>
              </w:rPr>
            </w:pPr>
            <w:r w:rsidRPr="00427BFF">
              <w:rPr>
                <w:rFonts w:ascii="Arial" w:eastAsia="Calibri" w:hAnsi="Arial" w:cs="Arial"/>
                <w:sz w:val="18"/>
                <w:szCs w:val="18"/>
              </w:rPr>
              <w:t>Income Tax Expense</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0.3</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504.1</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(2,634.5)</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(3,858.8)</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sz w:val="18"/>
                <w:szCs w:val="18"/>
              </w:rPr>
            </w:pPr>
            <w:r w:rsidRPr="00427BFF">
              <w:rPr>
                <w:rFonts w:ascii="Arial" w:eastAsia="Calibri" w:hAnsi="Arial" w:cs="Arial"/>
                <w:sz w:val="18"/>
                <w:szCs w:val="18"/>
              </w:rPr>
              <w:t>(1,643.1)</w:t>
            </w:r>
          </w:p>
        </w:tc>
      </w:tr>
      <w:tr w:rsidR="003828EC" w:rsidRPr="00D963D8" w:rsidTr="00813EBC">
        <w:trPr>
          <w:trHeight w:val="269"/>
          <w:jc w:val="center"/>
        </w:trPr>
        <w:tc>
          <w:tcPr>
            <w:tcW w:w="3510" w:type="dxa"/>
            <w:noWrap/>
            <w:tcMar>
              <w:left w:w="86" w:type="dxa"/>
              <w:right w:w="86" w:type="dxa"/>
            </w:tcMar>
            <w:vAlign w:val="center"/>
            <w:hideMark/>
          </w:tcPr>
          <w:p w:rsidR="003828EC" w:rsidRPr="00427BFF" w:rsidRDefault="003828EC" w:rsidP="00813EBC">
            <w:pPr>
              <w:pStyle w:val="BodyTextMain"/>
              <w:jc w:val="left"/>
              <w:rPr>
                <w:rFonts w:ascii="Arial" w:eastAsia="Calibri" w:hAnsi="Arial" w:cs="Arial"/>
                <w:b/>
                <w:bCs/>
                <w:sz w:val="18"/>
                <w:szCs w:val="18"/>
              </w:rPr>
            </w:pPr>
            <w:r w:rsidRPr="00427BFF">
              <w:rPr>
                <w:rFonts w:ascii="Arial" w:eastAsia="Calibri" w:hAnsi="Arial" w:cs="Arial"/>
                <w:b/>
                <w:bCs/>
                <w:sz w:val="18"/>
                <w:szCs w:val="18"/>
              </w:rPr>
              <w:t xml:space="preserve">Net Income </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2,192.1</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(228.0)</w:t>
            </w:r>
          </w:p>
        </w:tc>
        <w:tc>
          <w:tcPr>
            <w:tcW w:w="108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(13,341.1)</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(14,463.0)</w:t>
            </w:r>
          </w:p>
        </w:tc>
        <w:tc>
          <w:tcPr>
            <w:tcW w:w="1170" w:type="dxa"/>
            <w:tcMar>
              <w:left w:w="86" w:type="dxa"/>
              <w:right w:w="86" w:type="dxa"/>
            </w:tcMar>
            <w:vAlign w:val="center"/>
            <w:hideMark/>
          </w:tcPr>
          <w:p w:rsidR="003828EC" w:rsidRPr="00427BFF" w:rsidRDefault="003828EC" w:rsidP="00813EBC">
            <w:pPr>
              <w:pStyle w:val="BodyTextMain"/>
              <w:jc w:val="right"/>
              <w:rPr>
                <w:rFonts w:ascii="Arial" w:eastAsia="Calibri" w:hAnsi="Arial" w:cs="Arial"/>
                <w:bCs/>
                <w:sz w:val="18"/>
                <w:szCs w:val="18"/>
              </w:rPr>
            </w:pPr>
            <w:r w:rsidRPr="00427BFF">
              <w:rPr>
                <w:rFonts w:ascii="Arial" w:eastAsia="Calibri" w:hAnsi="Arial" w:cs="Arial"/>
                <w:bCs/>
                <w:sz w:val="18"/>
                <w:szCs w:val="18"/>
              </w:rPr>
              <w:t>(7,192.1)</w:t>
            </w:r>
          </w:p>
        </w:tc>
      </w:tr>
    </w:tbl>
    <w:p w:rsidR="003828EC" w:rsidRPr="00C81DA7" w:rsidRDefault="003828EC" w:rsidP="003828EC">
      <w:pPr>
        <w:pStyle w:val="ExhibitText"/>
        <w:rPr>
          <w:rFonts w:eastAsia="Calibri"/>
        </w:rPr>
      </w:pPr>
    </w:p>
    <w:p w:rsidR="003828EC" w:rsidRPr="00C81DA7" w:rsidRDefault="003828EC" w:rsidP="003828EC">
      <w:pPr>
        <w:pStyle w:val="Casehead2"/>
        <w:jc w:val="center"/>
        <w:rPr>
          <w:rFonts w:eastAsia="Calibri"/>
        </w:rPr>
      </w:pPr>
      <w:r>
        <w:rPr>
          <w:rFonts w:eastAsia="Calibri"/>
        </w:rPr>
        <w:t xml:space="preserve">(B) </w:t>
      </w:r>
      <w:r w:rsidRPr="00C81DA7">
        <w:rPr>
          <w:rFonts w:eastAsia="Calibri"/>
        </w:rPr>
        <w:t>Transaero Balance Sheet (in RUB millions)</w:t>
      </w:r>
    </w:p>
    <w:p w:rsidR="003828EC" w:rsidRPr="00C81DA7" w:rsidRDefault="003828EC" w:rsidP="003828EC">
      <w:pPr>
        <w:pStyle w:val="ExhibitText"/>
        <w:rPr>
          <w:rFonts w:eastAsia="Calibri"/>
        </w:rPr>
      </w:pPr>
    </w:p>
    <w:tbl>
      <w:tblPr>
        <w:tblStyle w:val="TableGrid"/>
        <w:tblW w:w="4955" w:type="pct"/>
        <w:jc w:val="center"/>
        <w:tblLayout w:type="fixed"/>
        <w:tblLook w:val="04A0" w:firstRow="1" w:lastRow="0" w:firstColumn="1" w:lastColumn="0" w:noHBand="0" w:noVBand="1"/>
      </w:tblPr>
      <w:tblGrid>
        <w:gridCol w:w="2515"/>
        <w:gridCol w:w="1350"/>
        <w:gridCol w:w="1350"/>
        <w:gridCol w:w="1350"/>
        <w:gridCol w:w="1350"/>
        <w:gridCol w:w="1351"/>
      </w:tblGrid>
      <w:tr w:rsidR="003828EC" w:rsidRPr="00C81DA7" w:rsidTr="00813EBC">
        <w:trPr>
          <w:trHeight w:val="360"/>
          <w:jc w:val="center"/>
        </w:trPr>
        <w:tc>
          <w:tcPr>
            <w:tcW w:w="2515" w:type="dxa"/>
            <w:shd w:val="clear" w:color="auto" w:fill="auto"/>
            <w:noWrap/>
            <w:tcMar>
              <w:left w:w="86" w:type="dxa"/>
              <w:right w:w="86" w:type="dxa"/>
            </w:tcMar>
            <w:vAlign w:val="center"/>
            <w:hideMark/>
          </w:tcPr>
          <w:p w:rsidR="003828EC" w:rsidRPr="00C81DA7" w:rsidRDefault="003828EC" w:rsidP="00813EBC">
            <w:pPr>
              <w:pStyle w:val="BodyTextMain"/>
              <w:jc w:val="center"/>
              <w:rPr>
                <w:rFonts w:ascii="Arial" w:eastAsia="Calibri" w:hAnsi="Arial" w:cs="Arial"/>
                <w:b/>
                <w:sz w:val="18"/>
                <w:szCs w:val="18"/>
              </w:rPr>
            </w:pPr>
            <w:r w:rsidRPr="00C81DA7">
              <w:rPr>
                <w:rFonts w:ascii="Arial" w:eastAsia="Calibri" w:hAnsi="Arial" w:cs="Arial"/>
                <w:b/>
                <w:sz w:val="18"/>
                <w:szCs w:val="18"/>
              </w:rPr>
              <w:t>Balance Sheet as of:</w:t>
            </w:r>
          </w:p>
        </w:tc>
        <w:tc>
          <w:tcPr>
            <w:tcW w:w="1350" w:type="dxa"/>
            <w:shd w:val="clear" w:color="auto" w:fill="auto"/>
            <w:noWrap/>
            <w:tcMar>
              <w:left w:w="86" w:type="dxa"/>
              <w:right w:w="86" w:type="dxa"/>
            </w:tcMar>
            <w:vAlign w:val="center"/>
          </w:tcPr>
          <w:p w:rsidR="003828EC" w:rsidRPr="00C81DA7" w:rsidRDefault="003828EC" w:rsidP="00813EBC">
            <w:pPr>
              <w:pStyle w:val="BodyTextMain"/>
              <w:jc w:val="center"/>
              <w:rPr>
                <w:rFonts w:ascii="Arial" w:eastAsia="Calibri" w:hAnsi="Arial" w:cs="Arial"/>
                <w:b/>
                <w:bCs/>
                <w:sz w:val="18"/>
                <w:szCs w:val="18"/>
              </w:rPr>
            </w:pPr>
            <w:r w:rsidRPr="00C81DA7">
              <w:rPr>
                <w:rFonts w:ascii="Arial" w:eastAsia="Calibri" w:hAnsi="Arial" w:cs="Arial"/>
                <w:b/>
                <w:bCs/>
                <w:sz w:val="18"/>
                <w:szCs w:val="18"/>
              </w:rPr>
              <w:t>Dec</w:t>
            </w:r>
            <w:r>
              <w:rPr>
                <w:rFonts w:ascii="Arial" w:eastAsia="Calibri" w:hAnsi="Arial" w:cs="Arial"/>
                <w:b/>
                <w:bCs/>
                <w:sz w:val="18"/>
                <w:szCs w:val="18"/>
              </w:rPr>
              <w:t>.</w:t>
            </w:r>
            <w:r w:rsidRPr="00C81DA7">
              <w:rPr>
                <w:rFonts w:ascii="Arial" w:eastAsia="Calibri" w:hAnsi="Arial" w:cs="Arial"/>
                <w:b/>
                <w:bCs/>
                <w:sz w:val="18"/>
                <w:szCs w:val="18"/>
              </w:rPr>
              <w:t xml:space="preserve"> 31</w:t>
            </w:r>
            <w:r>
              <w:rPr>
                <w:rFonts w:ascii="Arial" w:eastAsia="Calibri" w:hAnsi="Arial" w:cs="Arial"/>
                <w:b/>
                <w:bCs/>
                <w:sz w:val="18"/>
                <w:szCs w:val="18"/>
              </w:rPr>
              <w:t>,</w:t>
            </w:r>
            <w:r w:rsidRPr="00C81DA7">
              <w:rPr>
                <w:rFonts w:ascii="Arial" w:eastAsia="Calibri" w:hAnsi="Arial" w:cs="Arial"/>
                <w:b/>
                <w:bCs/>
                <w:sz w:val="18"/>
                <w:szCs w:val="18"/>
              </w:rPr>
              <w:t xml:space="preserve"> 2011</w:t>
            </w:r>
          </w:p>
        </w:tc>
        <w:tc>
          <w:tcPr>
            <w:tcW w:w="1350" w:type="dxa"/>
            <w:shd w:val="clear" w:color="auto" w:fill="auto"/>
            <w:noWrap/>
            <w:tcMar>
              <w:left w:w="86" w:type="dxa"/>
              <w:right w:w="86" w:type="dxa"/>
            </w:tcMar>
            <w:vAlign w:val="center"/>
          </w:tcPr>
          <w:p w:rsidR="003828EC" w:rsidRPr="00C81DA7" w:rsidRDefault="003828EC" w:rsidP="00813EBC">
            <w:pPr>
              <w:pStyle w:val="BodyTextMain"/>
              <w:jc w:val="center"/>
              <w:rPr>
                <w:rFonts w:ascii="Arial" w:eastAsia="Calibri" w:hAnsi="Arial" w:cs="Arial"/>
                <w:b/>
                <w:bCs/>
                <w:sz w:val="18"/>
                <w:szCs w:val="18"/>
              </w:rPr>
            </w:pPr>
            <w:r w:rsidRPr="00C81DA7">
              <w:rPr>
                <w:rFonts w:ascii="Arial" w:eastAsia="Calibri" w:hAnsi="Arial" w:cs="Arial"/>
                <w:b/>
                <w:bCs/>
                <w:sz w:val="18"/>
                <w:szCs w:val="18"/>
              </w:rPr>
              <w:t>Dec</w:t>
            </w:r>
            <w:r>
              <w:rPr>
                <w:rFonts w:ascii="Arial" w:eastAsia="Calibri" w:hAnsi="Arial" w:cs="Arial"/>
                <w:b/>
                <w:bCs/>
                <w:sz w:val="18"/>
                <w:szCs w:val="18"/>
              </w:rPr>
              <w:t>.</w:t>
            </w:r>
            <w:r w:rsidRPr="00C81DA7">
              <w:rPr>
                <w:rFonts w:ascii="Arial" w:eastAsia="Calibri" w:hAnsi="Arial" w:cs="Arial"/>
                <w:b/>
                <w:bCs/>
                <w:sz w:val="18"/>
                <w:szCs w:val="18"/>
              </w:rPr>
              <w:t xml:space="preserve"> 31</w:t>
            </w:r>
            <w:r>
              <w:rPr>
                <w:rFonts w:ascii="Arial" w:eastAsia="Calibri" w:hAnsi="Arial" w:cs="Arial"/>
                <w:b/>
                <w:bCs/>
                <w:sz w:val="18"/>
                <w:szCs w:val="18"/>
              </w:rPr>
              <w:t>,</w:t>
            </w:r>
            <w:r w:rsidRPr="00C81DA7">
              <w:rPr>
                <w:rFonts w:ascii="Arial" w:eastAsia="Calibri" w:hAnsi="Arial" w:cs="Arial"/>
                <w:b/>
                <w:bCs/>
                <w:sz w:val="18"/>
                <w:szCs w:val="18"/>
              </w:rPr>
              <w:t xml:space="preserve"> 2012</w:t>
            </w:r>
          </w:p>
        </w:tc>
        <w:tc>
          <w:tcPr>
            <w:tcW w:w="1350" w:type="dxa"/>
            <w:shd w:val="clear" w:color="auto" w:fill="auto"/>
            <w:noWrap/>
            <w:tcMar>
              <w:left w:w="86" w:type="dxa"/>
              <w:right w:w="86" w:type="dxa"/>
            </w:tcMar>
            <w:vAlign w:val="center"/>
          </w:tcPr>
          <w:p w:rsidR="003828EC" w:rsidRPr="00C81DA7" w:rsidRDefault="003828EC" w:rsidP="00813EBC">
            <w:pPr>
              <w:pStyle w:val="BodyTextMain"/>
              <w:jc w:val="center"/>
              <w:rPr>
                <w:rFonts w:ascii="Arial" w:eastAsia="Calibri" w:hAnsi="Arial" w:cs="Arial"/>
                <w:b/>
                <w:bCs/>
                <w:sz w:val="18"/>
                <w:szCs w:val="18"/>
              </w:rPr>
            </w:pPr>
            <w:r w:rsidRPr="00C81DA7">
              <w:rPr>
                <w:rFonts w:ascii="Arial" w:eastAsia="Calibri" w:hAnsi="Arial" w:cs="Arial"/>
                <w:b/>
                <w:bCs/>
                <w:sz w:val="18"/>
                <w:szCs w:val="18"/>
              </w:rPr>
              <w:t>Dec</w:t>
            </w:r>
            <w:r>
              <w:rPr>
                <w:rFonts w:ascii="Arial" w:eastAsia="Calibri" w:hAnsi="Arial" w:cs="Arial"/>
                <w:b/>
                <w:bCs/>
                <w:sz w:val="18"/>
                <w:szCs w:val="18"/>
              </w:rPr>
              <w:t>.</w:t>
            </w:r>
            <w:r w:rsidRPr="00C81DA7">
              <w:rPr>
                <w:rFonts w:ascii="Arial" w:eastAsia="Calibri" w:hAnsi="Arial" w:cs="Arial"/>
                <w:b/>
                <w:bCs/>
                <w:sz w:val="18"/>
                <w:szCs w:val="18"/>
              </w:rPr>
              <w:t xml:space="preserve"> 31</w:t>
            </w:r>
            <w:r>
              <w:rPr>
                <w:rFonts w:ascii="Arial" w:eastAsia="Calibri" w:hAnsi="Arial" w:cs="Arial"/>
                <w:b/>
                <w:bCs/>
                <w:sz w:val="18"/>
                <w:szCs w:val="18"/>
              </w:rPr>
              <w:t>,</w:t>
            </w:r>
            <w:r w:rsidRPr="00C81DA7">
              <w:rPr>
                <w:rFonts w:ascii="Arial" w:eastAsia="Calibri" w:hAnsi="Arial" w:cs="Arial"/>
                <w:b/>
                <w:bCs/>
                <w:sz w:val="18"/>
                <w:szCs w:val="18"/>
              </w:rPr>
              <w:t xml:space="preserve"> 2013</w:t>
            </w:r>
          </w:p>
        </w:tc>
        <w:tc>
          <w:tcPr>
            <w:tcW w:w="1350" w:type="dxa"/>
            <w:shd w:val="clear" w:color="auto" w:fill="auto"/>
            <w:noWrap/>
            <w:tcMar>
              <w:left w:w="86" w:type="dxa"/>
              <w:right w:w="86" w:type="dxa"/>
            </w:tcMar>
            <w:vAlign w:val="center"/>
          </w:tcPr>
          <w:p w:rsidR="003828EC" w:rsidRPr="00C81DA7" w:rsidRDefault="003828EC" w:rsidP="00813EBC">
            <w:pPr>
              <w:pStyle w:val="BodyTextMain"/>
              <w:jc w:val="center"/>
              <w:rPr>
                <w:rFonts w:ascii="Arial" w:eastAsia="Calibri" w:hAnsi="Arial" w:cs="Arial"/>
                <w:b/>
                <w:bCs/>
                <w:sz w:val="18"/>
                <w:szCs w:val="18"/>
              </w:rPr>
            </w:pPr>
            <w:r w:rsidRPr="00C81DA7">
              <w:rPr>
                <w:rFonts w:ascii="Arial" w:eastAsia="Calibri" w:hAnsi="Arial" w:cs="Arial"/>
                <w:b/>
                <w:bCs/>
                <w:sz w:val="18"/>
                <w:szCs w:val="18"/>
              </w:rPr>
              <w:t>Dec</w:t>
            </w:r>
            <w:r>
              <w:rPr>
                <w:rFonts w:ascii="Arial" w:eastAsia="Calibri" w:hAnsi="Arial" w:cs="Arial"/>
                <w:b/>
                <w:bCs/>
                <w:sz w:val="18"/>
                <w:szCs w:val="18"/>
              </w:rPr>
              <w:t>.</w:t>
            </w:r>
            <w:r w:rsidRPr="00C81DA7">
              <w:rPr>
                <w:rFonts w:ascii="Arial" w:eastAsia="Calibri" w:hAnsi="Arial" w:cs="Arial"/>
                <w:b/>
                <w:bCs/>
                <w:sz w:val="18"/>
                <w:szCs w:val="18"/>
              </w:rPr>
              <w:t xml:space="preserve"> 31</w:t>
            </w:r>
            <w:r>
              <w:rPr>
                <w:rFonts w:ascii="Arial" w:eastAsia="Calibri" w:hAnsi="Arial" w:cs="Arial"/>
                <w:b/>
                <w:bCs/>
                <w:sz w:val="18"/>
                <w:szCs w:val="18"/>
              </w:rPr>
              <w:t>,</w:t>
            </w:r>
            <w:r w:rsidRPr="00C81DA7">
              <w:rPr>
                <w:rFonts w:ascii="Arial" w:eastAsia="Calibri" w:hAnsi="Arial" w:cs="Arial"/>
                <w:b/>
                <w:bCs/>
                <w:sz w:val="18"/>
                <w:szCs w:val="18"/>
              </w:rPr>
              <w:t xml:space="preserve"> 2014</w:t>
            </w:r>
          </w:p>
        </w:tc>
        <w:tc>
          <w:tcPr>
            <w:tcW w:w="1351" w:type="dxa"/>
            <w:shd w:val="clear" w:color="auto" w:fill="auto"/>
            <w:noWrap/>
            <w:tcMar>
              <w:left w:w="86" w:type="dxa"/>
              <w:right w:w="86" w:type="dxa"/>
            </w:tcMar>
            <w:vAlign w:val="center"/>
          </w:tcPr>
          <w:p w:rsidR="003828EC" w:rsidRPr="00C81DA7" w:rsidRDefault="003828EC" w:rsidP="00813EBC">
            <w:pPr>
              <w:pStyle w:val="BodyTextMain"/>
              <w:jc w:val="center"/>
              <w:rPr>
                <w:rFonts w:ascii="Arial" w:eastAsia="Calibri" w:hAnsi="Arial" w:cs="Arial"/>
                <w:b/>
                <w:bCs/>
                <w:sz w:val="18"/>
                <w:szCs w:val="18"/>
              </w:rPr>
            </w:pPr>
            <w:r w:rsidRPr="00C81DA7">
              <w:rPr>
                <w:rFonts w:ascii="Arial" w:eastAsia="Calibri" w:hAnsi="Arial" w:cs="Arial"/>
                <w:b/>
                <w:bCs/>
                <w:sz w:val="18"/>
                <w:szCs w:val="18"/>
              </w:rPr>
              <w:t>Jun</w:t>
            </w:r>
            <w:r>
              <w:rPr>
                <w:rFonts w:ascii="Arial" w:eastAsia="Calibri" w:hAnsi="Arial" w:cs="Arial"/>
                <w:b/>
                <w:bCs/>
                <w:sz w:val="18"/>
                <w:szCs w:val="18"/>
              </w:rPr>
              <w:t>.</w:t>
            </w:r>
            <w:r w:rsidRPr="00C81DA7">
              <w:rPr>
                <w:rFonts w:ascii="Arial" w:eastAsia="Calibri" w:hAnsi="Arial" w:cs="Arial"/>
                <w:b/>
                <w:bCs/>
                <w:sz w:val="18"/>
                <w:szCs w:val="18"/>
              </w:rPr>
              <w:t xml:space="preserve"> 30</w:t>
            </w:r>
            <w:r>
              <w:rPr>
                <w:rFonts w:ascii="Arial" w:eastAsia="Calibri" w:hAnsi="Arial" w:cs="Arial"/>
                <w:b/>
                <w:bCs/>
                <w:sz w:val="18"/>
                <w:szCs w:val="18"/>
              </w:rPr>
              <w:t>,</w:t>
            </w:r>
            <w:r w:rsidRPr="00C81DA7">
              <w:rPr>
                <w:rFonts w:ascii="Arial" w:eastAsia="Calibri" w:hAnsi="Arial" w:cs="Arial"/>
                <w:b/>
                <w:bCs/>
                <w:sz w:val="18"/>
                <w:szCs w:val="18"/>
              </w:rPr>
              <w:t xml:space="preserve"> 2015</w:t>
            </w:r>
          </w:p>
        </w:tc>
      </w:tr>
      <w:tr w:rsidR="003828EC" w:rsidRPr="00C81DA7" w:rsidTr="00813EBC">
        <w:trPr>
          <w:trHeight w:val="170"/>
          <w:jc w:val="center"/>
        </w:trPr>
        <w:tc>
          <w:tcPr>
            <w:tcW w:w="2515" w:type="dxa"/>
            <w:shd w:val="clear" w:color="auto" w:fill="auto"/>
            <w:noWrap/>
            <w:tcMar>
              <w:left w:w="86" w:type="dxa"/>
              <w:right w:w="86" w:type="dxa"/>
            </w:tcMar>
            <w:vAlign w:val="center"/>
            <w:hideMark/>
          </w:tcPr>
          <w:p w:rsidR="003828EC" w:rsidRPr="00C81DA7" w:rsidRDefault="003828EC" w:rsidP="00813EBC">
            <w:pPr>
              <w:pStyle w:val="BodyTextMain"/>
              <w:jc w:val="left"/>
              <w:rPr>
                <w:rFonts w:ascii="Arial" w:eastAsia="Calibri" w:hAnsi="Arial" w:cs="Arial"/>
                <w:b/>
                <w:sz w:val="18"/>
                <w:szCs w:val="18"/>
              </w:rPr>
            </w:pPr>
            <w:r w:rsidRPr="00C81DA7">
              <w:rPr>
                <w:rFonts w:ascii="Arial" w:eastAsia="Calibri" w:hAnsi="Arial" w:cs="Arial"/>
                <w:b/>
                <w:sz w:val="18"/>
                <w:szCs w:val="18"/>
              </w:rPr>
              <w:t>ASSETS</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rPr>
                <w:rFonts w:ascii="Arial" w:eastAsia="Calibri" w:hAnsi="Arial" w:cs="Arial"/>
                <w:b/>
                <w:sz w:val="18"/>
                <w:szCs w:val="18"/>
              </w:rPr>
            </w:pPr>
          </w:p>
        </w:tc>
        <w:tc>
          <w:tcPr>
            <w:tcW w:w="1350" w:type="dxa"/>
            <w:shd w:val="clear" w:color="auto" w:fill="auto"/>
            <w:noWrap/>
            <w:tcMar>
              <w:left w:w="86" w:type="dxa"/>
              <w:right w:w="86" w:type="dxa"/>
            </w:tcMar>
            <w:vAlign w:val="center"/>
            <w:hideMark/>
          </w:tcPr>
          <w:p w:rsidR="003828EC" w:rsidRPr="00C81DA7" w:rsidRDefault="003828EC" w:rsidP="00813EBC">
            <w:pPr>
              <w:pStyle w:val="BodyTextMain"/>
              <w:rPr>
                <w:rFonts w:ascii="Arial" w:eastAsia="Calibri" w:hAnsi="Arial" w:cs="Arial"/>
                <w:b/>
                <w:sz w:val="18"/>
                <w:szCs w:val="18"/>
              </w:rPr>
            </w:pPr>
          </w:p>
        </w:tc>
        <w:tc>
          <w:tcPr>
            <w:tcW w:w="1350" w:type="dxa"/>
            <w:shd w:val="clear" w:color="auto" w:fill="auto"/>
            <w:noWrap/>
            <w:tcMar>
              <w:left w:w="86" w:type="dxa"/>
              <w:right w:w="86" w:type="dxa"/>
            </w:tcMar>
            <w:vAlign w:val="center"/>
            <w:hideMark/>
          </w:tcPr>
          <w:p w:rsidR="003828EC" w:rsidRPr="00C81DA7" w:rsidRDefault="003828EC" w:rsidP="00813EBC">
            <w:pPr>
              <w:pStyle w:val="BodyTextMain"/>
              <w:rPr>
                <w:rFonts w:ascii="Arial" w:eastAsia="Calibri" w:hAnsi="Arial" w:cs="Arial"/>
                <w:b/>
                <w:sz w:val="18"/>
                <w:szCs w:val="18"/>
              </w:rPr>
            </w:pPr>
          </w:p>
        </w:tc>
        <w:tc>
          <w:tcPr>
            <w:tcW w:w="1350" w:type="dxa"/>
            <w:shd w:val="clear" w:color="auto" w:fill="auto"/>
            <w:noWrap/>
            <w:tcMar>
              <w:left w:w="86" w:type="dxa"/>
              <w:right w:w="86" w:type="dxa"/>
            </w:tcMar>
            <w:vAlign w:val="center"/>
            <w:hideMark/>
          </w:tcPr>
          <w:p w:rsidR="003828EC" w:rsidRPr="00C81DA7" w:rsidRDefault="003828EC" w:rsidP="00813EBC">
            <w:pPr>
              <w:pStyle w:val="BodyTextMain"/>
              <w:rPr>
                <w:rFonts w:ascii="Arial" w:eastAsia="Calibri" w:hAnsi="Arial" w:cs="Arial"/>
                <w:b/>
                <w:sz w:val="18"/>
                <w:szCs w:val="18"/>
              </w:rPr>
            </w:pPr>
          </w:p>
        </w:tc>
        <w:tc>
          <w:tcPr>
            <w:tcW w:w="1351" w:type="dxa"/>
            <w:shd w:val="clear" w:color="auto" w:fill="auto"/>
            <w:noWrap/>
            <w:tcMar>
              <w:left w:w="86" w:type="dxa"/>
              <w:right w:w="86" w:type="dxa"/>
            </w:tcMar>
            <w:vAlign w:val="center"/>
            <w:hideMark/>
          </w:tcPr>
          <w:p w:rsidR="003828EC" w:rsidRPr="00C81DA7" w:rsidRDefault="003828EC" w:rsidP="00813EBC">
            <w:pPr>
              <w:pStyle w:val="BodyTextMain"/>
              <w:rPr>
                <w:rFonts w:ascii="Arial" w:eastAsia="Calibri" w:hAnsi="Arial" w:cs="Arial"/>
                <w:b/>
                <w:sz w:val="18"/>
                <w:szCs w:val="18"/>
              </w:rPr>
            </w:pPr>
          </w:p>
        </w:tc>
      </w:tr>
      <w:tr w:rsidR="003828EC" w:rsidRPr="00C81DA7" w:rsidTr="00813EBC">
        <w:trPr>
          <w:trHeight w:val="314"/>
          <w:jc w:val="center"/>
        </w:trPr>
        <w:tc>
          <w:tcPr>
            <w:tcW w:w="2515" w:type="dxa"/>
            <w:shd w:val="clear" w:color="auto" w:fill="auto"/>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Cash &amp; Equivalents</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3,203.3</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518.2</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1,360.0</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461.6</w:t>
            </w:r>
          </w:p>
        </w:tc>
        <w:tc>
          <w:tcPr>
            <w:tcW w:w="1351"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1,012.6</w:t>
            </w:r>
          </w:p>
        </w:tc>
      </w:tr>
      <w:tr w:rsidR="003828EC" w:rsidRPr="00C81DA7" w:rsidTr="00813EBC">
        <w:trPr>
          <w:trHeight w:val="260"/>
          <w:jc w:val="center"/>
        </w:trPr>
        <w:tc>
          <w:tcPr>
            <w:tcW w:w="2515" w:type="dxa"/>
            <w:shd w:val="clear" w:color="auto" w:fill="auto"/>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Short-</w:t>
            </w:r>
            <w:r>
              <w:rPr>
                <w:rFonts w:ascii="Arial" w:eastAsia="Calibri" w:hAnsi="Arial" w:cs="Arial"/>
                <w:sz w:val="18"/>
                <w:szCs w:val="18"/>
              </w:rPr>
              <w:t>T</w:t>
            </w:r>
            <w:r w:rsidRPr="00C81DA7">
              <w:rPr>
                <w:rFonts w:ascii="Arial" w:eastAsia="Calibri" w:hAnsi="Arial" w:cs="Arial"/>
                <w:sz w:val="18"/>
                <w:szCs w:val="18"/>
              </w:rPr>
              <w:t>erm Investments</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12.1</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10.9</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2,055.4</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246.9</w:t>
            </w:r>
          </w:p>
        </w:tc>
        <w:tc>
          <w:tcPr>
            <w:tcW w:w="1351"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695.9</w:t>
            </w:r>
          </w:p>
        </w:tc>
      </w:tr>
      <w:tr w:rsidR="003828EC" w:rsidRPr="00C81DA7" w:rsidTr="00813EBC">
        <w:trPr>
          <w:trHeight w:val="251"/>
          <w:jc w:val="center"/>
        </w:trPr>
        <w:tc>
          <w:tcPr>
            <w:tcW w:w="2515" w:type="dxa"/>
            <w:shd w:val="clear" w:color="auto" w:fill="auto"/>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Accounts Receivable</w:t>
            </w:r>
          </w:p>
        </w:tc>
        <w:tc>
          <w:tcPr>
            <w:tcW w:w="1350" w:type="dxa"/>
            <w:shd w:val="clear" w:color="auto" w:fill="auto"/>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1,735.0</w:t>
            </w:r>
          </w:p>
        </w:tc>
        <w:tc>
          <w:tcPr>
            <w:tcW w:w="1350" w:type="dxa"/>
            <w:shd w:val="clear" w:color="auto" w:fill="auto"/>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2,654.7</w:t>
            </w:r>
          </w:p>
        </w:tc>
        <w:tc>
          <w:tcPr>
            <w:tcW w:w="1350" w:type="dxa"/>
            <w:shd w:val="clear" w:color="auto" w:fill="auto"/>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3,198.3</w:t>
            </w:r>
          </w:p>
        </w:tc>
        <w:tc>
          <w:tcPr>
            <w:tcW w:w="1350" w:type="dxa"/>
            <w:shd w:val="clear" w:color="auto" w:fill="auto"/>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3,518.6</w:t>
            </w:r>
          </w:p>
        </w:tc>
        <w:tc>
          <w:tcPr>
            <w:tcW w:w="1351" w:type="dxa"/>
            <w:shd w:val="clear" w:color="auto" w:fill="auto"/>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3,722.7</w:t>
            </w:r>
          </w:p>
        </w:tc>
      </w:tr>
      <w:tr w:rsidR="003828EC" w:rsidRPr="00C81DA7" w:rsidTr="00813EBC">
        <w:trPr>
          <w:trHeight w:val="269"/>
          <w:jc w:val="center"/>
        </w:trPr>
        <w:tc>
          <w:tcPr>
            <w:tcW w:w="2515" w:type="dxa"/>
            <w:shd w:val="clear" w:color="auto" w:fill="auto"/>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Other Receivables</w:t>
            </w:r>
          </w:p>
        </w:tc>
        <w:tc>
          <w:tcPr>
            <w:tcW w:w="1350" w:type="dxa"/>
            <w:shd w:val="clear" w:color="auto" w:fill="auto"/>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4,510.2</w:t>
            </w:r>
          </w:p>
        </w:tc>
        <w:tc>
          <w:tcPr>
            <w:tcW w:w="1350" w:type="dxa"/>
            <w:shd w:val="clear" w:color="auto" w:fill="auto"/>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3,399.0</w:t>
            </w:r>
          </w:p>
        </w:tc>
        <w:tc>
          <w:tcPr>
            <w:tcW w:w="1350" w:type="dxa"/>
            <w:shd w:val="clear" w:color="auto" w:fill="auto"/>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979.1</w:t>
            </w:r>
          </w:p>
        </w:tc>
        <w:tc>
          <w:tcPr>
            <w:tcW w:w="1350" w:type="dxa"/>
            <w:shd w:val="clear" w:color="auto" w:fill="auto"/>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989.5</w:t>
            </w:r>
          </w:p>
        </w:tc>
        <w:tc>
          <w:tcPr>
            <w:tcW w:w="1351" w:type="dxa"/>
            <w:shd w:val="clear" w:color="auto" w:fill="auto"/>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822.6</w:t>
            </w:r>
          </w:p>
        </w:tc>
      </w:tr>
      <w:tr w:rsidR="003828EC" w:rsidRPr="00C81DA7" w:rsidTr="00813EBC">
        <w:trPr>
          <w:trHeight w:val="260"/>
          <w:jc w:val="center"/>
        </w:trPr>
        <w:tc>
          <w:tcPr>
            <w:tcW w:w="2515" w:type="dxa"/>
            <w:shd w:val="clear" w:color="auto" w:fill="auto"/>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Inventory</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1,443.2</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1,995.0</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4,502.7</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5,786.9</w:t>
            </w:r>
          </w:p>
        </w:tc>
        <w:tc>
          <w:tcPr>
            <w:tcW w:w="1351"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6,011.8</w:t>
            </w:r>
          </w:p>
        </w:tc>
      </w:tr>
      <w:tr w:rsidR="003828EC" w:rsidRPr="00C81DA7" w:rsidTr="00813EBC">
        <w:trPr>
          <w:trHeight w:val="260"/>
          <w:jc w:val="center"/>
        </w:trPr>
        <w:tc>
          <w:tcPr>
            <w:tcW w:w="2515" w:type="dxa"/>
            <w:shd w:val="clear" w:color="auto" w:fill="auto"/>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Prepaid Expenses</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1,873.8</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3,450.7</w:t>
            </w:r>
          </w:p>
        </w:tc>
        <w:tc>
          <w:tcPr>
            <w:tcW w:w="1351"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2,568.2</w:t>
            </w:r>
          </w:p>
        </w:tc>
      </w:tr>
      <w:tr w:rsidR="003828EC" w:rsidRPr="00C81DA7" w:rsidTr="00813EBC">
        <w:trPr>
          <w:trHeight w:val="260"/>
          <w:jc w:val="center"/>
        </w:trPr>
        <w:tc>
          <w:tcPr>
            <w:tcW w:w="2515" w:type="dxa"/>
            <w:shd w:val="clear" w:color="auto" w:fill="auto"/>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Restricted Cash</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3.2</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22.2</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25.1</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56.0</w:t>
            </w:r>
          </w:p>
        </w:tc>
        <w:tc>
          <w:tcPr>
            <w:tcW w:w="1351"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55.2</w:t>
            </w:r>
          </w:p>
        </w:tc>
      </w:tr>
      <w:tr w:rsidR="003828EC" w:rsidRPr="00C81DA7" w:rsidTr="00813EBC">
        <w:trPr>
          <w:trHeight w:val="251"/>
          <w:jc w:val="center"/>
        </w:trPr>
        <w:tc>
          <w:tcPr>
            <w:tcW w:w="2515" w:type="dxa"/>
            <w:shd w:val="clear" w:color="auto" w:fill="auto"/>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Other Current Assets</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5,031.1</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9,919.6</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667.1</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215.9</w:t>
            </w:r>
          </w:p>
        </w:tc>
        <w:tc>
          <w:tcPr>
            <w:tcW w:w="1351"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803.9</w:t>
            </w:r>
          </w:p>
        </w:tc>
      </w:tr>
      <w:tr w:rsidR="003828EC" w:rsidRPr="00C81DA7" w:rsidTr="00813EBC">
        <w:trPr>
          <w:trHeight w:val="269"/>
          <w:jc w:val="center"/>
        </w:trPr>
        <w:tc>
          <w:tcPr>
            <w:tcW w:w="2515" w:type="dxa"/>
            <w:shd w:val="clear" w:color="auto" w:fill="auto"/>
            <w:noWrap/>
            <w:tcMar>
              <w:left w:w="86" w:type="dxa"/>
              <w:right w:w="86" w:type="dxa"/>
            </w:tcMar>
            <w:vAlign w:val="center"/>
            <w:hideMark/>
          </w:tcPr>
          <w:p w:rsidR="003828EC" w:rsidRPr="00C81DA7" w:rsidRDefault="003828EC" w:rsidP="00813EBC">
            <w:pPr>
              <w:pStyle w:val="BodyTextMain"/>
              <w:ind w:left="144"/>
              <w:jc w:val="left"/>
              <w:rPr>
                <w:rFonts w:ascii="Arial" w:eastAsia="Calibri" w:hAnsi="Arial" w:cs="Arial"/>
                <w:b/>
                <w:sz w:val="18"/>
                <w:szCs w:val="18"/>
              </w:rPr>
            </w:pPr>
            <w:r w:rsidRPr="00C81DA7">
              <w:rPr>
                <w:rFonts w:ascii="Arial" w:eastAsia="Calibri" w:hAnsi="Arial" w:cs="Arial"/>
                <w:b/>
                <w:sz w:val="18"/>
                <w:szCs w:val="18"/>
              </w:rPr>
              <w:t>Total Current Assets</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15,938.2</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18,519.6</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14,661.6</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14,726.1</w:t>
            </w:r>
          </w:p>
        </w:tc>
        <w:tc>
          <w:tcPr>
            <w:tcW w:w="1351"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15,692.8</w:t>
            </w:r>
          </w:p>
        </w:tc>
      </w:tr>
      <w:tr w:rsidR="003828EC" w:rsidRPr="00C81DA7" w:rsidTr="00813EBC">
        <w:trPr>
          <w:trHeight w:val="251"/>
          <w:jc w:val="center"/>
        </w:trPr>
        <w:tc>
          <w:tcPr>
            <w:tcW w:w="2515" w:type="dxa"/>
            <w:shd w:val="clear" w:color="auto" w:fill="auto"/>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Property, Plant, &amp; Equipment</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72,800.9</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74,464.0</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75,794.0</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107,865.0</w:t>
            </w:r>
          </w:p>
        </w:tc>
        <w:tc>
          <w:tcPr>
            <w:tcW w:w="1351"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105,034.9</w:t>
            </w:r>
          </w:p>
        </w:tc>
      </w:tr>
      <w:tr w:rsidR="003828EC" w:rsidRPr="00C81DA7" w:rsidTr="00813EBC">
        <w:trPr>
          <w:trHeight w:val="269"/>
          <w:jc w:val="center"/>
        </w:trPr>
        <w:tc>
          <w:tcPr>
            <w:tcW w:w="2515" w:type="dxa"/>
            <w:shd w:val="clear" w:color="auto" w:fill="auto"/>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Long-</w:t>
            </w:r>
            <w:r>
              <w:rPr>
                <w:rFonts w:ascii="Arial" w:eastAsia="Calibri" w:hAnsi="Arial" w:cs="Arial"/>
                <w:sz w:val="18"/>
                <w:szCs w:val="18"/>
              </w:rPr>
              <w:t>T</w:t>
            </w:r>
            <w:r w:rsidRPr="00C81DA7">
              <w:rPr>
                <w:rFonts w:ascii="Arial" w:eastAsia="Calibri" w:hAnsi="Arial" w:cs="Arial"/>
                <w:sz w:val="18"/>
                <w:szCs w:val="18"/>
              </w:rPr>
              <w:t>erm Investments</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1.7</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194.9</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216.6</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7.1</w:t>
            </w:r>
          </w:p>
        </w:tc>
        <w:tc>
          <w:tcPr>
            <w:tcW w:w="1351"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7.1</w:t>
            </w:r>
          </w:p>
        </w:tc>
      </w:tr>
      <w:tr w:rsidR="003828EC" w:rsidRPr="00C81DA7" w:rsidTr="00813EBC">
        <w:trPr>
          <w:trHeight w:val="260"/>
          <w:jc w:val="center"/>
        </w:trPr>
        <w:tc>
          <w:tcPr>
            <w:tcW w:w="2515" w:type="dxa"/>
            <w:shd w:val="clear" w:color="auto" w:fill="auto"/>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Intangible Assets</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2,292.9</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2,220.1</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2,169.9</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61,390.4</w:t>
            </w:r>
          </w:p>
        </w:tc>
        <w:tc>
          <w:tcPr>
            <w:tcW w:w="1351"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7,240.6</w:t>
            </w:r>
          </w:p>
        </w:tc>
      </w:tr>
      <w:tr w:rsidR="003828EC" w:rsidRPr="00C81DA7" w:rsidTr="00813EBC">
        <w:trPr>
          <w:trHeight w:val="260"/>
          <w:jc w:val="center"/>
        </w:trPr>
        <w:tc>
          <w:tcPr>
            <w:tcW w:w="2515" w:type="dxa"/>
            <w:shd w:val="clear" w:color="auto" w:fill="auto"/>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Deferred Tax Assets</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2,025.4</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w:t>
            </w:r>
          </w:p>
        </w:tc>
        <w:tc>
          <w:tcPr>
            <w:tcW w:w="1351"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10,949.5</w:t>
            </w:r>
          </w:p>
        </w:tc>
      </w:tr>
      <w:tr w:rsidR="003828EC" w:rsidRPr="00C81DA7" w:rsidTr="00813EBC">
        <w:trPr>
          <w:trHeight w:val="260"/>
          <w:jc w:val="center"/>
        </w:trPr>
        <w:tc>
          <w:tcPr>
            <w:tcW w:w="2515" w:type="dxa"/>
            <w:shd w:val="clear" w:color="auto" w:fill="auto"/>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Other Long-</w:t>
            </w:r>
            <w:r>
              <w:rPr>
                <w:rFonts w:ascii="Arial" w:eastAsia="Calibri" w:hAnsi="Arial" w:cs="Arial"/>
                <w:sz w:val="18"/>
                <w:szCs w:val="18"/>
              </w:rPr>
              <w:t>T</w:t>
            </w:r>
            <w:r w:rsidRPr="00C81DA7">
              <w:rPr>
                <w:rFonts w:ascii="Arial" w:eastAsia="Calibri" w:hAnsi="Arial" w:cs="Arial"/>
                <w:sz w:val="18"/>
                <w:szCs w:val="18"/>
              </w:rPr>
              <w:t>erm Assets</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2,824.5</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3,696.4</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6,604.2</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8,865.5</w:t>
            </w:r>
          </w:p>
        </w:tc>
        <w:tc>
          <w:tcPr>
            <w:tcW w:w="1351"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16,586.4</w:t>
            </w:r>
          </w:p>
        </w:tc>
      </w:tr>
      <w:tr w:rsidR="003828EC" w:rsidRPr="00C81DA7" w:rsidTr="00813EBC">
        <w:trPr>
          <w:trHeight w:val="251"/>
          <w:jc w:val="center"/>
        </w:trPr>
        <w:tc>
          <w:tcPr>
            <w:tcW w:w="2515" w:type="dxa"/>
            <w:shd w:val="clear" w:color="auto" w:fill="auto"/>
            <w:noWrap/>
            <w:tcMar>
              <w:left w:w="86" w:type="dxa"/>
              <w:right w:w="86" w:type="dxa"/>
            </w:tcMar>
            <w:vAlign w:val="center"/>
            <w:hideMark/>
          </w:tcPr>
          <w:p w:rsidR="003828EC" w:rsidRPr="00C81DA7" w:rsidRDefault="003828EC" w:rsidP="00813EBC">
            <w:pPr>
              <w:pStyle w:val="BodyTextMain"/>
              <w:ind w:left="144"/>
              <w:jc w:val="left"/>
              <w:rPr>
                <w:rFonts w:ascii="Arial" w:eastAsia="Calibri" w:hAnsi="Arial" w:cs="Arial"/>
                <w:b/>
                <w:sz w:val="18"/>
                <w:szCs w:val="18"/>
              </w:rPr>
            </w:pPr>
            <w:r w:rsidRPr="00C81DA7">
              <w:rPr>
                <w:rFonts w:ascii="Arial" w:eastAsia="Calibri" w:hAnsi="Arial" w:cs="Arial"/>
                <w:b/>
                <w:sz w:val="18"/>
                <w:szCs w:val="18"/>
              </w:rPr>
              <w:t>Total Assets</w:t>
            </w:r>
          </w:p>
        </w:tc>
        <w:tc>
          <w:tcPr>
            <w:tcW w:w="1350" w:type="dxa"/>
            <w:tcBorders>
              <w:bottom w:val="single" w:sz="4" w:space="0" w:color="auto"/>
            </w:tcBorders>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93,858.3</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99,094.9</w:t>
            </w:r>
          </w:p>
        </w:tc>
        <w:tc>
          <w:tcPr>
            <w:tcW w:w="1350" w:type="dxa"/>
            <w:tcBorders>
              <w:bottom w:val="single" w:sz="4" w:space="0" w:color="auto"/>
            </w:tcBorders>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101,471.6</w:t>
            </w:r>
          </w:p>
        </w:tc>
        <w:tc>
          <w:tcPr>
            <w:tcW w:w="1350" w:type="dxa"/>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192,854.2</w:t>
            </w:r>
          </w:p>
        </w:tc>
        <w:tc>
          <w:tcPr>
            <w:tcW w:w="1351" w:type="dxa"/>
            <w:tcBorders>
              <w:bottom w:val="single" w:sz="4" w:space="0" w:color="auto"/>
            </w:tcBorders>
            <w:shd w:val="clear" w:color="auto" w:fill="auto"/>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155,511.2</w:t>
            </w:r>
          </w:p>
        </w:tc>
      </w:tr>
    </w:tbl>
    <w:p w:rsidR="003828EC" w:rsidRDefault="003828EC" w:rsidP="003828EC">
      <w:pPr>
        <w:pStyle w:val="ExhibitText"/>
        <w:rPr>
          <w:rFonts w:eastAsia="Calibri"/>
        </w:rPr>
      </w:pPr>
    </w:p>
    <w:p w:rsidR="003828EC" w:rsidRDefault="003828EC" w:rsidP="003828EC">
      <w:pPr>
        <w:pStyle w:val="BodyTextMain"/>
        <w:rPr>
          <w:sz w:val="18"/>
          <w:szCs w:val="18"/>
        </w:rPr>
      </w:pPr>
    </w:p>
    <w:p w:rsidR="003828EC" w:rsidRDefault="003828EC" w:rsidP="003828EC">
      <w:pPr>
        <w:spacing w:after="200" w:line="276" w:lineRule="auto"/>
        <w:rPr>
          <w:sz w:val="18"/>
          <w:szCs w:val="18"/>
        </w:rPr>
      </w:pPr>
      <w:r>
        <w:rPr>
          <w:sz w:val="18"/>
          <w:szCs w:val="18"/>
        </w:rPr>
        <w:br w:type="page"/>
      </w:r>
    </w:p>
    <w:p w:rsidR="003828EC" w:rsidRPr="00C81DA7" w:rsidRDefault="003828EC" w:rsidP="003828EC">
      <w:pPr>
        <w:pStyle w:val="ExhibitHeading"/>
        <w:outlineLvl w:val="0"/>
        <w:rPr>
          <w:rFonts w:eastAsia="Calibri"/>
        </w:rPr>
      </w:pPr>
      <w:r w:rsidRPr="00C81DA7">
        <w:rPr>
          <w:rFonts w:eastAsia="Calibri"/>
        </w:rPr>
        <w:lastRenderedPageBreak/>
        <w:t xml:space="preserve">EXHIBIT 1 </w:t>
      </w:r>
      <w:r>
        <w:rPr>
          <w:rFonts w:eastAsia="Calibri"/>
        </w:rPr>
        <w:t>(B) continued</w:t>
      </w:r>
    </w:p>
    <w:p w:rsidR="003828EC" w:rsidRPr="004F25F7" w:rsidRDefault="003828EC" w:rsidP="003828EC">
      <w:pPr>
        <w:pStyle w:val="ExhibitText"/>
      </w:pPr>
    </w:p>
    <w:tbl>
      <w:tblPr>
        <w:tblStyle w:val="TableGrid"/>
        <w:tblW w:w="4955" w:type="pct"/>
        <w:jc w:val="center"/>
        <w:tblLayout w:type="fixed"/>
        <w:tblLook w:val="04A0" w:firstRow="1" w:lastRow="0" w:firstColumn="1" w:lastColumn="0" w:noHBand="0" w:noVBand="1"/>
      </w:tblPr>
      <w:tblGrid>
        <w:gridCol w:w="2515"/>
        <w:gridCol w:w="1350"/>
        <w:gridCol w:w="1350"/>
        <w:gridCol w:w="1350"/>
        <w:gridCol w:w="1350"/>
        <w:gridCol w:w="1351"/>
      </w:tblGrid>
      <w:tr w:rsidR="003828EC" w:rsidRPr="00C81DA7" w:rsidTr="00813EBC">
        <w:trPr>
          <w:trHeight w:val="360"/>
          <w:jc w:val="center"/>
        </w:trPr>
        <w:tc>
          <w:tcPr>
            <w:tcW w:w="2515" w:type="dxa"/>
            <w:tcBorders>
              <w:right w:val="single" w:sz="4" w:space="0" w:color="auto"/>
            </w:tcBorders>
            <w:noWrap/>
            <w:tcMar>
              <w:left w:w="86" w:type="dxa"/>
              <w:right w:w="86" w:type="dxa"/>
            </w:tcMar>
            <w:vAlign w:val="center"/>
            <w:hideMark/>
          </w:tcPr>
          <w:p w:rsidR="003828EC" w:rsidRPr="00C81DA7" w:rsidRDefault="003828EC" w:rsidP="00813EBC">
            <w:pPr>
              <w:pStyle w:val="BodyTextMain"/>
              <w:jc w:val="center"/>
              <w:rPr>
                <w:rFonts w:ascii="Arial" w:eastAsia="Calibri" w:hAnsi="Arial" w:cs="Arial"/>
                <w:b/>
                <w:sz w:val="18"/>
                <w:szCs w:val="18"/>
              </w:rPr>
            </w:pPr>
            <w:r w:rsidRPr="00C81DA7">
              <w:rPr>
                <w:rFonts w:ascii="Arial" w:eastAsia="Calibri" w:hAnsi="Arial" w:cs="Arial"/>
                <w:b/>
                <w:sz w:val="18"/>
                <w:szCs w:val="18"/>
              </w:rPr>
              <w:t>Balance Sheet as of:</w:t>
            </w:r>
          </w:p>
        </w:tc>
        <w:tc>
          <w:tcPr>
            <w:tcW w:w="1350" w:type="dxa"/>
            <w:tcBorders>
              <w:left w:val="single" w:sz="4" w:space="0" w:color="auto"/>
              <w:right w:val="single" w:sz="4" w:space="0" w:color="auto"/>
            </w:tcBorders>
            <w:tcMar>
              <w:left w:w="86" w:type="dxa"/>
              <w:right w:w="86" w:type="dxa"/>
            </w:tcMar>
            <w:vAlign w:val="center"/>
          </w:tcPr>
          <w:p w:rsidR="003828EC" w:rsidRPr="00C81DA7" w:rsidRDefault="003828EC" w:rsidP="00813EBC">
            <w:pPr>
              <w:pStyle w:val="BodyTextMain"/>
              <w:jc w:val="center"/>
              <w:rPr>
                <w:rFonts w:ascii="Arial" w:eastAsia="Calibri" w:hAnsi="Arial" w:cs="Arial"/>
                <w:b/>
                <w:sz w:val="18"/>
                <w:szCs w:val="18"/>
              </w:rPr>
            </w:pPr>
            <w:r w:rsidRPr="00C81DA7">
              <w:rPr>
                <w:rFonts w:ascii="Arial" w:eastAsia="Calibri" w:hAnsi="Arial" w:cs="Arial"/>
                <w:b/>
                <w:sz w:val="18"/>
                <w:szCs w:val="18"/>
              </w:rPr>
              <w:t>Dec</w:t>
            </w:r>
            <w:r>
              <w:rPr>
                <w:rFonts w:ascii="Arial" w:eastAsia="Calibri" w:hAnsi="Arial" w:cs="Arial"/>
                <w:b/>
                <w:sz w:val="18"/>
                <w:szCs w:val="18"/>
              </w:rPr>
              <w:t>.</w:t>
            </w:r>
            <w:r w:rsidRPr="00C81DA7">
              <w:rPr>
                <w:rFonts w:ascii="Arial" w:eastAsia="Calibri" w:hAnsi="Arial" w:cs="Arial"/>
                <w:b/>
                <w:sz w:val="18"/>
                <w:szCs w:val="18"/>
              </w:rPr>
              <w:t xml:space="preserve"> 31</w:t>
            </w:r>
            <w:r>
              <w:rPr>
                <w:rFonts w:ascii="Arial" w:eastAsia="Calibri" w:hAnsi="Arial" w:cs="Arial"/>
                <w:b/>
                <w:sz w:val="18"/>
                <w:szCs w:val="18"/>
              </w:rPr>
              <w:t>,</w:t>
            </w:r>
            <w:r w:rsidRPr="00C81DA7">
              <w:rPr>
                <w:rFonts w:ascii="Arial" w:eastAsia="Calibri" w:hAnsi="Arial" w:cs="Arial"/>
                <w:b/>
                <w:sz w:val="18"/>
                <w:szCs w:val="18"/>
              </w:rPr>
              <w:t xml:space="preserve"> 2011</w:t>
            </w:r>
          </w:p>
        </w:tc>
        <w:tc>
          <w:tcPr>
            <w:tcW w:w="1350" w:type="dxa"/>
            <w:tcBorders>
              <w:left w:val="single" w:sz="4" w:space="0" w:color="auto"/>
              <w:right w:val="single" w:sz="4" w:space="0" w:color="auto"/>
            </w:tcBorders>
            <w:noWrap/>
            <w:tcMar>
              <w:left w:w="86" w:type="dxa"/>
              <w:right w:w="86" w:type="dxa"/>
            </w:tcMar>
            <w:vAlign w:val="center"/>
            <w:hideMark/>
          </w:tcPr>
          <w:p w:rsidR="003828EC" w:rsidRPr="00C81DA7" w:rsidRDefault="003828EC" w:rsidP="00813EBC">
            <w:pPr>
              <w:pStyle w:val="BodyTextMain"/>
              <w:jc w:val="center"/>
              <w:rPr>
                <w:rFonts w:ascii="Arial" w:eastAsia="Calibri" w:hAnsi="Arial" w:cs="Arial"/>
                <w:b/>
                <w:sz w:val="18"/>
                <w:szCs w:val="18"/>
              </w:rPr>
            </w:pPr>
            <w:r w:rsidRPr="00C81DA7">
              <w:rPr>
                <w:rFonts w:ascii="Arial" w:eastAsia="Calibri" w:hAnsi="Arial" w:cs="Arial"/>
                <w:b/>
                <w:sz w:val="18"/>
                <w:szCs w:val="18"/>
              </w:rPr>
              <w:t>Dec</w:t>
            </w:r>
            <w:r>
              <w:rPr>
                <w:rFonts w:ascii="Arial" w:eastAsia="Calibri" w:hAnsi="Arial" w:cs="Arial"/>
                <w:b/>
                <w:sz w:val="18"/>
                <w:szCs w:val="18"/>
              </w:rPr>
              <w:t>.</w:t>
            </w:r>
            <w:r w:rsidRPr="00C81DA7">
              <w:rPr>
                <w:rFonts w:ascii="Arial" w:eastAsia="Calibri" w:hAnsi="Arial" w:cs="Arial"/>
                <w:b/>
                <w:sz w:val="18"/>
                <w:szCs w:val="18"/>
              </w:rPr>
              <w:t xml:space="preserve"> 31</w:t>
            </w:r>
            <w:r>
              <w:rPr>
                <w:rFonts w:ascii="Arial" w:eastAsia="Calibri" w:hAnsi="Arial" w:cs="Arial"/>
                <w:b/>
                <w:sz w:val="18"/>
                <w:szCs w:val="18"/>
              </w:rPr>
              <w:t>,</w:t>
            </w:r>
            <w:r w:rsidRPr="00C81DA7">
              <w:rPr>
                <w:rFonts w:ascii="Arial" w:eastAsia="Calibri" w:hAnsi="Arial" w:cs="Arial"/>
                <w:b/>
                <w:sz w:val="18"/>
                <w:szCs w:val="18"/>
              </w:rPr>
              <w:t xml:space="preserve"> 2012</w:t>
            </w:r>
          </w:p>
        </w:tc>
        <w:tc>
          <w:tcPr>
            <w:tcW w:w="1350" w:type="dxa"/>
            <w:tcBorders>
              <w:left w:val="single" w:sz="4" w:space="0" w:color="auto"/>
              <w:right w:val="single" w:sz="4" w:space="0" w:color="auto"/>
            </w:tcBorders>
            <w:noWrap/>
            <w:tcMar>
              <w:left w:w="86" w:type="dxa"/>
              <w:right w:w="86" w:type="dxa"/>
            </w:tcMar>
            <w:vAlign w:val="center"/>
            <w:hideMark/>
          </w:tcPr>
          <w:p w:rsidR="003828EC" w:rsidRPr="00C81DA7" w:rsidRDefault="003828EC" w:rsidP="00813EBC">
            <w:pPr>
              <w:pStyle w:val="BodyTextMain"/>
              <w:jc w:val="center"/>
              <w:rPr>
                <w:rFonts w:ascii="Arial" w:eastAsia="Calibri" w:hAnsi="Arial" w:cs="Arial"/>
                <w:b/>
                <w:sz w:val="18"/>
                <w:szCs w:val="18"/>
              </w:rPr>
            </w:pPr>
            <w:r w:rsidRPr="00C81DA7">
              <w:rPr>
                <w:rFonts w:ascii="Arial" w:eastAsia="Calibri" w:hAnsi="Arial" w:cs="Arial"/>
                <w:b/>
                <w:sz w:val="18"/>
                <w:szCs w:val="18"/>
              </w:rPr>
              <w:t>Dec</w:t>
            </w:r>
            <w:r>
              <w:rPr>
                <w:rFonts w:ascii="Arial" w:eastAsia="Calibri" w:hAnsi="Arial" w:cs="Arial"/>
                <w:b/>
                <w:sz w:val="18"/>
                <w:szCs w:val="18"/>
              </w:rPr>
              <w:t>.</w:t>
            </w:r>
            <w:r w:rsidRPr="00C81DA7">
              <w:rPr>
                <w:rFonts w:ascii="Arial" w:eastAsia="Calibri" w:hAnsi="Arial" w:cs="Arial"/>
                <w:b/>
                <w:sz w:val="18"/>
                <w:szCs w:val="18"/>
              </w:rPr>
              <w:t xml:space="preserve"> 31</w:t>
            </w:r>
            <w:r>
              <w:rPr>
                <w:rFonts w:ascii="Arial" w:eastAsia="Calibri" w:hAnsi="Arial" w:cs="Arial"/>
                <w:b/>
                <w:sz w:val="18"/>
                <w:szCs w:val="18"/>
              </w:rPr>
              <w:t>,</w:t>
            </w:r>
            <w:r w:rsidRPr="00C81DA7">
              <w:rPr>
                <w:rFonts w:ascii="Arial" w:eastAsia="Calibri" w:hAnsi="Arial" w:cs="Arial"/>
                <w:b/>
                <w:sz w:val="18"/>
                <w:szCs w:val="18"/>
              </w:rPr>
              <w:t xml:space="preserve"> 2013</w:t>
            </w:r>
          </w:p>
        </w:tc>
        <w:tc>
          <w:tcPr>
            <w:tcW w:w="1350" w:type="dxa"/>
            <w:tcBorders>
              <w:left w:val="single" w:sz="4" w:space="0" w:color="auto"/>
              <w:right w:val="single" w:sz="4" w:space="0" w:color="auto"/>
            </w:tcBorders>
            <w:noWrap/>
            <w:tcMar>
              <w:left w:w="86" w:type="dxa"/>
              <w:right w:w="86" w:type="dxa"/>
            </w:tcMar>
            <w:vAlign w:val="center"/>
            <w:hideMark/>
          </w:tcPr>
          <w:p w:rsidR="003828EC" w:rsidRPr="00C81DA7" w:rsidRDefault="003828EC" w:rsidP="00813EBC">
            <w:pPr>
              <w:pStyle w:val="BodyTextMain"/>
              <w:jc w:val="center"/>
              <w:rPr>
                <w:rFonts w:ascii="Arial" w:eastAsia="Calibri" w:hAnsi="Arial" w:cs="Arial"/>
                <w:b/>
                <w:sz w:val="18"/>
                <w:szCs w:val="18"/>
              </w:rPr>
            </w:pPr>
            <w:r w:rsidRPr="00C81DA7">
              <w:rPr>
                <w:rFonts w:ascii="Arial" w:eastAsia="Calibri" w:hAnsi="Arial" w:cs="Arial"/>
                <w:b/>
                <w:sz w:val="18"/>
                <w:szCs w:val="18"/>
              </w:rPr>
              <w:t>Dec</w:t>
            </w:r>
            <w:r>
              <w:rPr>
                <w:rFonts w:ascii="Arial" w:eastAsia="Calibri" w:hAnsi="Arial" w:cs="Arial"/>
                <w:b/>
                <w:sz w:val="18"/>
                <w:szCs w:val="18"/>
              </w:rPr>
              <w:t>.</w:t>
            </w:r>
            <w:r w:rsidRPr="00C81DA7">
              <w:rPr>
                <w:rFonts w:ascii="Arial" w:eastAsia="Calibri" w:hAnsi="Arial" w:cs="Arial"/>
                <w:b/>
                <w:sz w:val="18"/>
                <w:szCs w:val="18"/>
              </w:rPr>
              <w:t xml:space="preserve"> 31</w:t>
            </w:r>
            <w:r>
              <w:rPr>
                <w:rFonts w:ascii="Arial" w:eastAsia="Calibri" w:hAnsi="Arial" w:cs="Arial"/>
                <w:b/>
                <w:sz w:val="18"/>
                <w:szCs w:val="18"/>
              </w:rPr>
              <w:t>,</w:t>
            </w:r>
            <w:r w:rsidRPr="00C81DA7">
              <w:rPr>
                <w:rFonts w:ascii="Arial" w:eastAsia="Calibri" w:hAnsi="Arial" w:cs="Arial"/>
                <w:b/>
                <w:sz w:val="18"/>
                <w:szCs w:val="18"/>
              </w:rPr>
              <w:t xml:space="preserve"> 2014</w:t>
            </w:r>
          </w:p>
        </w:tc>
        <w:tc>
          <w:tcPr>
            <w:tcW w:w="1351" w:type="dxa"/>
            <w:tcBorders>
              <w:left w:val="single" w:sz="4" w:space="0" w:color="auto"/>
            </w:tcBorders>
            <w:noWrap/>
            <w:tcMar>
              <w:left w:w="86" w:type="dxa"/>
              <w:right w:w="86" w:type="dxa"/>
            </w:tcMar>
            <w:vAlign w:val="center"/>
            <w:hideMark/>
          </w:tcPr>
          <w:p w:rsidR="003828EC" w:rsidRPr="00C81DA7" w:rsidRDefault="003828EC" w:rsidP="00813EBC">
            <w:pPr>
              <w:pStyle w:val="BodyTextMain"/>
              <w:jc w:val="center"/>
              <w:rPr>
                <w:rFonts w:ascii="Arial" w:eastAsia="Calibri" w:hAnsi="Arial" w:cs="Arial"/>
                <w:b/>
                <w:sz w:val="18"/>
                <w:szCs w:val="18"/>
              </w:rPr>
            </w:pPr>
            <w:r w:rsidRPr="00C81DA7">
              <w:rPr>
                <w:rFonts w:ascii="Arial" w:eastAsia="Calibri" w:hAnsi="Arial" w:cs="Arial"/>
                <w:b/>
                <w:sz w:val="18"/>
                <w:szCs w:val="18"/>
              </w:rPr>
              <w:t>Jun</w:t>
            </w:r>
            <w:r>
              <w:rPr>
                <w:rFonts w:ascii="Arial" w:eastAsia="Calibri" w:hAnsi="Arial" w:cs="Arial"/>
                <w:b/>
                <w:sz w:val="18"/>
                <w:szCs w:val="18"/>
              </w:rPr>
              <w:t>.</w:t>
            </w:r>
            <w:r w:rsidRPr="00C81DA7">
              <w:rPr>
                <w:rFonts w:ascii="Arial" w:eastAsia="Calibri" w:hAnsi="Arial" w:cs="Arial"/>
                <w:b/>
                <w:sz w:val="18"/>
                <w:szCs w:val="18"/>
              </w:rPr>
              <w:t xml:space="preserve"> 30</w:t>
            </w:r>
            <w:r>
              <w:rPr>
                <w:rFonts w:ascii="Arial" w:eastAsia="Calibri" w:hAnsi="Arial" w:cs="Arial"/>
                <w:b/>
                <w:sz w:val="18"/>
                <w:szCs w:val="18"/>
              </w:rPr>
              <w:t>,</w:t>
            </w:r>
            <w:r w:rsidRPr="00C81DA7">
              <w:rPr>
                <w:rFonts w:ascii="Arial" w:eastAsia="Calibri" w:hAnsi="Arial" w:cs="Arial"/>
                <w:b/>
                <w:sz w:val="18"/>
                <w:szCs w:val="18"/>
              </w:rPr>
              <w:t xml:space="preserve"> 2015</w:t>
            </w:r>
          </w:p>
        </w:tc>
      </w:tr>
      <w:tr w:rsidR="003828EC" w:rsidRPr="00121365" w:rsidTr="00813EBC">
        <w:trPr>
          <w:trHeight w:val="360"/>
          <w:jc w:val="center"/>
        </w:trPr>
        <w:tc>
          <w:tcPr>
            <w:tcW w:w="2515" w:type="dxa"/>
            <w:noWrap/>
            <w:tcMar>
              <w:left w:w="86" w:type="dxa"/>
              <w:right w:w="86" w:type="dxa"/>
            </w:tcMar>
            <w:vAlign w:val="center"/>
          </w:tcPr>
          <w:p w:rsidR="003828EC" w:rsidRPr="00427BFF" w:rsidRDefault="003828EC" w:rsidP="00813EBC">
            <w:pPr>
              <w:pStyle w:val="BodyTextMain"/>
              <w:rPr>
                <w:rFonts w:eastAsia="Calibri"/>
                <w:sz w:val="18"/>
                <w:szCs w:val="18"/>
              </w:rPr>
            </w:pPr>
            <w:r>
              <w:rPr>
                <w:rFonts w:ascii="Arial" w:eastAsia="Calibri" w:hAnsi="Arial" w:cs="Arial"/>
                <w:b/>
                <w:sz w:val="18"/>
                <w:szCs w:val="18"/>
              </w:rPr>
              <w:t>LIABILITIES &amp; EQUITY</w:t>
            </w:r>
          </w:p>
        </w:tc>
        <w:tc>
          <w:tcPr>
            <w:tcW w:w="1350" w:type="dxa"/>
            <w:tcMar>
              <w:left w:w="86" w:type="dxa"/>
              <w:right w:w="86" w:type="dxa"/>
            </w:tcMar>
            <w:vAlign w:val="center"/>
          </w:tcPr>
          <w:p w:rsidR="003828EC" w:rsidRPr="00427BFF" w:rsidRDefault="003828EC" w:rsidP="00813EBC">
            <w:pPr>
              <w:pStyle w:val="BodyTextMain"/>
              <w:rPr>
                <w:rFonts w:eastAsia="Calibri"/>
                <w:sz w:val="18"/>
                <w:szCs w:val="18"/>
              </w:rPr>
            </w:pPr>
          </w:p>
        </w:tc>
        <w:tc>
          <w:tcPr>
            <w:tcW w:w="1350" w:type="dxa"/>
            <w:tcMar>
              <w:left w:w="86" w:type="dxa"/>
              <w:right w:w="86" w:type="dxa"/>
            </w:tcMar>
            <w:vAlign w:val="center"/>
          </w:tcPr>
          <w:p w:rsidR="003828EC" w:rsidRPr="00427BFF" w:rsidRDefault="003828EC" w:rsidP="00813EBC">
            <w:pPr>
              <w:pStyle w:val="BodyTextMain"/>
              <w:rPr>
                <w:rFonts w:eastAsia="Calibri"/>
                <w:sz w:val="18"/>
                <w:szCs w:val="18"/>
              </w:rPr>
            </w:pPr>
          </w:p>
        </w:tc>
        <w:tc>
          <w:tcPr>
            <w:tcW w:w="1350" w:type="dxa"/>
            <w:tcMar>
              <w:left w:w="86" w:type="dxa"/>
              <w:right w:w="86" w:type="dxa"/>
            </w:tcMar>
            <w:vAlign w:val="center"/>
          </w:tcPr>
          <w:p w:rsidR="003828EC" w:rsidRPr="00427BFF" w:rsidRDefault="003828EC" w:rsidP="00813EBC">
            <w:pPr>
              <w:pStyle w:val="BodyTextMain"/>
              <w:rPr>
                <w:rFonts w:eastAsia="Calibri"/>
                <w:sz w:val="18"/>
                <w:szCs w:val="18"/>
              </w:rPr>
            </w:pPr>
          </w:p>
        </w:tc>
        <w:tc>
          <w:tcPr>
            <w:tcW w:w="1350" w:type="dxa"/>
            <w:tcMar>
              <w:left w:w="86" w:type="dxa"/>
              <w:right w:w="86" w:type="dxa"/>
            </w:tcMar>
            <w:vAlign w:val="center"/>
          </w:tcPr>
          <w:p w:rsidR="003828EC" w:rsidRPr="00427BFF" w:rsidRDefault="003828EC" w:rsidP="00813EBC">
            <w:pPr>
              <w:pStyle w:val="BodyTextMain"/>
              <w:rPr>
                <w:rFonts w:eastAsia="Calibri"/>
                <w:sz w:val="18"/>
                <w:szCs w:val="18"/>
              </w:rPr>
            </w:pPr>
          </w:p>
        </w:tc>
        <w:tc>
          <w:tcPr>
            <w:tcW w:w="1351" w:type="dxa"/>
            <w:tcMar>
              <w:left w:w="86" w:type="dxa"/>
              <w:right w:w="86" w:type="dxa"/>
            </w:tcMar>
            <w:vAlign w:val="center"/>
          </w:tcPr>
          <w:p w:rsidR="003828EC" w:rsidRPr="00427BFF" w:rsidRDefault="003828EC" w:rsidP="00813EBC">
            <w:pPr>
              <w:pStyle w:val="BodyTextMain"/>
              <w:rPr>
                <w:rFonts w:eastAsia="Calibri"/>
                <w:sz w:val="18"/>
                <w:szCs w:val="18"/>
              </w:rPr>
            </w:pPr>
          </w:p>
        </w:tc>
      </w:tr>
      <w:tr w:rsidR="003828EC" w:rsidRPr="00C81DA7" w:rsidTr="00813EBC">
        <w:trPr>
          <w:trHeight w:val="360"/>
          <w:jc w:val="center"/>
        </w:trPr>
        <w:tc>
          <w:tcPr>
            <w:tcW w:w="2515" w:type="dxa"/>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Accounts Payable</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9,077.7</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9,421.6</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17,870.1</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26,549.2</w:t>
            </w:r>
          </w:p>
        </w:tc>
        <w:tc>
          <w:tcPr>
            <w:tcW w:w="1351"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28,677.2</w:t>
            </w:r>
          </w:p>
        </w:tc>
      </w:tr>
      <w:tr w:rsidR="003828EC" w:rsidRPr="00C81DA7" w:rsidTr="00813EBC">
        <w:trPr>
          <w:trHeight w:val="360"/>
          <w:jc w:val="center"/>
        </w:trPr>
        <w:tc>
          <w:tcPr>
            <w:tcW w:w="2515" w:type="dxa"/>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Short-</w:t>
            </w:r>
            <w:r>
              <w:rPr>
                <w:rFonts w:ascii="Arial" w:eastAsia="Calibri" w:hAnsi="Arial" w:cs="Arial"/>
                <w:sz w:val="18"/>
                <w:szCs w:val="18"/>
              </w:rPr>
              <w:t>T</w:t>
            </w:r>
            <w:r w:rsidRPr="00C81DA7">
              <w:rPr>
                <w:rFonts w:ascii="Arial" w:eastAsia="Calibri" w:hAnsi="Arial" w:cs="Arial"/>
                <w:sz w:val="18"/>
                <w:szCs w:val="18"/>
              </w:rPr>
              <w:t>erm Borrowings</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16,407.8</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22,011.9</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24,516.8</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30,313.7</w:t>
            </w:r>
          </w:p>
        </w:tc>
        <w:tc>
          <w:tcPr>
            <w:tcW w:w="1351"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47,595.3</w:t>
            </w:r>
          </w:p>
        </w:tc>
      </w:tr>
      <w:tr w:rsidR="003828EC" w:rsidRPr="00C81DA7" w:rsidTr="00813EBC">
        <w:trPr>
          <w:trHeight w:val="360"/>
          <w:jc w:val="center"/>
        </w:trPr>
        <w:tc>
          <w:tcPr>
            <w:tcW w:w="2515" w:type="dxa"/>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Current Portion of Capital Leases</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4,230.0</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5,392.8</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7,506.9</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10,116.7</w:t>
            </w:r>
          </w:p>
        </w:tc>
        <w:tc>
          <w:tcPr>
            <w:tcW w:w="1351"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20,467.6</w:t>
            </w:r>
          </w:p>
        </w:tc>
      </w:tr>
      <w:tr w:rsidR="003828EC" w:rsidRPr="00C81DA7" w:rsidTr="00813EBC">
        <w:trPr>
          <w:trHeight w:val="360"/>
          <w:jc w:val="center"/>
        </w:trPr>
        <w:tc>
          <w:tcPr>
            <w:tcW w:w="2515" w:type="dxa"/>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Current Income Taxes Payable</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133.3</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211.7</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w:t>
            </w:r>
          </w:p>
        </w:tc>
        <w:tc>
          <w:tcPr>
            <w:tcW w:w="1351"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w:t>
            </w:r>
          </w:p>
        </w:tc>
      </w:tr>
      <w:tr w:rsidR="003828EC" w:rsidRPr="00C81DA7" w:rsidTr="00813EBC">
        <w:trPr>
          <w:trHeight w:val="360"/>
          <w:jc w:val="center"/>
        </w:trPr>
        <w:tc>
          <w:tcPr>
            <w:tcW w:w="2515" w:type="dxa"/>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Current Unearned Revenue</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7,972.9</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4,649.2</w:t>
            </w:r>
          </w:p>
        </w:tc>
        <w:tc>
          <w:tcPr>
            <w:tcW w:w="1351"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17,674.2</w:t>
            </w:r>
          </w:p>
        </w:tc>
      </w:tr>
      <w:tr w:rsidR="003828EC" w:rsidRPr="00C81DA7" w:rsidTr="00813EBC">
        <w:trPr>
          <w:trHeight w:val="360"/>
          <w:jc w:val="center"/>
        </w:trPr>
        <w:tc>
          <w:tcPr>
            <w:tcW w:w="2515" w:type="dxa"/>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Other Current Liabilities</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9,260.1</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8,521.6</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3,509.7</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9,612.3</w:t>
            </w:r>
          </w:p>
        </w:tc>
        <w:tc>
          <w:tcPr>
            <w:tcW w:w="1351"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11,838.0</w:t>
            </w:r>
          </w:p>
        </w:tc>
      </w:tr>
      <w:tr w:rsidR="003828EC" w:rsidRPr="00C81DA7" w:rsidTr="00813EBC">
        <w:trPr>
          <w:trHeight w:val="360"/>
          <w:jc w:val="center"/>
        </w:trPr>
        <w:tc>
          <w:tcPr>
            <w:tcW w:w="2515" w:type="dxa"/>
            <w:noWrap/>
            <w:tcMar>
              <w:left w:w="86" w:type="dxa"/>
              <w:right w:w="86" w:type="dxa"/>
            </w:tcMar>
            <w:vAlign w:val="center"/>
            <w:hideMark/>
          </w:tcPr>
          <w:p w:rsidR="003828EC" w:rsidRPr="00C81DA7" w:rsidRDefault="003828EC" w:rsidP="00813EBC">
            <w:pPr>
              <w:pStyle w:val="BodyTextMain"/>
              <w:ind w:left="144"/>
              <w:jc w:val="left"/>
              <w:rPr>
                <w:rFonts w:ascii="Arial" w:eastAsia="Calibri" w:hAnsi="Arial" w:cs="Arial"/>
                <w:b/>
                <w:sz w:val="18"/>
                <w:szCs w:val="18"/>
              </w:rPr>
            </w:pPr>
            <w:r w:rsidRPr="00C81DA7">
              <w:rPr>
                <w:rFonts w:ascii="Arial" w:eastAsia="Calibri" w:hAnsi="Arial" w:cs="Arial"/>
                <w:b/>
                <w:sz w:val="18"/>
                <w:szCs w:val="18"/>
              </w:rPr>
              <w:t>Total Current Liabilities</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39,108.9</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45,559.7</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61,376.4</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81,241.1</w:t>
            </w:r>
          </w:p>
        </w:tc>
        <w:tc>
          <w:tcPr>
            <w:tcW w:w="1351"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126,252.3</w:t>
            </w:r>
          </w:p>
        </w:tc>
      </w:tr>
      <w:tr w:rsidR="003828EC" w:rsidRPr="00C81DA7" w:rsidTr="00813EBC">
        <w:trPr>
          <w:trHeight w:val="360"/>
          <w:jc w:val="center"/>
        </w:trPr>
        <w:tc>
          <w:tcPr>
            <w:tcW w:w="2515" w:type="dxa"/>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Long-</w:t>
            </w:r>
            <w:r>
              <w:rPr>
                <w:rFonts w:ascii="Arial" w:eastAsia="Calibri" w:hAnsi="Arial" w:cs="Arial"/>
                <w:sz w:val="18"/>
                <w:szCs w:val="18"/>
              </w:rPr>
              <w:t>T</w:t>
            </w:r>
            <w:r w:rsidRPr="00C81DA7">
              <w:rPr>
                <w:rFonts w:ascii="Arial" w:eastAsia="Calibri" w:hAnsi="Arial" w:cs="Arial"/>
                <w:sz w:val="18"/>
                <w:szCs w:val="18"/>
              </w:rPr>
              <w:t>erm Debt</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8,249.2</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12,727.8</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25,542.9</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34,503.8</w:t>
            </w:r>
          </w:p>
        </w:tc>
        <w:tc>
          <w:tcPr>
            <w:tcW w:w="1351"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30,928.7</w:t>
            </w:r>
          </w:p>
        </w:tc>
      </w:tr>
      <w:tr w:rsidR="003828EC" w:rsidRPr="00C81DA7" w:rsidTr="00813EBC">
        <w:trPr>
          <w:trHeight w:val="360"/>
          <w:jc w:val="center"/>
        </w:trPr>
        <w:tc>
          <w:tcPr>
            <w:tcW w:w="2515" w:type="dxa"/>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Capital Leases</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35,234.2</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37,155.1</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34,295.0</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32,098.2</w:t>
            </w:r>
          </w:p>
        </w:tc>
        <w:tc>
          <w:tcPr>
            <w:tcW w:w="1351"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50,917.0</w:t>
            </w:r>
          </w:p>
        </w:tc>
      </w:tr>
      <w:tr w:rsidR="003828EC" w:rsidRPr="00C81DA7" w:rsidTr="00813EBC">
        <w:trPr>
          <w:trHeight w:val="360"/>
          <w:jc w:val="center"/>
        </w:trPr>
        <w:tc>
          <w:tcPr>
            <w:tcW w:w="2515" w:type="dxa"/>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Non-</w:t>
            </w:r>
            <w:r>
              <w:rPr>
                <w:rFonts w:ascii="Arial" w:eastAsia="Calibri" w:hAnsi="Arial" w:cs="Arial"/>
                <w:sz w:val="18"/>
                <w:szCs w:val="18"/>
              </w:rPr>
              <w:t>C</w:t>
            </w:r>
            <w:r w:rsidRPr="00C81DA7">
              <w:rPr>
                <w:rFonts w:ascii="Arial" w:eastAsia="Calibri" w:hAnsi="Arial" w:cs="Arial"/>
                <w:sz w:val="18"/>
                <w:szCs w:val="18"/>
              </w:rPr>
              <w:t>urrent Deferred Tax Liability</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11,578.1</w:t>
            </w:r>
          </w:p>
        </w:tc>
        <w:tc>
          <w:tcPr>
            <w:tcW w:w="1351"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w:t>
            </w:r>
          </w:p>
        </w:tc>
      </w:tr>
      <w:tr w:rsidR="003828EC" w:rsidRPr="00C81DA7" w:rsidTr="00813EBC">
        <w:trPr>
          <w:trHeight w:val="360"/>
          <w:jc w:val="center"/>
        </w:trPr>
        <w:tc>
          <w:tcPr>
            <w:tcW w:w="2515" w:type="dxa"/>
            <w:noWrap/>
            <w:tcMar>
              <w:left w:w="86" w:type="dxa"/>
              <w:right w:w="86" w:type="dxa"/>
            </w:tcMar>
            <w:vAlign w:val="center"/>
            <w:hideMark/>
          </w:tcPr>
          <w:p w:rsidR="003828EC" w:rsidRPr="00C81DA7" w:rsidRDefault="003828EC" w:rsidP="00813EBC">
            <w:pPr>
              <w:pStyle w:val="BodyTextMain"/>
              <w:ind w:left="144"/>
              <w:jc w:val="left"/>
              <w:rPr>
                <w:rFonts w:ascii="Arial" w:eastAsia="Calibri" w:hAnsi="Arial" w:cs="Arial"/>
                <w:b/>
                <w:sz w:val="18"/>
                <w:szCs w:val="18"/>
              </w:rPr>
            </w:pPr>
            <w:r w:rsidRPr="00C81DA7">
              <w:rPr>
                <w:rFonts w:ascii="Arial" w:eastAsia="Calibri" w:hAnsi="Arial" w:cs="Arial"/>
                <w:b/>
                <w:sz w:val="18"/>
                <w:szCs w:val="18"/>
              </w:rPr>
              <w:t>Total Liabilities</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82,592.3</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95,442.5</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121,214.3</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159,421.1</w:t>
            </w:r>
          </w:p>
        </w:tc>
        <w:tc>
          <w:tcPr>
            <w:tcW w:w="1351"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208,098.0</w:t>
            </w:r>
          </w:p>
        </w:tc>
      </w:tr>
      <w:tr w:rsidR="003828EC" w:rsidRPr="00C81DA7" w:rsidTr="00813EBC">
        <w:trPr>
          <w:trHeight w:val="360"/>
          <w:jc w:val="center"/>
        </w:trPr>
        <w:tc>
          <w:tcPr>
            <w:tcW w:w="2515" w:type="dxa"/>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Common Stock</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7.6</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7.6</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7.6</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7.6</w:t>
            </w:r>
          </w:p>
        </w:tc>
        <w:tc>
          <w:tcPr>
            <w:tcW w:w="1351"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7.6</w:t>
            </w:r>
          </w:p>
        </w:tc>
      </w:tr>
      <w:tr w:rsidR="003828EC" w:rsidRPr="00C81DA7" w:rsidTr="00813EBC">
        <w:trPr>
          <w:trHeight w:val="360"/>
          <w:jc w:val="center"/>
        </w:trPr>
        <w:tc>
          <w:tcPr>
            <w:tcW w:w="2515" w:type="dxa"/>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 xml:space="preserve">Additional Paid </w:t>
            </w:r>
            <w:r>
              <w:rPr>
                <w:rFonts w:ascii="Arial" w:eastAsia="Calibri" w:hAnsi="Arial" w:cs="Arial"/>
                <w:sz w:val="18"/>
                <w:szCs w:val="18"/>
              </w:rPr>
              <w:t>i</w:t>
            </w:r>
            <w:r w:rsidRPr="00C81DA7">
              <w:rPr>
                <w:rFonts w:ascii="Arial" w:eastAsia="Calibri" w:hAnsi="Arial" w:cs="Arial"/>
                <w:sz w:val="18"/>
                <w:szCs w:val="18"/>
              </w:rPr>
              <w:t>n Capital</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2,476.6</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2,480.3</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2,393.3</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2,334.8</w:t>
            </w:r>
          </w:p>
        </w:tc>
        <w:tc>
          <w:tcPr>
            <w:tcW w:w="1351"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1,798.8</w:t>
            </w:r>
          </w:p>
        </w:tc>
      </w:tr>
      <w:tr w:rsidR="003828EC" w:rsidRPr="00C81DA7" w:rsidTr="00813EBC">
        <w:trPr>
          <w:trHeight w:val="360"/>
          <w:jc w:val="center"/>
        </w:trPr>
        <w:tc>
          <w:tcPr>
            <w:tcW w:w="2515" w:type="dxa"/>
            <w:noWrap/>
            <w:tcMar>
              <w:left w:w="86" w:type="dxa"/>
              <w:right w:w="86" w:type="dxa"/>
            </w:tcMar>
            <w:vAlign w:val="center"/>
            <w:hideMark/>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Retained Earnings</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Pr>
                <w:rFonts w:ascii="Arial" w:eastAsia="Calibri" w:hAnsi="Arial" w:cs="Arial"/>
                <w:sz w:val="18"/>
                <w:szCs w:val="18"/>
              </w:rPr>
              <w:t>(</w:t>
            </w:r>
            <w:r w:rsidRPr="00C81DA7">
              <w:rPr>
                <w:rFonts w:ascii="Arial" w:eastAsia="Calibri" w:hAnsi="Arial" w:cs="Arial"/>
                <w:sz w:val="18"/>
                <w:szCs w:val="18"/>
              </w:rPr>
              <w:t>2,565.4</w:t>
            </w:r>
            <w:r>
              <w:rPr>
                <w:rFonts w:ascii="Arial" w:eastAsia="Calibri" w:hAnsi="Arial" w:cs="Arial"/>
                <w:sz w:val="18"/>
                <w:szCs w:val="18"/>
              </w:rPr>
              <w:t>)</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Pr>
                <w:rFonts w:ascii="Arial" w:eastAsia="Calibri" w:hAnsi="Arial" w:cs="Arial"/>
                <w:sz w:val="18"/>
                <w:szCs w:val="18"/>
              </w:rPr>
              <w:t>(</w:t>
            </w:r>
            <w:r w:rsidRPr="00C81DA7">
              <w:rPr>
                <w:rFonts w:ascii="Arial" w:eastAsia="Calibri" w:hAnsi="Arial" w:cs="Arial"/>
                <w:sz w:val="18"/>
                <w:szCs w:val="18"/>
              </w:rPr>
              <w:t>2,852.1</w:t>
            </w:r>
            <w:r>
              <w:rPr>
                <w:rFonts w:ascii="Arial" w:eastAsia="Calibri" w:hAnsi="Arial" w:cs="Arial"/>
                <w:sz w:val="18"/>
                <w:szCs w:val="18"/>
              </w:rPr>
              <w:t>)</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Pr>
                <w:rFonts w:ascii="Arial" w:eastAsia="Calibri" w:hAnsi="Arial" w:cs="Arial"/>
                <w:sz w:val="18"/>
                <w:szCs w:val="18"/>
              </w:rPr>
              <w:t>(</w:t>
            </w:r>
            <w:r w:rsidRPr="00C81DA7">
              <w:rPr>
                <w:rFonts w:ascii="Arial" w:eastAsia="Calibri" w:hAnsi="Arial" w:cs="Arial"/>
                <w:sz w:val="18"/>
                <w:szCs w:val="18"/>
              </w:rPr>
              <w:t>29,547.8</w:t>
            </w:r>
            <w:r>
              <w:rPr>
                <w:rFonts w:ascii="Arial" w:eastAsia="Calibri" w:hAnsi="Arial" w:cs="Arial"/>
                <w:sz w:val="18"/>
                <w:szCs w:val="18"/>
              </w:rPr>
              <w:t>)</w:t>
            </w:r>
          </w:p>
        </w:tc>
        <w:tc>
          <w:tcPr>
            <w:tcW w:w="1350"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−43,996.9</w:t>
            </w:r>
          </w:p>
        </w:tc>
        <w:tc>
          <w:tcPr>
            <w:tcW w:w="1351" w:type="dxa"/>
            <w:noWrap/>
            <w:tcMar>
              <w:left w:w="86" w:type="dxa"/>
              <w:right w:w="86" w:type="dxa"/>
            </w:tcMar>
            <w:vAlign w:val="center"/>
            <w:hideMark/>
          </w:tcPr>
          <w:p w:rsidR="003828EC" w:rsidRPr="00C81DA7" w:rsidRDefault="003828EC" w:rsidP="00813EBC">
            <w:pPr>
              <w:pStyle w:val="BodyTextMain"/>
              <w:jc w:val="right"/>
              <w:rPr>
                <w:rFonts w:ascii="Arial" w:eastAsia="Calibri" w:hAnsi="Arial" w:cs="Arial"/>
                <w:sz w:val="18"/>
                <w:szCs w:val="18"/>
              </w:rPr>
            </w:pPr>
            <w:r>
              <w:rPr>
                <w:rFonts w:ascii="Arial" w:eastAsia="Calibri" w:hAnsi="Arial" w:cs="Arial"/>
                <w:sz w:val="18"/>
                <w:szCs w:val="18"/>
              </w:rPr>
              <w:t>(</w:t>
            </w:r>
            <w:r w:rsidRPr="00C81DA7">
              <w:rPr>
                <w:rFonts w:ascii="Arial" w:eastAsia="Calibri" w:hAnsi="Arial" w:cs="Arial"/>
                <w:sz w:val="18"/>
                <w:szCs w:val="18"/>
              </w:rPr>
              <w:t>89,979.2</w:t>
            </w:r>
            <w:r>
              <w:rPr>
                <w:rFonts w:ascii="Arial" w:eastAsia="Calibri" w:hAnsi="Arial" w:cs="Arial"/>
                <w:sz w:val="18"/>
                <w:szCs w:val="18"/>
              </w:rPr>
              <w:t>)</w:t>
            </w:r>
          </w:p>
        </w:tc>
      </w:tr>
      <w:tr w:rsidR="003828EC" w:rsidRPr="00C81DA7" w:rsidTr="00813EBC">
        <w:trPr>
          <w:trHeight w:val="360"/>
          <w:jc w:val="center"/>
        </w:trPr>
        <w:tc>
          <w:tcPr>
            <w:tcW w:w="2515" w:type="dxa"/>
            <w:noWrap/>
            <w:tcMar>
              <w:left w:w="86" w:type="dxa"/>
              <w:right w:w="86" w:type="dxa"/>
            </w:tcMar>
            <w:vAlign w:val="center"/>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Treasury Stock</w:t>
            </w:r>
          </w:p>
        </w:tc>
        <w:tc>
          <w:tcPr>
            <w:tcW w:w="1350"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Pr>
                <w:rFonts w:ascii="Arial" w:eastAsia="Calibri" w:hAnsi="Arial" w:cs="Arial"/>
                <w:sz w:val="18"/>
                <w:szCs w:val="18"/>
              </w:rPr>
              <w:t>(</w:t>
            </w:r>
            <w:r w:rsidRPr="00C81DA7">
              <w:rPr>
                <w:rFonts w:ascii="Arial" w:eastAsia="Calibri" w:hAnsi="Arial" w:cs="Arial"/>
                <w:sz w:val="18"/>
                <w:szCs w:val="18"/>
              </w:rPr>
              <w:t>2,360.2</w:t>
            </w:r>
            <w:r>
              <w:rPr>
                <w:rFonts w:ascii="Arial" w:eastAsia="Calibri" w:hAnsi="Arial" w:cs="Arial"/>
                <w:sz w:val="18"/>
                <w:szCs w:val="18"/>
              </w:rPr>
              <w:t>)</w:t>
            </w:r>
          </w:p>
        </w:tc>
        <w:tc>
          <w:tcPr>
            <w:tcW w:w="1350"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Pr>
                <w:rFonts w:ascii="Arial" w:eastAsia="Calibri" w:hAnsi="Arial" w:cs="Arial"/>
                <w:sz w:val="18"/>
                <w:szCs w:val="18"/>
              </w:rPr>
              <w:t>(</w:t>
            </w:r>
            <w:r w:rsidRPr="00C81DA7">
              <w:rPr>
                <w:rFonts w:ascii="Arial" w:eastAsia="Calibri" w:hAnsi="Arial" w:cs="Arial"/>
                <w:sz w:val="18"/>
                <w:szCs w:val="18"/>
              </w:rPr>
              <w:t>2,767.5</w:t>
            </w:r>
            <w:r>
              <w:rPr>
                <w:rFonts w:ascii="Arial" w:eastAsia="Calibri" w:hAnsi="Arial" w:cs="Arial"/>
                <w:sz w:val="18"/>
                <w:szCs w:val="18"/>
              </w:rPr>
              <w:t>)</w:t>
            </w:r>
          </w:p>
        </w:tc>
        <w:tc>
          <w:tcPr>
            <w:tcW w:w="1350"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Pr>
                <w:rFonts w:ascii="Arial" w:eastAsia="Calibri" w:hAnsi="Arial" w:cs="Arial"/>
                <w:sz w:val="18"/>
                <w:szCs w:val="18"/>
              </w:rPr>
              <w:t>(</w:t>
            </w:r>
            <w:r w:rsidRPr="00C81DA7">
              <w:rPr>
                <w:rFonts w:ascii="Arial" w:eastAsia="Calibri" w:hAnsi="Arial" w:cs="Arial"/>
                <w:sz w:val="18"/>
                <w:szCs w:val="18"/>
              </w:rPr>
              <w:t>1,023.4</w:t>
            </w:r>
            <w:r>
              <w:rPr>
                <w:rFonts w:ascii="Arial" w:eastAsia="Calibri" w:hAnsi="Arial" w:cs="Arial"/>
                <w:sz w:val="18"/>
                <w:szCs w:val="18"/>
              </w:rPr>
              <w:t>)</w:t>
            </w:r>
          </w:p>
        </w:tc>
        <w:tc>
          <w:tcPr>
            <w:tcW w:w="1350"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−3,059.2</w:t>
            </w:r>
          </w:p>
        </w:tc>
        <w:tc>
          <w:tcPr>
            <w:tcW w:w="1351"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Pr>
                <w:rFonts w:ascii="Arial" w:eastAsia="Calibri" w:hAnsi="Arial" w:cs="Arial"/>
                <w:sz w:val="18"/>
                <w:szCs w:val="18"/>
              </w:rPr>
              <w:t>(</w:t>
            </w:r>
            <w:r w:rsidRPr="00C81DA7">
              <w:rPr>
                <w:rFonts w:ascii="Arial" w:eastAsia="Calibri" w:hAnsi="Arial" w:cs="Arial"/>
                <w:sz w:val="18"/>
                <w:szCs w:val="18"/>
              </w:rPr>
              <w:t>3,142.8</w:t>
            </w:r>
            <w:r>
              <w:rPr>
                <w:rFonts w:ascii="Arial" w:eastAsia="Calibri" w:hAnsi="Arial" w:cs="Arial"/>
                <w:sz w:val="18"/>
                <w:szCs w:val="18"/>
              </w:rPr>
              <w:t>)</w:t>
            </w:r>
          </w:p>
        </w:tc>
      </w:tr>
      <w:tr w:rsidR="003828EC" w:rsidRPr="00C81DA7" w:rsidTr="00813EBC">
        <w:trPr>
          <w:trHeight w:val="360"/>
          <w:jc w:val="center"/>
        </w:trPr>
        <w:tc>
          <w:tcPr>
            <w:tcW w:w="2515" w:type="dxa"/>
            <w:noWrap/>
            <w:tcMar>
              <w:left w:w="86" w:type="dxa"/>
              <w:right w:w="86" w:type="dxa"/>
            </w:tcMar>
            <w:vAlign w:val="center"/>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Comprehensive Income and Other</w:t>
            </w:r>
          </w:p>
        </w:tc>
        <w:tc>
          <w:tcPr>
            <w:tcW w:w="1350"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13,707.4</w:t>
            </w:r>
          </w:p>
        </w:tc>
        <w:tc>
          <w:tcPr>
            <w:tcW w:w="1350"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6,784.2</w:t>
            </w:r>
          </w:p>
        </w:tc>
        <w:tc>
          <w:tcPr>
            <w:tcW w:w="1350"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8,427.6</w:t>
            </w:r>
          </w:p>
        </w:tc>
        <w:tc>
          <w:tcPr>
            <w:tcW w:w="1350"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78,146.8</w:t>
            </w:r>
          </w:p>
        </w:tc>
        <w:tc>
          <w:tcPr>
            <w:tcW w:w="1351"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38,728.9</w:t>
            </w:r>
          </w:p>
        </w:tc>
      </w:tr>
      <w:tr w:rsidR="003828EC" w:rsidRPr="00C81DA7" w:rsidTr="00813EBC">
        <w:trPr>
          <w:trHeight w:val="360"/>
          <w:jc w:val="center"/>
        </w:trPr>
        <w:tc>
          <w:tcPr>
            <w:tcW w:w="2515" w:type="dxa"/>
            <w:noWrap/>
            <w:tcMar>
              <w:left w:w="86" w:type="dxa"/>
              <w:right w:w="86" w:type="dxa"/>
            </w:tcMar>
            <w:vAlign w:val="center"/>
          </w:tcPr>
          <w:p w:rsidR="003828EC" w:rsidRPr="00C81DA7" w:rsidRDefault="003828EC" w:rsidP="00813EBC">
            <w:pPr>
              <w:pStyle w:val="BodyTextMain"/>
              <w:jc w:val="left"/>
              <w:rPr>
                <w:rFonts w:ascii="Arial" w:eastAsia="Calibri" w:hAnsi="Arial" w:cs="Arial"/>
                <w:sz w:val="18"/>
                <w:szCs w:val="18"/>
              </w:rPr>
            </w:pPr>
            <w:r w:rsidRPr="00C81DA7">
              <w:rPr>
                <w:rFonts w:ascii="Arial" w:eastAsia="Calibri" w:hAnsi="Arial" w:cs="Arial"/>
                <w:sz w:val="18"/>
                <w:szCs w:val="18"/>
              </w:rPr>
              <w:t>Total Common Equity</w:t>
            </w:r>
          </w:p>
        </w:tc>
        <w:tc>
          <w:tcPr>
            <w:tcW w:w="1350"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11,265.9</w:t>
            </w:r>
          </w:p>
        </w:tc>
        <w:tc>
          <w:tcPr>
            <w:tcW w:w="1350"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3,652.4</w:t>
            </w:r>
          </w:p>
        </w:tc>
        <w:tc>
          <w:tcPr>
            <w:tcW w:w="1350"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Pr>
                <w:rFonts w:ascii="Arial" w:eastAsia="Calibri" w:hAnsi="Arial" w:cs="Arial"/>
                <w:sz w:val="18"/>
                <w:szCs w:val="18"/>
              </w:rPr>
              <w:t>(</w:t>
            </w:r>
            <w:r w:rsidRPr="00C81DA7">
              <w:rPr>
                <w:rFonts w:ascii="Arial" w:eastAsia="Calibri" w:hAnsi="Arial" w:cs="Arial"/>
                <w:sz w:val="18"/>
                <w:szCs w:val="18"/>
              </w:rPr>
              <w:t>19,742.7</w:t>
            </w:r>
            <w:r>
              <w:rPr>
                <w:rFonts w:ascii="Arial" w:eastAsia="Calibri" w:hAnsi="Arial" w:cs="Arial"/>
                <w:sz w:val="18"/>
                <w:szCs w:val="18"/>
              </w:rPr>
              <w:t>)</w:t>
            </w:r>
          </w:p>
        </w:tc>
        <w:tc>
          <w:tcPr>
            <w:tcW w:w="1350"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33,433.1</w:t>
            </w:r>
          </w:p>
        </w:tc>
        <w:tc>
          <w:tcPr>
            <w:tcW w:w="1351"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Pr>
                <w:rFonts w:ascii="Arial" w:eastAsia="Calibri" w:hAnsi="Arial" w:cs="Arial"/>
                <w:sz w:val="18"/>
                <w:szCs w:val="18"/>
              </w:rPr>
              <w:t>(</w:t>
            </w:r>
            <w:r w:rsidRPr="00C81DA7">
              <w:rPr>
                <w:rFonts w:ascii="Arial" w:eastAsia="Calibri" w:hAnsi="Arial" w:cs="Arial"/>
                <w:sz w:val="18"/>
                <w:szCs w:val="18"/>
              </w:rPr>
              <w:t>52,586.8</w:t>
            </w:r>
            <w:r>
              <w:rPr>
                <w:rFonts w:ascii="Arial" w:eastAsia="Calibri" w:hAnsi="Arial" w:cs="Arial"/>
                <w:sz w:val="18"/>
                <w:szCs w:val="18"/>
              </w:rPr>
              <w:t>)</w:t>
            </w:r>
          </w:p>
        </w:tc>
      </w:tr>
      <w:tr w:rsidR="003828EC" w:rsidRPr="00C81DA7" w:rsidTr="00813EBC">
        <w:trPr>
          <w:trHeight w:val="360"/>
          <w:jc w:val="center"/>
        </w:trPr>
        <w:tc>
          <w:tcPr>
            <w:tcW w:w="2515" w:type="dxa"/>
            <w:noWrap/>
            <w:tcMar>
              <w:left w:w="86" w:type="dxa"/>
              <w:right w:w="86" w:type="dxa"/>
            </w:tcMar>
            <w:vAlign w:val="center"/>
          </w:tcPr>
          <w:p w:rsidR="003828EC" w:rsidRPr="00C81DA7" w:rsidRDefault="003828EC" w:rsidP="00813EBC">
            <w:pPr>
              <w:pStyle w:val="BodyTextMain"/>
              <w:ind w:left="144"/>
              <w:jc w:val="left"/>
              <w:rPr>
                <w:rFonts w:ascii="Arial" w:eastAsia="Calibri" w:hAnsi="Arial" w:cs="Arial"/>
                <w:sz w:val="18"/>
                <w:szCs w:val="18"/>
              </w:rPr>
            </w:pPr>
            <w:r w:rsidRPr="00C81DA7">
              <w:rPr>
                <w:rFonts w:ascii="Arial" w:eastAsia="Calibri" w:hAnsi="Arial" w:cs="Arial"/>
                <w:b/>
                <w:sz w:val="18"/>
                <w:szCs w:val="18"/>
              </w:rPr>
              <w:t>Total Equity</w:t>
            </w:r>
          </w:p>
        </w:tc>
        <w:tc>
          <w:tcPr>
            <w:tcW w:w="1350"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11,265.9</w:t>
            </w:r>
          </w:p>
        </w:tc>
        <w:tc>
          <w:tcPr>
            <w:tcW w:w="1350"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3,652.4</w:t>
            </w:r>
          </w:p>
        </w:tc>
        <w:tc>
          <w:tcPr>
            <w:tcW w:w="1350"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Pr>
                <w:rFonts w:ascii="Arial" w:eastAsia="Calibri" w:hAnsi="Arial" w:cs="Arial"/>
                <w:sz w:val="18"/>
                <w:szCs w:val="18"/>
              </w:rPr>
              <w:t>(</w:t>
            </w:r>
            <w:r w:rsidRPr="00C81DA7">
              <w:rPr>
                <w:rFonts w:ascii="Arial" w:eastAsia="Calibri" w:hAnsi="Arial" w:cs="Arial"/>
                <w:sz w:val="18"/>
                <w:szCs w:val="18"/>
              </w:rPr>
              <w:t>19,742.7</w:t>
            </w:r>
            <w:r>
              <w:rPr>
                <w:rFonts w:ascii="Arial" w:eastAsia="Calibri" w:hAnsi="Arial" w:cs="Arial"/>
                <w:sz w:val="18"/>
                <w:szCs w:val="18"/>
              </w:rPr>
              <w:t>)</w:t>
            </w:r>
          </w:p>
        </w:tc>
        <w:tc>
          <w:tcPr>
            <w:tcW w:w="1350"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33,433.1</w:t>
            </w:r>
          </w:p>
        </w:tc>
        <w:tc>
          <w:tcPr>
            <w:tcW w:w="1351"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Pr>
                <w:rFonts w:ascii="Arial" w:eastAsia="Calibri" w:hAnsi="Arial" w:cs="Arial"/>
                <w:sz w:val="18"/>
                <w:szCs w:val="18"/>
              </w:rPr>
              <w:t>(</w:t>
            </w:r>
            <w:r w:rsidRPr="00C81DA7">
              <w:rPr>
                <w:rFonts w:ascii="Arial" w:eastAsia="Calibri" w:hAnsi="Arial" w:cs="Arial"/>
                <w:sz w:val="18"/>
                <w:szCs w:val="18"/>
              </w:rPr>
              <w:t>52,586.8</w:t>
            </w:r>
            <w:r>
              <w:rPr>
                <w:rFonts w:ascii="Arial" w:eastAsia="Calibri" w:hAnsi="Arial" w:cs="Arial"/>
                <w:sz w:val="18"/>
                <w:szCs w:val="18"/>
              </w:rPr>
              <w:t>)</w:t>
            </w:r>
          </w:p>
        </w:tc>
      </w:tr>
      <w:tr w:rsidR="003828EC" w:rsidRPr="00C81DA7" w:rsidTr="00813EBC">
        <w:trPr>
          <w:trHeight w:val="360"/>
          <w:jc w:val="center"/>
        </w:trPr>
        <w:tc>
          <w:tcPr>
            <w:tcW w:w="2515" w:type="dxa"/>
            <w:noWrap/>
            <w:tcMar>
              <w:left w:w="86" w:type="dxa"/>
              <w:right w:w="86" w:type="dxa"/>
            </w:tcMar>
            <w:vAlign w:val="center"/>
          </w:tcPr>
          <w:p w:rsidR="003828EC" w:rsidRPr="00C81DA7" w:rsidRDefault="003828EC" w:rsidP="00813EBC">
            <w:pPr>
              <w:pStyle w:val="BodyTextMain"/>
              <w:jc w:val="left"/>
              <w:rPr>
                <w:rFonts w:ascii="Arial" w:eastAsia="Calibri" w:hAnsi="Arial" w:cs="Arial"/>
                <w:b/>
                <w:sz w:val="18"/>
                <w:szCs w:val="18"/>
              </w:rPr>
            </w:pPr>
            <w:r w:rsidRPr="00C81DA7">
              <w:rPr>
                <w:rFonts w:ascii="Arial" w:eastAsia="Calibri" w:hAnsi="Arial" w:cs="Arial"/>
                <w:b/>
                <w:sz w:val="18"/>
                <w:szCs w:val="18"/>
              </w:rPr>
              <w:t>Total Liabilities &amp; Equity</w:t>
            </w:r>
          </w:p>
        </w:tc>
        <w:tc>
          <w:tcPr>
            <w:tcW w:w="1350"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93,858.3</w:t>
            </w:r>
          </w:p>
        </w:tc>
        <w:tc>
          <w:tcPr>
            <w:tcW w:w="1350"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99,094.9</w:t>
            </w:r>
          </w:p>
        </w:tc>
        <w:tc>
          <w:tcPr>
            <w:tcW w:w="1350"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101,471.6</w:t>
            </w:r>
          </w:p>
        </w:tc>
        <w:tc>
          <w:tcPr>
            <w:tcW w:w="1350"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192,854.2</w:t>
            </w:r>
          </w:p>
        </w:tc>
        <w:tc>
          <w:tcPr>
            <w:tcW w:w="1351" w:type="dxa"/>
            <w:noWrap/>
            <w:tcMar>
              <w:left w:w="86" w:type="dxa"/>
              <w:right w:w="86" w:type="dxa"/>
            </w:tcMar>
            <w:vAlign w:val="center"/>
          </w:tcPr>
          <w:p w:rsidR="003828EC" w:rsidRPr="00C81DA7" w:rsidRDefault="003828EC" w:rsidP="00813EBC">
            <w:pPr>
              <w:pStyle w:val="BodyTextMain"/>
              <w:jc w:val="right"/>
              <w:rPr>
                <w:rFonts w:ascii="Arial" w:eastAsia="Calibri" w:hAnsi="Arial" w:cs="Arial"/>
                <w:sz w:val="18"/>
                <w:szCs w:val="18"/>
              </w:rPr>
            </w:pPr>
            <w:r w:rsidRPr="00C81DA7">
              <w:rPr>
                <w:rFonts w:ascii="Arial" w:eastAsia="Calibri" w:hAnsi="Arial" w:cs="Arial"/>
                <w:sz w:val="18"/>
                <w:szCs w:val="18"/>
              </w:rPr>
              <w:t>155,511.2</w:t>
            </w:r>
          </w:p>
        </w:tc>
      </w:tr>
    </w:tbl>
    <w:p w:rsidR="003828EC" w:rsidRPr="00A733E3" w:rsidRDefault="003828EC" w:rsidP="003828EC">
      <w:pPr>
        <w:pStyle w:val="ExhibitText"/>
        <w:rPr>
          <w:rFonts w:eastAsia="Calibri"/>
        </w:rPr>
      </w:pPr>
    </w:p>
    <w:p w:rsidR="003828EC" w:rsidRDefault="003828EC" w:rsidP="003828EC">
      <w:pPr>
        <w:pStyle w:val="Footnote"/>
        <w:rPr>
          <w:rFonts w:eastAsia="Calibri"/>
        </w:rPr>
      </w:pPr>
      <w:r>
        <w:rPr>
          <w:rFonts w:eastAsia="Calibri"/>
        </w:rPr>
        <w:br w:type="page"/>
      </w:r>
    </w:p>
    <w:p w:rsidR="003828EC" w:rsidRPr="00C81DA7" w:rsidRDefault="003828EC" w:rsidP="003828EC">
      <w:pPr>
        <w:pStyle w:val="ExhibitHeading"/>
        <w:outlineLvl w:val="0"/>
        <w:rPr>
          <w:rFonts w:eastAsia="Calibri"/>
        </w:rPr>
      </w:pPr>
      <w:r w:rsidRPr="00C81DA7">
        <w:rPr>
          <w:rFonts w:eastAsia="Calibri"/>
        </w:rPr>
        <w:lastRenderedPageBreak/>
        <w:t xml:space="preserve">EXHIBIT 1 </w:t>
      </w:r>
      <w:r>
        <w:rPr>
          <w:rFonts w:eastAsia="Calibri"/>
        </w:rPr>
        <w:t>(B) continued</w:t>
      </w:r>
    </w:p>
    <w:p w:rsidR="003828EC" w:rsidRPr="00C81DA7" w:rsidRDefault="003828EC" w:rsidP="003828EC">
      <w:pPr>
        <w:pStyle w:val="ExhibitText"/>
        <w:rPr>
          <w:rFonts w:eastAsia="Calibri"/>
        </w:rPr>
      </w:pPr>
    </w:p>
    <w:tbl>
      <w:tblPr>
        <w:tblStyle w:val="TableGrid"/>
        <w:tblW w:w="5000" w:type="pct"/>
        <w:jc w:val="center"/>
        <w:tblLayout w:type="fixed"/>
        <w:tblLook w:val="04A0" w:firstRow="1" w:lastRow="0" w:firstColumn="1" w:lastColumn="0" w:noHBand="0" w:noVBand="1"/>
      </w:tblPr>
      <w:tblGrid>
        <w:gridCol w:w="3505"/>
        <w:gridCol w:w="1170"/>
        <w:gridCol w:w="1170"/>
        <w:gridCol w:w="1170"/>
        <w:gridCol w:w="1170"/>
        <w:gridCol w:w="1165"/>
      </w:tblGrid>
      <w:tr w:rsidR="003828EC" w:rsidRPr="00C81DA7" w:rsidTr="00813EBC">
        <w:trPr>
          <w:trHeight w:val="360"/>
          <w:jc w:val="center"/>
        </w:trPr>
        <w:tc>
          <w:tcPr>
            <w:tcW w:w="3505" w:type="dxa"/>
            <w:vAlign w:val="center"/>
          </w:tcPr>
          <w:p w:rsidR="003828EC" w:rsidRPr="00C81DA7" w:rsidRDefault="003828EC" w:rsidP="00813EBC">
            <w:pPr>
              <w:jc w:val="center"/>
              <w:rPr>
                <w:rFonts w:ascii="Arial" w:eastAsia="Calibri" w:hAnsi="Arial" w:cs="Arial"/>
                <w:b/>
                <w:bCs/>
                <w:sz w:val="18"/>
                <w:szCs w:val="18"/>
              </w:rPr>
            </w:pPr>
            <w:r w:rsidRPr="00C81DA7">
              <w:rPr>
                <w:rFonts w:ascii="Arial" w:eastAsia="Calibri" w:hAnsi="Arial" w:cs="Arial"/>
                <w:b/>
                <w:bCs/>
                <w:sz w:val="18"/>
                <w:szCs w:val="18"/>
              </w:rPr>
              <w:t>For the Fiscal Period Ending</w:t>
            </w:r>
          </w:p>
        </w:tc>
        <w:tc>
          <w:tcPr>
            <w:tcW w:w="1170" w:type="dxa"/>
            <w:vAlign w:val="center"/>
          </w:tcPr>
          <w:p w:rsidR="003828EC" w:rsidRPr="00C81DA7" w:rsidRDefault="003828EC" w:rsidP="00813EBC">
            <w:pPr>
              <w:jc w:val="center"/>
              <w:rPr>
                <w:rFonts w:ascii="Arial" w:eastAsia="Calibri" w:hAnsi="Arial" w:cs="Arial"/>
                <w:b/>
                <w:bCs/>
                <w:sz w:val="18"/>
                <w:szCs w:val="18"/>
              </w:rPr>
            </w:pPr>
            <w:r w:rsidRPr="00C81DA7">
              <w:rPr>
                <w:rFonts w:ascii="Arial" w:eastAsia="Calibri" w:hAnsi="Arial" w:cs="Arial"/>
                <w:b/>
                <w:bCs/>
                <w:sz w:val="18"/>
                <w:szCs w:val="18"/>
              </w:rPr>
              <w:t>12 months</w:t>
            </w:r>
            <w:r w:rsidRPr="00C81DA7">
              <w:rPr>
                <w:rFonts w:ascii="Arial" w:eastAsia="Calibri" w:hAnsi="Arial" w:cs="Arial"/>
                <w:b/>
                <w:bCs/>
                <w:sz w:val="18"/>
                <w:szCs w:val="18"/>
              </w:rPr>
              <w:br/>
              <w:t>Dec</w:t>
            </w:r>
            <w:r>
              <w:rPr>
                <w:rFonts w:ascii="Arial" w:eastAsia="Calibri" w:hAnsi="Arial" w:cs="Arial"/>
                <w:b/>
                <w:bCs/>
                <w:sz w:val="18"/>
                <w:szCs w:val="18"/>
              </w:rPr>
              <w:t>.</w:t>
            </w:r>
            <w:r w:rsidRPr="00C81DA7">
              <w:rPr>
                <w:rFonts w:ascii="Arial" w:eastAsia="Calibri" w:hAnsi="Arial" w:cs="Arial"/>
                <w:b/>
                <w:bCs/>
                <w:sz w:val="18"/>
                <w:szCs w:val="18"/>
              </w:rPr>
              <w:t xml:space="preserve"> 31</w:t>
            </w:r>
            <w:r>
              <w:rPr>
                <w:rFonts w:ascii="Arial" w:eastAsia="Calibri" w:hAnsi="Arial" w:cs="Arial"/>
                <w:b/>
                <w:bCs/>
                <w:sz w:val="18"/>
                <w:szCs w:val="18"/>
              </w:rPr>
              <w:t>,</w:t>
            </w:r>
            <w:r w:rsidRPr="00C81DA7">
              <w:rPr>
                <w:rFonts w:ascii="Arial" w:eastAsia="Calibri" w:hAnsi="Arial" w:cs="Arial"/>
                <w:b/>
                <w:bCs/>
                <w:sz w:val="18"/>
                <w:szCs w:val="18"/>
              </w:rPr>
              <w:t xml:space="preserve"> 2011</w:t>
            </w:r>
          </w:p>
        </w:tc>
        <w:tc>
          <w:tcPr>
            <w:tcW w:w="1170" w:type="dxa"/>
            <w:vAlign w:val="center"/>
          </w:tcPr>
          <w:p w:rsidR="003828EC" w:rsidRPr="00C81DA7" w:rsidRDefault="003828EC" w:rsidP="00813EBC">
            <w:pPr>
              <w:jc w:val="center"/>
              <w:rPr>
                <w:rFonts w:ascii="Arial" w:eastAsia="Calibri" w:hAnsi="Arial" w:cs="Arial"/>
                <w:b/>
                <w:bCs/>
                <w:sz w:val="18"/>
                <w:szCs w:val="18"/>
              </w:rPr>
            </w:pPr>
            <w:r w:rsidRPr="00C81DA7">
              <w:rPr>
                <w:rFonts w:ascii="Arial" w:eastAsia="Calibri" w:hAnsi="Arial" w:cs="Arial"/>
                <w:b/>
                <w:bCs/>
                <w:sz w:val="18"/>
                <w:szCs w:val="18"/>
              </w:rPr>
              <w:t>12 months</w:t>
            </w:r>
            <w:r w:rsidRPr="00C81DA7">
              <w:rPr>
                <w:rFonts w:ascii="Arial" w:eastAsia="Calibri" w:hAnsi="Arial" w:cs="Arial"/>
                <w:b/>
                <w:bCs/>
                <w:sz w:val="18"/>
                <w:szCs w:val="18"/>
              </w:rPr>
              <w:br/>
              <w:t>Dec</w:t>
            </w:r>
            <w:r>
              <w:rPr>
                <w:rFonts w:ascii="Arial" w:eastAsia="Calibri" w:hAnsi="Arial" w:cs="Arial"/>
                <w:b/>
                <w:bCs/>
                <w:sz w:val="18"/>
                <w:szCs w:val="18"/>
              </w:rPr>
              <w:t>.</w:t>
            </w:r>
            <w:r w:rsidRPr="00C81DA7">
              <w:rPr>
                <w:rFonts w:ascii="Arial" w:eastAsia="Calibri" w:hAnsi="Arial" w:cs="Arial"/>
                <w:b/>
                <w:bCs/>
                <w:sz w:val="18"/>
                <w:szCs w:val="18"/>
              </w:rPr>
              <w:t xml:space="preserve"> 31</w:t>
            </w:r>
            <w:r>
              <w:rPr>
                <w:rFonts w:ascii="Arial" w:eastAsia="Calibri" w:hAnsi="Arial" w:cs="Arial"/>
                <w:b/>
                <w:bCs/>
                <w:sz w:val="18"/>
                <w:szCs w:val="18"/>
              </w:rPr>
              <w:t>,</w:t>
            </w:r>
            <w:r w:rsidRPr="00C81DA7">
              <w:rPr>
                <w:rFonts w:ascii="Arial" w:eastAsia="Calibri" w:hAnsi="Arial" w:cs="Arial"/>
                <w:b/>
                <w:bCs/>
                <w:sz w:val="18"/>
                <w:szCs w:val="18"/>
              </w:rPr>
              <w:t xml:space="preserve"> 2012</w:t>
            </w:r>
          </w:p>
        </w:tc>
        <w:tc>
          <w:tcPr>
            <w:tcW w:w="1170" w:type="dxa"/>
            <w:vAlign w:val="center"/>
          </w:tcPr>
          <w:p w:rsidR="003828EC" w:rsidRPr="00C81DA7" w:rsidRDefault="003828EC" w:rsidP="00813EBC">
            <w:pPr>
              <w:jc w:val="center"/>
              <w:rPr>
                <w:rFonts w:ascii="Arial" w:eastAsia="Calibri" w:hAnsi="Arial" w:cs="Arial"/>
                <w:b/>
                <w:bCs/>
                <w:sz w:val="18"/>
                <w:szCs w:val="18"/>
              </w:rPr>
            </w:pPr>
            <w:r w:rsidRPr="00C81DA7">
              <w:rPr>
                <w:rFonts w:ascii="Arial" w:eastAsia="Calibri" w:hAnsi="Arial" w:cs="Arial"/>
                <w:b/>
                <w:bCs/>
                <w:sz w:val="18"/>
                <w:szCs w:val="18"/>
              </w:rPr>
              <w:t>12 months</w:t>
            </w:r>
            <w:r w:rsidRPr="00C81DA7">
              <w:rPr>
                <w:rFonts w:ascii="Arial" w:eastAsia="Calibri" w:hAnsi="Arial" w:cs="Arial"/>
                <w:b/>
                <w:bCs/>
                <w:sz w:val="18"/>
                <w:szCs w:val="18"/>
              </w:rPr>
              <w:br/>
              <w:t>Dec</w:t>
            </w:r>
            <w:r>
              <w:rPr>
                <w:rFonts w:ascii="Arial" w:eastAsia="Calibri" w:hAnsi="Arial" w:cs="Arial"/>
                <w:b/>
                <w:bCs/>
                <w:sz w:val="18"/>
                <w:szCs w:val="18"/>
              </w:rPr>
              <w:t>.</w:t>
            </w:r>
            <w:r w:rsidRPr="00C81DA7">
              <w:rPr>
                <w:rFonts w:ascii="Arial" w:eastAsia="Calibri" w:hAnsi="Arial" w:cs="Arial"/>
                <w:b/>
                <w:bCs/>
                <w:sz w:val="18"/>
                <w:szCs w:val="18"/>
              </w:rPr>
              <w:t xml:space="preserve"> 31</w:t>
            </w:r>
            <w:r>
              <w:rPr>
                <w:rFonts w:ascii="Arial" w:eastAsia="Calibri" w:hAnsi="Arial" w:cs="Arial"/>
                <w:b/>
                <w:bCs/>
                <w:sz w:val="18"/>
                <w:szCs w:val="18"/>
              </w:rPr>
              <w:t>,</w:t>
            </w:r>
            <w:r w:rsidRPr="00C81DA7">
              <w:rPr>
                <w:rFonts w:ascii="Arial" w:eastAsia="Calibri" w:hAnsi="Arial" w:cs="Arial"/>
                <w:b/>
                <w:bCs/>
                <w:sz w:val="18"/>
                <w:szCs w:val="18"/>
              </w:rPr>
              <w:t xml:space="preserve"> 2013</w:t>
            </w:r>
          </w:p>
        </w:tc>
        <w:tc>
          <w:tcPr>
            <w:tcW w:w="1170" w:type="dxa"/>
            <w:vAlign w:val="center"/>
          </w:tcPr>
          <w:p w:rsidR="003828EC" w:rsidRPr="00C81DA7" w:rsidRDefault="003828EC" w:rsidP="00813EBC">
            <w:pPr>
              <w:jc w:val="center"/>
              <w:rPr>
                <w:rFonts w:ascii="Arial" w:eastAsia="Calibri" w:hAnsi="Arial" w:cs="Arial"/>
                <w:b/>
                <w:bCs/>
                <w:sz w:val="18"/>
                <w:szCs w:val="18"/>
              </w:rPr>
            </w:pPr>
            <w:r w:rsidRPr="00C81DA7">
              <w:rPr>
                <w:rFonts w:ascii="Arial" w:eastAsia="Calibri" w:hAnsi="Arial" w:cs="Arial"/>
                <w:b/>
                <w:bCs/>
                <w:sz w:val="18"/>
                <w:szCs w:val="18"/>
              </w:rPr>
              <w:t>12 months</w:t>
            </w:r>
            <w:r w:rsidRPr="00C81DA7">
              <w:rPr>
                <w:rFonts w:ascii="Arial" w:eastAsia="Calibri" w:hAnsi="Arial" w:cs="Arial"/>
                <w:b/>
                <w:bCs/>
                <w:sz w:val="18"/>
                <w:szCs w:val="18"/>
              </w:rPr>
              <w:br/>
              <w:t>Dec</w:t>
            </w:r>
            <w:r>
              <w:rPr>
                <w:rFonts w:ascii="Arial" w:eastAsia="Calibri" w:hAnsi="Arial" w:cs="Arial"/>
                <w:b/>
                <w:bCs/>
                <w:sz w:val="18"/>
                <w:szCs w:val="18"/>
              </w:rPr>
              <w:t>.</w:t>
            </w:r>
            <w:r w:rsidRPr="00C81DA7">
              <w:rPr>
                <w:rFonts w:ascii="Arial" w:eastAsia="Calibri" w:hAnsi="Arial" w:cs="Arial"/>
                <w:b/>
                <w:bCs/>
                <w:sz w:val="18"/>
                <w:szCs w:val="18"/>
              </w:rPr>
              <w:t xml:space="preserve"> 31</w:t>
            </w:r>
            <w:r>
              <w:rPr>
                <w:rFonts w:ascii="Arial" w:eastAsia="Calibri" w:hAnsi="Arial" w:cs="Arial"/>
                <w:b/>
                <w:bCs/>
                <w:sz w:val="18"/>
                <w:szCs w:val="18"/>
              </w:rPr>
              <w:t>,</w:t>
            </w:r>
            <w:r w:rsidRPr="00C81DA7">
              <w:rPr>
                <w:rFonts w:ascii="Arial" w:eastAsia="Calibri" w:hAnsi="Arial" w:cs="Arial"/>
                <w:b/>
                <w:bCs/>
                <w:sz w:val="18"/>
                <w:szCs w:val="18"/>
              </w:rPr>
              <w:t xml:space="preserve"> 2014</w:t>
            </w:r>
          </w:p>
        </w:tc>
        <w:tc>
          <w:tcPr>
            <w:tcW w:w="1165" w:type="dxa"/>
            <w:vAlign w:val="center"/>
          </w:tcPr>
          <w:p w:rsidR="003828EC" w:rsidRPr="00C81DA7" w:rsidRDefault="003828EC" w:rsidP="00813EBC">
            <w:pPr>
              <w:jc w:val="center"/>
              <w:rPr>
                <w:rFonts w:ascii="Arial" w:eastAsia="Calibri" w:hAnsi="Arial" w:cs="Arial"/>
                <w:b/>
                <w:bCs/>
                <w:sz w:val="18"/>
                <w:szCs w:val="18"/>
              </w:rPr>
            </w:pPr>
            <w:r w:rsidRPr="00C81DA7">
              <w:rPr>
                <w:rFonts w:ascii="Arial" w:eastAsia="Calibri" w:hAnsi="Arial" w:cs="Arial"/>
                <w:b/>
                <w:bCs/>
                <w:sz w:val="18"/>
                <w:szCs w:val="18"/>
              </w:rPr>
              <w:t>12 months</w:t>
            </w:r>
            <w:r w:rsidRPr="00C81DA7">
              <w:rPr>
                <w:rFonts w:ascii="Arial" w:eastAsia="Calibri" w:hAnsi="Arial" w:cs="Arial"/>
                <w:b/>
                <w:bCs/>
                <w:sz w:val="18"/>
                <w:szCs w:val="18"/>
              </w:rPr>
              <w:br/>
              <w:t>Jun</w:t>
            </w:r>
            <w:r>
              <w:rPr>
                <w:rFonts w:ascii="Arial" w:eastAsia="Calibri" w:hAnsi="Arial" w:cs="Arial"/>
                <w:b/>
                <w:bCs/>
                <w:sz w:val="18"/>
                <w:szCs w:val="18"/>
              </w:rPr>
              <w:t>.</w:t>
            </w:r>
            <w:r w:rsidRPr="00C81DA7">
              <w:rPr>
                <w:rFonts w:ascii="Arial" w:eastAsia="Calibri" w:hAnsi="Arial" w:cs="Arial"/>
                <w:b/>
                <w:bCs/>
                <w:sz w:val="18"/>
                <w:szCs w:val="18"/>
              </w:rPr>
              <w:t xml:space="preserve"> 30</w:t>
            </w:r>
            <w:r>
              <w:rPr>
                <w:rFonts w:ascii="Arial" w:eastAsia="Calibri" w:hAnsi="Arial" w:cs="Arial"/>
                <w:b/>
                <w:bCs/>
                <w:sz w:val="18"/>
                <w:szCs w:val="18"/>
              </w:rPr>
              <w:t>,</w:t>
            </w:r>
            <w:r w:rsidRPr="00C81DA7">
              <w:rPr>
                <w:rFonts w:ascii="Arial" w:eastAsia="Calibri" w:hAnsi="Arial" w:cs="Arial"/>
                <w:b/>
                <w:bCs/>
                <w:sz w:val="18"/>
                <w:szCs w:val="18"/>
              </w:rPr>
              <w:t xml:space="preserve"> 2015</w:t>
            </w:r>
          </w:p>
        </w:tc>
      </w:tr>
      <w:tr w:rsidR="003828EC" w:rsidRPr="00C81DA7" w:rsidTr="00813EBC">
        <w:trPr>
          <w:trHeight w:val="360"/>
          <w:jc w:val="center"/>
        </w:trPr>
        <w:tc>
          <w:tcPr>
            <w:tcW w:w="3505" w:type="dxa"/>
            <w:noWrap/>
            <w:vAlign w:val="center"/>
            <w:hideMark/>
          </w:tcPr>
          <w:p w:rsidR="003828EC" w:rsidRPr="00C81DA7" w:rsidRDefault="003828EC" w:rsidP="00813EBC">
            <w:pPr>
              <w:rPr>
                <w:rFonts w:ascii="Arial" w:eastAsia="Calibri" w:hAnsi="Arial" w:cs="Arial"/>
                <w:bCs/>
                <w:sz w:val="18"/>
                <w:szCs w:val="18"/>
              </w:rPr>
            </w:pPr>
            <w:r w:rsidRPr="00C81DA7">
              <w:rPr>
                <w:rFonts w:ascii="Arial" w:eastAsia="Calibri" w:hAnsi="Arial" w:cs="Arial"/>
                <w:bCs/>
                <w:sz w:val="18"/>
                <w:szCs w:val="18"/>
              </w:rPr>
              <w:t>Net Income</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2,192.1</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(228.0)</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(13,341.1)</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(14,463.0)</w:t>
            </w:r>
          </w:p>
        </w:tc>
        <w:tc>
          <w:tcPr>
            <w:tcW w:w="1165"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(7,192.1)</w:t>
            </w:r>
          </w:p>
        </w:tc>
      </w:tr>
      <w:tr w:rsidR="003828EC" w:rsidRPr="00C81DA7" w:rsidTr="00813EBC">
        <w:trPr>
          <w:trHeight w:val="360"/>
          <w:jc w:val="center"/>
        </w:trPr>
        <w:tc>
          <w:tcPr>
            <w:tcW w:w="3505" w:type="dxa"/>
            <w:noWrap/>
            <w:vAlign w:val="center"/>
            <w:hideMark/>
          </w:tcPr>
          <w:p w:rsidR="003828EC" w:rsidRPr="00C81DA7" w:rsidRDefault="003828EC" w:rsidP="00813EBC">
            <w:pPr>
              <w:rPr>
                <w:rFonts w:ascii="Arial" w:eastAsia="Calibri" w:hAnsi="Arial" w:cs="Arial"/>
                <w:sz w:val="18"/>
                <w:szCs w:val="18"/>
              </w:rPr>
            </w:pPr>
            <w:r w:rsidRPr="00C81DA7">
              <w:rPr>
                <w:rFonts w:ascii="Arial" w:eastAsia="Calibri" w:hAnsi="Arial" w:cs="Arial"/>
                <w:sz w:val="18"/>
                <w:szCs w:val="18"/>
              </w:rPr>
              <w:t>Depreciation</w:t>
            </w:r>
            <w:r w:rsidRPr="00C81DA7">
              <w:rPr>
                <w:rFonts w:ascii="Arial" w:hAnsi="Arial" w:cs="Arial"/>
                <w:sz w:val="18"/>
                <w:szCs w:val="18"/>
              </w:rPr>
              <w:t xml:space="preserve"> </w:t>
            </w:r>
            <w:r w:rsidRPr="00C81DA7">
              <w:rPr>
                <w:rFonts w:ascii="Arial" w:eastAsia="Calibri" w:hAnsi="Arial" w:cs="Arial"/>
                <w:sz w:val="18"/>
                <w:szCs w:val="18"/>
              </w:rPr>
              <w:t>&amp;</w:t>
            </w:r>
            <w:r w:rsidRPr="00C81DA7">
              <w:rPr>
                <w:rFonts w:ascii="Arial" w:hAnsi="Arial" w:cs="Arial"/>
                <w:sz w:val="18"/>
                <w:szCs w:val="18"/>
              </w:rPr>
              <w:t xml:space="preserve"> </w:t>
            </w:r>
            <w:r w:rsidRPr="00C81DA7">
              <w:rPr>
                <w:rFonts w:ascii="Arial" w:eastAsia="Calibri" w:hAnsi="Arial" w:cs="Arial"/>
                <w:sz w:val="18"/>
                <w:szCs w:val="18"/>
              </w:rPr>
              <w:t>Amortization</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1,632.3</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2,637.1</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3,289.4</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2,819.7</w:t>
            </w:r>
          </w:p>
        </w:tc>
        <w:tc>
          <w:tcPr>
            <w:tcW w:w="1165"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3,088.4</w:t>
            </w:r>
          </w:p>
        </w:tc>
      </w:tr>
      <w:tr w:rsidR="003828EC" w:rsidRPr="00C81DA7" w:rsidTr="00813EBC">
        <w:trPr>
          <w:trHeight w:val="360"/>
          <w:jc w:val="center"/>
        </w:trPr>
        <w:tc>
          <w:tcPr>
            <w:tcW w:w="3505" w:type="dxa"/>
            <w:noWrap/>
            <w:vAlign w:val="center"/>
            <w:hideMark/>
          </w:tcPr>
          <w:p w:rsidR="003828EC" w:rsidRPr="00C81DA7" w:rsidRDefault="003828EC" w:rsidP="00813EBC">
            <w:pPr>
              <w:rPr>
                <w:rFonts w:ascii="Arial" w:eastAsia="Calibri" w:hAnsi="Arial" w:cs="Arial"/>
                <w:sz w:val="18"/>
                <w:szCs w:val="18"/>
              </w:rPr>
            </w:pPr>
            <w:r w:rsidRPr="00C81DA7">
              <w:rPr>
                <w:rFonts w:ascii="Arial" w:eastAsia="Calibri" w:hAnsi="Arial" w:cs="Arial"/>
                <w:sz w:val="18"/>
                <w:szCs w:val="18"/>
              </w:rPr>
              <w:t>(Gain) Loss from Sale of Assets</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(1,835.3)</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(1,452.1)</w:t>
            </w:r>
          </w:p>
        </w:tc>
        <w:tc>
          <w:tcPr>
            <w:tcW w:w="1165"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(1,452.1)</w:t>
            </w:r>
          </w:p>
        </w:tc>
      </w:tr>
      <w:tr w:rsidR="003828EC" w:rsidRPr="00C81DA7" w:rsidTr="00813EBC">
        <w:trPr>
          <w:trHeight w:val="360"/>
          <w:jc w:val="center"/>
        </w:trPr>
        <w:tc>
          <w:tcPr>
            <w:tcW w:w="3505" w:type="dxa"/>
            <w:noWrap/>
            <w:vAlign w:val="center"/>
            <w:hideMark/>
          </w:tcPr>
          <w:p w:rsidR="003828EC" w:rsidRPr="00C81DA7" w:rsidRDefault="003828EC" w:rsidP="00813EBC">
            <w:pPr>
              <w:rPr>
                <w:rFonts w:ascii="Arial" w:eastAsia="Calibri" w:hAnsi="Arial" w:cs="Arial"/>
                <w:sz w:val="18"/>
                <w:szCs w:val="18"/>
              </w:rPr>
            </w:pPr>
            <w:r w:rsidRPr="00C81DA7">
              <w:rPr>
                <w:rFonts w:ascii="Arial" w:eastAsia="Calibri" w:hAnsi="Arial" w:cs="Arial"/>
                <w:sz w:val="18"/>
                <w:szCs w:val="18"/>
              </w:rPr>
              <w:t>Provision &amp; Write-</w:t>
            </w:r>
            <w:r>
              <w:rPr>
                <w:rFonts w:ascii="Arial" w:eastAsia="Calibri" w:hAnsi="Arial" w:cs="Arial"/>
                <w:sz w:val="18"/>
                <w:szCs w:val="18"/>
              </w:rPr>
              <w:t>O</w:t>
            </w:r>
            <w:r w:rsidRPr="00C81DA7">
              <w:rPr>
                <w:rFonts w:ascii="Arial" w:eastAsia="Calibri" w:hAnsi="Arial" w:cs="Arial"/>
                <w:sz w:val="18"/>
                <w:szCs w:val="18"/>
              </w:rPr>
              <w:t>ff of Bad Debts</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(82.6)</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(167.7)</w:t>
            </w:r>
          </w:p>
        </w:tc>
        <w:tc>
          <w:tcPr>
            <w:tcW w:w="1165"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(167.7)</w:t>
            </w:r>
          </w:p>
        </w:tc>
      </w:tr>
      <w:tr w:rsidR="003828EC" w:rsidRPr="00C81DA7" w:rsidTr="00813EBC">
        <w:trPr>
          <w:trHeight w:val="360"/>
          <w:jc w:val="center"/>
        </w:trPr>
        <w:tc>
          <w:tcPr>
            <w:tcW w:w="3505" w:type="dxa"/>
            <w:noWrap/>
            <w:vAlign w:val="center"/>
            <w:hideMark/>
          </w:tcPr>
          <w:p w:rsidR="003828EC" w:rsidRPr="00C81DA7" w:rsidRDefault="003828EC" w:rsidP="00813EBC">
            <w:pPr>
              <w:rPr>
                <w:rFonts w:ascii="Arial" w:eastAsia="Calibri" w:hAnsi="Arial" w:cs="Arial"/>
                <w:sz w:val="18"/>
                <w:szCs w:val="18"/>
              </w:rPr>
            </w:pPr>
            <w:r w:rsidRPr="00C81DA7">
              <w:rPr>
                <w:rFonts w:ascii="Arial" w:eastAsia="Calibri" w:hAnsi="Arial" w:cs="Arial"/>
                <w:sz w:val="18"/>
                <w:szCs w:val="18"/>
              </w:rPr>
              <w:t>Other Operating Activities</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(3,314.5)</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893.1</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8,530.5</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20,284.2</w:t>
            </w:r>
          </w:p>
        </w:tc>
        <w:tc>
          <w:tcPr>
            <w:tcW w:w="1165"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16,004.4</w:t>
            </w:r>
          </w:p>
        </w:tc>
      </w:tr>
      <w:tr w:rsidR="003828EC" w:rsidRPr="00C81DA7" w:rsidTr="00813EBC">
        <w:trPr>
          <w:trHeight w:val="360"/>
          <w:jc w:val="center"/>
        </w:trPr>
        <w:tc>
          <w:tcPr>
            <w:tcW w:w="3505" w:type="dxa"/>
            <w:noWrap/>
            <w:vAlign w:val="center"/>
            <w:hideMark/>
          </w:tcPr>
          <w:p w:rsidR="003828EC" w:rsidRPr="00C81DA7" w:rsidRDefault="003828EC" w:rsidP="00813EBC">
            <w:pPr>
              <w:rPr>
                <w:rFonts w:ascii="Arial" w:eastAsia="Calibri" w:hAnsi="Arial" w:cs="Arial"/>
                <w:sz w:val="18"/>
                <w:szCs w:val="18"/>
              </w:rPr>
            </w:pPr>
            <w:r w:rsidRPr="00C81DA7">
              <w:rPr>
                <w:rFonts w:ascii="Arial" w:eastAsia="Calibri" w:hAnsi="Arial" w:cs="Arial"/>
                <w:sz w:val="18"/>
                <w:szCs w:val="18"/>
              </w:rPr>
              <w:t>Change in Accounts Receivable</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16,389.2</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(11,207.5)</w:t>
            </w:r>
          </w:p>
        </w:tc>
        <w:tc>
          <w:tcPr>
            <w:tcW w:w="1165"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(11,207.5)</w:t>
            </w:r>
          </w:p>
        </w:tc>
      </w:tr>
      <w:tr w:rsidR="003828EC" w:rsidRPr="00C81DA7" w:rsidTr="00813EBC">
        <w:trPr>
          <w:trHeight w:val="360"/>
          <w:jc w:val="center"/>
        </w:trPr>
        <w:tc>
          <w:tcPr>
            <w:tcW w:w="3505" w:type="dxa"/>
            <w:noWrap/>
            <w:vAlign w:val="center"/>
            <w:hideMark/>
          </w:tcPr>
          <w:p w:rsidR="003828EC" w:rsidRPr="00C81DA7" w:rsidRDefault="003828EC" w:rsidP="00813EBC">
            <w:pPr>
              <w:rPr>
                <w:rFonts w:ascii="Arial" w:eastAsia="Calibri" w:hAnsi="Arial" w:cs="Arial"/>
                <w:sz w:val="18"/>
                <w:szCs w:val="18"/>
              </w:rPr>
            </w:pPr>
            <w:r w:rsidRPr="00C81DA7">
              <w:rPr>
                <w:rFonts w:ascii="Arial" w:eastAsia="Calibri" w:hAnsi="Arial" w:cs="Arial"/>
                <w:sz w:val="18"/>
                <w:szCs w:val="18"/>
              </w:rPr>
              <w:t>Change in Inventories</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(2,507.7)</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(1,284.2)</w:t>
            </w:r>
          </w:p>
        </w:tc>
        <w:tc>
          <w:tcPr>
            <w:tcW w:w="1165"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(1,284.2)</w:t>
            </w:r>
          </w:p>
        </w:tc>
      </w:tr>
      <w:tr w:rsidR="003828EC" w:rsidRPr="00C81DA7" w:rsidTr="00813EBC">
        <w:trPr>
          <w:trHeight w:val="360"/>
          <w:jc w:val="center"/>
        </w:trPr>
        <w:tc>
          <w:tcPr>
            <w:tcW w:w="3505" w:type="dxa"/>
            <w:noWrap/>
            <w:vAlign w:val="center"/>
            <w:hideMark/>
          </w:tcPr>
          <w:p w:rsidR="003828EC" w:rsidRPr="00C81DA7" w:rsidRDefault="003828EC" w:rsidP="00813EBC">
            <w:pPr>
              <w:rPr>
                <w:rFonts w:ascii="Arial" w:eastAsia="Calibri" w:hAnsi="Arial" w:cs="Arial"/>
                <w:sz w:val="18"/>
                <w:szCs w:val="18"/>
              </w:rPr>
            </w:pPr>
            <w:r w:rsidRPr="00C81DA7">
              <w:rPr>
                <w:rFonts w:ascii="Arial" w:eastAsia="Calibri" w:hAnsi="Arial" w:cs="Arial"/>
                <w:sz w:val="18"/>
                <w:szCs w:val="18"/>
              </w:rPr>
              <w:t>Change in Accounts Payable</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(197.7)</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14,277.9</w:t>
            </w:r>
          </w:p>
        </w:tc>
        <w:tc>
          <w:tcPr>
            <w:tcW w:w="1165"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14,277.9</w:t>
            </w:r>
          </w:p>
        </w:tc>
      </w:tr>
      <w:tr w:rsidR="003828EC" w:rsidRPr="00C81DA7" w:rsidTr="00813EBC">
        <w:trPr>
          <w:trHeight w:val="360"/>
          <w:jc w:val="center"/>
        </w:trPr>
        <w:tc>
          <w:tcPr>
            <w:tcW w:w="3505" w:type="dxa"/>
            <w:noWrap/>
            <w:vAlign w:val="center"/>
            <w:hideMark/>
          </w:tcPr>
          <w:p w:rsidR="003828EC" w:rsidRPr="00C81DA7" w:rsidRDefault="003828EC" w:rsidP="00813EBC">
            <w:pPr>
              <w:rPr>
                <w:rFonts w:ascii="Arial" w:eastAsia="Calibri" w:hAnsi="Arial" w:cs="Arial"/>
                <w:sz w:val="18"/>
                <w:szCs w:val="18"/>
              </w:rPr>
            </w:pPr>
            <w:r w:rsidRPr="00C81DA7">
              <w:rPr>
                <w:rFonts w:ascii="Arial" w:eastAsia="Calibri" w:hAnsi="Arial" w:cs="Arial"/>
                <w:sz w:val="18"/>
                <w:szCs w:val="18"/>
              </w:rPr>
              <w:t>Change in Other Net Operating Assets</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(1,817.8)</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(2,238.7)</w:t>
            </w:r>
          </w:p>
        </w:tc>
        <w:tc>
          <w:tcPr>
            <w:tcW w:w="1165"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(2,238.7)</w:t>
            </w:r>
          </w:p>
        </w:tc>
      </w:tr>
      <w:tr w:rsidR="003828EC" w:rsidRPr="00C81DA7" w:rsidTr="00813EBC">
        <w:trPr>
          <w:trHeight w:val="360"/>
          <w:jc w:val="center"/>
        </w:trPr>
        <w:tc>
          <w:tcPr>
            <w:tcW w:w="3505" w:type="dxa"/>
            <w:noWrap/>
            <w:vAlign w:val="center"/>
            <w:hideMark/>
          </w:tcPr>
          <w:p w:rsidR="003828EC" w:rsidRPr="00C81DA7" w:rsidRDefault="003828EC" w:rsidP="00813EBC">
            <w:pPr>
              <w:ind w:left="144"/>
              <w:rPr>
                <w:rFonts w:ascii="Arial" w:eastAsia="Calibri" w:hAnsi="Arial" w:cs="Arial"/>
                <w:b/>
                <w:bCs/>
                <w:sz w:val="18"/>
                <w:szCs w:val="18"/>
              </w:rPr>
            </w:pPr>
            <w:r w:rsidRPr="00C81DA7">
              <w:rPr>
                <w:rFonts w:ascii="Arial" w:eastAsia="Calibri" w:hAnsi="Arial" w:cs="Arial"/>
                <w:b/>
                <w:bCs/>
                <w:sz w:val="18"/>
                <w:szCs w:val="18"/>
              </w:rPr>
              <w:t>Cash from Operations</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509.9</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3,302.2</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8,426.9</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6,568.6</w:t>
            </w:r>
          </w:p>
        </w:tc>
        <w:tc>
          <w:tcPr>
            <w:tcW w:w="1165"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9,828.4</w:t>
            </w:r>
          </w:p>
        </w:tc>
      </w:tr>
      <w:tr w:rsidR="003828EC" w:rsidRPr="00C81DA7" w:rsidTr="00813EBC">
        <w:trPr>
          <w:trHeight w:val="360"/>
          <w:jc w:val="center"/>
        </w:trPr>
        <w:tc>
          <w:tcPr>
            <w:tcW w:w="3505" w:type="dxa"/>
            <w:noWrap/>
            <w:vAlign w:val="center"/>
            <w:hideMark/>
          </w:tcPr>
          <w:p w:rsidR="003828EC" w:rsidRPr="00C81DA7" w:rsidRDefault="003828EC" w:rsidP="00813EBC">
            <w:pPr>
              <w:rPr>
                <w:rFonts w:ascii="Arial" w:eastAsia="Calibri" w:hAnsi="Arial" w:cs="Arial"/>
                <w:sz w:val="18"/>
                <w:szCs w:val="18"/>
              </w:rPr>
            </w:pPr>
            <w:r w:rsidRPr="00C81DA7">
              <w:rPr>
                <w:rFonts w:ascii="Arial" w:eastAsia="Calibri" w:hAnsi="Arial" w:cs="Arial"/>
                <w:sz w:val="18"/>
                <w:szCs w:val="18"/>
              </w:rPr>
              <w:t>Capital Expenditure</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(18,059.8)</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(6,751.2)</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(11,941.0)</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(2,731.8)</w:t>
            </w:r>
          </w:p>
        </w:tc>
        <w:tc>
          <w:tcPr>
            <w:tcW w:w="1165"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(1,177.2)</w:t>
            </w:r>
          </w:p>
        </w:tc>
      </w:tr>
      <w:tr w:rsidR="003828EC" w:rsidRPr="00C81DA7" w:rsidTr="00813EBC">
        <w:trPr>
          <w:trHeight w:val="360"/>
          <w:jc w:val="center"/>
        </w:trPr>
        <w:tc>
          <w:tcPr>
            <w:tcW w:w="3505" w:type="dxa"/>
            <w:noWrap/>
            <w:vAlign w:val="center"/>
            <w:hideMark/>
          </w:tcPr>
          <w:p w:rsidR="003828EC" w:rsidRPr="00C81DA7" w:rsidRDefault="003828EC" w:rsidP="00813EBC">
            <w:pPr>
              <w:rPr>
                <w:rFonts w:ascii="Arial" w:eastAsia="Calibri" w:hAnsi="Arial" w:cs="Arial"/>
                <w:sz w:val="18"/>
                <w:szCs w:val="18"/>
              </w:rPr>
            </w:pPr>
            <w:r w:rsidRPr="00C81DA7">
              <w:rPr>
                <w:rFonts w:ascii="Arial" w:eastAsia="Calibri" w:hAnsi="Arial" w:cs="Arial"/>
                <w:sz w:val="18"/>
                <w:szCs w:val="18"/>
              </w:rPr>
              <w:t>Sale of Property, Plant, &amp; Equipment</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9.2</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251.0</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1,406.5</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4.9</w:t>
            </w:r>
          </w:p>
        </w:tc>
        <w:tc>
          <w:tcPr>
            <w:tcW w:w="1165"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(57.5)</w:t>
            </w:r>
          </w:p>
        </w:tc>
      </w:tr>
      <w:tr w:rsidR="003828EC" w:rsidRPr="00C81DA7" w:rsidTr="00813EBC">
        <w:trPr>
          <w:trHeight w:val="360"/>
          <w:jc w:val="center"/>
        </w:trPr>
        <w:tc>
          <w:tcPr>
            <w:tcW w:w="3505" w:type="dxa"/>
            <w:noWrap/>
            <w:vAlign w:val="center"/>
            <w:hideMark/>
          </w:tcPr>
          <w:p w:rsidR="003828EC" w:rsidRPr="00C81DA7" w:rsidRDefault="003828EC" w:rsidP="00813EBC">
            <w:pPr>
              <w:rPr>
                <w:rFonts w:ascii="Arial" w:eastAsia="Calibri" w:hAnsi="Arial" w:cs="Arial"/>
                <w:sz w:val="18"/>
                <w:szCs w:val="18"/>
              </w:rPr>
            </w:pPr>
            <w:r w:rsidRPr="00C81DA7">
              <w:rPr>
                <w:rFonts w:ascii="Arial" w:eastAsia="Calibri" w:hAnsi="Arial" w:cs="Arial"/>
                <w:sz w:val="18"/>
                <w:szCs w:val="18"/>
              </w:rPr>
              <w:t>Cash Acquisitions</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87.9</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w:t>
            </w:r>
          </w:p>
        </w:tc>
        <w:tc>
          <w:tcPr>
            <w:tcW w:w="1165"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w:t>
            </w:r>
          </w:p>
        </w:tc>
      </w:tr>
      <w:tr w:rsidR="003828EC" w:rsidRPr="00C81DA7" w:rsidTr="00813EBC">
        <w:trPr>
          <w:trHeight w:val="360"/>
          <w:jc w:val="center"/>
        </w:trPr>
        <w:tc>
          <w:tcPr>
            <w:tcW w:w="3505" w:type="dxa"/>
            <w:noWrap/>
            <w:vAlign w:val="center"/>
            <w:hideMark/>
          </w:tcPr>
          <w:p w:rsidR="003828EC" w:rsidRPr="00C81DA7" w:rsidRDefault="003828EC" w:rsidP="00813EBC">
            <w:pPr>
              <w:rPr>
                <w:rFonts w:ascii="Arial" w:eastAsia="Calibri" w:hAnsi="Arial" w:cs="Arial"/>
                <w:sz w:val="18"/>
                <w:szCs w:val="18"/>
              </w:rPr>
            </w:pPr>
            <w:r w:rsidRPr="00C81DA7">
              <w:rPr>
                <w:rFonts w:ascii="Arial" w:eastAsia="Calibri" w:hAnsi="Arial" w:cs="Arial"/>
                <w:sz w:val="18"/>
                <w:szCs w:val="18"/>
              </w:rPr>
              <w:t>Divestitures</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w:t>
            </w:r>
          </w:p>
        </w:tc>
        <w:tc>
          <w:tcPr>
            <w:tcW w:w="1165"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(126.1)</w:t>
            </w:r>
          </w:p>
        </w:tc>
      </w:tr>
      <w:tr w:rsidR="003828EC" w:rsidRPr="00C81DA7" w:rsidTr="00813EBC">
        <w:trPr>
          <w:trHeight w:val="360"/>
          <w:jc w:val="center"/>
        </w:trPr>
        <w:tc>
          <w:tcPr>
            <w:tcW w:w="3505" w:type="dxa"/>
            <w:noWrap/>
            <w:vAlign w:val="center"/>
            <w:hideMark/>
          </w:tcPr>
          <w:p w:rsidR="003828EC" w:rsidRPr="00C81DA7" w:rsidRDefault="003828EC" w:rsidP="00813EBC">
            <w:pPr>
              <w:rPr>
                <w:rFonts w:ascii="Arial" w:eastAsia="Calibri" w:hAnsi="Arial" w:cs="Arial"/>
                <w:sz w:val="18"/>
                <w:szCs w:val="18"/>
              </w:rPr>
            </w:pPr>
            <w:r w:rsidRPr="00C81DA7">
              <w:rPr>
                <w:rFonts w:ascii="Arial" w:eastAsia="Calibri" w:hAnsi="Arial" w:cs="Arial"/>
                <w:sz w:val="18"/>
                <w:szCs w:val="18"/>
              </w:rPr>
              <w:t>Investments in Marketable &amp; Equity Securities</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2.0</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(65.6)</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(18.8)</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2.3</w:t>
            </w:r>
          </w:p>
        </w:tc>
        <w:tc>
          <w:tcPr>
            <w:tcW w:w="1165"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(1,978.8)</w:t>
            </w:r>
          </w:p>
        </w:tc>
      </w:tr>
      <w:tr w:rsidR="003828EC" w:rsidRPr="00C81DA7" w:rsidTr="00813EBC">
        <w:trPr>
          <w:trHeight w:val="360"/>
          <w:jc w:val="center"/>
        </w:trPr>
        <w:tc>
          <w:tcPr>
            <w:tcW w:w="3505" w:type="dxa"/>
            <w:noWrap/>
            <w:vAlign w:val="center"/>
            <w:hideMark/>
          </w:tcPr>
          <w:p w:rsidR="003828EC" w:rsidRPr="00C81DA7" w:rsidRDefault="003828EC" w:rsidP="00813EBC">
            <w:pPr>
              <w:rPr>
                <w:rFonts w:ascii="Arial" w:eastAsia="Calibri" w:hAnsi="Arial" w:cs="Arial"/>
                <w:sz w:val="18"/>
                <w:szCs w:val="18"/>
              </w:rPr>
            </w:pPr>
            <w:r w:rsidRPr="00C81DA7">
              <w:rPr>
                <w:rFonts w:ascii="Arial" w:eastAsia="Calibri" w:hAnsi="Arial" w:cs="Arial"/>
                <w:sz w:val="18"/>
                <w:szCs w:val="18"/>
              </w:rPr>
              <w:t>Other Investing Activities</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65.5</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46.8</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(2,007.6)</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1,551.1</w:t>
            </w:r>
          </w:p>
        </w:tc>
        <w:tc>
          <w:tcPr>
            <w:tcW w:w="1165"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1,554.6</w:t>
            </w:r>
          </w:p>
        </w:tc>
      </w:tr>
      <w:tr w:rsidR="003828EC" w:rsidRPr="00C81DA7" w:rsidTr="00813EBC">
        <w:trPr>
          <w:trHeight w:val="360"/>
          <w:jc w:val="center"/>
        </w:trPr>
        <w:tc>
          <w:tcPr>
            <w:tcW w:w="3505" w:type="dxa"/>
            <w:noWrap/>
            <w:vAlign w:val="center"/>
            <w:hideMark/>
          </w:tcPr>
          <w:p w:rsidR="003828EC" w:rsidRPr="00C81DA7" w:rsidRDefault="003828EC" w:rsidP="00813EBC">
            <w:pPr>
              <w:ind w:left="144"/>
              <w:rPr>
                <w:rFonts w:ascii="Arial" w:eastAsia="Calibri" w:hAnsi="Arial" w:cs="Arial"/>
                <w:b/>
                <w:bCs/>
                <w:sz w:val="18"/>
                <w:szCs w:val="18"/>
              </w:rPr>
            </w:pPr>
            <w:r w:rsidRPr="00C81DA7">
              <w:rPr>
                <w:rFonts w:ascii="Arial" w:eastAsia="Calibri" w:hAnsi="Arial" w:cs="Arial"/>
                <w:b/>
                <w:bCs/>
                <w:sz w:val="18"/>
                <w:szCs w:val="18"/>
              </w:rPr>
              <w:t>Cash from Investing</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(17,983.2)</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(6,431.2)</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(12,561.0)</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(1,173.5)</w:t>
            </w:r>
          </w:p>
        </w:tc>
        <w:tc>
          <w:tcPr>
            <w:tcW w:w="1165"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(1,785.0)</w:t>
            </w:r>
          </w:p>
        </w:tc>
      </w:tr>
      <w:tr w:rsidR="003828EC" w:rsidRPr="00C81DA7" w:rsidTr="00813EBC">
        <w:trPr>
          <w:trHeight w:val="360"/>
          <w:jc w:val="center"/>
        </w:trPr>
        <w:tc>
          <w:tcPr>
            <w:tcW w:w="3505" w:type="dxa"/>
            <w:noWrap/>
            <w:vAlign w:val="center"/>
            <w:hideMark/>
          </w:tcPr>
          <w:p w:rsidR="003828EC" w:rsidRPr="00C81DA7" w:rsidRDefault="003828EC" w:rsidP="00813EBC">
            <w:pPr>
              <w:rPr>
                <w:rFonts w:ascii="Arial" w:eastAsia="Calibri" w:hAnsi="Arial" w:cs="Arial"/>
                <w:sz w:val="18"/>
                <w:szCs w:val="18"/>
              </w:rPr>
            </w:pPr>
            <w:r w:rsidRPr="00C81DA7">
              <w:rPr>
                <w:rFonts w:ascii="Arial" w:eastAsia="Calibri" w:hAnsi="Arial" w:cs="Arial"/>
                <w:sz w:val="18"/>
                <w:szCs w:val="18"/>
              </w:rPr>
              <w:t>Long-</w:t>
            </w:r>
            <w:r>
              <w:rPr>
                <w:rFonts w:ascii="Arial" w:eastAsia="Calibri" w:hAnsi="Arial" w:cs="Arial"/>
                <w:sz w:val="18"/>
                <w:szCs w:val="18"/>
              </w:rPr>
              <w:t>T</w:t>
            </w:r>
            <w:r w:rsidRPr="00C81DA7">
              <w:rPr>
                <w:rFonts w:ascii="Arial" w:eastAsia="Calibri" w:hAnsi="Arial" w:cs="Arial"/>
                <w:sz w:val="18"/>
                <w:szCs w:val="18"/>
              </w:rPr>
              <w:t>erm Debt Issued</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50,772.0</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49,022.1</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77,172.1</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78,053.6</w:t>
            </w:r>
          </w:p>
        </w:tc>
        <w:tc>
          <w:tcPr>
            <w:tcW w:w="1165"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w:t>
            </w:r>
          </w:p>
        </w:tc>
      </w:tr>
      <w:tr w:rsidR="003828EC" w:rsidRPr="00C81DA7" w:rsidTr="00813EBC">
        <w:trPr>
          <w:trHeight w:val="360"/>
          <w:jc w:val="center"/>
        </w:trPr>
        <w:tc>
          <w:tcPr>
            <w:tcW w:w="3505" w:type="dxa"/>
            <w:noWrap/>
            <w:vAlign w:val="center"/>
            <w:hideMark/>
          </w:tcPr>
          <w:p w:rsidR="003828EC" w:rsidRPr="00C81DA7" w:rsidRDefault="003828EC" w:rsidP="00813EBC">
            <w:pPr>
              <w:rPr>
                <w:rFonts w:ascii="Arial" w:eastAsia="Calibri" w:hAnsi="Arial" w:cs="Arial"/>
                <w:bCs/>
                <w:sz w:val="18"/>
                <w:szCs w:val="18"/>
              </w:rPr>
            </w:pPr>
            <w:r w:rsidRPr="00C81DA7">
              <w:rPr>
                <w:rFonts w:ascii="Arial" w:eastAsia="Calibri" w:hAnsi="Arial" w:cs="Arial"/>
                <w:bCs/>
                <w:sz w:val="18"/>
                <w:szCs w:val="18"/>
              </w:rPr>
              <w:t>Total Debt Issued</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50,772.0</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49,022.1</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77,172.1</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78,053.6</w:t>
            </w:r>
          </w:p>
        </w:tc>
        <w:tc>
          <w:tcPr>
            <w:tcW w:w="1165"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54,121.4</w:t>
            </w:r>
          </w:p>
        </w:tc>
      </w:tr>
      <w:tr w:rsidR="003828EC" w:rsidRPr="00C81DA7" w:rsidTr="00813EBC">
        <w:trPr>
          <w:trHeight w:val="360"/>
          <w:jc w:val="center"/>
        </w:trPr>
        <w:tc>
          <w:tcPr>
            <w:tcW w:w="3505" w:type="dxa"/>
            <w:noWrap/>
            <w:vAlign w:val="center"/>
            <w:hideMark/>
          </w:tcPr>
          <w:p w:rsidR="003828EC" w:rsidRPr="00C81DA7" w:rsidRDefault="003828EC" w:rsidP="00813EBC">
            <w:pPr>
              <w:rPr>
                <w:rFonts w:ascii="Arial" w:eastAsia="Calibri" w:hAnsi="Arial" w:cs="Arial"/>
                <w:sz w:val="18"/>
                <w:szCs w:val="18"/>
              </w:rPr>
            </w:pPr>
            <w:r w:rsidRPr="00C81DA7">
              <w:rPr>
                <w:rFonts w:ascii="Arial" w:eastAsia="Calibri" w:hAnsi="Arial" w:cs="Arial"/>
                <w:sz w:val="18"/>
                <w:szCs w:val="18"/>
              </w:rPr>
              <w:t>Long-</w:t>
            </w:r>
            <w:r>
              <w:rPr>
                <w:rFonts w:ascii="Arial" w:eastAsia="Calibri" w:hAnsi="Arial" w:cs="Arial"/>
                <w:sz w:val="18"/>
                <w:szCs w:val="18"/>
              </w:rPr>
              <w:t>T</w:t>
            </w:r>
            <w:r w:rsidRPr="00C81DA7">
              <w:rPr>
                <w:rFonts w:ascii="Arial" w:eastAsia="Calibri" w:hAnsi="Arial" w:cs="Arial"/>
                <w:sz w:val="18"/>
                <w:szCs w:val="18"/>
              </w:rPr>
              <w:t>erm Debt Repaid</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(28,129.7)</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(39,593.0)</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(64,188.9)</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(68,668.7)</w:t>
            </w:r>
          </w:p>
        </w:tc>
        <w:tc>
          <w:tcPr>
            <w:tcW w:w="1165"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w:t>
            </w:r>
          </w:p>
        </w:tc>
      </w:tr>
      <w:tr w:rsidR="003828EC" w:rsidRPr="00C81DA7" w:rsidTr="00813EBC">
        <w:trPr>
          <w:trHeight w:val="360"/>
          <w:jc w:val="center"/>
        </w:trPr>
        <w:tc>
          <w:tcPr>
            <w:tcW w:w="3505" w:type="dxa"/>
            <w:noWrap/>
            <w:vAlign w:val="center"/>
            <w:hideMark/>
          </w:tcPr>
          <w:p w:rsidR="003828EC" w:rsidRPr="00C81DA7" w:rsidRDefault="003828EC" w:rsidP="00813EBC">
            <w:pPr>
              <w:rPr>
                <w:rFonts w:ascii="Arial" w:eastAsia="Calibri" w:hAnsi="Arial" w:cs="Arial"/>
                <w:bCs/>
                <w:sz w:val="18"/>
                <w:szCs w:val="18"/>
              </w:rPr>
            </w:pPr>
            <w:r w:rsidRPr="00C81DA7">
              <w:rPr>
                <w:rFonts w:ascii="Arial" w:eastAsia="Calibri" w:hAnsi="Arial" w:cs="Arial"/>
                <w:bCs/>
                <w:sz w:val="18"/>
                <w:szCs w:val="18"/>
              </w:rPr>
              <w:t>Total Debt Repaid</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(28,129.7)</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(39,593.0)</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(64,188.9)</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(68,668.7)</w:t>
            </w:r>
          </w:p>
        </w:tc>
        <w:tc>
          <w:tcPr>
            <w:tcW w:w="1165"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(46,842.0)</w:t>
            </w:r>
          </w:p>
        </w:tc>
      </w:tr>
      <w:tr w:rsidR="003828EC" w:rsidRPr="00C81DA7" w:rsidTr="00813EBC">
        <w:trPr>
          <w:trHeight w:val="360"/>
          <w:jc w:val="center"/>
        </w:trPr>
        <w:tc>
          <w:tcPr>
            <w:tcW w:w="3505" w:type="dxa"/>
            <w:noWrap/>
            <w:vAlign w:val="center"/>
            <w:hideMark/>
          </w:tcPr>
          <w:p w:rsidR="003828EC" w:rsidRPr="00C81DA7" w:rsidRDefault="003828EC" w:rsidP="00813EBC">
            <w:pPr>
              <w:rPr>
                <w:rFonts w:ascii="Arial" w:eastAsia="Calibri" w:hAnsi="Arial" w:cs="Arial"/>
                <w:sz w:val="18"/>
                <w:szCs w:val="18"/>
              </w:rPr>
            </w:pPr>
            <w:r w:rsidRPr="00C81DA7">
              <w:rPr>
                <w:rFonts w:ascii="Arial" w:eastAsia="Calibri" w:hAnsi="Arial" w:cs="Arial"/>
                <w:sz w:val="18"/>
                <w:szCs w:val="18"/>
              </w:rPr>
              <w:t>Issuance of Common Stock</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2,885.4</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700.0</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4,798.6</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4,044.8</w:t>
            </w:r>
          </w:p>
        </w:tc>
        <w:tc>
          <w:tcPr>
            <w:tcW w:w="1165"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1,806.2</w:t>
            </w:r>
          </w:p>
        </w:tc>
      </w:tr>
      <w:tr w:rsidR="003828EC" w:rsidRPr="00C81DA7" w:rsidTr="00813EBC">
        <w:trPr>
          <w:trHeight w:val="360"/>
          <w:jc w:val="center"/>
        </w:trPr>
        <w:tc>
          <w:tcPr>
            <w:tcW w:w="3505" w:type="dxa"/>
            <w:tcBorders>
              <w:bottom w:val="single" w:sz="4" w:space="0" w:color="auto"/>
            </w:tcBorders>
            <w:noWrap/>
            <w:vAlign w:val="center"/>
            <w:hideMark/>
          </w:tcPr>
          <w:p w:rsidR="003828EC" w:rsidRPr="00C81DA7" w:rsidRDefault="003828EC" w:rsidP="00813EBC">
            <w:pPr>
              <w:rPr>
                <w:rFonts w:ascii="Arial" w:eastAsia="Calibri" w:hAnsi="Arial" w:cs="Arial"/>
                <w:sz w:val="18"/>
                <w:szCs w:val="18"/>
              </w:rPr>
            </w:pPr>
            <w:r w:rsidRPr="00C81DA7">
              <w:rPr>
                <w:rFonts w:ascii="Arial" w:eastAsia="Calibri" w:hAnsi="Arial" w:cs="Arial"/>
                <w:sz w:val="18"/>
                <w:szCs w:val="18"/>
              </w:rPr>
              <w:t>Repurchase of Common Stock</w:t>
            </w:r>
          </w:p>
        </w:tc>
        <w:tc>
          <w:tcPr>
            <w:tcW w:w="1170" w:type="dxa"/>
            <w:tcBorders>
              <w:bottom w:val="single" w:sz="4" w:space="0" w:color="auto"/>
            </w:tcBorders>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(1,150.7)</w:t>
            </w:r>
          </w:p>
        </w:tc>
        <w:tc>
          <w:tcPr>
            <w:tcW w:w="1170" w:type="dxa"/>
            <w:tcBorders>
              <w:bottom w:val="single" w:sz="4" w:space="0" w:color="auto"/>
            </w:tcBorders>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(1,303.5)</w:t>
            </w:r>
          </w:p>
        </w:tc>
        <w:tc>
          <w:tcPr>
            <w:tcW w:w="1170" w:type="dxa"/>
            <w:tcBorders>
              <w:bottom w:val="single" w:sz="4" w:space="0" w:color="auto"/>
            </w:tcBorders>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(2,926.1)</w:t>
            </w:r>
          </w:p>
        </w:tc>
        <w:tc>
          <w:tcPr>
            <w:tcW w:w="1170" w:type="dxa"/>
            <w:tcBorders>
              <w:bottom w:val="single" w:sz="4" w:space="0" w:color="auto"/>
            </w:tcBorders>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(5,979.0)</w:t>
            </w:r>
          </w:p>
        </w:tc>
        <w:tc>
          <w:tcPr>
            <w:tcW w:w="1165" w:type="dxa"/>
            <w:tcBorders>
              <w:bottom w:val="single" w:sz="4" w:space="0" w:color="auto"/>
            </w:tcBorders>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(2,631.2)</w:t>
            </w:r>
          </w:p>
        </w:tc>
      </w:tr>
      <w:tr w:rsidR="003828EC" w:rsidRPr="00C81DA7" w:rsidTr="00813EBC">
        <w:trPr>
          <w:trHeight w:val="360"/>
          <w:jc w:val="center"/>
        </w:trPr>
        <w:tc>
          <w:tcPr>
            <w:tcW w:w="3505" w:type="dxa"/>
            <w:tcBorders>
              <w:bottom w:val="nil"/>
            </w:tcBorders>
            <w:noWrap/>
            <w:vAlign w:val="center"/>
            <w:hideMark/>
          </w:tcPr>
          <w:p w:rsidR="003828EC" w:rsidRPr="00C81DA7" w:rsidRDefault="003828EC" w:rsidP="00813EBC">
            <w:pPr>
              <w:rPr>
                <w:rFonts w:ascii="Arial" w:eastAsia="Calibri" w:hAnsi="Arial" w:cs="Arial"/>
                <w:sz w:val="18"/>
                <w:szCs w:val="18"/>
              </w:rPr>
            </w:pPr>
            <w:r w:rsidRPr="00C81DA7">
              <w:rPr>
                <w:rFonts w:ascii="Arial" w:eastAsia="Calibri" w:hAnsi="Arial" w:cs="Arial"/>
                <w:sz w:val="18"/>
                <w:szCs w:val="18"/>
              </w:rPr>
              <w:t>Common Dividends Paid</w:t>
            </w:r>
          </w:p>
        </w:tc>
        <w:tc>
          <w:tcPr>
            <w:tcW w:w="1170" w:type="dxa"/>
            <w:tcBorders>
              <w:bottom w:val="nil"/>
            </w:tcBorders>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(24.1)</w:t>
            </w:r>
          </w:p>
        </w:tc>
        <w:tc>
          <w:tcPr>
            <w:tcW w:w="1170" w:type="dxa"/>
            <w:tcBorders>
              <w:bottom w:val="nil"/>
            </w:tcBorders>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(57.7)</w:t>
            </w:r>
          </w:p>
        </w:tc>
        <w:tc>
          <w:tcPr>
            <w:tcW w:w="1170" w:type="dxa"/>
            <w:tcBorders>
              <w:bottom w:val="nil"/>
            </w:tcBorders>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(69.6)</w:t>
            </w:r>
          </w:p>
        </w:tc>
        <w:tc>
          <w:tcPr>
            <w:tcW w:w="1170" w:type="dxa"/>
            <w:tcBorders>
              <w:bottom w:val="nil"/>
            </w:tcBorders>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(106.5)</w:t>
            </w:r>
          </w:p>
        </w:tc>
        <w:tc>
          <w:tcPr>
            <w:tcW w:w="1165" w:type="dxa"/>
            <w:tcBorders>
              <w:bottom w:val="nil"/>
            </w:tcBorders>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(106.5)</w:t>
            </w:r>
          </w:p>
        </w:tc>
      </w:tr>
      <w:tr w:rsidR="003828EC" w:rsidRPr="00C81DA7" w:rsidTr="00813EBC">
        <w:trPr>
          <w:trHeight w:val="360"/>
          <w:jc w:val="center"/>
        </w:trPr>
        <w:tc>
          <w:tcPr>
            <w:tcW w:w="3505" w:type="dxa"/>
            <w:noWrap/>
            <w:vAlign w:val="center"/>
            <w:hideMark/>
          </w:tcPr>
          <w:p w:rsidR="003828EC" w:rsidRPr="00C81DA7" w:rsidRDefault="003828EC" w:rsidP="00813EBC">
            <w:pPr>
              <w:rPr>
                <w:rFonts w:ascii="Arial" w:eastAsia="Calibri" w:hAnsi="Arial" w:cs="Arial"/>
                <w:sz w:val="18"/>
                <w:szCs w:val="18"/>
              </w:rPr>
            </w:pPr>
            <w:r w:rsidRPr="00C81DA7">
              <w:rPr>
                <w:rFonts w:ascii="Arial" w:eastAsia="Calibri" w:hAnsi="Arial" w:cs="Arial"/>
                <w:sz w:val="18"/>
                <w:szCs w:val="18"/>
              </w:rPr>
              <w:t>Other Financing Activities</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(6,118.4)</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(8,324.0)</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(9,810.3)</w:t>
            </w:r>
          </w:p>
        </w:tc>
        <w:tc>
          <w:tcPr>
            <w:tcW w:w="1170"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(13,637.6)</w:t>
            </w:r>
          </w:p>
        </w:tc>
        <w:tc>
          <w:tcPr>
            <w:tcW w:w="1165" w:type="dxa"/>
            <w:vAlign w:val="center"/>
            <w:hideMark/>
          </w:tcPr>
          <w:p w:rsidR="003828EC" w:rsidRPr="00C81DA7" w:rsidRDefault="003828EC" w:rsidP="00813EBC">
            <w:pPr>
              <w:ind w:right="84"/>
              <w:jc w:val="right"/>
              <w:rPr>
                <w:rFonts w:ascii="Arial" w:eastAsia="Calibri" w:hAnsi="Arial" w:cs="Arial"/>
                <w:sz w:val="18"/>
                <w:szCs w:val="18"/>
              </w:rPr>
            </w:pPr>
            <w:r w:rsidRPr="00C81DA7">
              <w:rPr>
                <w:rFonts w:ascii="Arial" w:eastAsia="Calibri" w:hAnsi="Arial" w:cs="Arial"/>
                <w:sz w:val="18"/>
                <w:szCs w:val="18"/>
              </w:rPr>
              <w:t>(14,822.0)</w:t>
            </w:r>
          </w:p>
        </w:tc>
      </w:tr>
      <w:tr w:rsidR="003828EC" w:rsidRPr="00C81DA7" w:rsidTr="00813EBC">
        <w:trPr>
          <w:trHeight w:val="360"/>
          <w:jc w:val="center"/>
        </w:trPr>
        <w:tc>
          <w:tcPr>
            <w:tcW w:w="3505" w:type="dxa"/>
            <w:noWrap/>
            <w:vAlign w:val="center"/>
            <w:hideMark/>
          </w:tcPr>
          <w:p w:rsidR="003828EC" w:rsidRPr="00C81DA7" w:rsidRDefault="003828EC" w:rsidP="00813EBC">
            <w:pPr>
              <w:ind w:left="144"/>
              <w:rPr>
                <w:rFonts w:ascii="Arial" w:eastAsia="Calibri" w:hAnsi="Arial" w:cs="Arial"/>
                <w:b/>
                <w:bCs/>
                <w:sz w:val="18"/>
                <w:szCs w:val="18"/>
              </w:rPr>
            </w:pPr>
            <w:r w:rsidRPr="00C81DA7">
              <w:rPr>
                <w:rFonts w:ascii="Arial" w:eastAsia="Calibri" w:hAnsi="Arial" w:cs="Arial"/>
                <w:b/>
                <w:bCs/>
                <w:sz w:val="18"/>
                <w:szCs w:val="18"/>
              </w:rPr>
              <w:t>Cash from Financing</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18,234.5</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443.9</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4,975.8</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(6,293.5)</w:t>
            </w:r>
          </w:p>
        </w:tc>
        <w:tc>
          <w:tcPr>
            <w:tcW w:w="1165"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(8,474.0)</w:t>
            </w:r>
          </w:p>
        </w:tc>
      </w:tr>
      <w:tr w:rsidR="003828EC" w:rsidRPr="00C81DA7" w:rsidTr="00813EBC">
        <w:trPr>
          <w:trHeight w:val="360"/>
          <w:jc w:val="center"/>
        </w:trPr>
        <w:tc>
          <w:tcPr>
            <w:tcW w:w="3505" w:type="dxa"/>
            <w:noWrap/>
            <w:vAlign w:val="center"/>
            <w:hideMark/>
          </w:tcPr>
          <w:p w:rsidR="003828EC" w:rsidRPr="00C81DA7" w:rsidRDefault="003828EC" w:rsidP="00813EBC">
            <w:pPr>
              <w:ind w:left="144"/>
              <w:rPr>
                <w:rFonts w:ascii="Arial" w:eastAsia="Calibri" w:hAnsi="Arial" w:cs="Arial"/>
                <w:b/>
                <w:bCs/>
                <w:sz w:val="18"/>
                <w:szCs w:val="18"/>
              </w:rPr>
            </w:pPr>
            <w:r w:rsidRPr="00C81DA7">
              <w:rPr>
                <w:rFonts w:ascii="Arial" w:eastAsia="Calibri" w:hAnsi="Arial" w:cs="Arial"/>
                <w:b/>
                <w:bCs/>
                <w:sz w:val="18"/>
                <w:szCs w:val="18"/>
              </w:rPr>
              <w:t>Net Change in Cash</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761.2</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(2,685.1)</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841.8</w:t>
            </w:r>
          </w:p>
        </w:tc>
        <w:tc>
          <w:tcPr>
            <w:tcW w:w="1170"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(898.4)</w:t>
            </w:r>
          </w:p>
        </w:tc>
        <w:tc>
          <w:tcPr>
            <w:tcW w:w="1165" w:type="dxa"/>
            <w:vAlign w:val="center"/>
            <w:hideMark/>
          </w:tcPr>
          <w:p w:rsidR="003828EC" w:rsidRPr="00C81DA7" w:rsidRDefault="003828EC" w:rsidP="00813EBC">
            <w:pPr>
              <w:ind w:right="84"/>
              <w:jc w:val="right"/>
              <w:rPr>
                <w:rFonts w:ascii="Arial" w:eastAsia="Calibri" w:hAnsi="Arial" w:cs="Arial"/>
                <w:bCs/>
                <w:sz w:val="18"/>
                <w:szCs w:val="18"/>
              </w:rPr>
            </w:pPr>
            <w:r w:rsidRPr="00C81DA7">
              <w:rPr>
                <w:rFonts w:ascii="Arial" w:eastAsia="Calibri" w:hAnsi="Arial" w:cs="Arial"/>
                <w:bCs/>
                <w:sz w:val="18"/>
                <w:szCs w:val="18"/>
              </w:rPr>
              <w:t>(430.7)</w:t>
            </w:r>
          </w:p>
        </w:tc>
      </w:tr>
    </w:tbl>
    <w:p w:rsidR="003828EC" w:rsidRDefault="003828EC" w:rsidP="003828EC">
      <w:pPr>
        <w:pStyle w:val="ExhibitText"/>
        <w:rPr>
          <w:rFonts w:eastAsia="Calibri"/>
        </w:rPr>
      </w:pPr>
    </w:p>
    <w:p w:rsidR="003828EC" w:rsidRDefault="003828EC" w:rsidP="003828EC">
      <w:pPr>
        <w:pStyle w:val="Footnote"/>
      </w:pPr>
      <w:r>
        <w:rPr>
          <w:rFonts w:eastAsia="Calibri"/>
        </w:rPr>
        <w:t xml:space="preserve">Note: * </w:t>
      </w:r>
      <w:r w:rsidRPr="0031400A">
        <w:t>The half-year financial report from 2015 was the last available financial statement for Transaero. In the S&amp;P Capital IQ database, this information is reported for the last twelve months, for the period July 1, 2014 to June 30, 2</w:t>
      </w:r>
      <w:r>
        <w:t xml:space="preserve">015, not for the last half-year; </w:t>
      </w:r>
      <w:r w:rsidRPr="00A877BB">
        <w:rPr>
          <w:rFonts w:eastAsia="Calibri"/>
        </w:rPr>
        <w:t>RUB = Russian ruble; RUB1 = US$0.02 on December 31, 2014.</w:t>
      </w:r>
    </w:p>
    <w:p w:rsidR="003828EC" w:rsidRPr="00A733E3" w:rsidRDefault="003828EC" w:rsidP="003828EC">
      <w:pPr>
        <w:pStyle w:val="Footnote"/>
      </w:pPr>
      <w:r w:rsidRPr="00C81DA7">
        <w:rPr>
          <w:rFonts w:eastAsia="Calibri"/>
        </w:rPr>
        <w:t xml:space="preserve">Source: </w:t>
      </w:r>
      <w:r w:rsidRPr="00317145">
        <w:rPr>
          <w:rFonts w:eastAsia="Calibri"/>
        </w:rPr>
        <w:t xml:space="preserve">Transaero Airlines, </w:t>
      </w:r>
      <w:r>
        <w:rPr>
          <w:rFonts w:eastAsia="Calibri"/>
        </w:rPr>
        <w:t>“</w:t>
      </w:r>
      <w:r w:rsidRPr="00006C4B">
        <w:rPr>
          <w:rFonts w:eastAsia="Calibri"/>
        </w:rPr>
        <w:t>Open Joint-stock company Transaero Airlines (MISX:TAER) &gt; Financials</w:t>
      </w:r>
      <w:r>
        <w:rPr>
          <w:rFonts w:eastAsia="Calibri"/>
        </w:rPr>
        <w:t xml:space="preserve">,” </w:t>
      </w:r>
      <w:r w:rsidRPr="00317145">
        <w:rPr>
          <w:rFonts w:eastAsia="Calibri"/>
        </w:rPr>
        <w:t>S&amp;P Capital IQ, accessed February 16, 2017</w:t>
      </w:r>
      <w:r>
        <w:rPr>
          <w:rFonts w:eastAsia="Calibri"/>
        </w:rPr>
        <w:t>.</w:t>
      </w:r>
      <w:r>
        <w:rPr>
          <w:rFonts w:eastAsia="Calibri"/>
        </w:rPr>
        <w:br w:type="page"/>
      </w:r>
    </w:p>
    <w:p w:rsidR="003828EC" w:rsidRPr="00E74E7D" w:rsidRDefault="003828EC" w:rsidP="003828EC">
      <w:pPr>
        <w:pStyle w:val="Footnote"/>
        <w:jc w:val="center"/>
        <w:rPr>
          <w:rFonts w:eastAsia="Calibri"/>
        </w:rPr>
      </w:pPr>
      <w:r w:rsidRPr="000022B0">
        <w:rPr>
          <w:rFonts w:eastAsia="Calibri"/>
          <w:b/>
          <w:caps/>
          <w:sz w:val="20"/>
          <w:szCs w:val="20"/>
        </w:rPr>
        <w:lastRenderedPageBreak/>
        <w:t>Exhibit</w:t>
      </w:r>
      <w:r w:rsidRPr="00537006">
        <w:rPr>
          <w:rFonts w:eastAsia="Calibri"/>
          <w:b/>
          <w:sz w:val="20"/>
          <w:szCs w:val="20"/>
        </w:rPr>
        <w:t xml:space="preserve"> 2: CORPORATE SOCIAL RESPONSIBILITY</w:t>
      </w:r>
    </w:p>
    <w:p w:rsidR="003828EC" w:rsidRPr="00C81DA7" w:rsidRDefault="003828EC" w:rsidP="003828EC">
      <w:pPr>
        <w:pStyle w:val="ExhibitText"/>
        <w:rPr>
          <w:rFonts w:eastAsia="Calibri"/>
        </w:rPr>
      </w:pPr>
    </w:p>
    <w:p w:rsidR="003828EC" w:rsidRPr="00C81DA7" w:rsidRDefault="003828EC" w:rsidP="003828EC">
      <w:pPr>
        <w:pStyle w:val="ExhibitText"/>
        <w:rPr>
          <w:rFonts w:eastAsia="Calibri"/>
        </w:rPr>
      </w:pPr>
      <w:r w:rsidRPr="00C81DA7">
        <w:rPr>
          <w:rFonts w:eastAsia="Calibri"/>
        </w:rPr>
        <w:t xml:space="preserve">All charitable programs were comprehensive in nature and were implemented following three fundamental principles: consistency, partnership, and transparency. </w:t>
      </w:r>
    </w:p>
    <w:p w:rsidR="003828EC" w:rsidRPr="00C81DA7" w:rsidRDefault="003828EC" w:rsidP="003828EC">
      <w:pPr>
        <w:pStyle w:val="ExhibitText"/>
        <w:rPr>
          <w:rFonts w:eastAsia="Calibri"/>
        </w:rPr>
      </w:pPr>
    </w:p>
    <w:p w:rsidR="003828EC" w:rsidRDefault="003828EC" w:rsidP="003828EC">
      <w:pPr>
        <w:numPr>
          <w:ilvl w:val="0"/>
          <w:numId w:val="31"/>
        </w:numPr>
        <w:jc w:val="both"/>
        <w:rPr>
          <w:rFonts w:ascii="Arial" w:eastAsia="Calibri" w:hAnsi="Arial" w:cs="Arial"/>
        </w:rPr>
      </w:pPr>
      <w:r w:rsidRPr="00C81DA7">
        <w:rPr>
          <w:rFonts w:ascii="Arial" w:eastAsia="Calibri" w:hAnsi="Arial" w:cs="Arial"/>
          <w:u w:val="single"/>
        </w:rPr>
        <w:t>Back to the Future</w:t>
      </w:r>
      <w:r w:rsidRPr="00C81DA7">
        <w:rPr>
          <w:rFonts w:ascii="Arial" w:eastAsia="Calibri" w:hAnsi="Arial" w:cs="Arial"/>
        </w:rPr>
        <w:t xml:space="preserve">: Throughout its years of operation, this program assisted approximately 3,500 children with serious illnesses at all stages—from diagnostics and treatment to rehabilitation. In 2014, Transaero partnered with major Russian charity foundations to carry more than 600 ill children from Russian regions and CIS countries to leading clinics in Moscow and Saint Petersburg, as well as to institutions in the United Kingdom, the United States, Israel, and Germany. </w:t>
      </w:r>
    </w:p>
    <w:p w:rsidR="003828EC" w:rsidRPr="00C81DA7" w:rsidRDefault="003828EC" w:rsidP="003828EC">
      <w:pPr>
        <w:pStyle w:val="ExhibitText"/>
        <w:rPr>
          <w:rFonts w:eastAsia="Calibri"/>
        </w:rPr>
      </w:pPr>
    </w:p>
    <w:p w:rsidR="003828EC" w:rsidRDefault="003828EC" w:rsidP="003828EC">
      <w:pPr>
        <w:numPr>
          <w:ilvl w:val="0"/>
          <w:numId w:val="31"/>
        </w:numPr>
        <w:jc w:val="both"/>
        <w:rPr>
          <w:rFonts w:ascii="Arial" w:eastAsia="Calibri" w:hAnsi="Arial" w:cs="Arial"/>
          <w:spacing w:val="-2"/>
          <w:kern w:val="20"/>
        </w:rPr>
      </w:pPr>
      <w:r w:rsidRPr="00974A0C">
        <w:rPr>
          <w:rFonts w:ascii="Arial" w:eastAsia="Calibri" w:hAnsi="Arial" w:cs="Arial"/>
          <w:spacing w:val="-2"/>
          <w:kern w:val="20"/>
          <w:u w:val="single"/>
        </w:rPr>
        <w:t>Flight of Hope</w:t>
      </w:r>
      <w:r w:rsidRPr="00974A0C">
        <w:rPr>
          <w:rFonts w:ascii="Arial" w:eastAsia="Calibri" w:hAnsi="Arial" w:cs="Arial"/>
          <w:spacing w:val="-2"/>
          <w:kern w:val="20"/>
        </w:rPr>
        <w:t xml:space="preserve">: Implemented in November 2013, this project become very popular with passengers by enabling them to make donations during flights for the treatment of children suffering from serious illnesses. More than US$100,000 was raised through this program, making it possible to fund critical surgeries for 21 children. Olga Pleshakova, chief executive officer of Transaero, said: “I am proud that the Flight of Hope passengers are the first in Russia to be able to help children suffering from serious diseases during their flights by making their personal donations. Transaero demonstrates to passengers that helping is simple and one does not even have to leave a seat to do this!” </w:t>
      </w:r>
    </w:p>
    <w:p w:rsidR="003828EC" w:rsidRPr="00974A0C" w:rsidRDefault="003828EC" w:rsidP="003828EC">
      <w:pPr>
        <w:pStyle w:val="ExhibitText"/>
        <w:rPr>
          <w:rFonts w:eastAsia="Calibri"/>
        </w:rPr>
      </w:pPr>
    </w:p>
    <w:p w:rsidR="003828EC" w:rsidRDefault="003828EC" w:rsidP="003828EC">
      <w:pPr>
        <w:numPr>
          <w:ilvl w:val="0"/>
          <w:numId w:val="31"/>
        </w:numPr>
        <w:jc w:val="both"/>
        <w:rPr>
          <w:rFonts w:ascii="Arial" w:eastAsia="Calibri" w:hAnsi="Arial" w:cs="Arial"/>
        </w:rPr>
      </w:pPr>
      <w:r w:rsidRPr="00C81DA7">
        <w:rPr>
          <w:rFonts w:ascii="Arial" w:eastAsia="Calibri" w:hAnsi="Arial" w:cs="Arial"/>
          <w:u w:val="single"/>
        </w:rPr>
        <w:t>Flying with Disabilities</w:t>
      </w:r>
      <w:r w:rsidRPr="00C81DA7">
        <w:rPr>
          <w:rFonts w:ascii="Arial" w:eastAsia="Calibri" w:hAnsi="Arial" w:cs="Arial"/>
        </w:rPr>
        <w:t>: Transaero continued a series of training sessions for its own employees and for employees from airports in Moscow and other cities in Russia that provided theoretical and practical training in how to accommodate and communicate with disabled passengers. In 2014, Transaero carried 100 sports fans with disabilities, including 20 people using wheelchairs, to the world’s largest winter Paralympic competition</w:t>
      </w:r>
      <w:r>
        <w:rPr>
          <w:rFonts w:ascii="Arial" w:eastAsia="Calibri" w:hAnsi="Arial" w:cs="Arial"/>
        </w:rPr>
        <w:t>,</w:t>
      </w:r>
      <w:r w:rsidRPr="00C81DA7">
        <w:rPr>
          <w:rFonts w:ascii="Arial" w:eastAsia="Calibri" w:hAnsi="Arial" w:cs="Arial"/>
        </w:rPr>
        <w:t xml:space="preserve"> on board a Boeing 777 wide-body aircraft. In addition, in partnership with the Sledge Hockey Federation, Transaero organized a flight for Ladoga, Europe’s only junior sledge hockey team, to the United States, where young athletes took part in friendly matches with their U.S. peers. In providing these services, Transaero leveraged its great experience in dealing with persons with disabilities and in understanding the importance of the social function performed by Transaero as one of the largest companies in the industry. </w:t>
      </w:r>
    </w:p>
    <w:p w:rsidR="003828EC" w:rsidRPr="00C81DA7" w:rsidRDefault="003828EC" w:rsidP="003828EC">
      <w:pPr>
        <w:pStyle w:val="ExhibitText"/>
        <w:rPr>
          <w:rFonts w:eastAsia="Calibri"/>
        </w:rPr>
      </w:pPr>
    </w:p>
    <w:p w:rsidR="003828EC" w:rsidRDefault="003828EC" w:rsidP="003828EC">
      <w:pPr>
        <w:numPr>
          <w:ilvl w:val="0"/>
          <w:numId w:val="31"/>
        </w:numPr>
        <w:jc w:val="both"/>
        <w:rPr>
          <w:rFonts w:ascii="Arial" w:eastAsia="Calibri" w:hAnsi="Arial" w:cs="Arial"/>
        </w:rPr>
      </w:pPr>
      <w:r w:rsidRPr="00C81DA7">
        <w:rPr>
          <w:rFonts w:ascii="Arial" w:eastAsia="Calibri" w:hAnsi="Arial" w:cs="Arial"/>
          <w:u w:val="single"/>
        </w:rPr>
        <w:t>Flying without Fear</w:t>
      </w:r>
      <w:r w:rsidRPr="00C81DA7">
        <w:rPr>
          <w:rFonts w:ascii="Arial" w:eastAsia="Calibri" w:hAnsi="Arial" w:cs="Arial"/>
        </w:rPr>
        <w:t>: Striving to make the flight experience comfortable for all passengers, Transaero, together with the Flying without Fear Centre, created a</w:t>
      </w:r>
      <w:r>
        <w:rPr>
          <w:rFonts w:ascii="Arial" w:eastAsia="Calibri" w:hAnsi="Arial" w:cs="Arial"/>
        </w:rPr>
        <w:t>n</w:t>
      </w:r>
      <w:r w:rsidRPr="00C81DA7">
        <w:rPr>
          <w:rFonts w:ascii="Arial" w:eastAsia="Calibri" w:hAnsi="Arial" w:cs="Arial"/>
        </w:rPr>
        <w:t xml:space="preserve"> in-flight video-based course specially designed for those who experienced aerophobia, or anxiety and fear during flight. </w:t>
      </w:r>
    </w:p>
    <w:p w:rsidR="003828EC" w:rsidRPr="00C81DA7" w:rsidRDefault="003828EC" w:rsidP="003828EC">
      <w:pPr>
        <w:pStyle w:val="ExhibitText"/>
        <w:rPr>
          <w:rFonts w:eastAsia="Calibri"/>
        </w:rPr>
      </w:pPr>
    </w:p>
    <w:p w:rsidR="003828EC" w:rsidRDefault="003828EC" w:rsidP="003828EC">
      <w:pPr>
        <w:numPr>
          <w:ilvl w:val="0"/>
          <w:numId w:val="31"/>
        </w:numPr>
        <w:jc w:val="both"/>
        <w:rPr>
          <w:rFonts w:ascii="Arial" w:eastAsia="Calibri" w:hAnsi="Arial" w:cs="Arial"/>
        </w:rPr>
      </w:pPr>
      <w:r w:rsidRPr="00C81DA7">
        <w:rPr>
          <w:rFonts w:ascii="Arial" w:eastAsia="Calibri" w:hAnsi="Arial" w:cs="Arial"/>
          <w:u w:val="single"/>
        </w:rPr>
        <w:t>Travelling to the Transaero Country</w:t>
      </w:r>
      <w:r w:rsidRPr="00C81DA7">
        <w:rPr>
          <w:rFonts w:ascii="Arial" w:eastAsia="Calibri" w:hAnsi="Arial" w:cs="Arial"/>
        </w:rPr>
        <w:t>: This program organized charity events to support the rehabilitation of disabled children, social adaptation of orphan</w:t>
      </w:r>
      <w:r>
        <w:rPr>
          <w:rFonts w:ascii="Arial" w:eastAsia="Calibri" w:hAnsi="Arial" w:cs="Arial"/>
        </w:rPr>
        <w:t>ed</w:t>
      </w:r>
      <w:r w:rsidRPr="00C81DA7">
        <w:rPr>
          <w:rFonts w:ascii="Arial" w:eastAsia="Calibri" w:hAnsi="Arial" w:cs="Arial"/>
        </w:rPr>
        <w:t xml:space="preserve"> children, and awareness campaigns to promote charitable ideas among employees and educational projects for Transaero corporate volunteers. Company employees held more than 30 charitable events in 2014, including regular Transaero Days in a rehabilitation camp for disabled children; creative master classes; work by volunteers at paediatric oncology departments of cancer clinics in Moscow and Saint Petersburg; and cultural, educational, and career guidance activities for orphan</w:t>
      </w:r>
      <w:r>
        <w:rPr>
          <w:rFonts w:ascii="Arial" w:eastAsia="Calibri" w:hAnsi="Arial" w:cs="Arial"/>
        </w:rPr>
        <w:t>ed</w:t>
      </w:r>
      <w:r w:rsidRPr="00C81DA7">
        <w:rPr>
          <w:rFonts w:ascii="Arial" w:eastAsia="Calibri" w:hAnsi="Arial" w:cs="Arial"/>
        </w:rPr>
        <w:t xml:space="preserve"> children. </w:t>
      </w:r>
    </w:p>
    <w:p w:rsidR="003828EC" w:rsidRPr="00C81DA7" w:rsidRDefault="003828EC" w:rsidP="003828EC">
      <w:pPr>
        <w:pStyle w:val="ExhibitText"/>
        <w:rPr>
          <w:rFonts w:eastAsia="Calibri"/>
        </w:rPr>
      </w:pPr>
    </w:p>
    <w:p w:rsidR="003828EC" w:rsidRPr="00C81DA7" w:rsidRDefault="003828EC" w:rsidP="003828EC">
      <w:pPr>
        <w:numPr>
          <w:ilvl w:val="0"/>
          <w:numId w:val="31"/>
        </w:numPr>
        <w:jc w:val="both"/>
        <w:rPr>
          <w:rFonts w:ascii="Arial" w:eastAsia="Calibri" w:hAnsi="Arial" w:cs="Arial"/>
        </w:rPr>
      </w:pPr>
      <w:r w:rsidRPr="00C81DA7">
        <w:rPr>
          <w:rFonts w:ascii="Arial" w:eastAsia="Calibri" w:hAnsi="Arial" w:cs="Arial"/>
          <w:u w:val="single"/>
        </w:rPr>
        <w:t>Veterans</w:t>
      </w:r>
      <w:r w:rsidRPr="00C81DA7">
        <w:rPr>
          <w:rFonts w:ascii="Arial" w:eastAsia="Calibri" w:hAnsi="Arial" w:cs="Arial"/>
        </w:rPr>
        <w:t>: Every year, Transaero provided air transportation services to veterans on Victory Day. In 2014, more than 1,000 World War II veterans, survivors of the Leningrad siege, prisoners of fascist concentration camps, and rear workers eligible for benefits took advantage of Transaero’s tickets with a 100</w:t>
      </w:r>
      <w:r>
        <w:rPr>
          <w:rFonts w:ascii="Arial" w:eastAsia="Calibri" w:hAnsi="Arial" w:cs="Arial"/>
        </w:rPr>
        <w:t xml:space="preserve"> </w:t>
      </w:r>
      <w:r w:rsidRPr="00C81DA7">
        <w:rPr>
          <w:rFonts w:ascii="Arial" w:eastAsia="Calibri" w:hAnsi="Arial" w:cs="Arial"/>
        </w:rPr>
        <w:t>per</w:t>
      </w:r>
      <w:r>
        <w:rPr>
          <w:rFonts w:ascii="Arial" w:eastAsia="Calibri" w:hAnsi="Arial" w:cs="Arial"/>
        </w:rPr>
        <w:t xml:space="preserve"> </w:t>
      </w:r>
      <w:r w:rsidRPr="00C81DA7">
        <w:rPr>
          <w:rFonts w:ascii="Arial" w:eastAsia="Calibri" w:hAnsi="Arial" w:cs="Arial"/>
        </w:rPr>
        <w:t>cent discount.</w:t>
      </w:r>
    </w:p>
    <w:p w:rsidR="003828EC" w:rsidRPr="00C81DA7" w:rsidRDefault="003828EC" w:rsidP="003828EC">
      <w:pPr>
        <w:pStyle w:val="ExhibitText"/>
        <w:rPr>
          <w:rFonts w:eastAsia="Calibri"/>
        </w:rPr>
      </w:pPr>
    </w:p>
    <w:p w:rsidR="003828EC" w:rsidRPr="00C81DA7" w:rsidRDefault="003828EC" w:rsidP="003828EC">
      <w:pPr>
        <w:pStyle w:val="Footnote"/>
        <w:outlineLvl w:val="0"/>
      </w:pPr>
      <w:r w:rsidRPr="00C81DA7">
        <w:t>Note: CIS = Commonwealth of Independent States</w:t>
      </w:r>
      <w:r>
        <w:t>.</w:t>
      </w:r>
    </w:p>
    <w:p w:rsidR="003828EC" w:rsidRDefault="003828EC" w:rsidP="003828EC">
      <w:pPr>
        <w:pStyle w:val="Footnote"/>
        <w:sectPr w:rsidR="003828EC" w:rsidSect="001B5678">
          <w:headerReference w:type="default" r:id="rId10"/>
          <w:endnotePr>
            <w:numFmt w:val="decimal"/>
          </w:endnotePr>
          <w:pgSz w:w="12240" w:h="15840"/>
          <w:pgMar w:top="1080" w:right="1440" w:bottom="1440" w:left="1440" w:header="1080" w:footer="720" w:gutter="0"/>
          <w:cols w:space="720"/>
          <w:titlePg/>
          <w:docGrid w:linePitch="360"/>
        </w:sectPr>
      </w:pPr>
      <w:r w:rsidRPr="00C81DA7">
        <w:t xml:space="preserve">Source: </w:t>
      </w:r>
      <w:r>
        <w:t>Transaero Airlines</w:t>
      </w:r>
      <w:r w:rsidRPr="00C81DA7">
        <w:t xml:space="preserve">, </w:t>
      </w:r>
      <w:r w:rsidRPr="00C81DA7">
        <w:rPr>
          <w:i/>
        </w:rPr>
        <w:t xml:space="preserve">Transaero Annual Report </w:t>
      </w:r>
      <w:r w:rsidRPr="00C81DA7">
        <w:t xml:space="preserve">2013, Bloomberg LP, accessed August 1, 2017; </w:t>
      </w:r>
      <w:r>
        <w:t>Transaero Airlines</w:t>
      </w:r>
      <w:r w:rsidRPr="00C81DA7">
        <w:t xml:space="preserve">, </w:t>
      </w:r>
      <w:r w:rsidRPr="00C81DA7">
        <w:rPr>
          <w:i/>
        </w:rPr>
        <w:t>Transaero Annual Report 2014</w:t>
      </w:r>
      <w:r w:rsidRPr="00C81DA7">
        <w:t>, Bloomberg LP, accessed August 1, 2017.</w:t>
      </w:r>
    </w:p>
    <w:p w:rsidR="003828EC" w:rsidRPr="00C81DA7" w:rsidRDefault="003828EC" w:rsidP="003828EC">
      <w:pPr>
        <w:pStyle w:val="ExhibitHeading"/>
        <w:outlineLvl w:val="0"/>
        <w:rPr>
          <w:rFonts w:eastAsia="Calibri"/>
        </w:rPr>
      </w:pPr>
      <w:r w:rsidRPr="00C81DA7">
        <w:rPr>
          <w:rFonts w:eastAsia="Calibri"/>
        </w:rPr>
        <w:lastRenderedPageBreak/>
        <w:t>Exhibit 3: U.S. DOLLAR VERSUS RUSSIAN RUBLE</w:t>
      </w:r>
      <w:r>
        <w:rPr>
          <w:rFonts w:eastAsia="Calibri"/>
        </w:rPr>
        <w:t>*</w:t>
      </w:r>
    </w:p>
    <w:p w:rsidR="003828EC" w:rsidRPr="00C81DA7" w:rsidRDefault="003828EC" w:rsidP="003828EC">
      <w:pPr>
        <w:pStyle w:val="ExhibitText"/>
        <w:rPr>
          <w:rFonts w:eastAsia="Calibri"/>
        </w:rPr>
      </w:pPr>
    </w:p>
    <w:p w:rsidR="003828EC" w:rsidRPr="00C81DA7" w:rsidRDefault="003828EC" w:rsidP="003828EC">
      <w:pPr>
        <w:pStyle w:val="ExhibitText"/>
        <w:jc w:val="center"/>
        <w:rPr>
          <w:rFonts w:eastAsia="Calibri"/>
        </w:rPr>
      </w:pPr>
      <w:r w:rsidRPr="00537006">
        <w:rPr>
          <w:rFonts w:eastAsia="Calibri"/>
          <w:noProof/>
          <w:lang w:val="en-US"/>
        </w:rPr>
        <w:drawing>
          <wp:inline distT="0" distB="0" distL="0" distR="0" wp14:anchorId="4495CBB9" wp14:editId="41B557F7">
            <wp:extent cx="7571740" cy="3853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71740" cy="3853180"/>
                    </a:xfrm>
                    <a:prstGeom prst="rect">
                      <a:avLst/>
                    </a:prstGeom>
                    <a:noFill/>
                  </pic:spPr>
                </pic:pic>
              </a:graphicData>
            </a:graphic>
          </wp:inline>
        </w:drawing>
      </w:r>
    </w:p>
    <w:p w:rsidR="003828EC" w:rsidRPr="00A733E3" w:rsidRDefault="003828EC" w:rsidP="003828EC">
      <w:pPr>
        <w:pStyle w:val="ExhibitText"/>
        <w:rPr>
          <w:rFonts w:eastAsia="Calibri"/>
        </w:rPr>
      </w:pPr>
    </w:p>
    <w:p w:rsidR="003828EC" w:rsidRPr="00A733E3" w:rsidRDefault="003828EC" w:rsidP="003828EC">
      <w:pPr>
        <w:pStyle w:val="Footnote"/>
        <w:rPr>
          <w:rFonts w:eastAsia="Calibri"/>
        </w:rPr>
      </w:pPr>
      <w:r w:rsidRPr="00A733E3">
        <w:rPr>
          <w:rFonts w:eastAsia="Calibri"/>
        </w:rPr>
        <w:t>Note:* Reported as US$1 in Rubles.</w:t>
      </w:r>
    </w:p>
    <w:p w:rsidR="003828EC" w:rsidRDefault="003828EC" w:rsidP="003828EC">
      <w:pPr>
        <w:pStyle w:val="Footnote"/>
        <w:jc w:val="both"/>
        <w:rPr>
          <w:rFonts w:eastAsia="Calibri"/>
        </w:rPr>
        <w:sectPr w:rsidR="003828EC" w:rsidSect="00853B17">
          <w:headerReference w:type="default" r:id="rId12"/>
          <w:endnotePr>
            <w:numFmt w:val="decimal"/>
          </w:endnotePr>
          <w:pgSz w:w="15840" w:h="12240" w:orient="landscape"/>
          <w:pgMar w:top="1440" w:right="1440" w:bottom="1440" w:left="1440" w:header="1080" w:footer="720" w:gutter="0"/>
          <w:cols w:space="720"/>
          <w:docGrid w:linePitch="360"/>
        </w:sectPr>
      </w:pPr>
      <w:r w:rsidRPr="00A733E3">
        <w:rPr>
          <w:rFonts w:eastAsia="Calibri"/>
        </w:rPr>
        <w:t>Source: “Historical Quotes for Russian Ruble,” Wall Street Journal online, accessed April 26, 2018, https://quotes.wsj.com/fx/USDRUB/historical-prices</w:t>
      </w:r>
      <w:r>
        <w:rPr>
          <w:rFonts w:eastAsia="Calibri"/>
        </w:rPr>
        <w:t>.</w:t>
      </w:r>
    </w:p>
    <w:p w:rsidR="003828EC" w:rsidRPr="00C81DA7" w:rsidRDefault="003828EC" w:rsidP="003828EC">
      <w:pPr>
        <w:pStyle w:val="ExhibitHeading"/>
        <w:ind w:right="35" w:firstLine="90"/>
        <w:outlineLvl w:val="0"/>
        <w:rPr>
          <w:rFonts w:eastAsia="Calibri"/>
        </w:rPr>
      </w:pPr>
      <w:r w:rsidRPr="00C81DA7">
        <w:rPr>
          <w:rFonts w:eastAsia="Calibri"/>
        </w:rPr>
        <w:lastRenderedPageBreak/>
        <w:t>Exhibit 4: FINANCIAL RATIOS</w:t>
      </w:r>
    </w:p>
    <w:p w:rsidR="003828EC" w:rsidRPr="00853B17" w:rsidRDefault="003828EC" w:rsidP="003828EC">
      <w:pPr>
        <w:pStyle w:val="ExhibitText"/>
        <w:rPr>
          <w:rFonts w:eastAsia="Calibri"/>
          <w:sz w:val="14"/>
          <w:szCs w:val="14"/>
        </w:rPr>
      </w:pPr>
    </w:p>
    <w:tbl>
      <w:tblPr>
        <w:tblStyle w:val="TableGrid"/>
        <w:tblW w:w="4903" w:type="pct"/>
        <w:jc w:val="center"/>
        <w:tblLayout w:type="fixed"/>
        <w:tblLook w:val="04A0" w:firstRow="1" w:lastRow="0" w:firstColumn="1" w:lastColumn="0" w:noHBand="0" w:noVBand="1"/>
      </w:tblPr>
      <w:tblGrid>
        <w:gridCol w:w="3365"/>
        <w:gridCol w:w="843"/>
        <w:gridCol w:w="936"/>
        <w:gridCol w:w="936"/>
        <w:gridCol w:w="1123"/>
        <w:gridCol w:w="1030"/>
        <w:gridCol w:w="936"/>
      </w:tblGrid>
      <w:tr w:rsidR="003828EC" w:rsidRPr="009A64FF" w:rsidTr="00813EBC">
        <w:trPr>
          <w:trHeight w:val="360"/>
          <w:jc w:val="center"/>
        </w:trPr>
        <w:tc>
          <w:tcPr>
            <w:tcW w:w="3235" w:type="dxa"/>
            <w:vMerge w:val="restart"/>
            <w:noWrap/>
            <w:vAlign w:val="center"/>
            <w:hideMark/>
          </w:tcPr>
          <w:p w:rsidR="003828EC" w:rsidRPr="009A64FF" w:rsidRDefault="003828EC" w:rsidP="00813EBC">
            <w:pPr>
              <w:pStyle w:val="Footnote"/>
              <w:rPr>
                <w:rFonts w:eastAsia="Calibri"/>
                <w:sz w:val="18"/>
                <w:szCs w:val="18"/>
              </w:rPr>
            </w:pPr>
          </w:p>
        </w:tc>
        <w:tc>
          <w:tcPr>
            <w:tcW w:w="1710" w:type="dxa"/>
            <w:gridSpan w:val="2"/>
            <w:noWrap/>
            <w:vAlign w:val="center"/>
            <w:hideMark/>
          </w:tcPr>
          <w:p w:rsidR="003828EC" w:rsidRPr="009A64FF" w:rsidRDefault="003828EC" w:rsidP="00813EBC">
            <w:pPr>
              <w:pStyle w:val="Footnote"/>
              <w:jc w:val="center"/>
              <w:rPr>
                <w:rFonts w:eastAsia="Calibri"/>
                <w:b/>
                <w:sz w:val="18"/>
                <w:szCs w:val="18"/>
              </w:rPr>
            </w:pPr>
            <w:r w:rsidRPr="009A64FF">
              <w:rPr>
                <w:rFonts w:eastAsia="Calibri"/>
                <w:b/>
                <w:sz w:val="18"/>
                <w:szCs w:val="18"/>
              </w:rPr>
              <w:t>Aeroflot</w:t>
            </w:r>
          </w:p>
        </w:tc>
        <w:tc>
          <w:tcPr>
            <w:tcW w:w="1980" w:type="dxa"/>
            <w:gridSpan w:val="2"/>
            <w:noWrap/>
            <w:vAlign w:val="center"/>
            <w:hideMark/>
          </w:tcPr>
          <w:p w:rsidR="003828EC" w:rsidRPr="009A64FF" w:rsidRDefault="003828EC" w:rsidP="00813EBC">
            <w:pPr>
              <w:pStyle w:val="Footnote"/>
              <w:jc w:val="center"/>
              <w:rPr>
                <w:rFonts w:eastAsia="Calibri"/>
                <w:b/>
                <w:sz w:val="18"/>
                <w:szCs w:val="18"/>
              </w:rPr>
            </w:pPr>
            <w:r w:rsidRPr="009A64FF">
              <w:rPr>
                <w:rFonts w:eastAsia="Calibri"/>
                <w:b/>
                <w:sz w:val="18"/>
                <w:szCs w:val="18"/>
              </w:rPr>
              <w:t>European Emerging Markets</w:t>
            </w:r>
          </w:p>
        </w:tc>
        <w:tc>
          <w:tcPr>
            <w:tcW w:w="1890" w:type="dxa"/>
            <w:gridSpan w:val="2"/>
            <w:noWrap/>
            <w:vAlign w:val="center"/>
            <w:hideMark/>
          </w:tcPr>
          <w:p w:rsidR="003828EC" w:rsidRPr="009A64FF" w:rsidRDefault="003828EC" w:rsidP="00813EBC">
            <w:pPr>
              <w:pStyle w:val="Footnote"/>
              <w:jc w:val="center"/>
              <w:rPr>
                <w:rFonts w:eastAsia="Calibri"/>
                <w:b/>
                <w:sz w:val="18"/>
                <w:szCs w:val="18"/>
              </w:rPr>
            </w:pPr>
            <w:r w:rsidRPr="009A64FF">
              <w:rPr>
                <w:rFonts w:eastAsia="Calibri"/>
                <w:b/>
                <w:sz w:val="18"/>
                <w:szCs w:val="18"/>
              </w:rPr>
              <w:t>Global Airline Industry</w:t>
            </w:r>
          </w:p>
        </w:tc>
      </w:tr>
      <w:tr w:rsidR="003828EC" w:rsidRPr="009A64FF" w:rsidTr="00813EBC">
        <w:trPr>
          <w:trHeight w:val="260"/>
          <w:jc w:val="center"/>
        </w:trPr>
        <w:tc>
          <w:tcPr>
            <w:tcW w:w="3235" w:type="dxa"/>
            <w:vMerge/>
            <w:noWrap/>
            <w:vAlign w:val="center"/>
            <w:hideMark/>
          </w:tcPr>
          <w:p w:rsidR="003828EC" w:rsidRPr="009A64FF" w:rsidRDefault="003828EC" w:rsidP="00813EBC">
            <w:pPr>
              <w:pStyle w:val="Footnote"/>
              <w:rPr>
                <w:rFonts w:eastAsia="Calibri"/>
                <w:sz w:val="18"/>
                <w:szCs w:val="18"/>
              </w:rPr>
            </w:pPr>
          </w:p>
        </w:tc>
        <w:tc>
          <w:tcPr>
            <w:tcW w:w="810" w:type="dxa"/>
            <w:noWrap/>
            <w:vAlign w:val="center"/>
            <w:hideMark/>
          </w:tcPr>
          <w:p w:rsidR="003828EC" w:rsidRPr="009A64FF" w:rsidRDefault="003828EC" w:rsidP="00813EBC">
            <w:pPr>
              <w:pStyle w:val="Footnote"/>
              <w:jc w:val="center"/>
              <w:rPr>
                <w:rFonts w:eastAsia="Calibri"/>
                <w:b/>
                <w:sz w:val="18"/>
                <w:szCs w:val="18"/>
              </w:rPr>
            </w:pPr>
            <w:r w:rsidRPr="009A64FF">
              <w:rPr>
                <w:rFonts w:eastAsia="Calibri"/>
                <w:b/>
                <w:sz w:val="18"/>
                <w:szCs w:val="18"/>
              </w:rPr>
              <w:t>2013</w:t>
            </w:r>
          </w:p>
        </w:tc>
        <w:tc>
          <w:tcPr>
            <w:tcW w:w="900" w:type="dxa"/>
            <w:noWrap/>
            <w:vAlign w:val="center"/>
            <w:hideMark/>
          </w:tcPr>
          <w:p w:rsidR="003828EC" w:rsidRPr="009A64FF" w:rsidRDefault="003828EC" w:rsidP="00813EBC">
            <w:pPr>
              <w:pStyle w:val="Footnote"/>
              <w:jc w:val="center"/>
              <w:rPr>
                <w:rFonts w:eastAsia="Calibri"/>
                <w:b/>
                <w:sz w:val="18"/>
                <w:szCs w:val="18"/>
              </w:rPr>
            </w:pPr>
            <w:r w:rsidRPr="009A64FF">
              <w:rPr>
                <w:rFonts w:eastAsia="Calibri"/>
                <w:b/>
                <w:sz w:val="18"/>
                <w:szCs w:val="18"/>
              </w:rPr>
              <w:t>2014</w:t>
            </w:r>
          </w:p>
        </w:tc>
        <w:tc>
          <w:tcPr>
            <w:tcW w:w="900" w:type="dxa"/>
            <w:noWrap/>
            <w:vAlign w:val="center"/>
            <w:hideMark/>
          </w:tcPr>
          <w:p w:rsidR="003828EC" w:rsidRPr="009A64FF" w:rsidRDefault="003828EC" w:rsidP="00813EBC">
            <w:pPr>
              <w:pStyle w:val="Footnote"/>
              <w:jc w:val="center"/>
              <w:rPr>
                <w:rFonts w:eastAsia="Calibri"/>
                <w:b/>
                <w:sz w:val="18"/>
                <w:szCs w:val="18"/>
              </w:rPr>
            </w:pPr>
            <w:r w:rsidRPr="009A64FF">
              <w:rPr>
                <w:rFonts w:eastAsia="Calibri"/>
                <w:b/>
                <w:sz w:val="18"/>
                <w:szCs w:val="18"/>
              </w:rPr>
              <w:t>2013</w:t>
            </w:r>
          </w:p>
        </w:tc>
        <w:tc>
          <w:tcPr>
            <w:tcW w:w="1080" w:type="dxa"/>
            <w:noWrap/>
            <w:vAlign w:val="center"/>
            <w:hideMark/>
          </w:tcPr>
          <w:p w:rsidR="003828EC" w:rsidRPr="009A64FF" w:rsidRDefault="003828EC" w:rsidP="00813EBC">
            <w:pPr>
              <w:pStyle w:val="Footnote"/>
              <w:jc w:val="center"/>
              <w:rPr>
                <w:rFonts w:eastAsia="Calibri"/>
                <w:b/>
                <w:sz w:val="18"/>
                <w:szCs w:val="18"/>
              </w:rPr>
            </w:pPr>
            <w:r w:rsidRPr="009A64FF">
              <w:rPr>
                <w:rFonts w:eastAsia="Calibri"/>
                <w:b/>
                <w:sz w:val="18"/>
                <w:szCs w:val="18"/>
              </w:rPr>
              <w:t>2014</w:t>
            </w:r>
          </w:p>
        </w:tc>
        <w:tc>
          <w:tcPr>
            <w:tcW w:w="990" w:type="dxa"/>
            <w:noWrap/>
            <w:vAlign w:val="center"/>
            <w:hideMark/>
          </w:tcPr>
          <w:p w:rsidR="003828EC" w:rsidRPr="009A64FF" w:rsidRDefault="003828EC" w:rsidP="00813EBC">
            <w:pPr>
              <w:pStyle w:val="Footnote"/>
              <w:jc w:val="center"/>
              <w:rPr>
                <w:rFonts w:eastAsia="Calibri"/>
                <w:b/>
                <w:sz w:val="18"/>
                <w:szCs w:val="18"/>
              </w:rPr>
            </w:pPr>
            <w:r w:rsidRPr="009A64FF">
              <w:rPr>
                <w:rFonts w:eastAsia="Calibri"/>
                <w:b/>
                <w:sz w:val="18"/>
                <w:szCs w:val="18"/>
              </w:rPr>
              <w:t>2013</w:t>
            </w:r>
          </w:p>
        </w:tc>
        <w:tc>
          <w:tcPr>
            <w:tcW w:w="900" w:type="dxa"/>
            <w:noWrap/>
            <w:vAlign w:val="center"/>
            <w:hideMark/>
          </w:tcPr>
          <w:p w:rsidR="003828EC" w:rsidRPr="009A64FF" w:rsidRDefault="003828EC" w:rsidP="00813EBC">
            <w:pPr>
              <w:pStyle w:val="Footnote"/>
              <w:jc w:val="center"/>
              <w:rPr>
                <w:rFonts w:eastAsia="Calibri"/>
                <w:b/>
                <w:sz w:val="18"/>
                <w:szCs w:val="18"/>
              </w:rPr>
            </w:pPr>
            <w:r w:rsidRPr="009A64FF">
              <w:rPr>
                <w:rFonts w:eastAsia="Calibri"/>
                <w:b/>
                <w:sz w:val="18"/>
                <w:szCs w:val="18"/>
              </w:rPr>
              <w:t>2014</w:t>
            </w:r>
          </w:p>
        </w:tc>
      </w:tr>
      <w:tr w:rsidR="003828EC" w:rsidRPr="009A64FF" w:rsidTr="00813EBC">
        <w:trPr>
          <w:trHeight w:val="251"/>
          <w:jc w:val="center"/>
        </w:trPr>
        <w:tc>
          <w:tcPr>
            <w:tcW w:w="3235" w:type="dxa"/>
            <w:noWrap/>
            <w:vAlign w:val="center"/>
            <w:hideMark/>
          </w:tcPr>
          <w:p w:rsidR="003828EC" w:rsidRPr="009A64FF" w:rsidRDefault="003828EC" w:rsidP="00813EBC">
            <w:pPr>
              <w:pStyle w:val="Footnote"/>
              <w:rPr>
                <w:rFonts w:eastAsia="Calibri"/>
                <w:b/>
                <w:bCs/>
                <w:sz w:val="18"/>
                <w:szCs w:val="18"/>
              </w:rPr>
            </w:pPr>
            <w:r w:rsidRPr="009A64FF">
              <w:rPr>
                <w:rFonts w:eastAsia="Calibri"/>
                <w:b/>
                <w:bCs/>
                <w:sz w:val="18"/>
                <w:szCs w:val="18"/>
              </w:rPr>
              <w:t>LIQUIDITY RATIOS</w:t>
            </w:r>
          </w:p>
        </w:tc>
        <w:tc>
          <w:tcPr>
            <w:tcW w:w="810" w:type="dxa"/>
            <w:noWrap/>
            <w:vAlign w:val="center"/>
            <w:hideMark/>
          </w:tcPr>
          <w:p w:rsidR="003828EC" w:rsidRPr="009A64FF" w:rsidRDefault="003828EC" w:rsidP="00813EBC">
            <w:pPr>
              <w:pStyle w:val="Footnote"/>
              <w:rPr>
                <w:rFonts w:eastAsia="Calibri"/>
                <w:b/>
                <w:bCs/>
                <w:sz w:val="18"/>
                <w:szCs w:val="18"/>
              </w:rPr>
            </w:pPr>
          </w:p>
        </w:tc>
        <w:tc>
          <w:tcPr>
            <w:tcW w:w="900" w:type="dxa"/>
            <w:noWrap/>
            <w:vAlign w:val="center"/>
            <w:hideMark/>
          </w:tcPr>
          <w:p w:rsidR="003828EC" w:rsidRPr="009A64FF" w:rsidRDefault="003828EC" w:rsidP="00813EBC">
            <w:pPr>
              <w:pStyle w:val="Footnote"/>
              <w:rPr>
                <w:rFonts w:eastAsia="Calibri"/>
                <w:sz w:val="18"/>
                <w:szCs w:val="18"/>
              </w:rPr>
            </w:pPr>
          </w:p>
        </w:tc>
        <w:tc>
          <w:tcPr>
            <w:tcW w:w="900" w:type="dxa"/>
            <w:noWrap/>
            <w:vAlign w:val="center"/>
            <w:hideMark/>
          </w:tcPr>
          <w:p w:rsidR="003828EC" w:rsidRPr="009A64FF" w:rsidRDefault="003828EC" w:rsidP="00813EBC">
            <w:pPr>
              <w:pStyle w:val="Footnote"/>
              <w:rPr>
                <w:rFonts w:eastAsia="Calibri"/>
                <w:sz w:val="18"/>
                <w:szCs w:val="18"/>
              </w:rPr>
            </w:pPr>
          </w:p>
        </w:tc>
        <w:tc>
          <w:tcPr>
            <w:tcW w:w="1080" w:type="dxa"/>
            <w:noWrap/>
            <w:vAlign w:val="center"/>
            <w:hideMark/>
          </w:tcPr>
          <w:p w:rsidR="003828EC" w:rsidRPr="009A64FF" w:rsidRDefault="003828EC" w:rsidP="00813EBC">
            <w:pPr>
              <w:pStyle w:val="Footnote"/>
              <w:rPr>
                <w:rFonts w:eastAsia="Calibri"/>
                <w:sz w:val="18"/>
                <w:szCs w:val="18"/>
              </w:rPr>
            </w:pPr>
          </w:p>
        </w:tc>
        <w:tc>
          <w:tcPr>
            <w:tcW w:w="990" w:type="dxa"/>
            <w:noWrap/>
            <w:vAlign w:val="center"/>
            <w:hideMark/>
          </w:tcPr>
          <w:p w:rsidR="003828EC" w:rsidRPr="009A64FF" w:rsidRDefault="003828EC" w:rsidP="00813EBC">
            <w:pPr>
              <w:pStyle w:val="Footnote"/>
              <w:rPr>
                <w:rFonts w:eastAsia="Calibri"/>
                <w:sz w:val="18"/>
                <w:szCs w:val="18"/>
              </w:rPr>
            </w:pPr>
          </w:p>
        </w:tc>
        <w:tc>
          <w:tcPr>
            <w:tcW w:w="900" w:type="dxa"/>
            <w:noWrap/>
            <w:vAlign w:val="center"/>
            <w:hideMark/>
          </w:tcPr>
          <w:p w:rsidR="003828EC" w:rsidRPr="009A64FF" w:rsidRDefault="003828EC" w:rsidP="00813EBC">
            <w:pPr>
              <w:pStyle w:val="Footnote"/>
              <w:rPr>
                <w:rFonts w:eastAsia="Calibri"/>
                <w:sz w:val="18"/>
                <w:szCs w:val="18"/>
              </w:rPr>
            </w:pPr>
          </w:p>
        </w:tc>
      </w:tr>
      <w:tr w:rsidR="003828EC" w:rsidRPr="009A64FF" w:rsidTr="00813EBC">
        <w:trPr>
          <w:trHeight w:val="360"/>
          <w:jc w:val="center"/>
        </w:trPr>
        <w:tc>
          <w:tcPr>
            <w:tcW w:w="3235" w:type="dxa"/>
            <w:noWrap/>
            <w:vAlign w:val="center"/>
            <w:hideMark/>
          </w:tcPr>
          <w:p w:rsidR="003828EC" w:rsidRPr="009A64FF" w:rsidRDefault="003828EC" w:rsidP="00813EBC">
            <w:pPr>
              <w:pStyle w:val="Footnote"/>
              <w:rPr>
                <w:rFonts w:eastAsia="Calibri"/>
                <w:sz w:val="18"/>
                <w:szCs w:val="18"/>
              </w:rPr>
            </w:pPr>
            <w:r w:rsidRPr="009A64FF">
              <w:rPr>
                <w:rFonts w:eastAsia="Calibri"/>
                <w:sz w:val="18"/>
                <w:szCs w:val="18"/>
              </w:rPr>
              <w:t>Current Ratio</w:t>
            </w:r>
          </w:p>
        </w:tc>
        <w:tc>
          <w:tcPr>
            <w:tcW w:w="81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1.2x</w:t>
            </w:r>
          </w:p>
        </w:tc>
        <w:tc>
          <w:tcPr>
            <w:tcW w:w="90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0.7x</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1.3x</w:t>
            </w:r>
          </w:p>
        </w:tc>
        <w:tc>
          <w:tcPr>
            <w:tcW w:w="108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0.7x</w:t>
            </w:r>
          </w:p>
        </w:tc>
        <w:tc>
          <w:tcPr>
            <w:tcW w:w="99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0.7x</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0.6x</w:t>
            </w:r>
          </w:p>
        </w:tc>
      </w:tr>
      <w:tr w:rsidR="003828EC" w:rsidRPr="009A64FF" w:rsidTr="00813EBC">
        <w:trPr>
          <w:trHeight w:val="360"/>
          <w:jc w:val="center"/>
        </w:trPr>
        <w:tc>
          <w:tcPr>
            <w:tcW w:w="3235" w:type="dxa"/>
            <w:noWrap/>
            <w:vAlign w:val="center"/>
            <w:hideMark/>
          </w:tcPr>
          <w:p w:rsidR="003828EC" w:rsidRPr="009A64FF" w:rsidRDefault="003828EC" w:rsidP="00813EBC">
            <w:pPr>
              <w:pStyle w:val="Footnote"/>
              <w:rPr>
                <w:rFonts w:eastAsia="Calibri"/>
                <w:sz w:val="18"/>
                <w:szCs w:val="18"/>
              </w:rPr>
            </w:pPr>
            <w:r w:rsidRPr="009A64FF">
              <w:rPr>
                <w:rFonts w:eastAsia="Calibri"/>
                <w:sz w:val="18"/>
                <w:szCs w:val="18"/>
              </w:rPr>
              <w:t>Quick Ratio</w:t>
            </w:r>
          </w:p>
        </w:tc>
        <w:tc>
          <w:tcPr>
            <w:tcW w:w="81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0.8x</w:t>
            </w:r>
          </w:p>
        </w:tc>
        <w:tc>
          <w:tcPr>
            <w:tcW w:w="90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0.5x</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1.5x</w:t>
            </w:r>
          </w:p>
        </w:tc>
        <w:tc>
          <w:tcPr>
            <w:tcW w:w="108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1.3x</w:t>
            </w:r>
          </w:p>
        </w:tc>
        <w:tc>
          <w:tcPr>
            <w:tcW w:w="99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1.2x</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1.2x</w:t>
            </w:r>
          </w:p>
        </w:tc>
      </w:tr>
      <w:tr w:rsidR="003828EC" w:rsidRPr="009A64FF" w:rsidTr="00813EBC">
        <w:trPr>
          <w:trHeight w:val="360"/>
          <w:jc w:val="center"/>
        </w:trPr>
        <w:tc>
          <w:tcPr>
            <w:tcW w:w="3235" w:type="dxa"/>
            <w:noWrap/>
            <w:vAlign w:val="center"/>
            <w:hideMark/>
          </w:tcPr>
          <w:p w:rsidR="003828EC" w:rsidRPr="009A64FF" w:rsidRDefault="003828EC" w:rsidP="00813EBC">
            <w:pPr>
              <w:pStyle w:val="Footnote"/>
              <w:rPr>
                <w:rFonts w:eastAsia="Calibri"/>
                <w:sz w:val="18"/>
                <w:szCs w:val="18"/>
              </w:rPr>
            </w:pPr>
            <w:r w:rsidRPr="009A64FF">
              <w:rPr>
                <w:rFonts w:eastAsia="Calibri"/>
                <w:sz w:val="18"/>
                <w:szCs w:val="18"/>
              </w:rPr>
              <w:t>Cash from Operations to Current Liabilities</w:t>
            </w:r>
          </w:p>
        </w:tc>
        <w:tc>
          <w:tcPr>
            <w:tcW w:w="81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0.4x</w:t>
            </w:r>
          </w:p>
        </w:tc>
        <w:tc>
          <w:tcPr>
            <w:tcW w:w="90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0.3x</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0.7x</w:t>
            </w:r>
          </w:p>
        </w:tc>
        <w:tc>
          <w:tcPr>
            <w:tcW w:w="108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0.3x</w:t>
            </w:r>
          </w:p>
        </w:tc>
        <w:tc>
          <w:tcPr>
            <w:tcW w:w="99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0.3x</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0.2x</w:t>
            </w:r>
          </w:p>
        </w:tc>
      </w:tr>
      <w:tr w:rsidR="003828EC" w:rsidRPr="009A64FF" w:rsidTr="00813EBC">
        <w:trPr>
          <w:trHeight w:val="107"/>
          <w:jc w:val="center"/>
        </w:trPr>
        <w:tc>
          <w:tcPr>
            <w:tcW w:w="3235" w:type="dxa"/>
            <w:noWrap/>
            <w:vAlign w:val="center"/>
            <w:hideMark/>
          </w:tcPr>
          <w:p w:rsidR="003828EC" w:rsidRPr="009A64FF" w:rsidRDefault="003828EC" w:rsidP="00813EBC">
            <w:pPr>
              <w:pStyle w:val="Footnote"/>
              <w:rPr>
                <w:rFonts w:eastAsia="Calibri"/>
                <w:b/>
                <w:bCs/>
                <w:sz w:val="18"/>
                <w:szCs w:val="18"/>
              </w:rPr>
            </w:pPr>
            <w:r w:rsidRPr="009A64FF">
              <w:rPr>
                <w:rFonts w:eastAsia="Calibri"/>
                <w:b/>
                <w:bCs/>
                <w:sz w:val="18"/>
                <w:szCs w:val="18"/>
              </w:rPr>
              <w:t>EFFICIENCY</w:t>
            </w:r>
          </w:p>
        </w:tc>
        <w:tc>
          <w:tcPr>
            <w:tcW w:w="810" w:type="dxa"/>
            <w:noWrap/>
            <w:vAlign w:val="center"/>
            <w:hideMark/>
          </w:tcPr>
          <w:p w:rsidR="003828EC" w:rsidRPr="009A64FF" w:rsidRDefault="003828EC" w:rsidP="00813EBC">
            <w:pPr>
              <w:pStyle w:val="Footnote"/>
              <w:jc w:val="right"/>
              <w:rPr>
                <w:rFonts w:eastAsia="Calibri"/>
                <w:b/>
                <w:bCs/>
                <w:sz w:val="18"/>
                <w:szCs w:val="18"/>
              </w:rPr>
            </w:pPr>
          </w:p>
        </w:tc>
        <w:tc>
          <w:tcPr>
            <w:tcW w:w="900" w:type="dxa"/>
            <w:noWrap/>
            <w:vAlign w:val="center"/>
            <w:hideMark/>
          </w:tcPr>
          <w:p w:rsidR="003828EC" w:rsidRPr="009A64FF" w:rsidRDefault="003828EC" w:rsidP="00813EBC">
            <w:pPr>
              <w:pStyle w:val="Footnote"/>
              <w:jc w:val="right"/>
              <w:rPr>
                <w:rFonts w:eastAsia="Calibri"/>
                <w:sz w:val="18"/>
                <w:szCs w:val="18"/>
              </w:rPr>
            </w:pPr>
          </w:p>
        </w:tc>
        <w:tc>
          <w:tcPr>
            <w:tcW w:w="900" w:type="dxa"/>
            <w:noWrap/>
            <w:vAlign w:val="center"/>
            <w:hideMark/>
          </w:tcPr>
          <w:p w:rsidR="003828EC" w:rsidRPr="009A64FF" w:rsidRDefault="003828EC" w:rsidP="00813EBC">
            <w:pPr>
              <w:pStyle w:val="Footnote"/>
              <w:jc w:val="right"/>
              <w:rPr>
                <w:rFonts w:eastAsia="Calibri"/>
                <w:sz w:val="18"/>
                <w:szCs w:val="18"/>
              </w:rPr>
            </w:pPr>
          </w:p>
        </w:tc>
        <w:tc>
          <w:tcPr>
            <w:tcW w:w="1080" w:type="dxa"/>
            <w:noWrap/>
            <w:vAlign w:val="center"/>
            <w:hideMark/>
          </w:tcPr>
          <w:p w:rsidR="003828EC" w:rsidRPr="009A64FF" w:rsidRDefault="003828EC" w:rsidP="00813EBC">
            <w:pPr>
              <w:pStyle w:val="Footnote"/>
              <w:jc w:val="right"/>
              <w:rPr>
                <w:rFonts w:eastAsia="Calibri"/>
                <w:sz w:val="18"/>
                <w:szCs w:val="18"/>
              </w:rPr>
            </w:pPr>
          </w:p>
        </w:tc>
        <w:tc>
          <w:tcPr>
            <w:tcW w:w="990" w:type="dxa"/>
            <w:noWrap/>
            <w:vAlign w:val="center"/>
            <w:hideMark/>
          </w:tcPr>
          <w:p w:rsidR="003828EC" w:rsidRPr="009A64FF" w:rsidRDefault="003828EC" w:rsidP="00813EBC">
            <w:pPr>
              <w:pStyle w:val="Footnote"/>
              <w:jc w:val="right"/>
              <w:rPr>
                <w:rFonts w:eastAsia="Calibri"/>
                <w:sz w:val="18"/>
                <w:szCs w:val="18"/>
              </w:rPr>
            </w:pPr>
          </w:p>
        </w:tc>
        <w:tc>
          <w:tcPr>
            <w:tcW w:w="900" w:type="dxa"/>
            <w:noWrap/>
            <w:vAlign w:val="center"/>
            <w:hideMark/>
          </w:tcPr>
          <w:p w:rsidR="003828EC" w:rsidRPr="009A64FF" w:rsidRDefault="003828EC" w:rsidP="00813EBC">
            <w:pPr>
              <w:pStyle w:val="Footnote"/>
              <w:jc w:val="right"/>
              <w:rPr>
                <w:rFonts w:eastAsia="Calibri"/>
                <w:sz w:val="18"/>
                <w:szCs w:val="18"/>
              </w:rPr>
            </w:pPr>
          </w:p>
        </w:tc>
      </w:tr>
      <w:tr w:rsidR="003828EC" w:rsidRPr="009A64FF" w:rsidTr="00813EBC">
        <w:trPr>
          <w:trHeight w:val="360"/>
          <w:jc w:val="center"/>
        </w:trPr>
        <w:tc>
          <w:tcPr>
            <w:tcW w:w="3235" w:type="dxa"/>
            <w:noWrap/>
            <w:vAlign w:val="center"/>
            <w:hideMark/>
          </w:tcPr>
          <w:p w:rsidR="003828EC" w:rsidRPr="009A64FF" w:rsidRDefault="003828EC" w:rsidP="00813EBC">
            <w:pPr>
              <w:pStyle w:val="Footnote"/>
              <w:rPr>
                <w:rFonts w:eastAsia="Calibri"/>
                <w:sz w:val="18"/>
                <w:szCs w:val="18"/>
              </w:rPr>
            </w:pPr>
            <w:r w:rsidRPr="009A64FF">
              <w:rPr>
                <w:rFonts w:eastAsia="Calibri"/>
                <w:sz w:val="18"/>
                <w:szCs w:val="18"/>
              </w:rPr>
              <w:t>Total Asset Turnover</w:t>
            </w:r>
          </w:p>
        </w:tc>
        <w:tc>
          <w:tcPr>
            <w:tcW w:w="81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1.4x</w:t>
            </w:r>
          </w:p>
        </w:tc>
        <w:tc>
          <w:tcPr>
            <w:tcW w:w="90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1.3x</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1.4x</w:t>
            </w:r>
          </w:p>
        </w:tc>
        <w:tc>
          <w:tcPr>
            <w:tcW w:w="108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1.1x</w:t>
            </w:r>
          </w:p>
        </w:tc>
        <w:tc>
          <w:tcPr>
            <w:tcW w:w="99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0.8x</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0.8x</w:t>
            </w:r>
          </w:p>
        </w:tc>
      </w:tr>
      <w:tr w:rsidR="003828EC" w:rsidRPr="009A64FF" w:rsidTr="00813EBC">
        <w:trPr>
          <w:trHeight w:val="360"/>
          <w:jc w:val="center"/>
        </w:trPr>
        <w:tc>
          <w:tcPr>
            <w:tcW w:w="3235" w:type="dxa"/>
            <w:noWrap/>
            <w:vAlign w:val="center"/>
            <w:hideMark/>
          </w:tcPr>
          <w:p w:rsidR="003828EC" w:rsidRPr="009A64FF" w:rsidRDefault="003828EC" w:rsidP="00813EBC">
            <w:pPr>
              <w:pStyle w:val="Footnote"/>
              <w:rPr>
                <w:rFonts w:eastAsia="Calibri"/>
                <w:sz w:val="18"/>
                <w:szCs w:val="18"/>
              </w:rPr>
            </w:pPr>
            <w:r w:rsidRPr="009A64FF">
              <w:rPr>
                <w:rFonts w:eastAsia="Calibri"/>
                <w:sz w:val="18"/>
                <w:szCs w:val="18"/>
              </w:rPr>
              <w:t>Fixed Asset Turnover</w:t>
            </w:r>
          </w:p>
        </w:tc>
        <w:tc>
          <w:tcPr>
            <w:tcW w:w="81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3.4x</w:t>
            </w:r>
          </w:p>
        </w:tc>
        <w:tc>
          <w:tcPr>
            <w:tcW w:w="90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3.1x</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3.2x</w:t>
            </w:r>
          </w:p>
        </w:tc>
        <w:tc>
          <w:tcPr>
            <w:tcW w:w="108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2.7x</w:t>
            </w:r>
          </w:p>
        </w:tc>
        <w:tc>
          <w:tcPr>
            <w:tcW w:w="99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1.5x</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1.4x</w:t>
            </w:r>
          </w:p>
        </w:tc>
      </w:tr>
      <w:tr w:rsidR="003828EC" w:rsidRPr="009A64FF" w:rsidTr="00813EBC">
        <w:trPr>
          <w:trHeight w:val="360"/>
          <w:jc w:val="center"/>
        </w:trPr>
        <w:tc>
          <w:tcPr>
            <w:tcW w:w="3235" w:type="dxa"/>
            <w:noWrap/>
            <w:vAlign w:val="center"/>
            <w:hideMark/>
          </w:tcPr>
          <w:p w:rsidR="003828EC" w:rsidRPr="009A64FF" w:rsidRDefault="003828EC" w:rsidP="00813EBC">
            <w:pPr>
              <w:pStyle w:val="Footnote"/>
              <w:rPr>
                <w:rFonts w:eastAsia="Calibri"/>
                <w:sz w:val="18"/>
                <w:szCs w:val="18"/>
              </w:rPr>
            </w:pPr>
            <w:r w:rsidRPr="009A64FF">
              <w:rPr>
                <w:rFonts w:eastAsia="Calibri"/>
                <w:sz w:val="18"/>
                <w:szCs w:val="18"/>
              </w:rPr>
              <w:t>Average Days Sales Outstanding</w:t>
            </w:r>
          </w:p>
        </w:tc>
        <w:tc>
          <w:tcPr>
            <w:tcW w:w="81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28.1</w:t>
            </w:r>
          </w:p>
        </w:tc>
        <w:tc>
          <w:tcPr>
            <w:tcW w:w="90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31.3</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28.7</w:t>
            </w:r>
          </w:p>
        </w:tc>
        <w:tc>
          <w:tcPr>
            <w:tcW w:w="108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31.2</w:t>
            </w:r>
          </w:p>
        </w:tc>
        <w:tc>
          <w:tcPr>
            <w:tcW w:w="99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22.8</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21.9</w:t>
            </w:r>
          </w:p>
        </w:tc>
      </w:tr>
      <w:tr w:rsidR="003828EC" w:rsidRPr="009A64FF" w:rsidTr="00813EBC">
        <w:trPr>
          <w:trHeight w:val="360"/>
          <w:jc w:val="center"/>
        </w:trPr>
        <w:tc>
          <w:tcPr>
            <w:tcW w:w="3235" w:type="dxa"/>
            <w:noWrap/>
            <w:vAlign w:val="center"/>
            <w:hideMark/>
          </w:tcPr>
          <w:p w:rsidR="003828EC" w:rsidRPr="009A64FF" w:rsidRDefault="003828EC" w:rsidP="00813EBC">
            <w:pPr>
              <w:pStyle w:val="Footnote"/>
              <w:rPr>
                <w:rFonts w:eastAsia="Calibri"/>
                <w:sz w:val="18"/>
                <w:szCs w:val="18"/>
              </w:rPr>
            </w:pPr>
            <w:r w:rsidRPr="009A64FF">
              <w:rPr>
                <w:rFonts w:eastAsia="Calibri"/>
                <w:sz w:val="18"/>
                <w:szCs w:val="18"/>
              </w:rPr>
              <w:t>Average Days Inventory Outstanding</w:t>
            </w:r>
          </w:p>
        </w:tc>
        <w:tc>
          <w:tcPr>
            <w:tcW w:w="81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6.8</w:t>
            </w:r>
          </w:p>
        </w:tc>
        <w:tc>
          <w:tcPr>
            <w:tcW w:w="90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7.2</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7.1</w:t>
            </w:r>
          </w:p>
        </w:tc>
        <w:tc>
          <w:tcPr>
            <w:tcW w:w="108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7.6</w:t>
            </w:r>
          </w:p>
        </w:tc>
        <w:tc>
          <w:tcPr>
            <w:tcW w:w="99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10.4</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9.9</w:t>
            </w:r>
          </w:p>
        </w:tc>
      </w:tr>
      <w:tr w:rsidR="003828EC" w:rsidRPr="009A64FF" w:rsidTr="00813EBC">
        <w:trPr>
          <w:trHeight w:val="360"/>
          <w:jc w:val="center"/>
        </w:trPr>
        <w:tc>
          <w:tcPr>
            <w:tcW w:w="3235" w:type="dxa"/>
            <w:noWrap/>
            <w:vAlign w:val="center"/>
            <w:hideMark/>
          </w:tcPr>
          <w:p w:rsidR="003828EC" w:rsidRPr="009A64FF" w:rsidRDefault="003828EC" w:rsidP="00813EBC">
            <w:pPr>
              <w:pStyle w:val="Footnote"/>
              <w:rPr>
                <w:rFonts w:eastAsia="Calibri"/>
                <w:sz w:val="18"/>
                <w:szCs w:val="18"/>
              </w:rPr>
            </w:pPr>
            <w:r w:rsidRPr="009A64FF">
              <w:rPr>
                <w:rFonts w:eastAsia="Calibri"/>
                <w:sz w:val="18"/>
                <w:szCs w:val="18"/>
              </w:rPr>
              <w:t>Average Days Payable Outstanding</w:t>
            </w:r>
          </w:p>
        </w:tc>
        <w:tc>
          <w:tcPr>
            <w:tcW w:w="81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24.4</w:t>
            </w:r>
          </w:p>
        </w:tc>
        <w:tc>
          <w:tcPr>
            <w:tcW w:w="90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28.8</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0.1</w:t>
            </w:r>
          </w:p>
        </w:tc>
        <w:tc>
          <w:tcPr>
            <w:tcW w:w="108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0.2</w:t>
            </w:r>
          </w:p>
        </w:tc>
        <w:tc>
          <w:tcPr>
            <w:tcW w:w="99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32.0</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31.9</w:t>
            </w:r>
          </w:p>
        </w:tc>
      </w:tr>
      <w:tr w:rsidR="003828EC" w:rsidRPr="009A64FF" w:rsidTr="00813EBC">
        <w:trPr>
          <w:trHeight w:val="360"/>
          <w:jc w:val="center"/>
        </w:trPr>
        <w:tc>
          <w:tcPr>
            <w:tcW w:w="3235" w:type="dxa"/>
            <w:noWrap/>
            <w:vAlign w:val="center"/>
            <w:hideMark/>
          </w:tcPr>
          <w:p w:rsidR="003828EC" w:rsidRPr="009A64FF" w:rsidRDefault="003828EC" w:rsidP="00813EBC">
            <w:pPr>
              <w:pStyle w:val="Footnote"/>
              <w:rPr>
                <w:rFonts w:eastAsia="Calibri"/>
                <w:sz w:val="18"/>
                <w:szCs w:val="18"/>
              </w:rPr>
            </w:pPr>
            <w:r w:rsidRPr="009A64FF">
              <w:rPr>
                <w:rFonts w:eastAsia="Calibri"/>
                <w:sz w:val="18"/>
                <w:szCs w:val="18"/>
              </w:rPr>
              <w:t>Average Cash Conversion Cycle</w:t>
            </w:r>
          </w:p>
        </w:tc>
        <w:tc>
          <w:tcPr>
            <w:tcW w:w="81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10.5</w:t>
            </w:r>
          </w:p>
        </w:tc>
        <w:tc>
          <w:tcPr>
            <w:tcW w:w="90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9.7</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7.0</w:t>
            </w:r>
          </w:p>
        </w:tc>
        <w:tc>
          <w:tcPr>
            <w:tcW w:w="108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10.4</w:t>
            </w:r>
          </w:p>
        </w:tc>
        <w:tc>
          <w:tcPr>
            <w:tcW w:w="99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10.3</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10.0</w:t>
            </w:r>
          </w:p>
        </w:tc>
      </w:tr>
      <w:tr w:rsidR="003828EC" w:rsidRPr="009A64FF" w:rsidTr="00813EBC">
        <w:trPr>
          <w:trHeight w:val="179"/>
          <w:jc w:val="center"/>
        </w:trPr>
        <w:tc>
          <w:tcPr>
            <w:tcW w:w="3235" w:type="dxa"/>
            <w:noWrap/>
            <w:vAlign w:val="center"/>
            <w:hideMark/>
          </w:tcPr>
          <w:p w:rsidR="003828EC" w:rsidRPr="009A64FF" w:rsidRDefault="003828EC" w:rsidP="00813EBC">
            <w:pPr>
              <w:pStyle w:val="Footnote"/>
              <w:rPr>
                <w:rFonts w:eastAsia="Calibri"/>
                <w:b/>
                <w:bCs/>
                <w:sz w:val="18"/>
                <w:szCs w:val="18"/>
              </w:rPr>
            </w:pPr>
            <w:r w:rsidRPr="009A64FF">
              <w:rPr>
                <w:rFonts w:eastAsia="Calibri"/>
                <w:b/>
                <w:bCs/>
                <w:sz w:val="18"/>
                <w:szCs w:val="18"/>
              </w:rPr>
              <w:t>FINANCIAL LEVERAGE</w:t>
            </w:r>
          </w:p>
        </w:tc>
        <w:tc>
          <w:tcPr>
            <w:tcW w:w="810" w:type="dxa"/>
            <w:noWrap/>
            <w:vAlign w:val="center"/>
            <w:hideMark/>
          </w:tcPr>
          <w:p w:rsidR="003828EC" w:rsidRPr="009A64FF" w:rsidRDefault="003828EC" w:rsidP="00813EBC">
            <w:pPr>
              <w:pStyle w:val="Footnote"/>
              <w:jc w:val="right"/>
              <w:rPr>
                <w:rFonts w:eastAsia="Calibri"/>
                <w:b/>
                <w:bCs/>
                <w:sz w:val="18"/>
                <w:szCs w:val="18"/>
              </w:rPr>
            </w:pPr>
          </w:p>
        </w:tc>
        <w:tc>
          <w:tcPr>
            <w:tcW w:w="900" w:type="dxa"/>
            <w:noWrap/>
            <w:vAlign w:val="center"/>
            <w:hideMark/>
          </w:tcPr>
          <w:p w:rsidR="003828EC" w:rsidRPr="009A64FF" w:rsidRDefault="003828EC" w:rsidP="00813EBC">
            <w:pPr>
              <w:pStyle w:val="Footnote"/>
              <w:jc w:val="right"/>
              <w:rPr>
                <w:rFonts w:eastAsia="Calibri"/>
                <w:sz w:val="18"/>
                <w:szCs w:val="18"/>
              </w:rPr>
            </w:pPr>
          </w:p>
        </w:tc>
        <w:tc>
          <w:tcPr>
            <w:tcW w:w="900" w:type="dxa"/>
            <w:noWrap/>
            <w:vAlign w:val="center"/>
            <w:hideMark/>
          </w:tcPr>
          <w:p w:rsidR="003828EC" w:rsidRPr="009A64FF" w:rsidRDefault="003828EC" w:rsidP="00813EBC">
            <w:pPr>
              <w:pStyle w:val="Footnote"/>
              <w:jc w:val="right"/>
              <w:rPr>
                <w:rFonts w:eastAsia="Calibri"/>
                <w:sz w:val="18"/>
                <w:szCs w:val="18"/>
              </w:rPr>
            </w:pPr>
          </w:p>
        </w:tc>
        <w:tc>
          <w:tcPr>
            <w:tcW w:w="1080" w:type="dxa"/>
            <w:noWrap/>
            <w:vAlign w:val="center"/>
            <w:hideMark/>
          </w:tcPr>
          <w:p w:rsidR="003828EC" w:rsidRPr="009A64FF" w:rsidRDefault="003828EC" w:rsidP="00813EBC">
            <w:pPr>
              <w:pStyle w:val="Footnote"/>
              <w:jc w:val="right"/>
              <w:rPr>
                <w:rFonts w:eastAsia="Calibri"/>
                <w:sz w:val="18"/>
                <w:szCs w:val="18"/>
              </w:rPr>
            </w:pPr>
          </w:p>
        </w:tc>
        <w:tc>
          <w:tcPr>
            <w:tcW w:w="990" w:type="dxa"/>
            <w:noWrap/>
            <w:vAlign w:val="center"/>
            <w:hideMark/>
          </w:tcPr>
          <w:p w:rsidR="003828EC" w:rsidRPr="009A64FF" w:rsidRDefault="003828EC" w:rsidP="00813EBC">
            <w:pPr>
              <w:pStyle w:val="Footnote"/>
              <w:jc w:val="right"/>
              <w:rPr>
                <w:rFonts w:eastAsia="Calibri"/>
                <w:sz w:val="18"/>
                <w:szCs w:val="18"/>
              </w:rPr>
            </w:pPr>
          </w:p>
        </w:tc>
        <w:tc>
          <w:tcPr>
            <w:tcW w:w="900" w:type="dxa"/>
            <w:noWrap/>
            <w:vAlign w:val="center"/>
            <w:hideMark/>
          </w:tcPr>
          <w:p w:rsidR="003828EC" w:rsidRPr="009A64FF" w:rsidRDefault="003828EC" w:rsidP="00813EBC">
            <w:pPr>
              <w:pStyle w:val="Footnote"/>
              <w:jc w:val="right"/>
              <w:rPr>
                <w:rFonts w:eastAsia="Calibri"/>
                <w:sz w:val="18"/>
                <w:szCs w:val="18"/>
              </w:rPr>
            </w:pPr>
          </w:p>
        </w:tc>
      </w:tr>
      <w:tr w:rsidR="003828EC" w:rsidRPr="009A64FF" w:rsidTr="00813EBC">
        <w:trPr>
          <w:trHeight w:val="360"/>
          <w:jc w:val="center"/>
        </w:trPr>
        <w:tc>
          <w:tcPr>
            <w:tcW w:w="3235" w:type="dxa"/>
            <w:noWrap/>
            <w:vAlign w:val="center"/>
            <w:hideMark/>
          </w:tcPr>
          <w:p w:rsidR="003828EC" w:rsidRPr="009A64FF" w:rsidRDefault="003828EC" w:rsidP="00813EBC">
            <w:pPr>
              <w:pStyle w:val="Footnote"/>
              <w:rPr>
                <w:rFonts w:eastAsia="Calibri"/>
                <w:sz w:val="18"/>
                <w:szCs w:val="18"/>
              </w:rPr>
            </w:pPr>
            <w:r w:rsidRPr="009A64FF">
              <w:rPr>
                <w:rFonts w:eastAsia="Calibri"/>
                <w:sz w:val="18"/>
                <w:szCs w:val="18"/>
              </w:rPr>
              <w:t>Total Liabilities/Total Assets</w:t>
            </w:r>
          </w:p>
        </w:tc>
        <w:tc>
          <w:tcPr>
            <w:tcW w:w="81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74.0%</w:t>
            </w:r>
          </w:p>
        </w:tc>
        <w:tc>
          <w:tcPr>
            <w:tcW w:w="90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104.9%</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54.2%</w:t>
            </w:r>
          </w:p>
        </w:tc>
        <w:tc>
          <w:tcPr>
            <w:tcW w:w="108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101.6%</w:t>
            </w:r>
          </w:p>
        </w:tc>
        <w:tc>
          <w:tcPr>
            <w:tcW w:w="99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81.7%</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83.5%</w:t>
            </w:r>
          </w:p>
        </w:tc>
      </w:tr>
      <w:tr w:rsidR="003828EC" w:rsidRPr="009A64FF" w:rsidTr="00813EBC">
        <w:trPr>
          <w:trHeight w:val="360"/>
          <w:jc w:val="center"/>
        </w:trPr>
        <w:tc>
          <w:tcPr>
            <w:tcW w:w="3235" w:type="dxa"/>
            <w:noWrap/>
            <w:vAlign w:val="center"/>
            <w:hideMark/>
          </w:tcPr>
          <w:p w:rsidR="003828EC" w:rsidRPr="009A64FF" w:rsidRDefault="003828EC" w:rsidP="00813EBC">
            <w:pPr>
              <w:pStyle w:val="Footnote"/>
              <w:rPr>
                <w:rFonts w:eastAsia="Calibri"/>
                <w:sz w:val="18"/>
                <w:szCs w:val="18"/>
              </w:rPr>
            </w:pPr>
            <w:r w:rsidRPr="009A64FF">
              <w:rPr>
                <w:rFonts w:eastAsia="Calibri"/>
                <w:sz w:val="18"/>
                <w:szCs w:val="18"/>
              </w:rPr>
              <w:t>Total Debt/Equity</w:t>
            </w:r>
          </w:p>
        </w:tc>
        <w:tc>
          <w:tcPr>
            <w:tcW w:w="81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156.8%</w:t>
            </w:r>
          </w:p>
        </w:tc>
        <w:tc>
          <w:tcPr>
            <w:tcW w:w="90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NM</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83.1%</w:t>
            </w:r>
          </w:p>
        </w:tc>
        <w:tc>
          <w:tcPr>
            <w:tcW w:w="108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NM</w:t>
            </w:r>
          </w:p>
        </w:tc>
        <w:tc>
          <w:tcPr>
            <w:tcW w:w="99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NM</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NM</w:t>
            </w:r>
          </w:p>
        </w:tc>
      </w:tr>
      <w:tr w:rsidR="003828EC" w:rsidRPr="009A64FF" w:rsidTr="00813EBC">
        <w:trPr>
          <w:trHeight w:val="360"/>
          <w:jc w:val="center"/>
        </w:trPr>
        <w:tc>
          <w:tcPr>
            <w:tcW w:w="3235" w:type="dxa"/>
            <w:noWrap/>
            <w:vAlign w:val="center"/>
            <w:hideMark/>
          </w:tcPr>
          <w:p w:rsidR="003828EC" w:rsidRPr="009A64FF" w:rsidRDefault="003828EC" w:rsidP="00813EBC">
            <w:pPr>
              <w:pStyle w:val="Footnote"/>
              <w:rPr>
                <w:rFonts w:eastAsia="Calibri"/>
                <w:sz w:val="18"/>
                <w:szCs w:val="18"/>
              </w:rPr>
            </w:pPr>
            <w:r w:rsidRPr="009A64FF">
              <w:rPr>
                <w:rFonts w:eastAsia="Calibri"/>
                <w:sz w:val="18"/>
                <w:szCs w:val="18"/>
              </w:rPr>
              <w:t>Long-Term Debt/Equity</w:t>
            </w:r>
          </w:p>
        </w:tc>
        <w:tc>
          <w:tcPr>
            <w:tcW w:w="81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131.7%</w:t>
            </w:r>
          </w:p>
        </w:tc>
        <w:tc>
          <w:tcPr>
            <w:tcW w:w="90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NM</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55.4%</w:t>
            </w:r>
          </w:p>
        </w:tc>
        <w:tc>
          <w:tcPr>
            <w:tcW w:w="108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NM</w:t>
            </w:r>
          </w:p>
        </w:tc>
        <w:tc>
          <w:tcPr>
            <w:tcW w:w="99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135.0%</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165.7%</w:t>
            </w:r>
          </w:p>
        </w:tc>
      </w:tr>
      <w:tr w:rsidR="003828EC" w:rsidRPr="009A64FF" w:rsidTr="00813EBC">
        <w:trPr>
          <w:trHeight w:val="360"/>
          <w:jc w:val="center"/>
        </w:trPr>
        <w:tc>
          <w:tcPr>
            <w:tcW w:w="3235" w:type="dxa"/>
            <w:noWrap/>
            <w:vAlign w:val="center"/>
            <w:hideMark/>
          </w:tcPr>
          <w:p w:rsidR="003828EC" w:rsidRPr="009A64FF" w:rsidRDefault="003828EC" w:rsidP="00813EBC">
            <w:pPr>
              <w:pStyle w:val="Footnote"/>
              <w:rPr>
                <w:rFonts w:eastAsia="Calibri"/>
                <w:sz w:val="18"/>
                <w:szCs w:val="18"/>
              </w:rPr>
            </w:pPr>
            <w:r w:rsidRPr="009A64FF">
              <w:rPr>
                <w:rFonts w:eastAsia="Calibri"/>
                <w:sz w:val="18"/>
                <w:szCs w:val="18"/>
              </w:rPr>
              <w:t>EBIT/Interest Expenses</w:t>
            </w:r>
          </w:p>
        </w:tc>
        <w:tc>
          <w:tcPr>
            <w:tcW w:w="81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6.1x</w:t>
            </w:r>
          </w:p>
        </w:tc>
        <w:tc>
          <w:tcPr>
            <w:tcW w:w="90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1.9x</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2.9x</w:t>
            </w:r>
          </w:p>
        </w:tc>
        <w:tc>
          <w:tcPr>
            <w:tcW w:w="108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2.0x</w:t>
            </w:r>
          </w:p>
        </w:tc>
        <w:tc>
          <w:tcPr>
            <w:tcW w:w="99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0.9x</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1.4x</w:t>
            </w:r>
          </w:p>
        </w:tc>
      </w:tr>
      <w:tr w:rsidR="003828EC" w:rsidRPr="009A64FF" w:rsidTr="00813EBC">
        <w:trPr>
          <w:trHeight w:val="179"/>
          <w:jc w:val="center"/>
        </w:trPr>
        <w:tc>
          <w:tcPr>
            <w:tcW w:w="3235" w:type="dxa"/>
            <w:noWrap/>
            <w:vAlign w:val="center"/>
            <w:hideMark/>
          </w:tcPr>
          <w:p w:rsidR="003828EC" w:rsidRPr="009A64FF" w:rsidRDefault="003828EC" w:rsidP="00813EBC">
            <w:pPr>
              <w:pStyle w:val="Footnote"/>
              <w:rPr>
                <w:rFonts w:eastAsia="Calibri"/>
                <w:b/>
                <w:bCs/>
                <w:sz w:val="18"/>
                <w:szCs w:val="18"/>
              </w:rPr>
            </w:pPr>
            <w:r w:rsidRPr="009A64FF">
              <w:rPr>
                <w:rFonts w:eastAsia="Calibri"/>
                <w:b/>
                <w:bCs/>
                <w:sz w:val="18"/>
                <w:szCs w:val="18"/>
              </w:rPr>
              <w:t>PROFITABILITY</w:t>
            </w:r>
          </w:p>
        </w:tc>
        <w:tc>
          <w:tcPr>
            <w:tcW w:w="810" w:type="dxa"/>
            <w:noWrap/>
            <w:vAlign w:val="center"/>
            <w:hideMark/>
          </w:tcPr>
          <w:p w:rsidR="003828EC" w:rsidRPr="009A64FF" w:rsidRDefault="003828EC" w:rsidP="00813EBC">
            <w:pPr>
              <w:pStyle w:val="Footnote"/>
              <w:jc w:val="right"/>
              <w:rPr>
                <w:rFonts w:eastAsia="Calibri"/>
                <w:b/>
                <w:bCs/>
                <w:sz w:val="18"/>
                <w:szCs w:val="18"/>
              </w:rPr>
            </w:pPr>
          </w:p>
        </w:tc>
        <w:tc>
          <w:tcPr>
            <w:tcW w:w="900" w:type="dxa"/>
            <w:noWrap/>
            <w:vAlign w:val="center"/>
            <w:hideMark/>
          </w:tcPr>
          <w:p w:rsidR="003828EC" w:rsidRPr="009A64FF" w:rsidRDefault="003828EC" w:rsidP="00813EBC">
            <w:pPr>
              <w:pStyle w:val="Footnote"/>
              <w:jc w:val="right"/>
              <w:rPr>
                <w:rFonts w:eastAsia="Calibri"/>
                <w:sz w:val="18"/>
                <w:szCs w:val="18"/>
              </w:rPr>
            </w:pPr>
          </w:p>
        </w:tc>
        <w:tc>
          <w:tcPr>
            <w:tcW w:w="900" w:type="dxa"/>
            <w:noWrap/>
            <w:vAlign w:val="center"/>
            <w:hideMark/>
          </w:tcPr>
          <w:p w:rsidR="003828EC" w:rsidRPr="009A64FF" w:rsidRDefault="003828EC" w:rsidP="00813EBC">
            <w:pPr>
              <w:pStyle w:val="Footnote"/>
              <w:jc w:val="right"/>
              <w:rPr>
                <w:rFonts w:eastAsia="Calibri"/>
                <w:sz w:val="18"/>
                <w:szCs w:val="18"/>
              </w:rPr>
            </w:pPr>
          </w:p>
        </w:tc>
        <w:tc>
          <w:tcPr>
            <w:tcW w:w="1080" w:type="dxa"/>
            <w:noWrap/>
            <w:vAlign w:val="center"/>
            <w:hideMark/>
          </w:tcPr>
          <w:p w:rsidR="003828EC" w:rsidRPr="009A64FF" w:rsidRDefault="003828EC" w:rsidP="00813EBC">
            <w:pPr>
              <w:pStyle w:val="Footnote"/>
              <w:jc w:val="right"/>
              <w:rPr>
                <w:rFonts w:eastAsia="Calibri"/>
                <w:sz w:val="18"/>
                <w:szCs w:val="18"/>
              </w:rPr>
            </w:pPr>
          </w:p>
        </w:tc>
        <w:tc>
          <w:tcPr>
            <w:tcW w:w="990" w:type="dxa"/>
            <w:noWrap/>
            <w:vAlign w:val="center"/>
            <w:hideMark/>
          </w:tcPr>
          <w:p w:rsidR="003828EC" w:rsidRPr="009A64FF" w:rsidRDefault="003828EC" w:rsidP="00813EBC">
            <w:pPr>
              <w:pStyle w:val="Footnote"/>
              <w:jc w:val="right"/>
              <w:rPr>
                <w:rFonts w:eastAsia="Calibri"/>
                <w:sz w:val="18"/>
                <w:szCs w:val="18"/>
              </w:rPr>
            </w:pPr>
          </w:p>
        </w:tc>
        <w:tc>
          <w:tcPr>
            <w:tcW w:w="900" w:type="dxa"/>
            <w:noWrap/>
            <w:vAlign w:val="center"/>
            <w:hideMark/>
          </w:tcPr>
          <w:p w:rsidR="003828EC" w:rsidRPr="009A64FF" w:rsidRDefault="003828EC" w:rsidP="00813EBC">
            <w:pPr>
              <w:pStyle w:val="Footnote"/>
              <w:jc w:val="right"/>
              <w:rPr>
                <w:rFonts w:eastAsia="Calibri"/>
                <w:sz w:val="18"/>
                <w:szCs w:val="18"/>
              </w:rPr>
            </w:pPr>
          </w:p>
        </w:tc>
      </w:tr>
      <w:tr w:rsidR="003828EC" w:rsidRPr="009A64FF" w:rsidTr="00813EBC">
        <w:trPr>
          <w:trHeight w:val="360"/>
          <w:jc w:val="center"/>
        </w:trPr>
        <w:tc>
          <w:tcPr>
            <w:tcW w:w="3235" w:type="dxa"/>
            <w:noWrap/>
            <w:vAlign w:val="center"/>
            <w:hideMark/>
          </w:tcPr>
          <w:p w:rsidR="003828EC" w:rsidRPr="009A64FF" w:rsidRDefault="003828EC" w:rsidP="00813EBC">
            <w:pPr>
              <w:pStyle w:val="Footnote"/>
              <w:rPr>
                <w:rFonts w:eastAsia="Calibri"/>
                <w:sz w:val="18"/>
                <w:szCs w:val="18"/>
              </w:rPr>
            </w:pPr>
            <w:r w:rsidRPr="009A64FF">
              <w:rPr>
                <w:rFonts w:eastAsia="Calibri"/>
                <w:sz w:val="18"/>
                <w:szCs w:val="18"/>
              </w:rPr>
              <w:t>Return on Equity</w:t>
            </w:r>
          </w:p>
        </w:tc>
        <w:tc>
          <w:tcPr>
            <w:tcW w:w="81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13.6%</w:t>
            </w:r>
          </w:p>
        </w:tc>
        <w:tc>
          <w:tcPr>
            <w:tcW w:w="90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(83.7%)</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13.1%</w:t>
            </w:r>
          </w:p>
        </w:tc>
        <w:tc>
          <w:tcPr>
            <w:tcW w:w="108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NM</w:t>
            </w:r>
          </w:p>
        </w:tc>
        <w:tc>
          <w:tcPr>
            <w:tcW w:w="99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10.5%</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11.0%</w:t>
            </w:r>
          </w:p>
        </w:tc>
      </w:tr>
      <w:tr w:rsidR="003828EC" w:rsidRPr="009A64FF" w:rsidTr="00813EBC">
        <w:trPr>
          <w:trHeight w:val="360"/>
          <w:jc w:val="center"/>
        </w:trPr>
        <w:tc>
          <w:tcPr>
            <w:tcW w:w="3235" w:type="dxa"/>
            <w:noWrap/>
            <w:vAlign w:val="center"/>
            <w:hideMark/>
          </w:tcPr>
          <w:p w:rsidR="003828EC" w:rsidRPr="009A64FF" w:rsidRDefault="003828EC" w:rsidP="00813EBC">
            <w:pPr>
              <w:pStyle w:val="Footnote"/>
              <w:rPr>
                <w:rFonts w:eastAsia="Calibri"/>
                <w:sz w:val="18"/>
                <w:szCs w:val="18"/>
              </w:rPr>
            </w:pPr>
            <w:r w:rsidRPr="009A64FF">
              <w:rPr>
                <w:rFonts w:eastAsia="Calibri"/>
                <w:sz w:val="18"/>
                <w:szCs w:val="18"/>
              </w:rPr>
              <w:t>Return on Assets</w:t>
            </w:r>
          </w:p>
        </w:tc>
        <w:tc>
          <w:tcPr>
            <w:tcW w:w="81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6.1%</w:t>
            </w:r>
          </w:p>
        </w:tc>
        <w:tc>
          <w:tcPr>
            <w:tcW w:w="90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2.4%</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5.9%</w:t>
            </w:r>
          </w:p>
        </w:tc>
        <w:tc>
          <w:tcPr>
            <w:tcW w:w="108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2.1%</w:t>
            </w:r>
          </w:p>
        </w:tc>
        <w:tc>
          <w:tcPr>
            <w:tcW w:w="99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2.3%</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3.3%</w:t>
            </w:r>
          </w:p>
        </w:tc>
      </w:tr>
      <w:tr w:rsidR="003828EC" w:rsidRPr="009A64FF" w:rsidTr="00813EBC">
        <w:trPr>
          <w:trHeight w:val="233"/>
          <w:jc w:val="center"/>
        </w:trPr>
        <w:tc>
          <w:tcPr>
            <w:tcW w:w="3235" w:type="dxa"/>
            <w:noWrap/>
            <w:vAlign w:val="center"/>
            <w:hideMark/>
          </w:tcPr>
          <w:p w:rsidR="003828EC" w:rsidRPr="009A64FF" w:rsidRDefault="003828EC" w:rsidP="00813EBC">
            <w:pPr>
              <w:pStyle w:val="Footnote"/>
              <w:rPr>
                <w:rFonts w:eastAsia="Calibri"/>
                <w:sz w:val="18"/>
                <w:szCs w:val="18"/>
              </w:rPr>
            </w:pPr>
            <w:r w:rsidRPr="009A64FF">
              <w:rPr>
                <w:rFonts w:eastAsia="Calibri"/>
                <w:sz w:val="18"/>
                <w:szCs w:val="18"/>
              </w:rPr>
              <w:t>Return on Sales</w:t>
            </w:r>
          </w:p>
        </w:tc>
        <w:tc>
          <w:tcPr>
            <w:tcW w:w="81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2.8%</w:t>
            </w:r>
          </w:p>
        </w:tc>
        <w:tc>
          <w:tcPr>
            <w:tcW w:w="90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(4.8%)</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7.1%</w:t>
            </w:r>
          </w:p>
        </w:tc>
        <w:tc>
          <w:tcPr>
            <w:tcW w:w="108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(4.4%)</w:t>
            </w:r>
          </w:p>
        </w:tc>
        <w:tc>
          <w:tcPr>
            <w:tcW w:w="99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0.1%</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(0.6%)</w:t>
            </w:r>
          </w:p>
        </w:tc>
      </w:tr>
      <w:tr w:rsidR="003828EC" w:rsidRPr="009A64FF" w:rsidTr="00813EBC">
        <w:trPr>
          <w:trHeight w:val="224"/>
          <w:jc w:val="center"/>
        </w:trPr>
        <w:tc>
          <w:tcPr>
            <w:tcW w:w="3235" w:type="dxa"/>
            <w:noWrap/>
            <w:vAlign w:val="center"/>
            <w:hideMark/>
          </w:tcPr>
          <w:p w:rsidR="003828EC" w:rsidRPr="009A64FF" w:rsidRDefault="003828EC" w:rsidP="00813EBC">
            <w:pPr>
              <w:pStyle w:val="Footnote"/>
              <w:rPr>
                <w:rFonts w:eastAsia="Calibri"/>
                <w:sz w:val="18"/>
                <w:szCs w:val="18"/>
              </w:rPr>
            </w:pPr>
            <w:r w:rsidRPr="009A64FF">
              <w:rPr>
                <w:rFonts w:eastAsia="Calibri"/>
                <w:sz w:val="18"/>
                <w:szCs w:val="18"/>
              </w:rPr>
              <w:t>Gross Margin</w:t>
            </w:r>
          </w:p>
        </w:tc>
        <w:tc>
          <w:tcPr>
            <w:tcW w:w="81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12.1%</w:t>
            </w:r>
          </w:p>
        </w:tc>
        <w:tc>
          <w:tcPr>
            <w:tcW w:w="900" w:type="dxa"/>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9.3%</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23.1%</w:t>
            </w:r>
          </w:p>
        </w:tc>
        <w:tc>
          <w:tcPr>
            <w:tcW w:w="108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10.0%</w:t>
            </w:r>
          </w:p>
        </w:tc>
        <w:tc>
          <w:tcPr>
            <w:tcW w:w="99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17.5%</w:t>
            </w:r>
          </w:p>
        </w:tc>
        <w:tc>
          <w:tcPr>
            <w:tcW w:w="900" w:type="dxa"/>
            <w:noWrap/>
            <w:vAlign w:val="center"/>
            <w:hideMark/>
          </w:tcPr>
          <w:p w:rsidR="003828EC" w:rsidRPr="009A64FF" w:rsidRDefault="003828EC" w:rsidP="00813EBC">
            <w:pPr>
              <w:pStyle w:val="Footnote"/>
              <w:jc w:val="right"/>
              <w:rPr>
                <w:rFonts w:eastAsia="Calibri"/>
                <w:sz w:val="18"/>
                <w:szCs w:val="18"/>
              </w:rPr>
            </w:pPr>
            <w:r w:rsidRPr="009A64FF">
              <w:rPr>
                <w:rFonts w:eastAsia="Calibri"/>
                <w:sz w:val="18"/>
                <w:szCs w:val="18"/>
              </w:rPr>
              <w:t>18.2%</w:t>
            </w:r>
          </w:p>
        </w:tc>
      </w:tr>
    </w:tbl>
    <w:p w:rsidR="003828EC" w:rsidRPr="00853B17" w:rsidRDefault="003828EC" w:rsidP="003828EC">
      <w:pPr>
        <w:pStyle w:val="ExhibitText"/>
        <w:rPr>
          <w:rFonts w:eastAsia="Calibri"/>
          <w:sz w:val="14"/>
          <w:szCs w:val="14"/>
        </w:rPr>
      </w:pPr>
    </w:p>
    <w:p w:rsidR="003828EC" w:rsidRPr="00C81DA7" w:rsidRDefault="003828EC" w:rsidP="003828EC">
      <w:pPr>
        <w:pStyle w:val="Footnote"/>
        <w:rPr>
          <w:rFonts w:eastAsia="Calibri"/>
        </w:rPr>
      </w:pPr>
      <w:r w:rsidRPr="00C81DA7">
        <w:rPr>
          <w:rFonts w:eastAsia="Calibri"/>
        </w:rPr>
        <w:t xml:space="preserve">Note: EBIT = earnings before interest and tax. </w:t>
      </w:r>
      <w:r w:rsidRPr="00C81DA7">
        <w:t>If the denominator is less than or equal to zero</w:t>
      </w:r>
      <w:r>
        <w:t>,</w:t>
      </w:r>
      <w:r w:rsidRPr="00C81DA7">
        <w:t xml:space="preserve"> the ratio was shown as NM (not meaningful).  </w:t>
      </w:r>
    </w:p>
    <w:p w:rsidR="003828EC" w:rsidRPr="00853B17" w:rsidRDefault="003828EC" w:rsidP="003828EC">
      <w:pPr>
        <w:pStyle w:val="Footnote"/>
        <w:rPr>
          <w:rFonts w:eastAsia="Calibri"/>
          <w:spacing w:val="-4"/>
          <w:kern w:val="17"/>
        </w:rPr>
      </w:pPr>
      <w:r w:rsidRPr="00853B17">
        <w:rPr>
          <w:rFonts w:eastAsia="Calibri"/>
          <w:spacing w:val="-4"/>
          <w:kern w:val="17"/>
        </w:rPr>
        <w:t>Source: Aeroflot – Russian Airlines, “Public Joint Stock Company Aeroflot - Russian Airlines (MISX:AFLT) &gt; Financials &gt; Ratios,” S&amp;P Capital IQ, accessed February 16, 2017; Airlines, “Airlines &gt; Key Stats &amp; Ratios,” S&amp;P Capital IQ, accessed February 16, 2017; Airlines, “European Emerging Markets &gt; Key Stats &amp; Ratios,” S&amp;P Capital IQ, accessed February 16, 2017.</w:t>
      </w:r>
    </w:p>
    <w:p w:rsidR="003828EC" w:rsidRPr="00853B17" w:rsidRDefault="003828EC" w:rsidP="003828EC">
      <w:pPr>
        <w:pStyle w:val="ExhibitText"/>
        <w:rPr>
          <w:rFonts w:eastAsia="Calibri"/>
          <w:sz w:val="14"/>
          <w:szCs w:val="14"/>
        </w:rPr>
      </w:pPr>
    </w:p>
    <w:p w:rsidR="003828EC" w:rsidRPr="00853B17" w:rsidRDefault="003828EC" w:rsidP="003828EC">
      <w:pPr>
        <w:pStyle w:val="ExhibitText"/>
        <w:rPr>
          <w:rFonts w:eastAsia="Calibri"/>
          <w:sz w:val="14"/>
          <w:szCs w:val="14"/>
        </w:rPr>
      </w:pPr>
    </w:p>
    <w:p w:rsidR="003828EC" w:rsidRPr="00C81DA7" w:rsidRDefault="003828EC" w:rsidP="003828EC">
      <w:pPr>
        <w:pStyle w:val="Footnote"/>
        <w:jc w:val="center"/>
        <w:outlineLvl w:val="0"/>
        <w:rPr>
          <w:rFonts w:eastAsia="Calibri"/>
          <w:b/>
          <w:sz w:val="20"/>
          <w:szCs w:val="20"/>
        </w:rPr>
      </w:pPr>
      <w:r w:rsidRPr="00C81DA7">
        <w:rPr>
          <w:rFonts w:eastAsia="Calibri"/>
          <w:b/>
          <w:sz w:val="20"/>
          <w:szCs w:val="20"/>
        </w:rPr>
        <w:t>EXHIBIT 5: AIRCRAFT INFORMATION</w:t>
      </w:r>
    </w:p>
    <w:p w:rsidR="003828EC" w:rsidRPr="00853B17" w:rsidRDefault="003828EC" w:rsidP="003828EC">
      <w:pPr>
        <w:pStyle w:val="ExhibitText"/>
        <w:rPr>
          <w:rFonts w:eastAsia="Calibri"/>
          <w:sz w:val="14"/>
          <w:szCs w:val="14"/>
        </w:rPr>
      </w:pPr>
    </w:p>
    <w:tbl>
      <w:tblPr>
        <w:tblStyle w:val="TableGrid"/>
        <w:tblW w:w="3500" w:type="pct"/>
        <w:jc w:val="center"/>
        <w:tblLayout w:type="fixed"/>
        <w:tblCellMar>
          <w:left w:w="115" w:type="dxa"/>
          <w:right w:w="115" w:type="dxa"/>
        </w:tblCellMar>
        <w:tblLook w:val="04A0" w:firstRow="1" w:lastRow="0" w:firstColumn="1" w:lastColumn="0" w:noHBand="0" w:noVBand="1"/>
      </w:tblPr>
      <w:tblGrid>
        <w:gridCol w:w="3370"/>
        <w:gridCol w:w="1615"/>
        <w:gridCol w:w="1560"/>
      </w:tblGrid>
      <w:tr w:rsidR="003828EC" w:rsidRPr="00C81DA7" w:rsidTr="00813EBC">
        <w:trPr>
          <w:trHeight w:val="360"/>
          <w:jc w:val="center"/>
        </w:trPr>
        <w:tc>
          <w:tcPr>
            <w:tcW w:w="3063" w:type="dxa"/>
            <w:vAlign w:val="center"/>
            <w:hideMark/>
          </w:tcPr>
          <w:p w:rsidR="003828EC" w:rsidRPr="00C81DA7" w:rsidRDefault="003828EC" w:rsidP="00813EBC">
            <w:pPr>
              <w:rPr>
                <w:rFonts w:ascii="Arial" w:hAnsi="Arial" w:cs="Arial"/>
                <w:b/>
                <w:bCs/>
              </w:rPr>
            </w:pPr>
            <w:r w:rsidRPr="00C81DA7">
              <w:rPr>
                <w:rFonts w:ascii="Arial" w:hAnsi="Arial" w:cs="Arial"/>
                <w:b/>
                <w:bCs/>
              </w:rPr>
              <w:t>For the Fiscal Period Ending</w:t>
            </w:r>
          </w:p>
        </w:tc>
        <w:tc>
          <w:tcPr>
            <w:tcW w:w="1468" w:type="dxa"/>
            <w:vAlign w:val="center"/>
          </w:tcPr>
          <w:p w:rsidR="003828EC" w:rsidRPr="00C81DA7" w:rsidRDefault="003828EC" w:rsidP="00813EBC">
            <w:pPr>
              <w:pStyle w:val="BodyTextMain"/>
              <w:jc w:val="center"/>
              <w:rPr>
                <w:rFonts w:ascii="Arial" w:eastAsia="Calibri" w:hAnsi="Arial" w:cs="Arial"/>
                <w:b/>
                <w:bCs/>
                <w:sz w:val="20"/>
                <w:szCs w:val="20"/>
              </w:rPr>
            </w:pPr>
            <w:r>
              <w:rPr>
                <w:rFonts w:ascii="Arial" w:eastAsia="Calibri" w:hAnsi="Arial" w:cs="Arial"/>
                <w:b/>
                <w:bCs/>
                <w:sz w:val="20"/>
                <w:szCs w:val="20"/>
              </w:rPr>
              <w:t xml:space="preserve">12 months </w:t>
            </w:r>
            <w:r w:rsidRPr="00C81DA7">
              <w:rPr>
                <w:rFonts w:ascii="Arial" w:eastAsia="Calibri" w:hAnsi="Arial" w:cs="Arial"/>
                <w:b/>
                <w:bCs/>
                <w:sz w:val="20"/>
                <w:szCs w:val="20"/>
              </w:rPr>
              <w:t>Dec</w:t>
            </w:r>
            <w:r>
              <w:rPr>
                <w:rFonts w:ascii="Arial" w:eastAsia="Calibri" w:hAnsi="Arial" w:cs="Arial"/>
                <w:b/>
                <w:bCs/>
                <w:sz w:val="20"/>
                <w:szCs w:val="20"/>
              </w:rPr>
              <w:t>.</w:t>
            </w:r>
            <w:r w:rsidRPr="00C81DA7">
              <w:rPr>
                <w:rFonts w:ascii="Arial" w:eastAsia="Calibri" w:hAnsi="Arial" w:cs="Arial"/>
                <w:b/>
                <w:bCs/>
                <w:sz w:val="20"/>
                <w:szCs w:val="20"/>
              </w:rPr>
              <w:t xml:space="preserve"> 31</w:t>
            </w:r>
            <w:r>
              <w:rPr>
                <w:rFonts w:ascii="Arial" w:eastAsia="Calibri" w:hAnsi="Arial" w:cs="Arial"/>
                <w:b/>
                <w:bCs/>
                <w:sz w:val="20"/>
                <w:szCs w:val="20"/>
              </w:rPr>
              <w:t>,</w:t>
            </w:r>
            <w:r w:rsidRPr="00C81DA7">
              <w:rPr>
                <w:rFonts w:ascii="Arial" w:eastAsia="Calibri" w:hAnsi="Arial" w:cs="Arial"/>
                <w:b/>
                <w:bCs/>
                <w:sz w:val="20"/>
                <w:szCs w:val="20"/>
              </w:rPr>
              <w:t xml:space="preserve"> 2013</w:t>
            </w:r>
          </w:p>
        </w:tc>
        <w:tc>
          <w:tcPr>
            <w:tcW w:w="1418" w:type="dxa"/>
            <w:vAlign w:val="center"/>
          </w:tcPr>
          <w:p w:rsidR="003828EC" w:rsidRPr="00C81DA7" w:rsidRDefault="003828EC" w:rsidP="00813EBC">
            <w:pPr>
              <w:pStyle w:val="BodyTextMain"/>
              <w:jc w:val="center"/>
              <w:rPr>
                <w:rFonts w:ascii="Arial" w:eastAsia="Calibri" w:hAnsi="Arial" w:cs="Arial"/>
                <w:b/>
                <w:bCs/>
                <w:sz w:val="20"/>
                <w:szCs w:val="20"/>
              </w:rPr>
            </w:pPr>
            <w:r w:rsidRPr="00C81DA7">
              <w:rPr>
                <w:rFonts w:ascii="Arial" w:eastAsia="Calibri" w:hAnsi="Arial" w:cs="Arial"/>
                <w:b/>
                <w:bCs/>
                <w:sz w:val="20"/>
                <w:szCs w:val="20"/>
              </w:rPr>
              <w:t>12 months</w:t>
            </w:r>
          </w:p>
          <w:p w:rsidR="003828EC" w:rsidRPr="00C81DA7" w:rsidRDefault="003828EC" w:rsidP="00813EBC">
            <w:pPr>
              <w:pStyle w:val="BodyTextMain"/>
              <w:jc w:val="center"/>
              <w:rPr>
                <w:rFonts w:ascii="Arial" w:eastAsia="Calibri" w:hAnsi="Arial" w:cs="Arial"/>
                <w:b/>
                <w:bCs/>
                <w:sz w:val="20"/>
                <w:szCs w:val="20"/>
              </w:rPr>
            </w:pPr>
            <w:r w:rsidRPr="00C81DA7">
              <w:rPr>
                <w:rFonts w:ascii="Arial" w:eastAsia="Calibri" w:hAnsi="Arial" w:cs="Arial"/>
                <w:b/>
                <w:bCs/>
                <w:sz w:val="20"/>
                <w:szCs w:val="20"/>
              </w:rPr>
              <w:t>Dec</w:t>
            </w:r>
            <w:r>
              <w:rPr>
                <w:rFonts w:ascii="Arial" w:eastAsia="Calibri" w:hAnsi="Arial" w:cs="Arial"/>
                <w:b/>
                <w:bCs/>
                <w:sz w:val="20"/>
                <w:szCs w:val="20"/>
              </w:rPr>
              <w:t>.</w:t>
            </w:r>
            <w:r w:rsidRPr="00C81DA7">
              <w:rPr>
                <w:rFonts w:ascii="Arial" w:eastAsia="Calibri" w:hAnsi="Arial" w:cs="Arial"/>
                <w:b/>
                <w:bCs/>
                <w:sz w:val="20"/>
                <w:szCs w:val="20"/>
              </w:rPr>
              <w:t xml:space="preserve"> 31</w:t>
            </w:r>
            <w:r>
              <w:rPr>
                <w:rFonts w:ascii="Arial" w:eastAsia="Calibri" w:hAnsi="Arial" w:cs="Arial"/>
                <w:b/>
                <w:bCs/>
                <w:sz w:val="20"/>
                <w:szCs w:val="20"/>
              </w:rPr>
              <w:t>,</w:t>
            </w:r>
            <w:r w:rsidRPr="00C81DA7">
              <w:rPr>
                <w:rFonts w:ascii="Arial" w:eastAsia="Calibri" w:hAnsi="Arial" w:cs="Arial"/>
                <w:b/>
                <w:bCs/>
                <w:sz w:val="20"/>
                <w:szCs w:val="20"/>
              </w:rPr>
              <w:t xml:space="preserve"> 2014</w:t>
            </w:r>
          </w:p>
        </w:tc>
      </w:tr>
      <w:tr w:rsidR="003828EC" w:rsidRPr="00C81DA7" w:rsidTr="00813EBC">
        <w:trPr>
          <w:trHeight w:val="360"/>
          <w:jc w:val="center"/>
        </w:trPr>
        <w:tc>
          <w:tcPr>
            <w:tcW w:w="3063" w:type="dxa"/>
            <w:noWrap/>
            <w:vAlign w:val="center"/>
            <w:hideMark/>
          </w:tcPr>
          <w:p w:rsidR="003828EC" w:rsidRPr="00C81DA7" w:rsidRDefault="003828EC" w:rsidP="00813EBC">
            <w:pPr>
              <w:rPr>
                <w:rFonts w:ascii="Arial" w:hAnsi="Arial" w:cs="Arial"/>
              </w:rPr>
            </w:pPr>
            <w:r w:rsidRPr="00C81DA7">
              <w:rPr>
                <w:rFonts w:ascii="Arial" w:hAnsi="Arial" w:cs="Arial"/>
              </w:rPr>
              <w:t>Total Number of Aircraft</w:t>
            </w:r>
          </w:p>
        </w:tc>
        <w:tc>
          <w:tcPr>
            <w:tcW w:w="1468" w:type="dxa"/>
            <w:vAlign w:val="center"/>
            <w:hideMark/>
          </w:tcPr>
          <w:p w:rsidR="003828EC" w:rsidRPr="00C81DA7" w:rsidRDefault="003828EC" w:rsidP="00813EBC">
            <w:pPr>
              <w:ind w:right="288"/>
              <w:jc w:val="right"/>
              <w:rPr>
                <w:rFonts w:ascii="Arial" w:hAnsi="Arial" w:cs="Arial"/>
              </w:rPr>
            </w:pPr>
            <w:r w:rsidRPr="00C81DA7">
              <w:rPr>
                <w:rFonts w:ascii="Arial" w:hAnsi="Arial" w:cs="Arial"/>
              </w:rPr>
              <w:t>100</w:t>
            </w:r>
          </w:p>
        </w:tc>
        <w:tc>
          <w:tcPr>
            <w:tcW w:w="1418" w:type="dxa"/>
            <w:vAlign w:val="center"/>
            <w:hideMark/>
          </w:tcPr>
          <w:p w:rsidR="003828EC" w:rsidRPr="00C81DA7" w:rsidRDefault="003828EC" w:rsidP="00813EBC">
            <w:pPr>
              <w:ind w:right="288"/>
              <w:jc w:val="right"/>
              <w:rPr>
                <w:rFonts w:ascii="Arial" w:hAnsi="Arial" w:cs="Arial"/>
              </w:rPr>
            </w:pPr>
            <w:r>
              <w:rPr>
                <w:rFonts w:ascii="Arial" w:hAnsi="Arial" w:cs="Arial"/>
              </w:rPr>
              <w:t>104</w:t>
            </w:r>
          </w:p>
        </w:tc>
      </w:tr>
      <w:tr w:rsidR="003828EC" w:rsidRPr="00C81DA7" w:rsidTr="00813EBC">
        <w:trPr>
          <w:trHeight w:val="360"/>
          <w:jc w:val="center"/>
        </w:trPr>
        <w:tc>
          <w:tcPr>
            <w:tcW w:w="3063" w:type="dxa"/>
            <w:noWrap/>
            <w:vAlign w:val="center"/>
            <w:hideMark/>
          </w:tcPr>
          <w:p w:rsidR="003828EC" w:rsidRPr="00C81DA7" w:rsidRDefault="003828EC" w:rsidP="00813EBC">
            <w:pPr>
              <w:rPr>
                <w:rFonts w:ascii="Arial" w:hAnsi="Arial" w:cs="Arial"/>
              </w:rPr>
            </w:pPr>
            <w:r w:rsidRPr="00C81DA7">
              <w:rPr>
                <w:rFonts w:ascii="Arial" w:hAnsi="Arial" w:cs="Arial"/>
              </w:rPr>
              <w:t>Aircraft Owned</w:t>
            </w:r>
          </w:p>
        </w:tc>
        <w:tc>
          <w:tcPr>
            <w:tcW w:w="1468" w:type="dxa"/>
            <w:vAlign w:val="center"/>
            <w:hideMark/>
          </w:tcPr>
          <w:p w:rsidR="003828EC" w:rsidRPr="00C81DA7" w:rsidRDefault="003828EC" w:rsidP="00813EBC">
            <w:pPr>
              <w:ind w:right="288"/>
              <w:jc w:val="right"/>
              <w:rPr>
                <w:rFonts w:ascii="Arial" w:hAnsi="Arial" w:cs="Arial"/>
              </w:rPr>
            </w:pPr>
            <w:r w:rsidRPr="00C81DA7">
              <w:rPr>
                <w:rFonts w:ascii="Arial" w:hAnsi="Arial" w:cs="Arial"/>
              </w:rPr>
              <w:t>9</w:t>
            </w:r>
          </w:p>
        </w:tc>
        <w:tc>
          <w:tcPr>
            <w:tcW w:w="1418" w:type="dxa"/>
            <w:vAlign w:val="center"/>
            <w:hideMark/>
          </w:tcPr>
          <w:p w:rsidR="003828EC" w:rsidRPr="00C81DA7" w:rsidRDefault="003828EC" w:rsidP="00813EBC">
            <w:pPr>
              <w:ind w:right="288"/>
              <w:jc w:val="right"/>
              <w:rPr>
                <w:rFonts w:ascii="Arial" w:hAnsi="Arial" w:cs="Arial"/>
              </w:rPr>
            </w:pPr>
            <w:r>
              <w:rPr>
                <w:rFonts w:ascii="Arial" w:hAnsi="Arial" w:cs="Arial"/>
              </w:rPr>
              <w:t>9</w:t>
            </w:r>
          </w:p>
        </w:tc>
      </w:tr>
      <w:tr w:rsidR="003828EC" w:rsidRPr="00C81DA7" w:rsidTr="00813EBC">
        <w:trPr>
          <w:trHeight w:val="360"/>
          <w:jc w:val="center"/>
        </w:trPr>
        <w:tc>
          <w:tcPr>
            <w:tcW w:w="3063" w:type="dxa"/>
            <w:noWrap/>
            <w:vAlign w:val="center"/>
            <w:hideMark/>
          </w:tcPr>
          <w:p w:rsidR="003828EC" w:rsidRPr="00C81DA7" w:rsidRDefault="003828EC" w:rsidP="00813EBC">
            <w:pPr>
              <w:rPr>
                <w:rFonts w:ascii="Arial" w:hAnsi="Arial" w:cs="Arial"/>
              </w:rPr>
            </w:pPr>
            <w:r w:rsidRPr="00C81DA7">
              <w:rPr>
                <w:rFonts w:ascii="Arial" w:hAnsi="Arial" w:cs="Arial"/>
              </w:rPr>
              <w:t>Aircraft—Capital Lease</w:t>
            </w:r>
          </w:p>
        </w:tc>
        <w:tc>
          <w:tcPr>
            <w:tcW w:w="1468" w:type="dxa"/>
            <w:vAlign w:val="center"/>
            <w:hideMark/>
          </w:tcPr>
          <w:p w:rsidR="003828EC" w:rsidRPr="00C81DA7" w:rsidRDefault="003828EC" w:rsidP="00813EBC">
            <w:pPr>
              <w:ind w:right="288"/>
              <w:jc w:val="right"/>
              <w:rPr>
                <w:rFonts w:ascii="Arial" w:hAnsi="Arial" w:cs="Arial"/>
              </w:rPr>
            </w:pPr>
            <w:r w:rsidRPr="00C81DA7">
              <w:rPr>
                <w:rFonts w:ascii="Arial" w:hAnsi="Arial" w:cs="Arial"/>
              </w:rPr>
              <w:t>59</w:t>
            </w:r>
          </w:p>
        </w:tc>
        <w:tc>
          <w:tcPr>
            <w:tcW w:w="1418" w:type="dxa"/>
            <w:vAlign w:val="center"/>
            <w:hideMark/>
          </w:tcPr>
          <w:p w:rsidR="003828EC" w:rsidRPr="00C81DA7" w:rsidRDefault="003828EC" w:rsidP="00813EBC">
            <w:pPr>
              <w:ind w:right="288"/>
              <w:jc w:val="right"/>
              <w:rPr>
                <w:rFonts w:ascii="Arial" w:hAnsi="Arial" w:cs="Arial"/>
              </w:rPr>
            </w:pPr>
            <w:r>
              <w:rPr>
                <w:rFonts w:ascii="Arial" w:hAnsi="Arial" w:cs="Arial"/>
              </w:rPr>
              <w:t>59</w:t>
            </w:r>
          </w:p>
        </w:tc>
      </w:tr>
      <w:tr w:rsidR="003828EC" w:rsidRPr="00C81DA7" w:rsidTr="00813EBC">
        <w:trPr>
          <w:trHeight w:val="360"/>
          <w:jc w:val="center"/>
        </w:trPr>
        <w:tc>
          <w:tcPr>
            <w:tcW w:w="3063" w:type="dxa"/>
            <w:noWrap/>
            <w:vAlign w:val="center"/>
            <w:hideMark/>
          </w:tcPr>
          <w:p w:rsidR="003828EC" w:rsidRPr="00C81DA7" w:rsidRDefault="003828EC" w:rsidP="00813EBC">
            <w:pPr>
              <w:rPr>
                <w:rFonts w:ascii="Arial" w:hAnsi="Arial" w:cs="Arial"/>
              </w:rPr>
            </w:pPr>
            <w:r w:rsidRPr="00C81DA7">
              <w:rPr>
                <w:rFonts w:ascii="Arial" w:hAnsi="Arial" w:cs="Arial"/>
              </w:rPr>
              <w:t>Aircraft—Operating Lease</w:t>
            </w:r>
          </w:p>
        </w:tc>
        <w:tc>
          <w:tcPr>
            <w:tcW w:w="1468" w:type="dxa"/>
            <w:vAlign w:val="center"/>
            <w:hideMark/>
          </w:tcPr>
          <w:p w:rsidR="003828EC" w:rsidRPr="00C81DA7" w:rsidRDefault="003828EC" w:rsidP="00813EBC">
            <w:pPr>
              <w:ind w:right="288"/>
              <w:jc w:val="right"/>
              <w:rPr>
                <w:rFonts w:ascii="Arial" w:hAnsi="Arial" w:cs="Arial"/>
              </w:rPr>
            </w:pPr>
            <w:r w:rsidRPr="00C81DA7">
              <w:rPr>
                <w:rFonts w:ascii="Arial" w:hAnsi="Arial" w:cs="Arial"/>
              </w:rPr>
              <w:t>32</w:t>
            </w:r>
          </w:p>
        </w:tc>
        <w:tc>
          <w:tcPr>
            <w:tcW w:w="1418" w:type="dxa"/>
            <w:vAlign w:val="center"/>
            <w:hideMark/>
          </w:tcPr>
          <w:p w:rsidR="003828EC" w:rsidRPr="00C81DA7" w:rsidRDefault="003828EC" w:rsidP="00813EBC">
            <w:pPr>
              <w:ind w:right="288"/>
              <w:jc w:val="right"/>
              <w:rPr>
                <w:rFonts w:ascii="Arial" w:hAnsi="Arial" w:cs="Arial"/>
              </w:rPr>
            </w:pPr>
            <w:r>
              <w:rPr>
                <w:rFonts w:ascii="Arial" w:hAnsi="Arial" w:cs="Arial"/>
              </w:rPr>
              <w:t>36</w:t>
            </w:r>
          </w:p>
        </w:tc>
      </w:tr>
    </w:tbl>
    <w:p w:rsidR="003828EC" w:rsidRPr="00853B17" w:rsidRDefault="003828EC" w:rsidP="003828EC">
      <w:pPr>
        <w:pStyle w:val="ExhibitText"/>
        <w:rPr>
          <w:rFonts w:eastAsia="Calibri"/>
          <w:sz w:val="14"/>
          <w:szCs w:val="14"/>
        </w:rPr>
      </w:pPr>
    </w:p>
    <w:p w:rsidR="00945A46" w:rsidRDefault="003828EC" w:rsidP="003828EC">
      <w:r w:rsidRPr="00C81DA7">
        <w:rPr>
          <w:rFonts w:eastAsia="Calibri"/>
        </w:rPr>
        <w:t xml:space="preserve">Source: </w:t>
      </w:r>
      <w:r w:rsidRPr="000E3A2F">
        <w:t xml:space="preserve"> </w:t>
      </w:r>
      <w:r w:rsidRPr="000E3A2F">
        <w:rPr>
          <w:rFonts w:eastAsia="Calibri"/>
        </w:rPr>
        <w:t xml:space="preserve">Transaero Airlines, </w:t>
      </w:r>
      <w:r>
        <w:rPr>
          <w:rFonts w:eastAsia="Calibri"/>
        </w:rPr>
        <w:t>“</w:t>
      </w:r>
      <w:r w:rsidRPr="00B3167C">
        <w:rPr>
          <w:rFonts w:eastAsia="Calibri"/>
        </w:rPr>
        <w:t>Open Joint-stock company Transaero Airlines (MISX:TAER) &gt; Financials &gt; Industry Specific</w:t>
      </w:r>
      <w:r w:rsidRPr="000E3A2F">
        <w:rPr>
          <w:rFonts w:eastAsia="Calibri"/>
        </w:rPr>
        <w:t>,” S&amp;P Capital IQ, accessed February 16, 2017</w:t>
      </w:r>
      <w:r>
        <w:rPr>
          <w:rFonts w:eastAsia="Calibri"/>
        </w:rPr>
        <w:t>.</w:t>
      </w:r>
      <w:bookmarkStart w:id="0" w:name="_GoBack"/>
      <w:bookmarkEnd w:id="0"/>
    </w:p>
    <w:sectPr w:rsidR="00945A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8EC" w:rsidRDefault="003828EC" w:rsidP="003828EC">
      <w:r>
        <w:separator/>
      </w:r>
    </w:p>
  </w:endnote>
  <w:endnote w:type="continuationSeparator" w:id="0">
    <w:p w:rsidR="003828EC" w:rsidRDefault="003828EC" w:rsidP="00382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8EC" w:rsidRDefault="003828EC" w:rsidP="003828EC">
      <w:r>
        <w:separator/>
      </w:r>
    </w:p>
  </w:footnote>
  <w:footnote w:type="continuationSeparator" w:id="0">
    <w:p w:rsidR="003828EC" w:rsidRDefault="003828EC" w:rsidP="003828EC">
      <w:r>
        <w:continuationSeparator/>
      </w:r>
    </w:p>
  </w:footnote>
  <w:footnote w:id="1">
    <w:p w:rsidR="003828EC" w:rsidRDefault="003828EC" w:rsidP="003828EC">
      <w:pPr>
        <w:pStyle w:val="Footnote"/>
      </w:pPr>
      <w:r>
        <w:rPr>
          <w:rStyle w:val="FootnoteReference"/>
        </w:rPr>
        <w:footnoteRef/>
      </w:r>
      <w:r>
        <w:t xml:space="preserve"> </w:t>
      </w:r>
      <w:r w:rsidRPr="00E66022">
        <w:rPr>
          <w:rStyle w:val="FootnoteChar"/>
        </w:rPr>
        <w:t xml:space="preserve">This case has been written on the basis of published sources only. Consequently, the interpretation and perspectives presented in this case are not necessarily those of </w:t>
      </w:r>
      <w:r w:rsidRPr="00427BFF">
        <w:t xml:space="preserve">OJSC Transaero Airlines </w:t>
      </w:r>
      <w:r w:rsidRPr="00427BFF">
        <w:t/>
      </w:r>
      <w:r w:rsidRPr="00E66022">
        <w:rPr>
          <w:rStyle w:val="FootnoteChar"/>
        </w:rPr>
        <w:t>or any of its employees.</w:t>
      </w:r>
    </w:p>
  </w:footnote>
  <w:footnote w:id="2">
    <w:p w:rsidR="003828EC" w:rsidRDefault="003828EC" w:rsidP="003828EC">
      <w:pPr>
        <w:pStyle w:val="Footnote"/>
      </w:pPr>
      <w:r w:rsidRPr="00427BFF">
        <w:rPr>
          <w:rStyle w:val="FootnoteReference"/>
        </w:rPr>
        <w:footnoteRef/>
      </w:r>
      <w:r w:rsidRPr="0040046D">
        <w:t xml:space="preserve"> </w:t>
      </w:r>
      <w:r>
        <w:t xml:space="preserve">The </w:t>
      </w:r>
      <w:r w:rsidRPr="00064817">
        <w:t>Commonwealth of Independent States, also called the Russian Commonwealth</w:t>
      </w:r>
      <w:r>
        <w:t>,</w:t>
      </w:r>
      <w:r w:rsidRPr="00064817">
        <w:t xml:space="preserve"> </w:t>
      </w:r>
      <w:r>
        <w:t>was</w:t>
      </w:r>
      <w:r w:rsidRPr="00064817">
        <w:t xml:space="preserve"> a regional organization formed during the dissolution of the Soviet Union. Nine out of the 15 former Soviet Republics </w:t>
      </w:r>
      <w:r>
        <w:t>were</w:t>
      </w:r>
      <w:r w:rsidRPr="00064817">
        <w:t xml:space="preserve"> member states, and two </w:t>
      </w:r>
      <w:r>
        <w:t>were</w:t>
      </w:r>
      <w:r w:rsidRPr="00064817">
        <w:t xml:space="preserve"> associate members.</w:t>
      </w:r>
    </w:p>
  </w:footnote>
  <w:footnote w:id="3">
    <w:p w:rsidR="003828EC" w:rsidRPr="00DA00F7" w:rsidRDefault="003828EC" w:rsidP="003828EC">
      <w:pPr>
        <w:pStyle w:val="Footnote"/>
        <w:rPr>
          <w:spacing w:val="-4"/>
          <w:kern w:val="17"/>
          <w:lang w:val="en-US"/>
        </w:rPr>
      </w:pPr>
      <w:r w:rsidRPr="00DA00F7">
        <w:rPr>
          <w:rStyle w:val="FootnoteReference"/>
          <w:spacing w:val="-4"/>
          <w:kern w:val="17"/>
        </w:rPr>
        <w:footnoteRef/>
      </w:r>
      <w:r w:rsidRPr="00DA00F7">
        <w:rPr>
          <w:spacing w:val="-4"/>
          <w:kern w:val="17"/>
          <w:lang w:val="en-US"/>
        </w:rPr>
        <w:t xml:space="preserve"> Artem Solodkov, Dada Lindell</w:t>
      </w:r>
      <w:r w:rsidRPr="00DA00F7">
        <w:rPr>
          <w:spacing w:val="-4"/>
          <w:kern w:val="17"/>
        </w:rPr>
        <w:t>, “The dream of heaven: how Transaero is trying to return to the market</w:t>
      </w:r>
      <w:r w:rsidRPr="00DA00F7">
        <w:rPr>
          <w:spacing w:val="-4"/>
          <w:kern w:val="17"/>
          <w:lang w:val="en-US"/>
        </w:rPr>
        <w:t xml:space="preserve"> [in Russian]</w:t>
      </w:r>
      <w:r w:rsidRPr="00DA00F7">
        <w:rPr>
          <w:spacing w:val="-4"/>
          <w:kern w:val="17"/>
        </w:rPr>
        <w:t>,” RBK Group, November 14, 2016, accessed June 20, 2017, https://www.rbc.ru/business/14/11/2016/5829a4109a7947623927c0be.</w:t>
      </w:r>
    </w:p>
  </w:footnote>
  <w:footnote w:id="4">
    <w:p w:rsidR="003828EC" w:rsidRPr="00770634" w:rsidRDefault="003828EC" w:rsidP="003828EC">
      <w:pPr>
        <w:pStyle w:val="Footnote"/>
      </w:pPr>
      <w:r>
        <w:rPr>
          <w:rStyle w:val="FootnoteReference"/>
        </w:rPr>
        <w:footnoteRef/>
      </w:r>
      <w:r>
        <w:t xml:space="preserve"> </w:t>
      </w:r>
      <w:r w:rsidRPr="000523DB">
        <w:t xml:space="preserve">“The Fleet of Transaero Will Comprise 109 Aircraft by 2018,” </w:t>
      </w:r>
      <w:r w:rsidRPr="00427BFF">
        <w:t>Russian Aviation</w:t>
      </w:r>
      <w:r w:rsidRPr="000523DB">
        <w:t>, Apr</w:t>
      </w:r>
      <w:r>
        <w:t>il</w:t>
      </w:r>
      <w:r w:rsidRPr="000523DB">
        <w:t xml:space="preserve"> 30, 2014, accessed July 20, 2017, www.ruaviation.com/news/2014/4/30/2301.</w:t>
      </w:r>
    </w:p>
  </w:footnote>
  <w:footnote w:id="5">
    <w:p w:rsidR="003828EC" w:rsidRPr="000523DB" w:rsidRDefault="003828EC" w:rsidP="003828EC">
      <w:pPr>
        <w:pStyle w:val="Footnote"/>
      </w:pPr>
      <w:r w:rsidRPr="000523DB">
        <w:rPr>
          <w:rStyle w:val="FootnoteReference"/>
        </w:rPr>
        <w:footnoteRef/>
      </w:r>
      <w:r w:rsidRPr="000523DB">
        <w:t xml:space="preserve"> </w:t>
      </w:r>
      <w:r>
        <w:t>Skytrax, “</w:t>
      </w:r>
      <w:r w:rsidRPr="000523DB">
        <w:t>The World</w:t>
      </w:r>
      <w:r>
        <w:t>’</w:t>
      </w:r>
      <w:r w:rsidRPr="000523DB">
        <w:t xml:space="preserve">s </w:t>
      </w:r>
      <w:r>
        <w:t>Top 100</w:t>
      </w:r>
      <w:r w:rsidRPr="000523DB">
        <w:t xml:space="preserve"> Airlines</w:t>
      </w:r>
      <w:r>
        <w:t>—2</w:t>
      </w:r>
      <w:r w:rsidRPr="000523DB">
        <w:t>013,</w:t>
      </w:r>
      <w:r>
        <w:t>” World Airline Awards,</w:t>
      </w:r>
      <w:r w:rsidRPr="000523DB">
        <w:t xml:space="preserve"> accessed July 15, 2017, </w:t>
      </w:r>
      <w:r w:rsidRPr="001A4CCA">
        <w:t>www.worldairlineawards.com/awards/world_airline_rating_2013.html</w:t>
      </w:r>
      <w:r>
        <w:t>.</w:t>
      </w:r>
    </w:p>
  </w:footnote>
  <w:footnote w:id="6">
    <w:p w:rsidR="003828EC" w:rsidRPr="005E7802" w:rsidRDefault="003828EC" w:rsidP="003828EC">
      <w:pPr>
        <w:pStyle w:val="Footnote"/>
      </w:pPr>
      <w:r>
        <w:rPr>
          <w:rStyle w:val="FootnoteReference"/>
        </w:rPr>
        <w:footnoteRef/>
      </w:r>
      <w:r>
        <w:t xml:space="preserve"> </w:t>
      </w:r>
      <w:r w:rsidRPr="005E7802">
        <w:t>Transaero Airlines, Transaero Annual Report 201</w:t>
      </w:r>
      <w:r>
        <w:t>3</w:t>
      </w:r>
      <w:r w:rsidRPr="005E7802">
        <w:t>, Disclosure Center, Corporate Information, accessed April 26, 2018,e-disclosure.ru/portal/FileLoad.ashx?Fileid=895115</w:t>
      </w:r>
      <w:r>
        <w:t>.</w:t>
      </w:r>
    </w:p>
  </w:footnote>
  <w:footnote w:id="7">
    <w:p w:rsidR="003828EC" w:rsidRPr="000523DB" w:rsidRDefault="003828EC" w:rsidP="003828EC">
      <w:pPr>
        <w:pStyle w:val="Footnote"/>
      </w:pPr>
      <w:r w:rsidRPr="000523DB">
        <w:rPr>
          <w:rStyle w:val="FootnoteReference"/>
        </w:rPr>
        <w:footnoteRef/>
      </w:r>
      <w:r w:rsidRPr="000523DB">
        <w:t xml:space="preserve"> </w:t>
      </w:r>
      <w:r>
        <w:t>Transaero Airlines, “</w:t>
      </w:r>
      <w:r w:rsidRPr="000523DB">
        <w:t xml:space="preserve">Transaero Airlines </w:t>
      </w:r>
      <w:r>
        <w:t>A</w:t>
      </w:r>
      <w:r w:rsidRPr="000523DB">
        <w:t xml:space="preserve">nnounces IFRS </w:t>
      </w:r>
      <w:r>
        <w:t>R</w:t>
      </w:r>
      <w:r w:rsidRPr="000523DB">
        <w:t>esults for 2013,</w:t>
      </w:r>
      <w:r>
        <w:t>”</w:t>
      </w:r>
      <w:r w:rsidRPr="000523DB">
        <w:t xml:space="preserve"> </w:t>
      </w:r>
      <w:r>
        <w:t xml:space="preserve">press release, April 30, 2014, </w:t>
      </w:r>
      <w:r w:rsidRPr="000523DB">
        <w:t xml:space="preserve">accessed July 15, 2017, </w:t>
      </w:r>
      <w:r w:rsidRPr="00B94A36">
        <w:t>https://aviator.aero/press_releases/17213</w:t>
      </w:r>
      <w:r w:rsidRPr="000523DB">
        <w:t>.</w:t>
      </w:r>
    </w:p>
  </w:footnote>
  <w:footnote w:id="8">
    <w:p w:rsidR="003828EC" w:rsidRDefault="003828EC" w:rsidP="003828EC">
      <w:pPr>
        <w:pStyle w:val="Footnote"/>
      </w:pPr>
      <w:r>
        <w:rPr>
          <w:rStyle w:val="FootnoteReference"/>
        </w:rPr>
        <w:footnoteRef/>
      </w:r>
      <w:r>
        <w:t xml:space="preserve"> </w:t>
      </w:r>
      <w:r w:rsidRPr="002E289F">
        <w:t>A</w:t>
      </w:r>
      <w:r>
        <w:t xml:space="preserve"> Triple </w:t>
      </w:r>
      <w:r w:rsidRPr="002E289F">
        <w:t>A</w:t>
      </w:r>
      <w:r>
        <w:t xml:space="preserve"> rating was</w:t>
      </w:r>
      <w:r w:rsidRPr="002E289F">
        <w:t xml:space="preserve"> the highest rating assigned to an issuer's bonds by credit rating agencies.</w:t>
      </w:r>
    </w:p>
  </w:footnote>
  <w:footnote w:id="9">
    <w:p w:rsidR="003828EC" w:rsidRPr="004B3916" w:rsidRDefault="003828EC" w:rsidP="003828EC">
      <w:pPr>
        <w:pStyle w:val="Footnote"/>
      </w:pPr>
      <w:r>
        <w:rPr>
          <w:rStyle w:val="FootnoteReference"/>
        </w:rPr>
        <w:footnoteRef/>
      </w:r>
      <w:r>
        <w:t xml:space="preserve"> </w:t>
      </w:r>
      <w:r w:rsidRPr="004B3916">
        <w:t>Transaero Airlines, Transaero Annual Report 2013, Disclosure Center, Corporate Information, accessed April 26, 2018,e-disclosure.ru/portal/FileLoad.ashx?Fileid=895115.</w:t>
      </w:r>
    </w:p>
  </w:footnote>
  <w:footnote w:id="10">
    <w:p w:rsidR="003828EC" w:rsidRPr="000523DB" w:rsidRDefault="003828EC" w:rsidP="003828EC">
      <w:pPr>
        <w:pStyle w:val="Footnote"/>
      </w:pPr>
      <w:r w:rsidRPr="000523DB">
        <w:rPr>
          <w:rStyle w:val="FootnoteReference"/>
        </w:rPr>
        <w:footnoteRef/>
      </w:r>
      <w:r w:rsidRPr="000523DB">
        <w:t xml:space="preserve"> </w:t>
      </w:r>
      <w:r>
        <w:t>Transaero Airlines</w:t>
      </w:r>
      <w:r w:rsidRPr="000523DB">
        <w:t xml:space="preserve">, </w:t>
      </w:r>
      <w:r w:rsidRPr="00726F4E">
        <w:rPr>
          <w:i/>
        </w:rPr>
        <w:t>Transaero Annual Report 2014</w:t>
      </w:r>
      <w:r w:rsidRPr="000523DB">
        <w:t>, Bloomberg LP, accessed August 1, 2017.</w:t>
      </w:r>
    </w:p>
  </w:footnote>
  <w:footnote w:id="11">
    <w:p w:rsidR="003828EC" w:rsidRPr="00726F4E" w:rsidRDefault="003828EC" w:rsidP="003828EC">
      <w:pPr>
        <w:pStyle w:val="Footnote"/>
        <w:rPr>
          <w:lang w:val="en-CA"/>
        </w:rPr>
      </w:pPr>
      <w:r>
        <w:rPr>
          <w:rStyle w:val="FootnoteReference"/>
        </w:rPr>
        <w:footnoteRef/>
      </w:r>
      <w:r>
        <w:t xml:space="preserve"> </w:t>
      </w:r>
      <w:r>
        <w:rPr>
          <w:lang w:val="en-CA"/>
        </w:rPr>
        <w:t>Flightfox was a website offering a consultative flight searching ability to help customers find the best fares and construct optimal itineraries.</w:t>
      </w:r>
    </w:p>
  </w:footnote>
  <w:footnote w:id="12">
    <w:p w:rsidR="003828EC" w:rsidRPr="00853E10" w:rsidRDefault="003828EC" w:rsidP="003828EC">
      <w:pPr>
        <w:pStyle w:val="Footnote"/>
      </w:pPr>
      <w:r>
        <w:rPr>
          <w:rStyle w:val="FootnoteReference"/>
        </w:rPr>
        <w:footnoteRef/>
      </w:r>
      <w:r>
        <w:t xml:space="preserve"> </w:t>
      </w:r>
      <w:r w:rsidRPr="00853E10">
        <w:t>Transaero Airlines, Transaero Annual Report 201</w:t>
      </w:r>
      <w:r>
        <w:t>4</w:t>
      </w:r>
      <w:r w:rsidRPr="00853E10">
        <w:t>, Disclosure Center, Corporate Information, accessed April 2</w:t>
      </w:r>
      <w:r w:rsidRPr="00537006">
        <w:rPr>
          <w:lang w:val="en-US"/>
        </w:rPr>
        <w:t>0</w:t>
      </w:r>
      <w:r w:rsidRPr="00853E10">
        <w:t>,</w:t>
      </w:r>
      <w:r>
        <w:t xml:space="preserve"> </w:t>
      </w:r>
      <w:r w:rsidRPr="00537006">
        <w:rPr>
          <w:lang w:val="en-US"/>
        </w:rPr>
        <w:t>2017</w:t>
      </w:r>
      <w:r>
        <w:rPr>
          <w:lang w:val="en-US"/>
        </w:rPr>
        <w:t xml:space="preserve">, </w:t>
      </w:r>
      <w:r w:rsidRPr="00853E10">
        <w:t>http://e-disclosure.ru/portal/files.aspx?id=12696&amp;type=2</w:t>
      </w:r>
      <w:r>
        <w:t>.</w:t>
      </w:r>
    </w:p>
  </w:footnote>
  <w:footnote w:id="13">
    <w:p w:rsidR="003828EC" w:rsidRPr="00A265E7" w:rsidRDefault="003828EC" w:rsidP="003828EC">
      <w:pPr>
        <w:pStyle w:val="Footnote"/>
      </w:pPr>
      <w:r>
        <w:rPr>
          <w:rStyle w:val="FootnoteReference"/>
        </w:rPr>
        <w:footnoteRef/>
      </w:r>
      <w:r>
        <w:t xml:space="preserve"> </w:t>
      </w:r>
      <w:r w:rsidRPr="00A265E7">
        <w:t>Transaero Airlines, Transaero Annual Report 2014, Disclosure Center, Corporate Information, accessed April 20, 2017, http://e-disclosure.ru/portal/files.aspx?id=12696&amp;type=2.</w:t>
      </w:r>
    </w:p>
  </w:footnote>
  <w:footnote w:id="14">
    <w:p w:rsidR="003828EC" w:rsidRPr="00B6617D" w:rsidRDefault="003828EC" w:rsidP="003828EC">
      <w:pPr>
        <w:pStyle w:val="Footnote"/>
      </w:pPr>
      <w:r w:rsidRPr="00B6617D">
        <w:rPr>
          <w:rStyle w:val="FootnoteReference"/>
        </w:rPr>
        <w:footnoteRef/>
      </w:r>
      <w:r>
        <w:t xml:space="preserve"> RUB = </w:t>
      </w:r>
      <w:r w:rsidRPr="00B6617D">
        <w:t>Russian r</w:t>
      </w:r>
      <w:r>
        <w:t xml:space="preserve">uble; RUB1 = US$0.02 on </w:t>
      </w:r>
      <w:r w:rsidRPr="00B6617D">
        <w:t>December 31,</w:t>
      </w:r>
      <w:r>
        <w:t xml:space="preserve"> </w:t>
      </w:r>
      <w:r w:rsidRPr="00B6617D">
        <w:t>2014.</w:t>
      </w:r>
    </w:p>
  </w:footnote>
  <w:footnote w:id="15">
    <w:p w:rsidR="003828EC" w:rsidRPr="00085D78" w:rsidRDefault="003828EC" w:rsidP="003828EC">
      <w:pPr>
        <w:pStyle w:val="Footnote"/>
      </w:pPr>
      <w:r w:rsidRPr="00427BFF">
        <w:rPr>
          <w:rStyle w:val="FootnoteReference"/>
        </w:rPr>
        <w:footnoteRef/>
      </w:r>
      <w:r>
        <w:t xml:space="preserve"> </w:t>
      </w:r>
      <w:r w:rsidRPr="00085D78">
        <w:t xml:space="preserve">Anne Paylor, “Russian Government Agrees to Bail out Transaero Airlines,” </w:t>
      </w:r>
      <w:r w:rsidRPr="00085D78">
        <w:rPr>
          <w:i/>
        </w:rPr>
        <w:t>Air Transport World</w:t>
      </w:r>
      <w:r w:rsidRPr="00085D78">
        <w:t>, December 29, 2014, accessed June 23, 2017, http://atwonline.com/daily-news/russian-government-agrees-bail-out-transaero-airlines.</w:t>
      </w:r>
    </w:p>
  </w:footnote>
  <w:footnote w:id="16">
    <w:p w:rsidR="003828EC" w:rsidRPr="00537006" w:rsidRDefault="003828EC" w:rsidP="003828EC">
      <w:pPr>
        <w:pStyle w:val="Footnote"/>
        <w:rPr>
          <w:lang w:val="en-US"/>
        </w:rPr>
      </w:pPr>
      <w:r>
        <w:rPr>
          <w:rStyle w:val="FootnoteReference"/>
        </w:rPr>
        <w:footnoteRef/>
      </w:r>
      <w:r>
        <w:t xml:space="preserve"> </w:t>
      </w:r>
      <w:r w:rsidRPr="005422BE">
        <w:t>Transaero Airlines, Transaero Annual Report 2014, Disclosure Center, Corporate Information, accessed April 2</w:t>
      </w:r>
      <w:r>
        <w:t>0</w:t>
      </w:r>
      <w:r w:rsidRPr="005422BE">
        <w:t xml:space="preserve">, </w:t>
      </w:r>
      <w:r>
        <w:t xml:space="preserve">2017, </w:t>
      </w:r>
      <w:r w:rsidRPr="005422BE">
        <w:t>http://e-disclosure.ru/portal/files.aspx?id=12696&amp;type=2</w:t>
      </w:r>
      <w:r>
        <w:t>.</w:t>
      </w:r>
    </w:p>
  </w:footnote>
  <w:footnote w:id="17">
    <w:p w:rsidR="003828EC" w:rsidRPr="006228A2" w:rsidRDefault="003828EC" w:rsidP="003828EC">
      <w:pPr>
        <w:pStyle w:val="Footnote"/>
      </w:pPr>
      <w:r>
        <w:rPr>
          <w:rStyle w:val="FootnoteReference"/>
        </w:rPr>
        <w:footnoteRef/>
      </w:r>
      <w:r>
        <w:t xml:space="preserve"> </w:t>
      </w:r>
      <w:r w:rsidRPr="006228A2">
        <w:t>Transaero Airlines, Transaero Annual Report 201</w:t>
      </w:r>
      <w:r>
        <w:t>5</w:t>
      </w:r>
      <w:r w:rsidRPr="006228A2">
        <w:t>, Disclosure Center, Corporat</w:t>
      </w:r>
      <w:r>
        <w:t>e Information, accessed April 26</w:t>
      </w:r>
      <w:r w:rsidRPr="006228A2">
        <w:t>, 201</w:t>
      </w:r>
      <w:r>
        <w:t>8</w:t>
      </w:r>
      <w:r w:rsidRPr="006228A2">
        <w:t>, http://e-disclosure.ru/portal/files.aspx?id=12696&amp;type=2</w:t>
      </w:r>
      <w:r>
        <w:t>.</w:t>
      </w:r>
    </w:p>
  </w:footnote>
  <w:footnote w:id="18">
    <w:p w:rsidR="003828EC" w:rsidRPr="00726F4E" w:rsidRDefault="003828EC" w:rsidP="003828EC">
      <w:pPr>
        <w:pStyle w:val="Footnote"/>
        <w:rPr>
          <w:lang w:val="en-CA"/>
        </w:rPr>
      </w:pPr>
      <w:r>
        <w:rPr>
          <w:rStyle w:val="FootnoteReference"/>
        </w:rPr>
        <w:footnoteRef/>
      </w:r>
      <w:r>
        <w:t xml:space="preserve"> </w:t>
      </w:r>
      <w:r>
        <w:rPr>
          <w:lang w:val="en-CA"/>
        </w:rPr>
        <w:t>JADEC = Jet Airliner Crash Data Evaluation Centre</w:t>
      </w:r>
    </w:p>
  </w:footnote>
  <w:footnote w:id="19">
    <w:p w:rsidR="003828EC" w:rsidRDefault="003828EC" w:rsidP="003828EC">
      <w:pPr>
        <w:pStyle w:val="Footnote"/>
      </w:pPr>
      <w:r>
        <w:rPr>
          <w:rStyle w:val="FootnoteReference"/>
        </w:rPr>
        <w:footnoteRef/>
      </w:r>
      <w:r>
        <w:t xml:space="preserve"> Transaero Airlines</w:t>
      </w:r>
      <w:r w:rsidRPr="00C30DC8">
        <w:t xml:space="preserve">, </w:t>
      </w:r>
      <w:r w:rsidRPr="00427BFF">
        <w:rPr>
          <w:i/>
        </w:rPr>
        <w:t>Transaero Annual Report 2014</w:t>
      </w:r>
      <w:r w:rsidRPr="00C30DC8">
        <w:t xml:space="preserve">, </w:t>
      </w:r>
      <w:r>
        <w:t xml:space="preserve">Disclosure Center, Corporate Information, </w:t>
      </w:r>
      <w:r w:rsidRPr="00C30DC8">
        <w:t>accessed A</w:t>
      </w:r>
      <w:r>
        <w:t>pril</w:t>
      </w:r>
      <w:r w:rsidRPr="00C30DC8">
        <w:t xml:space="preserve"> </w:t>
      </w:r>
      <w:r>
        <w:t>26</w:t>
      </w:r>
      <w:r w:rsidRPr="00C30DC8">
        <w:t>, 201</w:t>
      </w:r>
      <w:r>
        <w:t xml:space="preserve">8, </w:t>
      </w:r>
      <w:r w:rsidRPr="0035074A">
        <w:t>http://e-disclosure.ru/portal/files.aspx?id=12696&amp;type=4</w:t>
      </w:r>
      <w:r>
        <w:t>.</w:t>
      </w:r>
    </w:p>
  </w:footnote>
  <w:footnote w:id="20">
    <w:p w:rsidR="003828EC" w:rsidRPr="002968F7" w:rsidRDefault="003828EC" w:rsidP="003828EC">
      <w:pPr>
        <w:pStyle w:val="Footnote"/>
      </w:pPr>
      <w:r>
        <w:rPr>
          <w:rStyle w:val="FootnoteReference"/>
        </w:rPr>
        <w:footnoteRef/>
      </w:r>
      <w:r>
        <w:t xml:space="preserve"> </w:t>
      </w:r>
      <w:r w:rsidRPr="002968F7">
        <w:t>Transaero Airlines, Transaero Annual Report 2015, Disclosure Center, Corporate Information, accessed April 26, 2018, http://e-disclosure.ru/portal/files.aspx?id=12696&amp;type=2</w:t>
      </w:r>
      <w:r>
        <w:t>.</w:t>
      </w:r>
    </w:p>
  </w:footnote>
  <w:footnote w:id="21">
    <w:p w:rsidR="003828EC" w:rsidRPr="00577114" w:rsidRDefault="003828EC" w:rsidP="003828EC">
      <w:pPr>
        <w:pStyle w:val="Footnote"/>
      </w:pPr>
      <w:r>
        <w:rPr>
          <w:rStyle w:val="FootnoteReference"/>
        </w:rPr>
        <w:footnoteRef/>
      </w:r>
      <w:r>
        <w:t xml:space="preserve"> “</w:t>
      </w:r>
      <w:r w:rsidRPr="00577114">
        <w:t>Transaero clarified the delivery time for new Airbus</w:t>
      </w:r>
      <w:r>
        <w:t xml:space="preserve"> and Boeing”, ATO, October 8, 2014, </w:t>
      </w:r>
      <w:r w:rsidRPr="00577114">
        <w:t xml:space="preserve">accessed </w:t>
      </w:r>
      <w:r>
        <w:t>March</w:t>
      </w:r>
      <w:r w:rsidRPr="00577114">
        <w:t xml:space="preserve"> 2</w:t>
      </w:r>
      <w:r>
        <w:t>0</w:t>
      </w:r>
      <w:r w:rsidRPr="00577114">
        <w:t>,</w:t>
      </w:r>
      <w:r>
        <w:t xml:space="preserve"> 2017, </w:t>
      </w:r>
      <w:r w:rsidRPr="00577114">
        <w:t>http://www.ato.ru/content/aviakompaniya-transaero-utochnila-sroki-postavok-novyh-airbus-i-boeing?sea=20069</w:t>
      </w:r>
      <w:r>
        <w:t>.</w:t>
      </w:r>
    </w:p>
  </w:footnote>
  <w:footnote w:id="22">
    <w:p w:rsidR="003828EC" w:rsidRDefault="003828EC" w:rsidP="003828EC">
      <w:pPr>
        <w:pStyle w:val="Footnote"/>
      </w:pPr>
      <w:r>
        <w:rPr>
          <w:rStyle w:val="FootnoteReference"/>
        </w:rPr>
        <w:footnoteRef/>
      </w:r>
      <w:r>
        <w:t xml:space="preserve"> Transaero Airlines</w:t>
      </w:r>
      <w:r w:rsidRPr="0084129F">
        <w:t xml:space="preserve">, </w:t>
      </w:r>
      <w:r w:rsidRPr="00726F4E">
        <w:rPr>
          <w:i/>
        </w:rPr>
        <w:t>Transaero Annual Report 2014</w:t>
      </w:r>
      <w:r w:rsidRPr="0084129F">
        <w:t>,</w:t>
      </w:r>
      <w:r>
        <w:t xml:space="preserve"> op. cit.</w:t>
      </w:r>
      <w:r w:rsidRPr="00812392">
        <w:t xml:space="preserve">; </w:t>
      </w:r>
      <w:r>
        <w:t>“JSC ‘TRANSAERO Airlines [in Russian],’” Disclosure Center, Corporate Information</w:t>
      </w:r>
      <w:r w:rsidRPr="00812392">
        <w:t>, accessed November 10, 2017, www.e-disclosure.ru/portal/files.aspx?id=12696&amp;type=4.</w:t>
      </w:r>
    </w:p>
  </w:footnote>
  <w:footnote w:id="23">
    <w:p w:rsidR="003828EC" w:rsidRPr="006E2D52" w:rsidRDefault="003828EC" w:rsidP="003828EC">
      <w:pPr>
        <w:pStyle w:val="Footnote"/>
      </w:pPr>
      <w:r>
        <w:rPr>
          <w:rStyle w:val="FootnoteReference"/>
        </w:rPr>
        <w:footnoteRef/>
      </w:r>
      <w:r>
        <w:t xml:space="preserve"> </w:t>
      </w:r>
      <w:r w:rsidRPr="006E2D52">
        <w:t xml:space="preserve">Transaero Airlines, Transaero Annual Report 2014, </w:t>
      </w:r>
      <w:r>
        <w:t xml:space="preserve">page 3, </w:t>
      </w:r>
      <w:r w:rsidRPr="006E2D52">
        <w:t>Disclosure Center, Corporate Information, accessed April 26, 2018, http://e-disclosure.ru/portal/files.aspx?id=12696&amp;type=4.</w:t>
      </w:r>
    </w:p>
  </w:footnote>
  <w:footnote w:id="24">
    <w:p w:rsidR="003828EC" w:rsidRPr="00C52530" w:rsidRDefault="003828EC" w:rsidP="003828EC">
      <w:pPr>
        <w:pStyle w:val="Footnote"/>
      </w:pPr>
      <w:r>
        <w:rPr>
          <w:rStyle w:val="FootnoteReference"/>
        </w:rPr>
        <w:footnoteRef/>
      </w:r>
      <w:r>
        <w:t xml:space="preserve"> </w:t>
      </w:r>
      <w:r w:rsidRPr="00C52530">
        <w:t>Transaero Airlines, “Open Joint-stock company Transaero Airlines (MISX:TAER) &gt; Financials,” Financial Statements for 2014, 2015,” S&amp;P Capital IQ, accessed November 20, 2017, www.capitaliq.com.</w:t>
      </w:r>
    </w:p>
  </w:footnote>
  <w:footnote w:id="25">
    <w:p w:rsidR="003828EC" w:rsidRPr="00C8435F" w:rsidRDefault="003828EC" w:rsidP="003828EC">
      <w:pPr>
        <w:pStyle w:val="Footnote"/>
      </w:pPr>
      <w:r>
        <w:rPr>
          <w:rStyle w:val="FootnoteReference"/>
        </w:rPr>
        <w:footnoteRef/>
      </w:r>
      <w:r>
        <w:t xml:space="preserve"> </w:t>
      </w:r>
      <w:r w:rsidRPr="00C8435F">
        <w:t>Transaero Airlines, Transaero Annual Report 2014, Disclosure Center, Corporate Information, accessed April 20, 2017, http://e-disclosure.ru/portal/files.aspx?id=12696&amp;type=2.</w:t>
      </w:r>
    </w:p>
  </w:footnote>
  <w:footnote w:id="26">
    <w:p w:rsidR="003828EC" w:rsidRPr="004F25F7" w:rsidRDefault="003828EC" w:rsidP="003828EC">
      <w:pPr>
        <w:pStyle w:val="Footnote"/>
        <w:rPr>
          <w:spacing w:val="-4"/>
          <w:kern w:val="17"/>
        </w:rPr>
      </w:pPr>
      <w:r w:rsidRPr="004F25F7">
        <w:rPr>
          <w:rStyle w:val="FootnoteReference"/>
          <w:spacing w:val="-4"/>
          <w:kern w:val="17"/>
        </w:rPr>
        <w:footnoteRef/>
      </w:r>
      <w:r w:rsidRPr="004F25F7">
        <w:rPr>
          <w:spacing w:val="-4"/>
          <w:kern w:val="17"/>
        </w:rPr>
        <w:t xml:space="preserve"> Oliver Smith, “Aeroflot: from world's deadliest airline to one of the safest in the sky”, The Telegraph, February 9,2016, accessed March 15, 2017, https://www.telegraph.co.uk/travel/news/Aeroflot-from-worlds-deadliest-airline-to-one-of-the-safest-in-the-sky/.</w:t>
      </w:r>
    </w:p>
  </w:footnote>
  <w:footnote w:id="27">
    <w:p w:rsidR="003828EC" w:rsidRPr="00954FB5" w:rsidRDefault="003828EC" w:rsidP="003828EC">
      <w:pPr>
        <w:pStyle w:val="Footnote"/>
      </w:pPr>
      <w:r>
        <w:rPr>
          <w:rStyle w:val="FootnoteReference"/>
        </w:rPr>
        <w:footnoteRef/>
      </w:r>
      <w:r>
        <w:t xml:space="preserve"> “</w:t>
      </w:r>
      <w:r w:rsidRPr="00954FB5">
        <w:t>Aeroflot--Russian International Airlines History</w:t>
      </w:r>
      <w:r>
        <w:t>”, F</w:t>
      </w:r>
      <w:r w:rsidRPr="00954FB5">
        <w:t>undinguniverse</w:t>
      </w:r>
      <w:r>
        <w:t>,</w:t>
      </w:r>
      <w:r w:rsidRPr="00954FB5">
        <w:t xml:space="preserve"> accessed March </w:t>
      </w:r>
      <w:r>
        <w:t>20</w:t>
      </w:r>
      <w:r w:rsidRPr="00954FB5">
        <w:t>, 2017,</w:t>
      </w:r>
      <w:r>
        <w:t xml:space="preserve"> </w:t>
      </w:r>
      <w:r w:rsidRPr="00954FB5">
        <w:t>http://www.fundinguniverse.com/company-histories/aeroflot-russian-international-airlines-history/</w:t>
      </w:r>
      <w:r>
        <w:t>.</w:t>
      </w:r>
    </w:p>
  </w:footnote>
  <w:footnote w:id="28">
    <w:p w:rsidR="003828EC" w:rsidRPr="0091594D" w:rsidRDefault="003828EC" w:rsidP="003828EC">
      <w:pPr>
        <w:pStyle w:val="Footnote"/>
      </w:pPr>
      <w:r>
        <w:rPr>
          <w:rStyle w:val="FootnoteReference"/>
        </w:rPr>
        <w:footnoteRef/>
      </w:r>
      <w:r>
        <w:t xml:space="preserve"> JSC Aeroflot Russian Airlines, IFRS Consolidated Financial Statements for the year ended 31 December 2014, accessed</w:t>
      </w:r>
      <w:r w:rsidRPr="0091594D">
        <w:t xml:space="preserve"> March 20, 2017,</w:t>
      </w:r>
      <w:r>
        <w:t xml:space="preserve"> </w:t>
      </w:r>
      <w:r w:rsidRPr="0091594D">
        <w:t>http://ir.aeroflot.com/fileadmin/user_upload/files/eng/companys_reporting/financial_statements/fy2014.pdf</w:t>
      </w:r>
      <w:r>
        <w:t>.</w:t>
      </w:r>
    </w:p>
  </w:footnote>
  <w:footnote w:id="29">
    <w:p w:rsidR="003828EC" w:rsidRPr="009E4731" w:rsidRDefault="003828EC" w:rsidP="003828EC">
      <w:pPr>
        <w:pStyle w:val="Footnote"/>
      </w:pPr>
      <w:r>
        <w:rPr>
          <w:rStyle w:val="FootnoteReference"/>
        </w:rPr>
        <w:footnoteRef/>
      </w:r>
      <w:r>
        <w:t xml:space="preserve"> </w:t>
      </w:r>
      <w:r w:rsidRPr="009E4731">
        <w:t>Kathrin Hille, “High drama as Russia’s Transaero edges towards bankruptcy”, Financial Times, November 8, 2015, accessed July 20, 2017, https://www.ft.com/content/8cb09032-84ad-11e5-8095-ed1a37d1e096.</w:t>
      </w:r>
    </w:p>
  </w:footnote>
  <w:footnote w:id="30">
    <w:p w:rsidR="003828EC" w:rsidRPr="000523DB" w:rsidRDefault="003828EC" w:rsidP="003828EC">
      <w:pPr>
        <w:pStyle w:val="Footnote"/>
      </w:pPr>
      <w:r w:rsidRPr="000523DB">
        <w:rPr>
          <w:rStyle w:val="FootnoteReference"/>
        </w:rPr>
        <w:footnoteRef/>
      </w:r>
      <w:r w:rsidRPr="000523DB">
        <w:t xml:space="preserve"> </w:t>
      </w:r>
      <w:r>
        <w:t xml:space="preserve">Maksim Blinov, </w:t>
      </w:r>
      <w:r w:rsidRPr="000523DB">
        <w:t xml:space="preserve">“Russia’s </w:t>
      </w:r>
      <w:r>
        <w:t>B</w:t>
      </w:r>
      <w:r w:rsidRPr="000523DB">
        <w:t xml:space="preserve">iggest </w:t>
      </w:r>
      <w:r>
        <w:t>P</w:t>
      </w:r>
      <w:r w:rsidRPr="000523DB">
        <w:t xml:space="preserve">rivate </w:t>
      </w:r>
      <w:r>
        <w:t>A</w:t>
      </w:r>
      <w:r w:rsidRPr="000523DB">
        <w:t xml:space="preserve">irline </w:t>
      </w:r>
      <w:r>
        <w:t>B</w:t>
      </w:r>
      <w:r w:rsidRPr="000523DB">
        <w:t xml:space="preserve">ought for a </w:t>
      </w:r>
      <w:r>
        <w:t>R</w:t>
      </w:r>
      <w:r w:rsidRPr="000523DB">
        <w:t xml:space="preserve">uble,” RT, </w:t>
      </w:r>
      <w:r>
        <w:t xml:space="preserve">September 2, 2015, </w:t>
      </w:r>
      <w:r w:rsidRPr="000523DB">
        <w:t>accessed March 15, 2017, www.rt.com/business/314101-transaero-aeroflot-airlines-russia.</w:t>
      </w:r>
    </w:p>
  </w:footnote>
  <w:footnote w:id="31">
    <w:p w:rsidR="003828EC" w:rsidRPr="00537006" w:rsidRDefault="003828EC" w:rsidP="003828EC">
      <w:pPr>
        <w:pStyle w:val="Footnote"/>
        <w:rPr>
          <w:lang w:val="en-US"/>
        </w:rPr>
      </w:pPr>
      <w:r>
        <w:rPr>
          <w:rStyle w:val="FootnoteReference"/>
        </w:rPr>
        <w:footnoteRef/>
      </w:r>
      <w:r>
        <w:t xml:space="preserve"> </w:t>
      </w:r>
      <w:r w:rsidRPr="00BF08B5">
        <w:t>Kathrin Hille, “High drama as Russia’s Transaero edges towards bankruptcy”, Financial Times, November 8, 2015, accessed July 20, 2017, https://www.ft.com/content/8cb09032-84ad-11e5-8095-ed1a37d1e096.</w:t>
      </w:r>
    </w:p>
  </w:footnote>
  <w:footnote w:id="32">
    <w:p w:rsidR="003828EC" w:rsidRPr="00537006" w:rsidRDefault="003828EC" w:rsidP="003828EC">
      <w:pPr>
        <w:pStyle w:val="Footnote"/>
        <w:rPr>
          <w:lang w:val="en-US"/>
        </w:rPr>
      </w:pPr>
      <w:r>
        <w:rPr>
          <w:rStyle w:val="FootnoteReference"/>
        </w:rPr>
        <w:footnoteRef/>
      </w:r>
      <w:r>
        <w:t xml:space="preserve"> </w:t>
      </w:r>
      <w:r w:rsidRPr="00047420">
        <w:t>Kathrin Hille, “High drama as Russia’s Transaero edges towards bankruptcy”, Financial Times, November 8, 2015, accessed July 20, 2017, https://www.ft.com/content/8cb09032-84ad-11e5-8095-ed1a37d1e096.</w:t>
      </w:r>
    </w:p>
  </w:footnote>
  <w:footnote w:id="33">
    <w:p w:rsidR="003828EC" w:rsidRPr="000523DB" w:rsidRDefault="003828EC" w:rsidP="003828EC">
      <w:pPr>
        <w:pStyle w:val="Footnote"/>
      </w:pPr>
      <w:r w:rsidRPr="000523DB">
        <w:rPr>
          <w:rStyle w:val="FootnoteReference"/>
        </w:rPr>
        <w:footnoteRef/>
      </w:r>
      <w:r w:rsidRPr="000523DB">
        <w:t xml:space="preserve"> </w:t>
      </w:r>
      <w:r w:rsidRPr="00655447">
        <w:t>Maria Fedorishina, “Not Only Transaero: Why the Largest Air Carriers Go Bankrupt [in Russian],” VC, October 7, 2015, accessed June 23, 2017, https://vc.ru/p/aircrash; and</w:t>
      </w:r>
      <w:r>
        <w:t xml:space="preserve"> Luis Linares, </w:t>
      </w:r>
      <w:r w:rsidRPr="000523DB">
        <w:t>“25 Years Ago: Pan Am Ceases Operations</w:t>
      </w:r>
      <w:r>
        <w:t>,</w:t>
      </w:r>
      <w:r w:rsidRPr="000523DB">
        <w:t xml:space="preserve">” </w:t>
      </w:r>
      <w:r w:rsidRPr="00726F4E">
        <w:rPr>
          <w:i/>
        </w:rPr>
        <w:t>Airways</w:t>
      </w:r>
      <w:r w:rsidRPr="000523DB">
        <w:t xml:space="preserve">, </w:t>
      </w:r>
      <w:r>
        <w:t xml:space="preserve">December 2, 2016, </w:t>
      </w:r>
      <w:r w:rsidRPr="000523DB">
        <w:t>accessed June 23, 2017, https://airwaysmag.com/airchive/pan-am-ceases-operations.</w:t>
      </w:r>
    </w:p>
  </w:footnote>
  <w:footnote w:id="34">
    <w:p w:rsidR="003828EC" w:rsidRPr="000523DB" w:rsidRDefault="003828EC" w:rsidP="003828EC">
      <w:pPr>
        <w:pStyle w:val="Footnote"/>
      </w:pPr>
      <w:r w:rsidRPr="000523DB">
        <w:rPr>
          <w:rStyle w:val="FootnoteReference"/>
        </w:rPr>
        <w:footnoteRef/>
      </w:r>
      <w:r>
        <w:t xml:space="preserve"> Dean Foust, </w:t>
      </w:r>
      <w:r w:rsidRPr="000523DB">
        <w:t>“How Delta Climbed Out of Bankruptcy</w:t>
      </w:r>
      <w:r>
        <w:t>,</w:t>
      </w:r>
      <w:r w:rsidRPr="000523DB">
        <w:t xml:space="preserve">” Bloomberg, </w:t>
      </w:r>
      <w:r>
        <w:t xml:space="preserve">May 14, 2009, </w:t>
      </w:r>
      <w:r w:rsidRPr="000523DB">
        <w:t xml:space="preserve">accessed June 23, 2017, </w:t>
      </w:r>
      <w:r w:rsidRPr="004F25F7">
        <w:t>www.bloomberg.com/news/articles/2009-05-14/how-delta-climbed-out-of-bankruptcy</w:t>
      </w:r>
      <w:r w:rsidRPr="00537006">
        <w:rPr>
          <w:lang w:val="en-US"/>
        </w:rPr>
        <w:t>;</w:t>
      </w:r>
      <w:r>
        <w:rPr>
          <w:lang w:val="en-US"/>
        </w:rPr>
        <w:t xml:space="preserve"> and</w:t>
      </w:r>
      <w:r w:rsidRPr="00100563">
        <w:t xml:space="preserve"> </w:t>
      </w:r>
      <w:r w:rsidRPr="00100563">
        <w:rPr>
          <w:lang w:val="en-US"/>
        </w:rPr>
        <w:t>Maria Fedorishina, “Not Only Transaero: Why the Largest Air Carriers Go Bankrupt [in Russian],” VC, October 7, 2015, accessed June 23, 2017, https://vc.ru/p/aircrash</w:t>
      </w:r>
      <w:r w:rsidRPr="000523DB">
        <w:t>.</w:t>
      </w:r>
    </w:p>
  </w:footnote>
  <w:footnote w:id="35">
    <w:p w:rsidR="003828EC" w:rsidRPr="00100563" w:rsidRDefault="003828EC" w:rsidP="003828EC">
      <w:pPr>
        <w:pStyle w:val="Footnote"/>
      </w:pPr>
      <w:r>
        <w:rPr>
          <w:rStyle w:val="FootnoteReference"/>
        </w:rPr>
        <w:footnoteRef/>
      </w:r>
      <w:r>
        <w:t xml:space="preserve"> </w:t>
      </w:r>
      <w:r w:rsidRPr="00100563">
        <w:t xml:space="preserve">Maria Fedorishina, “Not Only Transaero: Why the Largest Air Carriers Go Bankrupt [in Russian],” VC, October 7, 2015, accessed June 23, </w:t>
      </w:r>
      <w:r w:rsidRPr="00DA00F7">
        <w:t>2017, https://vc.ru/p/aircrash.</w:t>
      </w:r>
    </w:p>
  </w:footnote>
  <w:footnote w:id="36">
    <w:p w:rsidR="003828EC" w:rsidRDefault="003828EC" w:rsidP="003828EC">
      <w:pPr>
        <w:pStyle w:val="Footnote"/>
      </w:pPr>
      <w:r>
        <w:rPr>
          <w:rStyle w:val="FootnoteReference"/>
        </w:rPr>
        <w:footnoteRef/>
      </w:r>
      <w:r>
        <w:t xml:space="preserve"> CHF = Swiss franc; CHF1 = US$0.61 on March 31, 2001.</w:t>
      </w:r>
    </w:p>
  </w:footnote>
  <w:footnote w:id="37">
    <w:p w:rsidR="003828EC" w:rsidRPr="00A14C27" w:rsidRDefault="003828EC" w:rsidP="003828EC">
      <w:pPr>
        <w:pStyle w:val="Footnote"/>
        <w:rPr>
          <w:rFonts w:cs="Times New Roman"/>
          <w:szCs w:val="22"/>
        </w:rPr>
      </w:pPr>
      <w:r w:rsidRPr="00427BFF">
        <w:rPr>
          <w:rStyle w:val="FootnoteReference"/>
        </w:rPr>
        <w:footnoteRef/>
      </w:r>
      <w:r w:rsidRPr="00130B94">
        <w:t xml:space="preserve"> </w:t>
      </w:r>
      <w:r>
        <w:t xml:space="preserve">Tommaso Ebhardt, Chiara Albanese, and Deena Kamel, </w:t>
      </w:r>
      <w:r w:rsidRPr="00130B94">
        <w:t>“Alitalia</w:t>
      </w:r>
      <w:r w:rsidRPr="00A14C27">
        <w:rPr>
          <w:rFonts w:cs="Times New Roman"/>
          <w:szCs w:val="22"/>
        </w:rPr>
        <w:t xml:space="preserve"> Starts Bankruptcy Process as Etihad Cuts Off Funds</w:t>
      </w:r>
      <w:r>
        <w:rPr>
          <w:rFonts w:cs="Times New Roman"/>
          <w:szCs w:val="22"/>
        </w:rPr>
        <w:t>,</w:t>
      </w:r>
      <w:r w:rsidRPr="00A14C27">
        <w:rPr>
          <w:rFonts w:cs="Times New Roman"/>
          <w:szCs w:val="22"/>
        </w:rPr>
        <w:t xml:space="preserve">” Bloomberg, </w:t>
      </w:r>
      <w:r>
        <w:rPr>
          <w:rFonts w:cs="Times New Roman"/>
          <w:szCs w:val="22"/>
        </w:rPr>
        <w:t xml:space="preserve">May 2, 2017, </w:t>
      </w:r>
      <w:r w:rsidRPr="00A14C27">
        <w:rPr>
          <w:rFonts w:cs="Times New Roman"/>
          <w:szCs w:val="22"/>
        </w:rPr>
        <w:t>ac</w:t>
      </w:r>
      <w:r>
        <w:rPr>
          <w:rFonts w:cs="Times New Roman"/>
          <w:szCs w:val="22"/>
        </w:rPr>
        <w:t xml:space="preserve">cessed June 23, 2017, </w:t>
      </w:r>
      <w:r w:rsidRPr="00146D52">
        <w:rPr>
          <w:rFonts w:cs="Times New Roman"/>
          <w:szCs w:val="22"/>
        </w:rPr>
        <w:t>www.bloomberg.com</w:t>
      </w:r>
      <w:r>
        <w:rPr>
          <w:rFonts w:cs="Times New Roman"/>
          <w:szCs w:val="22"/>
        </w:rPr>
        <w:t xml:space="preserve"> </w:t>
      </w:r>
      <w:r w:rsidRPr="00A14C27">
        <w:rPr>
          <w:rFonts w:cs="Times New Roman"/>
          <w:szCs w:val="22"/>
        </w:rPr>
        <w:t>/news/articles/2017-05-02/alitalia-starts-bankruptcy-proceedings-after-turnaround-fails</w:t>
      </w:r>
      <w:r w:rsidRPr="00537006">
        <w:rPr>
          <w:rFonts w:cs="Times New Roman"/>
          <w:szCs w:val="22"/>
          <w:lang w:val="en-US"/>
        </w:rPr>
        <w:t>;</w:t>
      </w:r>
      <w:r>
        <w:rPr>
          <w:rFonts w:cs="Times New Roman"/>
          <w:szCs w:val="22"/>
          <w:lang w:val="en-US"/>
        </w:rPr>
        <w:t xml:space="preserve"> and </w:t>
      </w:r>
      <w:r w:rsidRPr="00100563">
        <w:rPr>
          <w:rFonts w:cs="Times New Roman"/>
          <w:szCs w:val="22"/>
          <w:lang w:val="en-US"/>
        </w:rPr>
        <w:t>Maria Fedorishina, “Not Only Transaero: Why the Largest Air Carriers Go Bankrupt [in Russian],” VC, October 7, 2015, accessed June 23, 2017, https://vc.ru/p/aircrash</w:t>
      </w:r>
      <w:r>
        <w:rPr>
          <w:rFonts w:cs="Times New Roman"/>
          <w:szCs w:val="22"/>
        </w:rPr>
        <w:t>.</w:t>
      </w:r>
    </w:p>
  </w:footnote>
  <w:footnote w:id="38">
    <w:p w:rsidR="003828EC" w:rsidRDefault="003828EC" w:rsidP="003828EC">
      <w:pPr>
        <w:pStyle w:val="Footnote"/>
      </w:pPr>
      <w:r>
        <w:rPr>
          <w:rStyle w:val="FootnoteReference"/>
        </w:rPr>
        <w:footnoteRef/>
      </w:r>
      <w:r>
        <w:t xml:space="preserve"> </w:t>
      </w:r>
      <w:r w:rsidRPr="00130B94">
        <w:rPr>
          <w:rFonts w:eastAsia="Calibri"/>
        </w:rPr>
        <w:t>€</w:t>
      </w:r>
      <w:r>
        <w:rPr>
          <w:rFonts w:eastAsia="Calibri"/>
        </w:rPr>
        <w:t xml:space="preserve"> = </w:t>
      </w:r>
      <w:r>
        <w:t xml:space="preserve">EUR = Euro; </w:t>
      </w:r>
      <w:r w:rsidRPr="00130B94">
        <w:rPr>
          <w:rFonts w:eastAsia="Calibri"/>
        </w:rPr>
        <w:t>€</w:t>
      </w:r>
      <w:r>
        <w:rPr>
          <w:rFonts w:eastAsia="Calibri"/>
        </w:rPr>
        <w:t>1 = US$1.55 on March 31, 2008.</w:t>
      </w:r>
    </w:p>
  </w:footnote>
  <w:footnote w:id="39">
    <w:p w:rsidR="003828EC" w:rsidRPr="00EF07D4" w:rsidRDefault="003828EC" w:rsidP="003828EC">
      <w:pPr>
        <w:pStyle w:val="Footnote"/>
      </w:pPr>
      <w:r>
        <w:rPr>
          <w:rStyle w:val="FootnoteReference"/>
        </w:rPr>
        <w:footnoteRef/>
      </w:r>
      <w:r>
        <w:t xml:space="preserve"> </w:t>
      </w:r>
      <w:r w:rsidRPr="00EF07D4">
        <w:t>RSM is a powerful network of audit, tax and consulting experts with offices all over the world.</w:t>
      </w:r>
      <w:r>
        <w:t xml:space="preserve"> </w:t>
      </w:r>
      <w:r w:rsidRPr="00EF07D4">
        <w:t>RSM RUS</w:t>
      </w:r>
      <w:r w:rsidRPr="001C197F">
        <w:t xml:space="preserve"> </w:t>
      </w:r>
      <w:r w:rsidRPr="00EF07D4">
        <w:t>is a full member of RSM</w:t>
      </w:r>
      <w:r>
        <w:t xml:space="preserve"> in Russia. Historically, RSM was derived from the initials of three of the original founding member firms of the organization: Robson Rhodes, Salustro Reydel, and McGladrey.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8EC" w:rsidRDefault="003828EC" w:rsidP="00E07E99">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12</w:t>
    </w:r>
    <w:r>
      <w:rPr>
        <w:rFonts w:ascii="Arial" w:hAnsi="Arial"/>
        <w:b/>
      </w:rPr>
      <w:fldChar w:fldCharType="end"/>
    </w:r>
    <w:r>
      <w:rPr>
        <w:rFonts w:ascii="Arial" w:hAnsi="Arial"/>
        <w:b/>
      </w:rPr>
      <w:tab/>
      <w:t>9B18N012</w:t>
    </w:r>
  </w:p>
  <w:p w:rsidR="003828EC" w:rsidRPr="00C92CC4" w:rsidRDefault="003828EC" w:rsidP="00E07E99">
    <w:pPr>
      <w:pStyle w:val="Header"/>
      <w:tabs>
        <w:tab w:val="clear" w:pos="4680"/>
      </w:tabs>
      <w:rPr>
        <w:sz w:val="18"/>
        <w:szCs w:val="18"/>
      </w:rPr>
    </w:pPr>
  </w:p>
  <w:p w:rsidR="003828EC" w:rsidRPr="00C92CC4" w:rsidRDefault="003828EC" w:rsidP="00E07E99">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8EC" w:rsidRDefault="003828EC" w:rsidP="00853B17">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14</w:t>
    </w:r>
    <w:r>
      <w:rPr>
        <w:rFonts w:ascii="Arial" w:hAnsi="Arial"/>
        <w:b/>
      </w:rPr>
      <w:fldChar w:fldCharType="end"/>
    </w:r>
    <w:r>
      <w:rPr>
        <w:rFonts w:ascii="Arial" w:hAnsi="Arial"/>
        <w:b/>
      </w:rPr>
      <w:tab/>
      <w:t>9B18N012</w:t>
    </w:r>
  </w:p>
  <w:p w:rsidR="003828EC" w:rsidRPr="00C92CC4" w:rsidRDefault="003828EC" w:rsidP="00853B17">
    <w:pPr>
      <w:pStyle w:val="Header"/>
      <w:tabs>
        <w:tab w:val="clear" w:pos="4680"/>
        <w:tab w:val="clear" w:pos="9360"/>
        <w:tab w:val="right" w:pos="12960"/>
      </w:tabs>
      <w:rPr>
        <w:sz w:val="18"/>
        <w:szCs w:val="18"/>
      </w:rPr>
    </w:pPr>
  </w:p>
  <w:p w:rsidR="003828EC" w:rsidRPr="00C92CC4" w:rsidRDefault="003828EC" w:rsidP="00853B17">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6B242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84C4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58BA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1805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3E61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AA051D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EC0E9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3E1FC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CAB4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960A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9B7E2B"/>
    <w:multiLevelType w:val="hybridMultilevel"/>
    <w:tmpl w:val="D632E080"/>
    <w:lvl w:ilvl="0" w:tplc="44D0403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B56C41"/>
    <w:multiLevelType w:val="hybridMultilevel"/>
    <w:tmpl w:val="57B42D5C"/>
    <w:lvl w:ilvl="0" w:tplc="ACD8909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07A212C"/>
    <w:multiLevelType w:val="hybridMultilevel"/>
    <w:tmpl w:val="2D2A0260"/>
    <w:lvl w:ilvl="0" w:tplc="44D0403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25290E"/>
    <w:multiLevelType w:val="hybridMultilevel"/>
    <w:tmpl w:val="8A6A8AF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1A944AF"/>
    <w:multiLevelType w:val="hybridMultilevel"/>
    <w:tmpl w:val="92CAEF7E"/>
    <w:lvl w:ilvl="0" w:tplc="44D0403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4" w15:restartNumberingAfterBreak="0">
    <w:nsid w:val="4EC1067F"/>
    <w:multiLevelType w:val="hybridMultilevel"/>
    <w:tmpl w:val="29644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7" w15:restartNumberingAfterBreak="0">
    <w:nsid w:val="5A6C29ED"/>
    <w:multiLevelType w:val="hybridMultilevel"/>
    <w:tmpl w:val="3A7C2FF8"/>
    <w:lvl w:ilvl="0" w:tplc="2836277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CC7D5F"/>
    <w:multiLevelType w:val="hybridMultilevel"/>
    <w:tmpl w:val="32D8ECBC"/>
    <w:lvl w:ilvl="0" w:tplc="44D0403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0" w15:restartNumberingAfterBreak="0">
    <w:nsid w:val="631555E8"/>
    <w:multiLevelType w:val="hybridMultilevel"/>
    <w:tmpl w:val="0B66B986"/>
    <w:lvl w:ilvl="0" w:tplc="44D0403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3B27C04"/>
    <w:multiLevelType w:val="hybridMultilevel"/>
    <w:tmpl w:val="2D2A0260"/>
    <w:lvl w:ilvl="0" w:tplc="44D0403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2075954"/>
    <w:multiLevelType w:val="hybridMultilevel"/>
    <w:tmpl w:val="942E2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3"/>
  </w:num>
  <w:num w:numId="13">
    <w:abstractNumId w:val="13"/>
  </w:num>
  <w:num w:numId="14">
    <w:abstractNumId w:val="25"/>
  </w:num>
  <w:num w:numId="15">
    <w:abstractNumId w:val="26"/>
  </w:num>
  <w:num w:numId="16">
    <w:abstractNumId w:val="29"/>
  </w:num>
  <w:num w:numId="17">
    <w:abstractNumId w:val="18"/>
  </w:num>
  <w:num w:numId="18">
    <w:abstractNumId w:val="32"/>
  </w:num>
  <w:num w:numId="19">
    <w:abstractNumId w:val="12"/>
  </w:num>
  <w:num w:numId="20">
    <w:abstractNumId w:val="11"/>
  </w:num>
  <w:num w:numId="21">
    <w:abstractNumId w:val="33"/>
  </w:num>
  <w:num w:numId="22">
    <w:abstractNumId w:val="22"/>
  </w:num>
  <w:num w:numId="23">
    <w:abstractNumId w:val="3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20"/>
  </w:num>
  <w:num w:numId="28">
    <w:abstractNumId w:val="24"/>
  </w:num>
  <w:num w:numId="29">
    <w:abstractNumId w:val="15"/>
  </w:num>
  <w:num w:numId="30">
    <w:abstractNumId w:val="19"/>
  </w:num>
  <w:num w:numId="31">
    <w:abstractNumId w:val="34"/>
  </w:num>
  <w:num w:numId="32">
    <w:abstractNumId w:val="17"/>
  </w:num>
  <w:num w:numId="33">
    <w:abstractNumId w:val="30"/>
  </w:num>
  <w:num w:numId="34">
    <w:abstractNumId w:val="10"/>
  </w:num>
  <w:num w:numId="35">
    <w:abstractNumId w:val="28"/>
  </w:num>
  <w:num w:numId="36">
    <w:abstractNumId w:val="21"/>
  </w:num>
  <w:num w:numId="37">
    <w:abstractNumId w:val="27"/>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8EC"/>
    <w:rsid w:val="003828EC"/>
    <w:rsid w:val="00945A46"/>
    <w:rsid w:val="00FC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D7974-7811-4C64-906C-86DE5BAC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828EC"/>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28EC"/>
    <w:rPr>
      <w:rFonts w:ascii="Tahoma" w:hAnsi="Tahoma" w:cs="Tahoma"/>
      <w:sz w:val="16"/>
      <w:szCs w:val="16"/>
    </w:rPr>
  </w:style>
  <w:style w:type="character" w:customStyle="1" w:styleId="BalloonTextChar">
    <w:name w:val="Balloon Text Char"/>
    <w:basedOn w:val="DefaultParagraphFont"/>
    <w:link w:val="BalloonText"/>
    <w:uiPriority w:val="99"/>
    <w:semiHidden/>
    <w:rsid w:val="003828EC"/>
    <w:rPr>
      <w:rFonts w:ascii="Tahoma" w:eastAsia="Times New Roman" w:hAnsi="Tahoma" w:cs="Tahoma"/>
      <w:sz w:val="16"/>
      <w:szCs w:val="16"/>
      <w:lang w:val="en-GB"/>
    </w:rPr>
  </w:style>
  <w:style w:type="paragraph" w:customStyle="1" w:styleId="MainTitle">
    <w:name w:val="MainTitle"/>
    <w:basedOn w:val="Normal"/>
    <w:link w:val="MainTitleChar"/>
    <w:uiPriority w:val="99"/>
    <w:rsid w:val="003828EC"/>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3828EC"/>
    <w:rPr>
      <w:rFonts w:ascii="Arial" w:hAnsi="Arial" w:cs="Arial"/>
      <w:b/>
      <w:bCs/>
      <w:caps/>
      <w:color w:val="000000"/>
      <w:sz w:val="28"/>
      <w:szCs w:val="28"/>
      <w:lang w:val="en-GB"/>
    </w:rPr>
  </w:style>
  <w:style w:type="paragraph" w:customStyle="1" w:styleId="CopyrightStatement">
    <w:name w:val="CopyrightStatement"/>
    <w:basedOn w:val="Normal"/>
    <w:uiPriority w:val="99"/>
    <w:rsid w:val="003828EC"/>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3828EC"/>
    <w:pPr>
      <w:jc w:val="both"/>
    </w:pPr>
    <w:rPr>
      <w:sz w:val="22"/>
      <w:szCs w:val="22"/>
    </w:rPr>
  </w:style>
  <w:style w:type="character" w:customStyle="1" w:styleId="BodyTextMainChar">
    <w:name w:val="Body Text Main Char"/>
    <w:basedOn w:val="DefaultParagraphFont"/>
    <w:link w:val="BodyTextMain"/>
    <w:rsid w:val="003828EC"/>
    <w:rPr>
      <w:rFonts w:ascii="Times New Roman" w:eastAsia="Times New Roman" w:hAnsi="Times New Roman" w:cs="Times New Roman"/>
      <w:lang w:val="en-GB"/>
    </w:rPr>
  </w:style>
  <w:style w:type="paragraph" w:customStyle="1" w:styleId="Casehead1">
    <w:name w:val="Casehead 1"/>
    <w:basedOn w:val="BodyTextMain"/>
    <w:link w:val="Casehead1Char"/>
    <w:qFormat/>
    <w:rsid w:val="003828EC"/>
    <w:rPr>
      <w:rFonts w:ascii="Arial" w:hAnsi="Arial" w:cs="Arial"/>
      <w:b/>
      <w:caps/>
      <w:sz w:val="20"/>
      <w:szCs w:val="20"/>
    </w:rPr>
  </w:style>
  <w:style w:type="character" w:customStyle="1" w:styleId="Casehead1Char">
    <w:name w:val="Casehead 1 Char"/>
    <w:basedOn w:val="BodyTextMainChar"/>
    <w:link w:val="Casehead1"/>
    <w:rsid w:val="003828EC"/>
    <w:rPr>
      <w:rFonts w:ascii="Arial" w:eastAsia="Times New Roman" w:hAnsi="Arial" w:cs="Arial"/>
      <w:b/>
      <w:caps/>
      <w:sz w:val="20"/>
      <w:szCs w:val="20"/>
      <w:lang w:val="en-GB"/>
    </w:rPr>
  </w:style>
  <w:style w:type="paragraph" w:customStyle="1" w:styleId="Casehead2">
    <w:name w:val="Casehead 2"/>
    <w:basedOn w:val="Casehead1"/>
    <w:link w:val="Casehead2Char"/>
    <w:qFormat/>
    <w:rsid w:val="003828EC"/>
    <w:rPr>
      <w:caps w:val="0"/>
    </w:rPr>
  </w:style>
  <w:style w:type="character" w:customStyle="1" w:styleId="Casehead2Char">
    <w:name w:val="Casehead 2 Char"/>
    <w:basedOn w:val="Casehead1Char"/>
    <w:link w:val="Casehead2"/>
    <w:rsid w:val="003828EC"/>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3828EC"/>
    <w:rPr>
      <w:rFonts w:ascii="Times New Roman" w:hAnsi="Times New Roman" w:cs="Times New Roman"/>
      <w:b w:val="0"/>
      <w:u w:val="single"/>
    </w:rPr>
  </w:style>
  <w:style w:type="character" w:customStyle="1" w:styleId="Casehead3Char">
    <w:name w:val="Casehead 3 Char"/>
    <w:basedOn w:val="Casehead2Char"/>
    <w:link w:val="Casehead3"/>
    <w:rsid w:val="003828EC"/>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3828EC"/>
    <w:rPr>
      <w:i/>
    </w:rPr>
  </w:style>
  <w:style w:type="character" w:customStyle="1" w:styleId="Casehead4Char">
    <w:name w:val="Casehead 4 Char"/>
    <w:basedOn w:val="Casehead3Char"/>
    <w:link w:val="Casehead4"/>
    <w:rsid w:val="003828EC"/>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iPriority w:val="99"/>
    <w:unhideWhenUsed/>
    <w:rsid w:val="003828EC"/>
  </w:style>
  <w:style w:type="character" w:customStyle="1" w:styleId="FootnoteTextChar">
    <w:name w:val="Footnote Text Char"/>
    <w:basedOn w:val="DefaultParagraphFont"/>
    <w:link w:val="FootnoteText"/>
    <w:uiPriority w:val="99"/>
    <w:rsid w:val="003828EC"/>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unhideWhenUsed/>
    <w:qFormat/>
    <w:rsid w:val="003828EC"/>
    <w:rPr>
      <w:b w:val="0"/>
      <w:color w:val="auto"/>
      <w:vertAlign w:val="superscript"/>
    </w:rPr>
  </w:style>
  <w:style w:type="paragraph" w:customStyle="1" w:styleId="Footnote">
    <w:name w:val="Footnote"/>
    <w:basedOn w:val="FootnoteText"/>
    <w:link w:val="FootnoteChar"/>
    <w:qFormat/>
    <w:rsid w:val="003828EC"/>
    <w:rPr>
      <w:rFonts w:ascii="Arial" w:hAnsi="Arial" w:cs="Arial"/>
      <w:sz w:val="17"/>
      <w:szCs w:val="17"/>
    </w:rPr>
  </w:style>
  <w:style w:type="character" w:customStyle="1" w:styleId="FootnoteChar">
    <w:name w:val="Footnote Char"/>
    <w:basedOn w:val="FootnoteTextChar"/>
    <w:link w:val="Footnote"/>
    <w:rsid w:val="003828EC"/>
    <w:rPr>
      <w:rFonts w:ascii="Arial" w:eastAsia="Times New Roman" w:hAnsi="Arial" w:cs="Arial"/>
      <w:sz w:val="17"/>
      <w:szCs w:val="17"/>
      <w:lang w:val="en-GB"/>
    </w:rPr>
  </w:style>
  <w:style w:type="paragraph" w:customStyle="1" w:styleId="Quotation3Lines">
    <w:name w:val="Quotation (3+ Lines)"/>
    <w:basedOn w:val="BodyTextMain"/>
    <w:link w:val="Quotation3LinesChar"/>
    <w:rsid w:val="003828EC"/>
    <w:pPr>
      <w:ind w:left="720" w:right="720"/>
    </w:pPr>
  </w:style>
  <w:style w:type="character" w:customStyle="1" w:styleId="Quotation3LinesChar">
    <w:name w:val="Quotation (3+ Lines) Char"/>
    <w:basedOn w:val="BodyTextMainChar"/>
    <w:link w:val="Quotation3Lines"/>
    <w:rsid w:val="003828EC"/>
    <w:rPr>
      <w:rFonts w:ascii="Times New Roman" w:eastAsia="Times New Roman" w:hAnsi="Times New Roman" w:cs="Times New Roman"/>
      <w:lang w:val="en-GB"/>
    </w:rPr>
  </w:style>
  <w:style w:type="paragraph" w:customStyle="1" w:styleId="ExhibitNumber">
    <w:name w:val="Exhibit Number"/>
    <w:basedOn w:val="BodyTextMain"/>
    <w:link w:val="ExhibitNumberChar"/>
    <w:qFormat/>
    <w:rsid w:val="003828EC"/>
    <w:pPr>
      <w:jc w:val="center"/>
    </w:pPr>
    <w:rPr>
      <w:rFonts w:ascii="Arial" w:hAnsi="Arial" w:cs="Arial"/>
      <w:b/>
      <w:sz w:val="20"/>
      <w:szCs w:val="20"/>
    </w:rPr>
  </w:style>
  <w:style w:type="character" w:customStyle="1" w:styleId="ExhibitNumberChar">
    <w:name w:val="Exhibit Number Char"/>
    <w:basedOn w:val="BodyTextMainChar"/>
    <w:link w:val="ExhibitNumber"/>
    <w:rsid w:val="003828EC"/>
    <w:rPr>
      <w:rFonts w:ascii="Arial" w:eastAsia="Times New Roman" w:hAnsi="Arial" w:cs="Arial"/>
      <w:b/>
      <w:sz w:val="20"/>
      <w:szCs w:val="20"/>
      <w:lang w:val="en-GB"/>
    </w:rPr>
  </w:style>
  <w:style w:type="paragraph" w:customStyle="1" w:styleId="ExhibitHeading">
    <w:name w:val="Exhibit Heading"/>
    <w:basedOn w:val="BodyTextMain"/>
    <w:link w:val="ExhibitHeadingChar"/>
    <w:qFormat/>
    <w:rsid w:val="003828EC"/>
    <w:pPr>
      <w:jc w:val="center"/>
    </w:pPr>
    <w:rPr>
      <w:rFonts w:ascii="Arial" w:hAnsi="Arial" w:cs="Arial"/>
      <w:b/>
      <w:caps/>
      <w:sz w:val="20"/>
      <w:szCs w:val="20"/>
    </w:rPr>
  </w:style>
  <w:style w:type="character" w:customStyle="1" w:styleId="ExhibitHeadingChar">
    <w:name w:val="Exhibit Heading Char"/>
    <w:basedOn w:val="BodyTextMainChar"/>
    <w:link w:val="ExhibitHeading"/>
    <w:rsid w:val="003828EC"/>
    <w:rPr>
      <w:rFonts w:ascii="Arial" w:eastAsia="Times New Roman" w:hAnsi="Arial" w:cs="Arial"/>
      <w:b/>
      <w:caps/>
      <w:sz w:val="20"/>
      <w:szCs w:val="20"/>
      <w:lang w:val="en-GB"/>
    </w:rPr>
  </w:style>
  <w:style w:type="paragraph" w:customStyle="1" w:styleId="CaseTitle">
    <w:name w:val="Case Title"/>
    <w:basedOn w:val="MainTitle"/>
    <w:link w:val="CaseTitleChar"/>
    <w:qFormat/>
    <w:rsid w:val="003828EC"/>
  </w:style>
  <w:style w:type="character" w:customStyle="1" w:styleId="CaseTitleChar">
    <w:name w:val="Case Title Char"/>
    <w:basedOn w:val="MainTitleChar"/>
    <w:link w:val="CaseTitle"/>
    <w:rsid w:val="003828EC"/>
    <w:rPr>
      <w:rFonts w:ascii="Arial" w:hAnsi="Arial" w:cs="Arial"/>
      <w:b/>
      <w:bCs/>
      <w:caps/>
      <w:color w:val="000000"/>
      <w:sz w:val="28"/>
      <w:szCs w:val="28"/>
      <w:lang w:val="en-GB"/>
    </w:rPr>
  </w:style>
  <w:style w:type="paragraph" w:customStyle="1" w:styleId="TeachingNoteTitle">
    <w:name w:val="Teaching Note Title"/>
    <w:basedOn w:val="CaseTitle"/>
    <w:link w:val="TeachingNoteTitleChar"/>
    <w:qFormat/>
    <w:rsid w:val="003828EC"/>
    <w:pPr>
      <w:jc w:val="center"/>
    </w:pPr>
  </w:style>
  <w:style w:type="character" w:customStyle="1" w:styleId="TeachingNoteTitleChar">
    <w:name w:val="Teaching Note Title Char"/>
    <w:basedOn w:val="CaseTitleChar"/>
    <w:link w:val="TeachingNoteTitle"/>
    <w:rsid w:val="003828EC"/>
    <w:rPr>
      <w:rFonts w:ascii="Arial" w:hAnsi="Arial" w:cs="Arial"/>
      <w:b/>
      <w:bCs/>
      <w:caps/>
      <w:color w:val="000000"/>
      <w:sz w:val="28"/>
      <w:szCs w:val="28"/>
      <w:lang w:val="en-GB"/>
    </w:rPr>
  </w:style>
  <w:style w:type="paragraph" w:customStyle="1" w:styleId="ProductNumber">
    <w:name w:val="Product Number"/>
    <w:basedOn w:val="Normal"/>
    <w:link w:val="ProductNumberChar"/>
    <w:qFormat/>
    <w:rsid w:val="003828EC"/>
    <w:pPr>
      <w:jc w:val="right"/>
    </w:pPr>
    <w:rPr>
      <w:rFonts w:ascii="Arial" w:hAnsi="Arial"/>
      <w:b/>
      <w:caps/>
      <w:sz w:val="24"/>
    </w:rPr>
  </w:style>
  <w:style w:type="character" w:customStyle="1" w:styleId="ProductNumberChar">
    <w:name w:val="Product Number Char"/>
    <w:basedOn w:val="DefaultParagraphFont"/>
    <w:link w:val="ProductNumber"/>
    <w:rsid w:val="003828EC"/>
    <w:rPr>
      <w:rFonts w:ascii="Arial" w:eastAsia="Times New Roman" w:hAnsi="Arial" w:cs="Times New Roman"/>
      <w:b/>
      <w:caps/>
      <w:sz w:val="24"/>
      <w:szCs w:val="20"/>
      <w:lang w:val="en-GB"/>
    </w:rPr>
  </w:style>
  <w:style w:type="paragraph" w:customStyle="1" w:styleId="ExhibitText">
    <w:name w:val="Exhibit Text"/>
    <w:basedOn w:val="BodyTextMain"/>
    <w:link w:val="ExhibitTextChar"/>
    <w:qFormat/>
    <w:rsid w:val="003828EC"/>
    <w:rPr>
      <w:rFonts w:ascii="Arial" w:hAnsi="Arial" w:cs="Arial"/>
      <w:sz w:val="20"/>
      <w:szCs w:val="20"/>
    </w:rPr>
  </w:style>
  <w:style w:type="character" w:customStyle="1" w:styleId="ExhibitTextChar">
    <w:name w:val="Exhibit Text Char"/>
    <w:basedOn w:val="BodyTextMainChar"/>
    <w:link w:val="ExhibitText"/>
    <w:rsid w:val="003828EC"/>
    <w:rPr>
      <w:rFonts w:ascii="Arial" w:eastAsia="Times New Roman" w:hAnsi="Arial" w:cs="Arial"/>
      <w:sz w:val="20"/>
      <w:szCs w:val="20"/>
      <w:lang w:val="en-GB"/>
    </w:rPr>
  </w:style>
  <w:style w:type="paragraph" w:styleId="Header">
    <w:name w:val="header"/>
    <w:basedOn w:val="Normal"/>
    <w:link w:val="HeaderChar"/>
    <w:uiPriority w:val="99"/>
    <w:unhideWhenUsed/>
    <w:rsid w:val="003828EC"/>
    <w:pPr>
      <w:tabs>
        <w:tab w:val="center" w:pos="4680"/>
        <w:tab w:val="right" w:pos="9360"/>
      </w:tabs>
    </w:pPr>
  </w:style>
  <w:style w:type="character" w:customStyle="1" w:styleId="HeaderChar">
    <w:name w:val="Header Char"/>
    <w:basedOn w:val="DefaultParagraphFont"/>
    <w:link w:val="Header"/>
    <w:uiPriority w:val="99"/>
    <w:rsid w:val="003828EC"/>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3828EC"/>
    <w:pPr>
      <w:tabs>
        <w:tab w:val="center" w:pos="4680"/>
        <w:tab w:val="right" w:pos="9360"/>
      </w:tabs>
    </w:pPr>
  </w:style>
  <w:style w:type="character" w:customStyle="1" w:styleId="FooterChar">
    <w:name w:val="Footer Char"/>
    <w:basedOn w:val="DefaultParagraphFont"/>
    <w:link w:val="Footer"/>
    <w:uiPriority w:val="99"/>
    <w:rsid w:val="003828EC"/>
    <w:rPr>
      <w:rFonts w:ascii="Times New Roman" w:eastAsia="Times New Roman" w:hAnsi="Times New Roman" w:cs="Times New Roman"/>
      <w:sz w:val="20"/>
      <w:szCs w:val="20"/>
      <w:lang w:val="en-GB"/>
    </w:rPr>
  </w:style>
  <w:style w:type="character" w:styleId="Hyperlink">
    <w:name w:val="Hyperlink"/>
    <w:basedOn w:val="DefaultParagraphFont"/>
    <w:uiPriority w:val="99"/>
    <w:unhideWhenUsed/>
    <w:rsid w:val="003828EC"/>
    <w:rPr>
      <w:color w:val="0563C1" w:themeColor="hyperlink"/>
      <w:u w:val="single"/>
    </w:rPr>
  </w:style>
  <w:style w:type="paragraph" w:customStyle="1" w:styleId="StyleCopyrightStatementAfter0ptBottomSinglesolidline">
    <w:name w:val="Style CopyrightStatement + After:  0 pt Bottom: (Single solid line..."/>
    <w:basedOn w:val="CopyrightStatement"/>
    <w:rsid w:val="003828EC"/>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828EC"/>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828EC"/>
    <w:pPr>
      <w:pBdr>
        <w:top w:val="none" w:sz="0" w:space="0" w:color="auto"/>
      </w:pBdr>
    </w:pPr>
  </w:style>
  <w:style w:type="paragraph" w:styleId="BodyText">
    <w:name w:val="Body Text"/>
    <w:basedOn w:val="Normal"/>
    <w:link w:val="BodyTextChar"/>
    <w:unhideWhenUsed/>
    <w:rsid w:val="003828EC"/>
    <w:pPr>
      <w:spacing w:after="120"/>
    </w:pPr>
  </w:style>
  <w:style w:type="character" w:customStyle="1" w:styleId="BodyTextChar">
    <w:name w:val="Body Text Char"/>
    <w:basedOn w:val="DefaultParagraphFont"/>
    <w:link w:val="BodyText"/>
    <w:rsid w:val="003828EC"/>
    <w:rPr>
      <w:rFonts w:ascii="Times New Roman" w:eastAsia="Times New Roman" w:hAnsi="Times New Roman" w:cs="Times New Roman"/>
      <w:sz w:val="20"/>
      <w:szCs w:val="20"/>
      <w:lang w:val="en-GB"/>
    </w:rPr>
  </w:style>
  <w:style w:type="paragraph" w:styleId="ListParagraph">
    <w:name w:val="List Paragraph"/>
    <w:basedOn w:val="Normal"/>
    <w:uiPriority w:val="34"/>
    <w:rsid w:val="003828EC"/>
    <w:pPr>
      <w:ind w:left="720"/>
      <w:contextualSpacing/>
      <w:jc w:val="both"/>
    </w:pPr>
    <w:rPr>
      <w:rFonts w:eastAsia="Calibri"/>
      <w:sz w:val="22"/>
      <w:szCs w:val="22"/>
    </w:rPr>
  </w:style>
  <w:style w:type="character" w:styleId="CommentReference">
    <w:name w:val="annotation reference"/>
    <w:uiPriority w:val="99"/>
    <w:semiHidden/>
    <w:unhideWhenUsed/>
    <w:rsid w:val="003828EC"/>
    <w:rPr>
      <w:sz w:val="16"/>
      <w:szCs w:val="16"/>
    </w:rPr>
  </w:style>
  <w:style w:type="paragraph" w:styleId="CommentText">
    <w:name w:val="annotation text"/>
    <w:basedOn w:val="Normal"/>
    <w:link w:val="CommentTextChar"/>
    <w:unhideWhenUsed/>
    <w:rsid w:val="003828EC"/>
  </w:style>
  <w:style w:type="character" w:customStyle="1" w:styleId="CommentTextChar">
    <w:name w:val="Comment Text Char"/>
    <w:basedOn w:val="DefaultParagraphFont"/>
    <w:link w:val="CommentText"/>
    <w:rsid w:val="003828EC"/>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3828EC"/>
    <w:rPr>
      <w:b/>
      <w:bCs/>
    </w:rPr>
  </w:style>
  <w:style w:type="character" w:customStyle="1" w:styleId="CommentSubjectChar">
    <w:name w:val="Comment Subject Char"/>
    <w:basedOn w:val="CommentTextChar"/>
    <w:link w:val="CommentSubject"/>
    <w:uiPriority w:val="99"/>
    <w:semiHidden/>
    <w:rsid w:val="003828EC"/>
    <w:rPr>
      <w:rFonts w:ascii="Times New Roman" w:eastAsia="Times New Roman" w:hAnsi="Times New Roman" w:cs="Times New Roman"/>
      <w:b/>
      <w:bCs/>
      <w:sz w:val="20"/>
      <w:szCs w:val="20"/>
      <w:lang w:val="en-GB"/>
    </w:rPr>
  </w:style>
  <w:style w:type="paragraph" w:customStyle="1" w:styleId="FootnoteText1">
    <w:name w:val="Footnote Text1"/>
    <w:basedOn w:val="Normal"/>
    <w:next w:val="BodyText"/>
    <w:uiPriority w:val="99"/>
    <w:rsid w:val="003828EC"/>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3828EC"/>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3828EC"/>
  </w:style>
  <w:style w:type="table" w:styleId="TableGrid">
    <w:name w:val="Table Grid"/>
    <w:basedOn w:val="TableNormal"/>
    <w:uiPriority w:val="39"/>
    <w:rsid w:val="003828EC"/>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3828EC"/>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3828EC"/>
    <w:rPr>
      <w:rFonts w:ascii="Consolas" w:eastAsiaTheme="minorEastAsia" w:hAnsi="Consolas" w:cs="Consolas"/>
      <w:sz w:val="21"/>
      <w:szCs w:val="21"/>
      <w:lang w:val="en-GB" w:eastAsia="zh-CN"/>
    </w:rPr>
  </w:style>
  <w:style w:type="character" w:styleId="Emphasis">
    <w:name w:val="Emphasis"/>
    <w:basedOn w:val="DefaultParagraphFont"/>
    <w:uiPriority w:val="99"/>
    <w:rsid w:val="003828EC"/>
    <w:rPr>
      <w:i/>
      <w:iCs/>
    </w:rPr>
  </w:style>
  <w:style w:type="character" w:styleId="Strong">
    <w:name w:val="Strong"/>
    <w:basedOn w:val="DefaultParagraphFont"/>
    <w:uiPriority w:val="99"/>
    <w:rsid w:val="003828EC"/>
    <w:rPr>
      <w:b/>
      <w:bCs/>
    </w:rPr>
  </w:style>
  <w:style w:type="character" w:customStyle="1" w:styleId="Title1">
    <w:name w:val="Title1"/>
    <w:basedOn w:val="DefaultParagraphFont"/>
    <w:uiPriority w:val="99"/>
    <w:rsid w:val="003828EC"/>
  </w:style>
  <w:style w:type="paragraph" w:styleId="Revision">
    <w:name w:val="Revision"/>
    <w:hidden/>
    <w:uiPriority w:val="99"/>
    <w:semiHidden/>
    <w:rsid w:val="003828EC"/>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3828EC"/>
  </w:style>
  <w:style w:type="character" w:customStyle="1" w:styleId="EndnoteTextChar">
    <w:name w:val="Endnote Text Char"/>
    <w:basedOn w:val="DefaultParagraphFont"/>
    <w:link w:val="EndnoteText"/>
    <w:uiPriority w:val="99"/>
    <w:semiHidden/>
    <w:rsid w:val="003828EC"/>
    <w:rPr>
      <w:rFonts w:ascii="Times New Roman" w:eastAsia="Times New Roman" w:hAnsi="Times New Roman" w:cs="Times New Roman"/>
      <w:sz w:val="20"/>
      <w:szCs w:val="20"/>
      <w:lang w:val="en-GB"/>
    </w:rPr>
  </w:style>
  <w:style w:type="character" w:styleId="EndnoteReference">
    <w:name w:val="endnote reference"/>
    <w:basedOn w:val="DefaultParagraphFont"/>
    <w:uiPriority w:val="99"/>
    <w:semiHidden/>
    <w:unhideWhenUsed/>
    <w:rsid w:val="003828EC"/>
    <w:rPr>
      <w:vertAlign w:val="superscript"/>
    </w:rPr>
  </w:style>
  <w:style w:type="character" w:customStyle="1" w:styleId="UnresolvedMention">
    <w:name w:val="Unresolved Mention"/>
    <w:basedOn w:val="DefaultParagraphFont"/>
    <w:uiPriority w:val="99"/>
    <w:semiHidden/>
    <w:unhideWhenUsed/>
    <w:rsid w:val="00382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ses@ivey.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veycase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5410</Words>
  <Characters>30841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Martinali, Sara</dc:creator>
  <cp:keywords/>
  <dc:description/>
  <cp:lastModifiedBy>Martinali, Sara</cp:lastModifiedBy>
  <cp:revision>1</cp:revision>
  <dcterms:created xsi:type="dcterms:W3CDTF">2018-07-20T14:11:00Z</dcterms:created>
  <dcterms:modified xsi:type="dcterms:W3CDTF">2018-07-20T14:12:00Z</dcterms:modified>
</cp:coreProperties>
</file>